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C572D4" w14:textId="1BF0BB96" w:rsidR="00AB5FCE" w:rsidRDefault="00AB5FCE"/>
    <w:sdt>
      <w:sdtPr>
        <w:id w:val="1399706619"/>
        <w:docPartObj>
          <w:docPartGallery w:val="Cover Pages"/>
          <w:docPartUnique/>
        </w:docPartObj>
      </w:sdtPr>
      <w:sdtContent>
        <w:p w14:paraId="34B572C3" w14:textId="6513E1AC" w:rsidR="00AB40E9" w:rsidRDefault="009A25E8">
          <w:r>
            <w:rPr>
              <w:rFonts w:ascii="Calibri" w:eastAsia="Times New Roman" w:hAnsi="Calibri"/>
              <w:noProof/>
              <w:color w:val="212121"/>
              <w:sz w:val="23"/>
              <w:szCs w:val="23"/>
              <w:lang w:eastAsia="en-AU"/>
            </w:rPr>
            <w:drawing>
              <wp:inline distT="0" distB="0" distL="0" distR="0" wp14:anchorId="59A8FF66" wp14:editId="435ABEDA">
                <wp:extent cx="1935480" cy="1428569"/>
                <wp:effectExtent l="0" t="0" r="7620" b="635"/>
                <wp:docPr id="27" name="Picture 27" descr="1464738308801_Pega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64738308801_Pegasus"/>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954709" cy="1442762"/>
                        </a:xfrm>
                        <a:prstGeom prst="rect">
                          <a:avLst/>
                        </a:prstGeom>
                        <a:noFill/>
                        <a:ln>
                          <a:noFill/>
                        </a:ln>
                      </pic:spPr>
                    </pic:pic>
                  </a:graphicData>
                </a:graphic>
              </wp:inline>
            </w:drawing>
          </w:r>
          <w:r w:rsidR="00161A65">
            <w:rPr>
              <w:noProof/>
              <w:lang w:eastAsia="en-AU"/>
            </w:rPr>
            <mc:AlternateContent>
              <mc:Choice Requires="wpg">
                <w:drawing>
                  <wp:anchor distT="0" distB="0" distL="114300" distR="114300" simplePos="0" relativeHeight="251658243" behindDoc="0" locked="0" layoutInCell="1" allowOverlap="1" wp14:anchorId="04AB09D7" wp14:editId="369EEF4E">
                    <wp:simplePos x="0" y="0"/>
                    <wp:positionH relativeFrom="page">
                      <wp:align>right</wp:align>
                    </wp:positionH>
                    <wp:positionV relativeFrom="page">
                      <wp:align>top</wp:align>
                    </wp:positionV>
                    <wp:extent cx="3016885" cy="10687685"/>
                    <wp:effectExtent l="0" t="0" r="5080" b="0"/>
                    <wp:wrapNone/>
                    <wp:docPr id="19"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6885" cy="10687685"/>
                              <a:chOff x="0" y="0"/>
                              <a:chExt cx="31136" cy="100584"/>
                            </a:xfrm>
                          </wpg:grpSpPr>
                          <wps:wsp>
                            <wps:cNvPr id="20" name="Rectangle 459" descr="Light vertical"/>
                            <wps:cNvSpPr>
                              <a:spLocks noChangeArrowheads="1"/>
                            </wps:cNvSpPr>
                            <wps:spPr bwMode="auto">
                              <a:xfrm>
                                <a:off x="0" y="0"/>
                                <a:ext cx="1385" cy="100584"/>
                              </a:xfrm>
                              <a:prstGeom prst="rect">
                                <a:avLst/>
                              </a:prstGeom>
                              <a:solidFill>
                                <a:srgbClr val="002060"/>
                              </a:solid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1" name="Rectangle 460"/>
                            <wps:cNvSpPr>
                              <a:spLocks noChangeArrowheads="1"/>
                            </wps:cNvSpPr>
                            <wps:spPr bwMode="auto">
                              <a:xfrm>
                                <a:off x="1246" y="0"/>
                                <a:ext cx="29718" cy="100584"/>
                              </a:xfrm>
                              <a:prstGeom prst="rect">
                                <a:avLst/>
                              </a:prstGeom>
                              <a:solidFill>
                                <a:srgbClr val="002060"/>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22" name="Rectangle 461"/>
                            <wps:cNvSpPr>
                              <a:spLocks noChangeArrowheads="1"/>
                            </wps:cNvSpPr>
                            <wps:spPr bwMode="auto">
                              <a:xfrm>
                                <a:off x="138" y="0"/>
                                <a:ext cx="30998" cy="23774"/>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164B5763" w14:textId="56F47BEE" w:rsidR="00C75B35" w:rsidRDefault="00C75B35">
                                  <w:pPr>
                                    <w:pStyle w:val="NoSpacing"/>
                                    <w:rPr>
                                      <w:color w:val="FFFFFF" w:themeColor="background1"/>
                                      <w:sz w:val="96"/>
                                      <w:szCs w:val="96"/>
                                    </w:rPr>
                                  </w:pPr>
                                </w:p>
                              </w:txbxContent>
                            </wps:txbx>
                            <wps:bodyPr rot="0" vert="horz" wrap="square" lIns="365760" tIns="182880" rIns="182880" bIns="182880" anchor="b" anchorCtr="0" upright="1">
                              <a:noAutofit/>
                            </wps:bodyPr>
                          </wps:wsp>
                          <wps:wsp>
                            <wps:cNvPr id="24" name="Rectangle 9"/>
                            <wps:cNvSpPr>
                              <a:spLocks noChangeArrowheads="1"/>
                            </wps:cNvSpPr>
                            <wps:spPr bwMode="auto">
                              <a:xfrm>
                                <a:off x="0" y="67610"/>
                                <a:ext cx="30895" cy="28333"/>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Content>
                                    <w:p w14:paraId="1694352C" w14:textId="3570E663" w:rsidR="00C75B35" w:rsidRDefault="00C75B35">
                                      <w:pPr>
                                        <w:pStyle w:val="NoSpacing"/>
                                        <w:spacing w:line="360" w:lineRule="auto"/>
                                        <w:rPr>
                                          <w:color w:val="FFFFFF" w:themeColor="background1"/>
                                        </w:rPr>
                                      </w:pPr>
                                      <w:r>
                                        <w:rPr>
                                          <w:color w:val="FFFFFF" w:themeColor="background1"/>
                                        </w:rPr>
                                        <w:t>Alistair Davey, Brett Kaufmann, Roger Fisher and Susan Antcliff</w:t>
                                      </w:r>
                                    </w:p>
                                  </w:sdtContent>
                                </w:sdt>
                                <w:sdt>
                                  <w:sdtPr>
                                    <w:rPr>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Content>
                                    <w:p w14:paraId="4EC883EB" w14:textId="77777777" w:rsidR="00C75B35" w:rsidRDefault="00C75B35">
                                      <w:pPr>
                                        <w:pStyle w:val="NoSpacing"/>
                                        <w:spacing w:line="360" w:lineRule="auto"/>
                                        <w:rPr>
                                          <w:color w:val="FFFFFF" w:themeColor="background1"/>
                                        </w:rPr>
                                      </w:pPr>
                                      <w:r>
                                        <w:rPr>
                                          <w:color w:val="FFFFFF" w:themeColor="background1"/>
                                        </w:rPr>
                                        <w:t>Pegasus Economics</w:t>
                                      </w:r>
                                    </w:p>
                                  </w:sdtContent>
                                </w:sdt>
                                <w:p w14:paraId="7D79AB47" w14:textId="065E7562" w:rsidR="00C75B35" w:rsidRDefault="008F24B3">
                                  <w:pPr>
                                    <w:pStyle w:val="NoSpacing"/>
                                    <w:spacing w:line="360" w:lineRule="auto"/>
                                    <w:rPr>
                                      <w:color w:val="FFFFFF" w:themeColor="background1"/>
                                    </w:rPr>
                                  </w:pPr>
                                  <w:r>
                                    <w:rPr>
                                      <w:color w:val="FFFFFF" w:themeColor="background1"/>
                                    </w:rPr>
                                    <w:t>July</w:t>
                                  </w:r>
                                  <w:r w:rsidR="00C75B35">
                                    <w:rPr>
                                      <w:color w:val="FFFFFF" w:themeColor="background1"/>
                                    </w:rPr>
                                    <w:t xml:space="preserve"> 202</w:t>
                                  </w:r>
                                  <w:r w:rsidR="00090489">
                                    <w:rPr>
                                      <w:color w:val="FFFFFF" w:themeColor="background1"/>
                                    </w:rPr>
                                    <w:t>4</w:t>
                                  </w: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04AB09D7" id="Group 453" o:spid="_x0000_s1026" style="position:absolute;margin-left:186.35pt;margin-top:0;width:237.55pt;height:841.55pt;z-index:251658243;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" fillcolor="#002060" stroked="f" strokecolor="white" strokeweight="1pt">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" fillcolor="#002060"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" filled="f" stroked="f" strokecolor="white" strokeweight="1pt">
                      <v:fill opacity="52428f"/>
                      <v:textbox inset="28.8pt,14.4pt,14.4pt,14.4pt">
                        <w:txbxContent>
                          <w:p w14:paraId="164B5763" w14:textId="56F47BEE" w:rsidR="00C75B35" w:rsidRDefault="00C75B35">
                            <w:pPr>
                              <w:pStyle w:val="NoSpacing"/>
                              <w:rPr>
                                <w:color w:val="FFFFFF" w:themeColor="background1"/>
                                <w:sz w:val="96"/>
                                <w:szCs w:val="96"/>
                              </w:rPr>
                            </w:pPr>
                          </w:p>
                        </w:txbxContent>
                      </v:textbox>
                    </v:rect>
                    <v:rect id="Rectangle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" filled="f" stroked="f" strokecolor="white" strokeweight="1pt">
                      <v:fill opacity="52428f"/>
                      <v:textbox inset="28.8pt,14.4pt,14.4pt,14.4pt">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Content>
                              <w:p w14:paraId="1694352C" w14:textId="3570E663" w:rsidR="00C75B35" w:rsidRDefault="00C75B35">
                                <w:pPr>
                                  <w:pStyle w:val="NoSpacing"/>
                                  <w:spacing w:line="360" w:lineRule="auto"/>
                                  <w:rPr>
                                    <w:color w:val="FFFFFF" w:themeColor="background1"/>
                                  </w:rPr>
                                </w:pPr>
                                <w:r>
                                  <w:rPr>
                                    <w:color w:val="FFFFFF" w:themeColor="background1"/>
                                  </w:rPr>
                                  <w:t>Alistair Davey, Brett Kaufmann, Roger Fisher and Susan Antcliff</w:t>
                                </w:r>
                              </w:p>
                            </w:sdtContent>
                          </w:sdt>
                          <w:sdt>
                            <w:sdtPr>
                              <w:rPr>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Content>
                              <w:p w14:paraId="4EC883EB" w14:textId="77777777" w:rsidR="00C75B35" w:rsidRDefault="00C75B35">
                                <w:pPr>
                                  <w:pStyle w:val="NoSpacing"/>
                                  <w:spacing w:line="360" w:lineRule="auto"/>
                                  <w:rPr>
                                    <w:color w:val="FFFFFF" w:themeColor="background1"/>
                                  </w:rPr>
                                </w:pPr>
                                <w:r>
                                  <w:rPr>
                                    <w:color w:val="FFFFFF" w:themeColor="background1"/>
                                  </w:rPr>
                                  <w:t>Pegasus Economics</w:t>
                                </w:r>
                              </w:p>
                            </w:sdtContent>
                          </w:sdt>
                          <w:p w14:paraId="7D79AB47" w14:textId="065E7562" w:rsidR="00C75B35" w:rsidRDefault="008F24B3">
                            <w:pPr>
                              <w:pStyle w:val="NoSpacing"/>
                              <w:spacing w:line="360" w:lineRule="auto"/>
                              <w:rPr>
                                <w:color w:val="FFFFFF" w:themeColor="background1"/>
                              </w:rPr>
                            </w:pPr>
                            <w:r>
                              <w:rPr>
                                <w:color w:val="FFFFFF" w:themeColor="background1"/>
                              </w:rPr>
                              <w:t>July</w:t>
                            </w:r>
                            <w:r w:rsidR="00C75B35">
                              <w:rPr>
                                <w:color w:val="FFFFFF" w:themeColor="background1"/>
                              </w:rPr>
                              <w:t xml:space="preserve"> 202</w:t>
                            </w:r>
                            <w:r w:rsidR="00090489">
                              <w:rPr>
                                <w:color w:val="FFFFFF" w:themeColor="background1"/>
                              </w:rPr>
                              <w:t>4</w:t>
                            </w:r>
                          </w:p>
                        </w:txbxContent>
                      </v:textbox>
                    </v:rect>
                    <w10:wrap anchorx="page" anchory="page"/>
                  </v:group>
                </w:pict>
              </mc:Fallback>
            </mc:AlternateContent>
          </w:r>
          <w:r w:rsidR="00161A65">
            <w:rPr>
              <w:noProof/>
              <w:lang w:eastAsia="en-AU"/>
            </w:rPr>
            <mc:AlternateContent>
              <mc:Choice Requires="wps">
                <w:drawing>
                  <wp:anchor distT="0" distB="0" distL="114300" distR="114300" simplePos="0" relativeHeight="251658244" behindDoc="0" locked="0" layoutInCell="0" allowOverlap="1" wp14:anchorId="30A53CF2" wp14:editId="044D1E5C">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776720" cy="637540"/>
                    <wp:effectExtent l="0" t="0" r="0" b="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637540"/>
                            </a:xfrm>
                            <a:prstGeom prst="rect">
                              <a:avLst/>
                            </a:prstGeom>
                            <a:solidFill>
                              <a:schemeClr val="tx1"/>
                            </a:solidFill>
                            <a:ln w="19050">
                              <a:solidFill>
                                <a:schemeClr val="tx1"/>
                              </a:solidFill>
                              <a:miter lim="800000"/>
                              <a:headEnd/>
                              <a:tailEnd/>
                            </a:ln>
                          </wps:spPr>
                          <wps:txbx>
                            <w:txbxContent>
                              <w:p w14:paraId="631A72DD" w14:textId="53BEB69D" w:rsidR="00C75B35" w:rsidRPr="00DC33A9" w:rsidRDefault="00000000">
                                <w:pPr>
                                  <w:pStyle w:val="NoSpacing"/>
                                  <w:jc w:val="right"/>
                                  <w:rPr>
                                    <w:color w:val="FFFFFF" w:themeColor="background1"/>
                                    <w:sz w:val="68"/>
                                    <w:szCs w:val="68"/>
                                  </w:rPr>
                                </w:pPr>
                                <w:sdt>
                                  <w:sdtPr>
                                    <w:rPr>
                                      <w:rFonts w:eastAsia="Times New Roman" w:cs="Times New Roman"/>
                                      <w:kern w:val="40"/>
                                      <w:sz w:val="68"/>
                                      <w:szCs w:val="68"/>
                                      <w:lang w:val="en-AU"/>
                                    </w:rPr>
                                    <w:alias w:val="Title"/>
                                    <w:id w:val="-1704864950"/>
                                    <w:dataBinding w:prefixMappings="xmlns:ns0='http://schemas.openxmlformats.org/package/2006/metadata/core-properties' xmlns:ns1='http://purl.org/dc/elements/1.1/'" w:xpath="/ns0:coreProperties[1]/ns1:title[1]" w:storeItemID="{6C3C8BC8-F283-45AE-878A-BAB7291924A1}"/>
                                    <w:text/>
                                  </w:sdtPr>
                                  <w:sdtContent>
                                    <w:r w:rsidR="00C75B35" w:rsidRPr="00DC33A9">
                                      <w:rPr>
                                        <w:rFonts w:eastAsia="Times New Roman" w:cs="Times New Roman"/>
                                        <w:kern w:val="40"/>
                                        <w:sz w:val="68"/>
                                        <w:szCs w:val="68"/>
                                        <w:lang w:val="en-AU"/>
                                      </w:rPr>
                                      <w:t xml:space="preserve">Review of the ACT Budget </w:t>
                                    </w:r>
                                    <w:r w:rsidR="00C75B35">
                                      <w:rPr>
                                        <w:rFonts w:eastAsia="Times New Roman" w:cs="Times New Roman"/>
                                        <w:kern w:val="40"/>
                                        <w:sz w:val="68"/>
                                        <w:szCs w:val="68"/>
                                        <w:lang w:val="en-AU"/>
                                      </w:rPr>
                                      <w:t>202</w:t>
                                    </w:r>
                                    <w:r w:rsidR="00250366">
                                      <w:rPr>
                                        <w:rFonts w:eastAsia="Times New Roman" w:cs="Times New Roman"/>
                                        <w:kern w:val="40"/>
                                        <w:sz w:val="68"/>
                                        <w:szCs w:val="68"/>
                                        <w:lang w:val="en-AU"/>
                                      </w:rPr>
                                      <w:t>4-25</w:t>
                                    </w:r>
                                  </w:sdtContent>
                                </w:sdt>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30A53CF2" id="Rectangle 16" o:spid="_x0000_s1031" style="position:absolute;margin-left:0;margin-top:0;width:533.6pt;height:50.2pt;z-index:251658244;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" o:allowincell="f" fillcolor="black [3213]" strokecolor="black [3213]" strokeweight="1.5pt">
                    <v:textbox style="mso-fit-shape-to-text:t" inset="14.4pt,,14.4pt">
                      <w:txbxContent>
                        <w:p w14:paraId="631A72DD" w14:textId="53BEB69D" w:rsidR="00C75B35" w:rsidRPr="00DC33A9" w:rsidRDefault="00000000">
                          <w:pPr>
                            <w:pStyle w:val="NoSpacing"/>
                            <w:jc w:val="right"/>
                            <w:rPr>
                              <w:color w:val="FFFFFF" w:themeColor="background1"/>
                              <w:sz w:val="68"/>
                              <w:szCs w:val="68"/>
                            </w:rPr>
                          </w:pPr>
                          <w:sdt>
                            <w:sdtPr>
                              <w:rPr>
                                <w:rFonts w:eastAsia="Times New Roman" w:cs="Times New Roman"/>
                                <w:kern w:val="40"/>
                                <w:sz w:val="68"/>
                                <w:szCs w:val="68"/>
                                <w:lang w:val="en-AU"/>
                              </w:rPr>
                              <w:alias w:val="Title"/>
                              <w:id w:val="-1704864950"/>
                              <w:dataBinding w:prefixMappings="xmlns:ns0='http://schemas.openxmlformats.org/package/2006/metadata/core-properties' xmlns:ns1='http://purl.org/dc/elements/1.1/'" w:xpath="/ns0:coreProperties[1]/ns1:title[1]" w:storeItemID="{6C3C8BC8-F283-45AE-878A-BAB7291924A1}"/>
                              <w:text/>
                            </w:sdtPr>
                            <w:sdtContent>
                              <w:r w:rsidR="00C75B35" w:rsidRPr="00DC33A9">
                                <w:rPr>
                                  <w:rFonts w:eastAsia="Times New Roman" w:cs="Times New Roman"/>
                                  <w:kern w:val="40"/>
                                  <w:sz w:val="68"/>
                                  <w:szCs w:val="68"/>
                                  <w:lang w:val="en-AU"/>
                                </w:rPr>
                                <w:t xml:space="preserve">Review of the ACT Budget </w:t>
                              </w:r>
                              <w:r w:rsidR="00C75B35">
                                <w:rPr>
                                  <w:rFonts w:eastAsia="Times New Roman" w:cs="Times New Roman"/>
                                  <w:kern w:val="40"/>
                                  <w:sz w:val="68"/>
                                  <w:szCs w:val="68"/>
                                  <w:lang w:val="en-AU"/>
                                </w:rPr>
                                <w:t>202</w:t>
                              </w:r>
                              <w:r w:rsidR="00250366">
                                <w:rPr>
                                  <w:rFonts w:eastAsia="Times New Roman" w:cs="Times New Roman"/>
                                  <w:kern w:val="40"/>
                                  <w:sz w:val="68"/>
                                  <w:szCs w:val="68"/>
                                  <w:lang w:val="en-AU"/>
                                </w:rPr>
                                <w:t>4-25</w:t>
                              </w:r>
                            </w:sdtContent>
                          </w:sdt>
                        </w:p>
                      </w:txbxContent>
                    </v:textbox>
                    <w10:wrap anchorx="page" anchory="page"/>
                  </v:rect>
                </w:pict>
              </mc:Fallback>
            </mc:AlternateContent>
          </w:r>
        </w:p>
        <w:p w14:paraId="447E30DF" w14:textId="0BEBCA08" w:rsidR="00C65FCF" w:rsidRDefault="00C65FCF"/>
        <w:p w14:paraId="19FF7338" w14:textId="2345398D" w:rsidR="00C65FCF" w:rsidRDefault="00C65FCF"/>
        <w:p w14:paraId="610E5797" w14:textId="4D71DCEC" w:rsidR="00C65FCF" w:rsidRDefault="00C65FCF"/>
        <w:p w14:paraId="7087099B" w14:textId="688624AC" w:rsidR="00C65FCF" w:rsidRDefault="00C65FCF"/>
        <w:p w14:paraId="30007C3B" w14:textId="7E432247" w:rsidR="00AB40E9" w:rsidRDefault="00AB40E9">
          <w:r>
            <w:br w:type="page"/>
          </w:r>
        </w:p>
      </w:sdtContent>
    </w:sdt>
    <w:p w14:paraId="1DAAB1A9" w14:textId="05DEAB03" w:rsidR="00AB40E9" w:rsidRDefault="009A25E8">
      <w:r>
        <w:rPr>
          <w:rFonts w:ascii="Calibri" w:eastAsia="Times New Roman" w:hAnsi="Calibri"/>
          <w:noProof/>
          <w:color w:val="212121"/>
          <w:sz w:val="23"/>
          <w:szCs w:val="23"/>
          <w:lang w:eastAsia="en-AU"/>
        </w:rPr>
        <w:lastRenderedPageBreak/>
        <w:drawing>
          <wp:inline distT="0" distB="0" distL="0" distR="0" wp14:anchorId="35283D9B" wp14:editId="63D04610">
            <wp:extent cx="1935480" cy="1428569"/>
            <wp:effectExtent l="0" t="0" r="7620" b="635"/>
            <wp:docPr id="14" name="Picture 14" descr="1464738308801_Pega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64738308801_Pegasus"/>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954709" cy="1442762"/>
                    </a:xfrm>
                    <a:prstGeom prst="rect">
                      <a:avLst/>
                    </a:prstGeom>
                    <a:noFill/>
                    <a:ln>
                      <a:noFill/>
                    </a:ln>
                  </pic:spPr>
                </pic:pic>
              </a:graphicData>
            </a:graphic>
          </wp:inline>
        </w:drawing>
      </w:r>
    </w:p>
    <w:p w14:paraId="386E6C26" w14:textId="77777777" w:rsidR="00AB40E9" w:rsidRDefault="00AB40E9" w:rsidP="00DC3CC0">
      <w:pPr>
        <w:pStyle w:val="BodyText"/>
      </w:pPr>
      <w:r w:rsidRPr="001D0D4B">
        <w:t>Pegasus Economics • www.pegasus-economics.com.au • PO Box 449 Jamison Centre, Macquarie ACT 2614</w:t>
      </w:r>
    </w:p>
    <w:p w14:paraId="426CC4D1" w14:textId="77777777" w:rsidR="002F6974" w:rsidRPr="00775297" w:rsidRDefault="002F6974" w:rsidP="00F259F3">
      <w:pPr>
        <w:spacing w:before="240" w:after="181"/>
      </w:pPr>
      <w:r w:rsidRPr="00775297">
        <w:t xml:space="preserve">Pegasus Economics is a boutique economics and public policy consultancy firm that specialises in strategy and policy advice, economic analysis, trade practices, competition policy, regulatory instruments, accounting, financial management and organisation development.  </w:t>
      </w:r>
    </w:p>
    <w:p w14:paraId="61C76C0D" w14:textId="6A3343D4" w:rsidR="002F6974" w:rsidRDefault="002F6974" w:rsidP="002F6974">
      <w:r>
        <w:t xml:space="preserve">This report has been commissioned by </w:t>
      </w:r>
      <w:r w:rsidR="00C65FCF">
        <w:t xml:space="preserve">the </w:t>
      </w:r>
      <w:r w:rsidR="00F259F3">
        <w:t xml:space="preserve">ACT Legislative </w:t>
      </w:r>
      <w:r w:rsidR="00BA37ED" w:rsidRPr="0006230E">
        <w:t xml:space="preserve">Assembly’s </w:t>
      </w:r>
      <w:r w:rsidR="0083099E">
        <w:t>Select Committee on Estimates 202</w:t>
      </w:r>
      <w:r w:rsidR="00BB7B2E">
        <w:t>4</w:t>
      </w:r>
      <w:r w:rsidR="0083099E">
        <w:t>-202</w:t>
      </w:r>
      <w:r w:rsidR="00BB7B2E">
        <w:t>5</w:t>
      </w:r>
      <w:r w:rsidR="0083099E">
        <w:t xml:space="preserve"> </w:t>
      </w:r>
      <w:r>
        <w:t xml:space="preserve">to </w:t>
      </w:r>
      <w:r w:rsidR="00F259F3" w:rsidRPr="0006230E">
        <w:t>assist the Committee in its deliberations in relation to the 20</w:t>
      </w:r>
      <w:r w:rsidR="00C0215A">
        <w:t>2</w:t>
      </w:r>
      <w:r w:rsidR="00BB7B2E">
        <w:t>4</w:t>
      </w:r>
      <w:r w:rsidR="00F259F3" w:rsidRPr="0006230E">
        <w:t>-</w:t>
      </w:r>
      <w:r w:rsidR="00C65FCF">
        <w:t>2</w:t>
      </w:r>
      <w:r w:rsidR="00BB7B2E">
        <w:t>5</w:t>
      </w:r>
      <w:r w:rsidR="00F259F3" w:rsidRPr="0006230E">
        <w:t xml:space="preserve"> ACT Budget</w:t>
      </w:r>
      <w:r>
        <w:t>.</w:t>
      </w:r>
    </w:p>
    <w:p w14:paraId="3A891EAB" w14:textId="40282125" w:rsidR="002F6974" w:rsidRDefault="002F6974" w:rsidP="002F6974">
      <w:r>
        <w:t>The views and opinions expressed in this report are those of the author</w:t>
      </w:r>
      <w:r w:rsidR="00F259F3">
        <w:t>s</w:t>
      </w:r>
      <w:r>
        <w:t>.</w:t>
      </w:r>
    </w:p>
    <w:p w14:paraId="633D98BA" w14:textId="046818EC" w:rsidR="00AB40E9" w:rsidRPr="00D902B5" w:rsidRDefault="00AB40E9" w:rsidP="00AB40E9">
      <w:r w:rsidRPr="00D902B5">
        <w:t>For information on this report please contact:</w:t>
      </w:r>
    </w:p>
    <w:p w14:paraId="4D18F42E" w14:textId="3FA1448E" w:rsidR="00AB40E9" w:rsidRDefault="00AB40E9" w:rsidP="00AB40E9">
      <w:r w:rsidRPr="00D902B5">
        <w:t xml:space="preserve">Name: </w:t>
      </w:r>
      <w:r w:rsidRPr="00D902B5">
        <w:tab/>
      </w:r>
      <w:r>
        <w:tab/>
        <w:t>Dr Alistair Davey</w:t>
      </w:r>
    </w:p>
    <w:p w14:paraId="740B5E30" w14:textId="77777777" w:rsidR="002F6974" w:rsidRDefault="002F6974" w:rsidP="002F6974">
      <w:pPr>
        <w:tabs>
          <w:tab w:val="center" w:pos="2181"/>
        </w:tabs>
        <w:ind w:left="-15"/>
      </w:pPr>
      <w:r>
        <w:t>Telephone:</w:t>
      </w:r>
      <w:r>
        <w:tab/>
      </w:r>
      <w:r>
        <w:rPr>
          <w:rFonts w:ascii="Calibri" w:hAnsi="Calibri" w:cs="Calibri"/>
        </w:rPr>
        <w:t>+ 61 2 6100 4090</w:t>
      </w:r>
    </w:p>
    <w:p w14:paraId="515C7608" w14:textId="77777777" w:rsidR="00AB40E9" w:rsidRPr="00D902B5" w:rsidRDefault="00AB40E9" w:rsidP="00AB40E9">
      <w:r>
        <w:t>Mobile:</w:t>
      </w:r>
      <w:r>
        <w:tab/>
      </w:r>
      <w:r>
        <w:tab/>
        <w:t>0422 211 110</w:t>
      </w:r>
    </w:p>
    <w:p w14:paraId="6328EB45" w14:textId="3D11683B" w:rsidR="00AB40E9" w:rsidRDefault="00AB40E9" w:rsidP="00AB40E9">
      <w:pPr>
        <w:spacing w:before="240"/>
      </w:pPr>
      <w:r>
        <w:t>Email:</w:t>
      </w:r>
      <w:r>
        <w:tab/>
      </w:r>
      <w:r>
        <w:tab/>
      </w:r>
      <w:hyperlink r:id="rId14" w:history="1">
        <w:r w:rsidR="00C65FCF" w:rsidRPr="009D2FFC">
          <w:rPr>
            <w:rStyle w:val="Hyperlink"/>
          </w:rPr>
          <w:t>adavey@pegasus-economics.com.au</w:t>
        </w:r>
      </w:hyperlink>
    </w:p>
    <w:p w14:paraId="126A35C6" w14:textId="5FD87EBE" w:rsidR="00C65FCF" w:rsidRDefault="00C65FCF" w:rsidP="00AB40E9">
      <w:pPr>
        <w:spacing w:before="240"/>
      </w:pPr>
    </w:p>
    <w:p w14:paraId="33D69228" w14:textId="77777777" w:rsidR="00AB40E9" w:rsidRDefault="00AB40E9">
      <w:r>
        <w:br w:type="page"/>
      </w:r>
    </w:p>
    <w:sdt>
      <w:sdtPr>
        <w:rPr>
          <w:rFonts w:asciiTheme="minorHAnsi" w:eastAsiaTheme="minorHAnsi" w:hAnsiTheme="minorHAnsi" w:cstheme="minorBidi"/>
          <w:color w:val="auto"/>
          <w:sz w:val="22"/>
          <w:szCs w:val="22"/>
          <w:lang w:val="en-AU"/>
        </w:rPr>
        <w:id w:val="418369371"/>
        <w:docPartObj>
          <w:docPartGallery w:val="Table of Contents"/>
          <w:docPartUnique/>
        </w:docPartObj>
      </w:sdtPr>
      <w:sdtEndPr>
        <w:rPr>
          <w:b/>
          <w:bCs/>
          <w:noProof/>
        </w:rPr>
      </w:sdtEndPr>
      <w:sdtContent>
        <w:p w14:paraId="49B1C513" w14:textId="77777777" w:rsidR="00F2715A" w:rsidRDefault="00F2715A">
          <w:pPr>
            <w:pStyle w:val="TOCHeading"/>
          </w:pPr>
          <w:r>
            <w:t>Table of Contents</w:t>
          </w:r>
        </w:p>
        <w:p w14:paraId="396E6A27" w14:textId="2293B5D6" w:rsidR="008A2836" w:rsidRDefault="00AF4AA5">
          <w:pPr>
            <w:pStyle w:val="TOC1"/>
            <w:tabs>
              <w:tab w:val="right" w:leader="dot" w:pos="9016"/>
            </w:tabs>
            <w:rPr>
              <w:rFonts w:asciiTheme="minorHAnsi" w:eastAsiaTheme="minorEastAsia" w:hAnsiTheme="minorHAnsi" w:cstheme="minorBidi"/>
              <w:b w:val="0"/>
              <w:noProof/>
              <w:color w:val="auto"/>
              <w:kern w:val="2"/>
              <w:sz w:val="24"/>
              <w:szCs w:val="30"/>
              <w:lang w:val="en-AU" w:eastAsia="zh-CN" w:bidi="th-TH"/>
              <w14:ligatures w14:val="standardContextual"/>
            </w:rPr>
          </w:pPr>
          <w:r>
            <w:fldChar w:fldCharType="begin"/>
          </w:r>
          <w:r w:rsidR="00F2715A">
            <w:instrText xml:space="preserve"> TOC \o "1-3" \h \z \u </w:instrText>
          </w:r>
          <w:r>
            <w:fldChar w:fldCharType="separate"/>
          </w:r>
          <w:hyperlink w:anchor="_Toc171948984" w:history="1">
            <w:r w:rsidR="008A2836" w:rsidRPr="00CD4290">
              <w:rPr>
                <w:rStyle w:val="Hyperlink"/>
                <w:noProof/>
              </w:rPr>
              <w:t>Executive Summary</w:t>
            </w:r>
            <w:r w:rsidR="008A2836">
              <w:rPr>
                <w:noProof/>
                <w:webHidden/>
              </w:rPr>
              <w:tab/>
            </w:r>
            <w:r w:rsidR="008A2836">
              <w:rPr>
                <w:noProof/>
                <w:webHidden/>
              </w:rPr>
              <w:fldChar w:fldCharType="begin"/>
            </w:r>
            <w:r w:rsidR="008A2836">
              <w:rPr>
                <w:noProof/>
                <w:webHidden/>
              </w:rPr>
              <w:instrText xml:space="preserve"> PAGEREF _Toc171948984 \h </w:instrText>
            </w:r>
            <w:r w:rsidR="008A2836">
              <w:rPr>
                <w:noProof/>
                <w:webHidden/>
              </w:rPr>
            </w:r>
            <w:r w:rsidR="008A2836">
              <w:rPr>
                <w:noProof/>
                <w:webHidden/>
              </w:rPr>
              <w:fldChar w:fldCharType="separate"/>
            </w:r>
            <w:r w:rsidR="000B62ED">
              <w:rPr>
                <w:noProof/>
                <w:webHidden/>
              </w:rPr>
              <w:t>vi</w:t>
            </w:r>
            <w:r w:rsidR="008A2836">
              <w:rPr>
                <w:noProof/>
                <w:webHidden/>
              </w:rPr>
              <w:fldChar w:fldCharType="end"/>
            </w:r>
          </w:hyperlink>
        </w:p>
        <w:p w14:paraId="5BEB31FC" w14:textId="0B001667" w:rsidR="008A2836" w:rsidRDefault="008A2836">
          <w:pPr>
            <w:pStyle w:val="TOC1"/>
            <w:tabs>
              <w:tab w:val="left" w:pos="441"/>
              <w:tab w:val="right" w:leader="dot" w:pos="9016"/>
            </w:tabs>
            <w:rPr>
              <w:rFonts w:asciiTheme="minorHAnsi" w:eastAsiaTheme="minorEastAsia" w:hAnsiTheme="minorHAnsi" w:cstheme="minorBidi"/>
              <w:b w:val="0"/>
              <w:noProof/>
              <w:color w:val="auto"/>
              <w:kern w:val="2"/>
              <w:sz w:val="24"/>
              <w:szCs w:val="30"/>
              <w:lang w:val="en-AU" w:eastAsia="zh-CN" w:bidi="th-TH"/>
              <w14:ligatures w14:val="standardContextual"/>
            </w:rPr>
          </w:pPr>
          <w:hyperlink w:anchor="_Toc171948985" w:history="1">
            <w:r w:rsidRPr="00CD4290">
              <w:rPr>
                <w:rStyle w:val="Hyperlink"/>
                <w:noProof/>
              </w:rPr>
              <w:t>1.</w:t>
            </w:r>
            <w:r>
              <w:rPr>
                <w:rFonts w:asciiTheme="minorHAnsi" w:eastAsiaTheme="minorEastAsia" w:hAnsiTheme="minorHAnsi" w:cstheme="minorBidi"/>
                <w:b w:val="0"/>
                <w:noProof/>
                <w:color w:val="auto"/>
                <w:kern w:val="2"/>
                <w:sz w:val="24"/>
                <w:szCs w:val="30"/>
                <w:lang w:val="en-AU" w:eastAsia="zh-CN" w:bidi="th-TH"/>
                <w14:ligatures w14:val="standardContextual"/>
              </w:rPr>
              <w:tab/>
            </w:r>
            <w:r w:rsidRPr="00CD4290">
              <w:rPr>
                <w:rStyle w:val="Hyperlink"/>
                <w:noProof/>
              </w:rPr>
              <w:t>Introduction</w:t>
            </w:r>
            <w:r>
              <w:rPr>
                <w:noProof/>
                <w:webHidden/>
              </w:rPr>
              <w:tab/>
            </w:r>
            <w:r>
              <w:rPr>
                <w:noProof/>
                <w:webHidden/>
              </w:rPr>
              <w:fldChar w:fldCharType="begin"/>
            </w:r>
            <w:r>
              <w:rPr>
                <w:noProof/>
                <w:webHidden/>
              </w:rPr>
              <w:instrText xml:space="preserve"> PAGEREF _Toc171948985 \h </w:instrText>
            </w:r>
            <w:r>
              <w:rPr>
                <w:noProof/>
                <w:webHidden/>
              </w:rPr>
            </w:r>
            <w:r>
              <w:rPr>
                <w:noProof/>
                <w:webHidden/>
              </w:rPr>
              <w:fldChar w:fldCharType="separate"/>
            </w:r>
            <w:r w:rsidR="000B62ED">
              <w:rPr>
                <w:noProof/>
                <w:webHidden/>
              </w:rPr>
              <w:t>1</w:t>
            </w:r>
            <w:r>
              <w:rPr>
                <w:noProof/>
                <w:webHidden/>
              </w:rPr>
              <w:fldChar w:fldCharType="end"/>
            </w:r>
          </w:hyperlink>
        </w:p>
        <w:p w14:paraId="68E965E3" w14:textId="3FBCD79D" w:rsidR="008A2836" w:rsidRDefault="008A2836">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171948986" w:history="1">
            <w:r w:rsidRPr="00CD4290">
              <w:rPr>
                <w:rStyle w:val="Hyperlink"/>
                <w:noProof/>
              </w:rPr>
              <w:t>1.1</w:t>
            </w:r>
            <w:r>
              <w:rPr>
                <w:rFonts w:asciiTheme="minorHAnsi" w:eastAsiaTheme="minorEastAsia" w:hAnsiTheme="minorHAnsi" w:cstheme="minorBidi"/>
                <w:noProof/>
                <w:color w:val="auto"/>
                <w:kern w:val="2"/>
                <w:sz w:val="24"/>
                <w:szCs w:val="30"/>
                <w:lang w:val="en-AU" w:eastAsia="zh-CN" w:bidi="th-TH"/>
                <w14:ligatures w14:val="standardContextual"/>
              </w:rPr>
              <w:tab/>
            </w:r>
            <w:r w:rsidRPr="00CD4290">
              <w:rPr>
                <w:rStyle w:val="Hyperlink"/>
                <w:noProof/>
              </w:rPr>
              <w:t>Purpose</w:t>
            </w:r>
            <w:r>
              <w:rPr>
                <w:noProof/>
                <w:webHidden/>
              </w:rPr>
              <w:tab/>
            </w:r>
            <w:r>
              <w:rPr>
                <w:noProof/>
                <w:webHidden/>
              </w:rPr>
              <w:fldChar w:fldCharType="begin"/>
            </w:r>
            <w:r>
              <w:rPr>
                <w:noProof/>
                <w:webHidden/>
              </w:rPr>
              <w:instrText xml:space="preserve"> PAGEREF _Toc171948986 \h </w:instrText>
            </w:r>
            <w:r>
              <w:rPr>
                <w:noProof/>
                <w:webHidden/>
              </w:rPr>
            </w:r>
            <w:r>
              <w:rPr>
                <w:noProof/>
                <w:webHidden/>
              </w:rPr>
              <w:fldChar w:fldCharType="separate"/>
            </w:r>
            <w:r w:rsidR="000B62ED">
              <w:rPr>
                <w:noProof/>
                <w:webHidden/>
              </w:rPr>
              <w:t>1</w:t>
            </w:r>
            <w:r>
              <w:rPr>
                <w:noProof/>
                <w:webHidden/>
              </w:rPr>
              <w:fldChar w:fldCharType="end"/>
            </w:r>
          </w:hyperlink>
        </w:p>
        <w:p w14:paraId="5CF6B165" w14:textId="3A9709B7" w:rsidR="008A2836" w:rsidRDefault="008A2836">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171948987" w:history="1">
            <w:r w:rsidRPr="00CD4290">
              <w:rPr>
                <w:rStyle w:val="Hyperlink"/>
                <w:noProof/>
              </w:rPr>
              <w:t>1.2</w:t>
            </w:r>
            <w:r>
              <w:rPr>
                <w:rFonts w:asciiTheme="minorHAnsi" w:eastAsiaTheme="minorEastAsia" w:hAnsiTheme="minorHAnsi" w:cstheme="minorBidi"/>
                <w:noProof/>
                <w:color w:val="auto"/>
                <w:kern w:val="2"/>
                <w:sz w:val="24"/>
                <w:szCs w:val="30"/>
                <w:lang w:val="en-AU" w:eastAsia="zh-CN" w:bidi="th-TH"/>
                <w14:ligatures w14:val="standardContextual"/>
              </w:rPr>
              <w:tab/>
            </w:r>
            <w:r w:rsidRPr="00CD4290">
              <w:rPr>
                <w:rStyle w:val="Hyperlink"/>
                <w:noProof/>
              </w:rPr>
              <w:t>Approach</w:t>
            </w:r>
            <w:r>
              <w:rPr>
                <w:noProof/>
                <w:webHidden/>
              </w:rPr>
              <w:tab/>
            </w:r>
            <w:r>
              <w:rPr>
                <w:noProof/>
                <w:webHidden/>
              </w:rPr>
              <w:fldChar w:fldCharType="begin"/>
            </w:r>
            <w:r>
              <w:rPr>
                <w:noProof/>
                <w:webHidden/>
              </w:rPr>
              <w:instrText xml:space="preserve"> PAGEREF _Toc171948987 \h </w:instrText>
            </w:r>
            <w:r>
              <w:rPr>
                <w:noProof/>
                <w:webHidden/>
              </w:rPr>
            </w:r>
            <w:r>
              <w:rPr>
                <w:noProof/>
                <w:webHidden/>
              </w:rPr>
              <w:fldChar w:fldCharType="separate"/>
            </w:r>
            <w:r w:rsidR="000B62ED">
              <w:rPr>
                <w:noProof/>
                <w:webHidden/>
              </w:rPr>
              <w:t>1</w:t>
            </w:r>
            <w:r>
              <w:rPr>
                <w:noProof/>
                <w:webHidden/>
              </w:rPr>
              <w:fldChar w:fldCharType="end"/>
            </w:r>
          </w:hyperlink>
        </w:p>
        <w:p w14:paraId="7F005A29" w14:textId="2A5151DF" w:rsidR="008A2836" w:rsidRDefault="008A2836">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171948988" w:history="1">
            <w:r w:rsidRPr="00CD4290">
              <w:rPr>
                <w:rStyle w:val="Hyperlink"/>
                <w:noProof/>
              </w:rPr>
              <w:t>1.3</w:t>
            </w:r>
            <w:r>
              <w:rPr>
                <w:rFonts w:asciiTheme="minorHAnsi" w:eastAsiaTheme="minorEastAsia" w:hAnsiTheme="minorHAnsi" w:cstheme="minorBidi"/>
                <w:noProof/>
                <w:color w:val="auto"/>
                <w:kern w:val="2"/>
                <w:sz w:val="24"/>
                <w:szCs w:val="30"/>
                <w:lang w:val="en-AU" w:eastAsia="zh-CN" w:bidi="th-TH"/>
                <w14:ligatures w14:val="standardContextual"/>
              </w:rPr>
              <w:tab/>
            </w:r>
            <w:r w:rsidRPr="00CD4290">
              <w:rPr>
                <w:rStyle w:val="Hyperlink"/>
                <w:noProof/>
              </w:rPr>
              <w:t>Limitation of scope</w:t>
            </w:r>
            <w:r>
              <w:rPr>
                <w:noProof/>
                <w:webHidden/>
              </w:rPr>
              <w:tab/>
            </w:r>
            <w:r>
              <w:rPr>
                <w:noProof/>
                <w:webHidden/>
              </w:rPr>
              <w:fldChar w:fldCharType="begin"/>
            </w:r>
            <w:r>
              <w:rPr>
                <w:noProof/>
                <w:webHidden/>
              </w:rPr>
              <w:instrText xml:space="preserve"> PAGEREF _Toc171948988 \h </w:instrText>
            </w:r>
            <w:r>
              <w:rPr>
                <w:noProof/>
                <w:webHidden/>
              </w:rPr>
            </w:r>
            <w:r>
              <w:rPr>
                <w:noProof/>
                <w:webHidden/>
              </w:rPr>
              <w:fldChar w:fldCharType="separate"/>
            </w:r>
            <w:r w:rsidR="000B62ED">
              <w:rPr>
                <w:noProof/>
                <w:webHidden/>
              </w:rPr>
              <w:t>1</w:t>
            </w:r>
            <w:r>
              <w:rPr>
                <w:noProof/>
                <w:webHidden/>
              </w:rPr>
              <w:fldChar w:fldCharType="end"/>
            </w:r>
          </w:hyperlink>
        </w:p>
        <w:p w14:paraId="4B8FDB5E" w14:textId="07754F81" w:rsidR="008A2836" w:rsidRDefault="008A2836">
          <w:pPr>
            <w:pStyle w:val="TOC1"/>
            <w:tabs>
              <w:tab w:val="left" w:pos="441"/>
              <w:tab w:val="right" w:leader="dot" w:pos="9016"/>
            </w:tabs>
            <w:rPr>
              <w:rFonts w:asciiTheme="minorHAnsi" w:eastAsiaTheme="minorEastAsia" w:hAnsiTheme="minorHAnsi" w:cstheme="minorBidi"/>
              <w:b w:val="0"/>
              <w:noProof/>
              <w:color w:val="auto"/>
              <w:kern w:val="2"/>
              <w:sz w:val="24"/>
              <w:szCs w:val="30"/>
              <w:lang w:val="en-AU" w:eastAsia="zh-CN" w:bidi="th-TH"/>
              <w14:ligatures w14:val="standardContextual"/>
            </w:rPr>
          </w:pPr>
          <w:hyperlink w:anchor="_Toc171948989" w:history="1">
            <w:r w:rsidRPr="00CD4290">
              <w:rPr>
                <w:rStyle w:val="Hyperlink"/>
                <w:noProof/>
              </w:rPr>
              <w:t>2.</w:t>
            </w:r>
            <w:r>
              <w:rPr>
                <w:rFonts w:asciiTheme="minorHAnsi" w:eastAsiaTheme="minorEastAsia" w:hAnsiTheme="minorHAnsi" w:cstheme="minorBidi"/>
                <w:b w:val="0"/>
                <w:noProof/>
                <w:color w:val="auto"/>
                <w:kern w:val="2"/>
                <w:sz w:val="24"/>
                <w:szCs w:val="30"/>
                <w:lang w:val="en-AU" w:eastAsia="zh-CN" w:bidi="th-TH"/>
                <w14:ligatures w14:val="standardContextual"/>
              </w:rPr>
              <w:tab/>
            </w:r>
            <w:r w:rsidRPr="00CD4290">
              <w:rPr>
                <w:rStyle w:val="Hyperlink"/>
                <w:noProof/>
              </w:rPr>
              <w:t>Economic Forecasts</w:t>
            </w:r>
            <w:r>
              <w:rPr>
                <w:noProof/>
                <w:webHidden/>
              </w:rPr>
              <w:tab/>
            </w:r>
            <w:r>
              <w:rPr>
                <w:noProof/>
                <w:webHidden/>
              </w:rPr>
              <w:fldChar w:fldCharType="begin"/>
            </w:r>
            <w:r>
              <w:rPr>
                <w:noProof/>
                <w:webHidden/>
              </w:rPr>
              <w:instrText xml:space="preserve"> PAGEREF _Toc171948989 \h </w:instrText>
            </w:r>
            <w:r>
              <w:rPr>
                <w:noProof/>
                <w:webHidden/>
              </w:rPr>
            </w:r>
            <w:r>
              <w:rPr>
                <w:noProof/>
                <w:webHidden/>
              </w:rPr>
              <w:fldChar w:fldCharType="separate"/>
            </w:r>
            <w:r w:rsidR="000B62ED">
              <w:rPr>
                <w:noProof/>
                <w:webHidden/>
              </w:rPr>
              <w:t>2</w:t>
            </w:r>
            <w:r>
              <w:rPr>
                <w:noProof/>
                <w:webHidden/>
              </w:rPr>
              <w:fldChar w:fldCharType="end"/>
            </w:r>
          </w:hyperlink>
        </w:p>
        <w:p w14:paraId="68DF8461" w14:textId="1FC7D9DB" w:rsidR="008A2836" w:rsidRDefault="008A2836">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171948990" w:history="1">
            <w:r w:rsidRPr="00CD4290">
              <w:rPr>
                <w:rStyle w:val="Hyperlink"/>
                <w:noProof/>
              </w:rPr>
              <w:t>2.1</w:t>
            </w:r>
            <w:r>
              <w:rPr>
                <w:rFonts w:asciiTheme="minorHAnsi" w:eastAsiaTheme="minorEastAsia" w:hAnsiTheme="minorHAnsi" w:cstheme="minorBidi"/>
                <w:noProof/>
                <w:color w:val="auto"/>
                <w:kern w:val="2"/>
                <w:sz w:val="24"/>
                <w:szCs w:val="30"/>
                <w:lang w:val="en-AU" w:eastAsia="zh-CN" w:bidi="th-TH"/>
                <w14:ligatures w14:val="standardContextual"/>
              </w:rPr>
              <w:tab/>
            </w:r>
            <w:r w:rsidRPr="00CD4290">
              <w:rPr>
                <w:rStyle w:val="Hyperlink"/>
                <w:noProof/>
              </w:rPr>
              <w:t>Overview</w:t>
            </w:r>
            <w:r>
              <w:rPr>
                <w:noProof/>
                <w:webHidden/>
              </w:rPr>
              <w:tab/>
            </w:r>
            <w:r>
              <w:rPr>
                <w:noProof/>
                <w:webHidden/>
              </w:rPr>
              <w:fldChar w:fldCharType="begin"/>
            </w:r>
            <w:r>
              <w:rPr>
                <w:noProof/>
                <w:webHidden/>
              </w:rPr>
              <w:instrText xml:space="preserve"> PAGEREF _Toc171948990 \h </w:instrText>
            </w:r>
            <w:r>
              <w:rPr>
                <w:noProof/>
                <w:webHidden/>
              </w:rPr>
            </w:r>
            <w:r>
              <w:rPr>
                <w:noProof/>
                <w:webHidden/>
              </w:rPr>
              <w:fldChar w:fldCharType="separate"/>
            </w:r>
            <w:r w:rsidR="000B62ED">
              <w:rPr>
                <w:noProof/>
                <w:webHidden/>
              </w:rPr>
              <w:t>2</w:t>
            </w:r>
            <w:r>
              <w:rPr>
                <w:noProof/>
                <w:webHidden/>
              </w:rPr>
              <w:fldChar w:fldCharType="end"/>
            </w:r>
          </w:hyperlink>
        </w:p>
        <w:p w14:paraId="61E67845" w14:textId="2470A60D" w:rsidR="008A2836" w:rsidRDefault="008A2836">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171948991" w:history="1">
            <w:r w:rsidRPr="00CD4290">
              <w:rPr>
                <w:rStyle w:val="Hyperlink"/>
                <w:noProof/>
              </w:rPr>
              <w:t>2.2</w:t>
            </w:r>
            <w:r>
              <w:rPr>
                <w:rFonts w:asciiTheme="minorHAnsi" w:eastAsiaTheme="minorEastAsia" w:hAnsiTheme="minorHAnsi" w:cstheme="minorBidi"/>
                <w:noProof/>
                <w:color w:val="auto"/>
                <w:kern w:val="2"/>
                <w:sz w:val="24"/>
                <w:szCs w:val="30"/>
                <w:lang w:val="en-AU" w:eastAsia="zh-CN" w:bidi="th-TH"/>
                <w14:ligatures w14:val="standardContextual"/>
              </w:rPr>
              <w:tab/>
            </w:r>
            <w:r w:rsidRPr="00CD4290">
              <w:rPr>
                <w:rStyle w:val="Hyperlink"/>
                <w:noProof/>
              </w:rPr>
              <w:t>ACT Gross State Product and final demand</w:t>
            </w:r>
            <w:r>
              <w:rPr>
                <w:noProof/>
                <w:webHidden/>
              </w:rPr>
              <w:tab/>
            </w:r>
            <w:r>
              <w:rPr>
                <w:noProof/>
                <w:webHidden/>
              </w:rPr>
              <w:fldChar w:fldCharType="begin"/>
            </w:r>
            <w:r>
              <w:rPr>
                <w:noProof/>
                <w:webHidden/>
              </w:rPr>
              <w:instrText xml:space="preserve"> PAGEREF _Toc171948991 \h </w:instrText>
            </w:r>
            <w:r>
              <w:rPr>
                <w:noProof/>
                <w:webHidden/>
              </w:rPr>
            </w:r>
            <w:r>
              <w:rPr>
                <w:noProof/>
                <w:webHidden/>
              </w:rPr>
              <w:fldChar w:fldCharType="separate"/>
            </w:r>
            <w:r w:rsidR="000B62ED">
              <w:rPr>
                <w:noProof/>
                <w:webHidden/>
              </w:rPr>
              <w:t>2</w:t>
            </w:r>
            <w:r>
              <w:rPr>
                <w:noProof/>
                <w:webHidden/>
              </w:rPr>
              <w:fldChar w:fldCharType="end"/>
            </w:r>
          </w:hyperlink>
        </w:p>
        <w:p w14:paraId="61A0D2A5" w14:textId="42A579AA" w:rsidR="008A2836" w:rsidRDefault="008A2836">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171948992" w:history="1">
            <w:r w:rsidRPr="00CD4290">
              <w:rPr>
                <w:rStyle w:val="Hyperlink"/>
                <w:noProof/>
              </w:rPr>
              <w:t>2.3</w:t>
            </w:r>
            <w:r>
              <w:rPr>
                <w:rFonts w:asciiTheme="minorHAnsi" w:eastAsiaTheme="minorEastAsia" w:hAnsiTheme="minorHAnsi" w:cstheme="minorBidi"/>
                <w:noProof/>
                <w:color w:val="auto"/>
                <w:kern w:val="2"/>
                <w:sz w:val="24"/>
                <w:szCs w:val="30"/>
                <w:lang w:val="en-AU" w:eastAsia="zh-CN" w:bidi="th-TH"/>
                <w14:ligatures w14:val="standardContextual"/>
              </w:rPr>
              <w:tab/>
            </w:r>
            <w:r w:rsidRPr="00CD4290">
              <w:rPr>
                <w:rStyle w:val="Hyperlink"/>
                <w:noProof/>
              </w:rPr>
              <w:t>Employment</w:t>
            </w:r>
            <w:r>
              <w:rPr>
                <w:noProof/>
                <w:webHidden/>
              </w:rPr>
              <w:tab/>
            </w:r>
            <w:r>
              <w:rPr>
                <w:noProof/>
                <w:webHidden/>
              </w:rPr>
              <w:fldChar w:fldCharType="begin"/>
            </w:r>
            <w:r>
              <w:rPr>
                <w:noProof/>
                <w:webHidden/>
              </w:rPr>
              <w:instrText xml:space="preserve"> PAGEREF _Toc171948992 \h </w:instrText>
            </w:r>
            <w:r>
              <w:rPr>
                <w:noProof/>
                <w:webHidden/>
              </w:rPr>
            </w:r>
            <w:r>
              <w:rPr>
                <w:noProof/>
                <w:webHidden/>
              </w:rPr>
              <w:fldChar w:fldCharType="separate"/>
            </w:r>
            <w:r w:rsidR="000B62ED">
              <w:rPr>
                <w:noProof/>
                <w:webHidden/>
              </w:rPr>
              <w:t>8</w:t>
            </w:r>
            <w:r>
              <w:rPr>
                <w:noProof/>
                <w:webHidden/>
              </w:rPr>
              <w:fldChar w:fldCharType="end"/>
            </w:r>
          </w:hyperlink>
        </w:p>
        <w:p w14:paraId="71BDED23" w14:textId="6FD92DC6" w:rsidR="008A2836" w:rsidRDefault="008A2836">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171948993" w:history="1">
            <w:r w:rsidRPr="00CD4290">
              <w:rPr>
                <w:rStyle w:val="Hyperlink"/>
                <w:noProof/>
              </w:rPr>
              <w:t>2.4</w:t>
            </w:r>
            <w:r>
              <w:rPr>
                <w:rFonts w:asciiTheme="minorHAnsi" w:eastAsiaTheme="minorEastAsia" w:hAnsiTheme="minorHAnsi" w:cstheme="minorBidi"/>
                <w:noProof/>
                <w:color w:val="auto"/>
                <w:kern w:val="2"/>
                <w:sz w:val="24"/>
                <w:szCs w:val="30"/>
                <w:lang w:val="en-AU" w:eastAsia="zh-CN" w:bidi="th-TH"/>
                <w14:ligatures w14:val="standardContextual"/>
              </w:rPr>
              <w:tab/>
            </w:r>
            <w:r w:rsidRPr="00CD4290">
              <w:rPr>
                <w:rStyle w:val="Hyperlink"/>
                <w:noProof/>
              </w:rPr>
              <w:t>Wage price index</w:t>
            </w:r>
            <w:r>
              <w:rPr>
                <w:noProof/>
                <w:webHidden/>
              </w:rPr>
              <w:tab/>
            </w:r>
            <w:r>
              <w:rPr>
                <w:noProof/>
                <w:webHidden/>
              </w:rPr>
              <w:fldChar w:fldCharType="begin"/>
            </w:r>
            <w:r>
              <w:rPr>
                <w:noProof/>
                <w:webHidden/>
              </w:rPr>
              <w:instrText xml:space="preserve"> PAGEREF _Toc171948993 \h </w:instrText>
            </w:r>
            <w:r>
              <w:rPr>
                <w:noProof/>
                <w:webHidden/>
              </w:rPr>
            </w:r>
            <w:r>
              <w:rPr>
                <w:noProof/>
                <w:webHidden/>
              </w:rPr>
              <w:fldChar w:fldCharType="separate"/>
            </w:r>
            <w:r w:rsidR="000B62ED">
              <w:rPr>
                <w:noProof/>
                <w:webHidden/>
              </w:rPr>
              <w:t>8</w:t>
            </w:r>
            <w:r>
              <w:rPr>
                <w:noProof/>
                <w:webHidden/>
              </w:rPr>
              <w:fldChar w:fldCharType="end"/>
            </w:r>
          </w:hyperlink>
        </w:p>
        <w:p w14:paraId="1E3F58D2" w14:textId="08D7E6B0" w:rsidR="008A2836" w:rsidRDefault="008A2836">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171948994" w:history="1">
            <w:r w:rsidRPr="00CD4290">
              <w:rPr>
                <w:rStyle w:val="Hyperlink"/>
                <w:noProof/>
              </w:rPr>
              <w:t>2.5</w:t>
            </w:r>
            <w:r>
              <w:rPr>
                <w:rFonts w:asciiTheme="minorHAnsi" w:eastAsiaTheme="minorEastAsia" w:hAnsiTheme="minorHAnsi" w:cstheme="minorBidi"/>
                <w:noProof/>
                <w:color w:val="auto"/>
                <w:kern w:val="2"/>
                <w:sz w:val="24"/>
                <w:szCs w:val="30"/>
                <w:lang w:val="en-AU" w:eastAsia="zh-CN" w:bidi="th-TH"/>
                <w14:ligatures w14:val="standardContextual"/>
              </w:rPr>
              <w:tab/>
            </w:r>
            <w:r w:rsidRPr="00CD4290">
              <w:rPr>
                <w:rStyle w:val="Hyperlink"/>
                <w:noProof/>
              </w:rPr>
              <w:t>Consumer price index</w:t>
            </w:r>
            <w:r>
              <w:rPr>
                <w:noProof/>
                <w:webHidden/>
              </w:rPr>
              <w:tab/>
            </w:r>
            <w:r>
              <w:rPr>
                <w:noProof/>
                <w:webHidden/>
              </w:rPr>
              <w:fldChar w:fldCharType="begin"/>
            </w:r>
            <w:r>
              <w:rPr>
                <w:noProof/>
                <w:webHidden/>
              </w:rPr>
              <w:instrText xml:space="preserve"> PAGEREF _Toc171948994 \h </w:instrText>
            </w:r>
            <w:r>
              <w:rPr>
                <w:noProof/>
                <w:webHidden/>
              </w:rPr>
            </w:r>
            <w:r>
              <w:rPr>
                <w:noProof/>
                <w:webHidden/>
              </w:rPr>
              <w:fldChar w:fldCharType="separate"/>
            </w:r>
            <w:r w:rsidR="000B62ED">
              <w:rPr>
                <w:noProof/>
                <w:webHidden/>
              </w:rPr>
              <w:t>9</w:t>
            </w:r>
            <w:r>
              <w:rPr>
                <w:noProof/>
                <w:webHidden/>
              </w:rPr>
              <w:fldChar w:fldCharType="end"/>
            </w:r>
          </w:hyperlink>
        </w:p>
        <w:p w14:paraId="7F3F2290" w14:textId="34F3B6DF" w:rsidR="008A2836" w:rsidRDefault="008A2836">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171948995" w:history="1">
            <w:r w:rsidRPr="00CD4290">
              <w:rPr>
                <w:rStyle w:val="Hyperlink"/>
                <w:noProof/>
              </w:rPr>
              <w:t>2.6</w:t>
            </w:r>
            <w:r>
              <w:rPr>
                <w:rFonts w:asciiTheme="minorHAnsi" w:eastAsiaTheme="minorEastAsia" w:hAnsiTheme="minorHAnsi" w:cstheme="minorBidi"/>
                <w:noProof/>
                <w:color w:val="auto"/>
                <w:kern w:val="2"/>
                <w:sz w:val="24"/>
                <w:szCs w:val="30"/>
                <w:lang w:val="en-AU" w:eastAsia="zh-CN" w:bidi="th-TH"/>
                <w14:ligatures w14:val="standardContextual"/>
              </w:rPr>
              <w:tab/>
            </w:r>
            <w:r w:rsidRPr="00CD4290">
              <w:rPr>
                <w:rStyle w:val="Hyperlink"/>
                <w:noProof/>
              </w:rPr>
              <w:t>Population growth</w:t>
            </w:r>
            <w:r>
              <w:rPr>
                <w:noProof/>
                <w:webHidden/>
              </w:rPr>
              <w:tab/>
            </w:r>
            <w:r>
              <w:rPr>
                <w:noProof/>
                <w:webHidden/>
              </w:rPr>
              <w:fldChar w:fldCharType="begin"/>
            </w:r>
            <w:r>
              <w:rPr>
                <w:noProof/>
                <w:webHidden/>
              </w:rPr>
              <w:instrText xml:space="preserve"> PAGEREF _Toc171948995 \h </w:instrText>
            </w:r>
            <w:r>
              <w:rPr>
                <w:noProof/>
                <w:webHidden/>
              </w:rPr>
            </w:r>
            <w:r>
              <w:rPr>
                <w:noProof/>
                <w:webHidden/>
              </w:rPr>
              <w:fldChar w:fldCharType="separate"/>
            </w:r>
            <w:r w:rsidR="000B62ED">
              <w:rPr>
                <w:noProof/>
                <w:webHidden/>
              </w:rPr>
              <w:t>9</w:t>
            </w:r>
            <w:r>
              <w:rPr>
                <w:noProof/>
                <w:webHidden/>
              </w:rPr>
              <w:fldChar w:fldCharType="end"/>
            </w:r>
          </w:hyperlink>
        </w:p>
        <w:p w14:paraId="341DE9F2" w14:textId="222869C0" w:rsidR="008A2836" w:rsidRDefault="008A2836">
          <w:pPr>
            <w:pStyle w:val="TOC1"/>
            <w:tabs>
              <w:tab w:val="left" w:pos="441"/>
              <w:tab w:val="right" w:leader="dot" w:pos="9016"/>
            </w:tabs>
            <w:rPr>
              <w:rFonts w:asciiTheme="minorHAnsi" w:eastAsiaTheme="minorEastAsia" w:hAnsiTheme="minorHAnsi" w:cstheme="minorBidi"/>
              <w:b w:val="0"/>
              <w:noProof/>
              <w:color w:val="auto"/>
              <w:kern w:val="2"/>
              <w:sz w:val="24"/>
              <w:szCs w:val="30"/>
              <w:lang w:val="en-AU" w:eastAsia="zh-CN" w:bidi="th-TH"/>
              <w14:ligatures w14:val="standardContextual"/>
            </w:rPr>
          </w:pPr>
          <w:hyperlink w:anchor="_Toc171948996" w:history="1">
            <w:r w:rsidRPr="00CD4290">
              <w:rPr>
                <w:rStyle w:val="Hyperlink"/>
                <w:noProof/>
              </w:rPr>
              <w:t>3.</w:t>
            </w:r>
            <w:r>
              <w:rPr>
                <w:rFonts w:asciiTheme="minorHAnsi" w:eastAsiaTheme="minorEastAsia" w:hAnsiTheme="minorHAnsi" w:cstheme="minorBidi"/>
                <w:b w:val="0"/>
                <w:noProof/>
                <w:color w:val="auto"/>
                <w:kern w:val="2"/>
                <w:sz w:val="24"/>
                <w:szCs w:val="30"/>
                <w:lang w:val="en-AU" w:eastAsia="zh-CN" w:bidi="th-TH"/>
                <w14:ligatures w14:val="standardContextual"/>
              </w:rPr>
              <w:tab/>
            </w:r>
            <w:r w:rsidRPr="00CD4290">
              <w:rPr>
                <w:rStyle w:val="Hyperlink"/>
                <w:noProof/>
              </w:rPr>
              <w:t>Fiscal Position</w:t>
            </w:r>
            <w:r>
              <w:rPr>
                <w:noProof/>
                <w:webHidden/>
              </w:rPr>
              <w:tab/>
            </w:r>
            <w:r>
              <w:rPr>
                <w:noProof/>
                <w:webHidden/>
              </w:rPr>
              <w:fldChar w:fldCharType="begin"/>
            </w:r>
            <w:r>
              <w:rPr>
                <w:noProof/>
                <w:webHidden/>
              </w:rPr>
              <w:instrText xml:space="preserve"> PAGEREF _Toc171948996 \h </w:instrText>
            </w:r>
            <w:r>
              <w:rPr>
                <w:noProof/>
                <w:webHidden/>
              </w:rPr>
            </w:r>
            <w:r>
              <w:rPr>
                <w:noProof/>
                <w:webHidden/>
              </w:rPr>
              <w:fldChar w:fldCharType="separate"/>
            </w:r>
            <w:r w:rsidR="000B62ED">
              <w:rPr>
                <w:noProof/>
                <w:webHidden/>
              </w:rPr>
              <w:t>11</w:t>
            </w:r>
            <w:r>
              <w:rPr>
                <w:noProof/>
                <w:webHidden/>
              </w:rPr>
              <w:fldChar w:fldCharType="end"/>
            </w:r>
          </w:hyperlink>
        </w:p>
        <w:p w14:paraId="7AA4B7A9" w14:textId="2338BC42" w:rsidR="008A2836" w:rsidRDefault="008A2836">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171948997" w:history="1">
            <w:r w:rsidRPr="00CD4290">
              <w:rPr>
                <w:rStyle w:val="Hyperlink"/>
                <w:noProof/>
              </w:rPr>
              <w:t>3.1</w:t>
            </w:r>
            <w:r>
              <w:rPr>
                <w:rFonts w:asciiTheme="minorHAnsi" w:eastAsiaTheme="minorEastAsia" w:hAnsiTheme="minorHAnsi" w:cstheme="minorBidi"/>
                <w:noProof/>
                <w:color w:val="auto"/>
                <w:kern w:val="2"/>
                <w:sz w:val="24"/>
                <w:szCs w:val="30"/>
                <w:lang w:val="en-AU" w:eastAsia="zh-CN" w:bidi="th-TH"/>
                <w14:ligatures w14:val="standardContextual"/>
              </w:rPr>
              <w:tab/>
            </w:r>
            <w:r w:rsidRPr="00CD4290">
              <w:rPr>
                <w:rStyle w:val="Hyperlink"/>
                <w:noProof/>
              </w:rPr>
              <w:t>Operating Statement - Headline Operating Balance</w:t>
            </w:r>
            <w:r>
              <w:rPr>
                <w:noProof/>
                <w:webHidden/>
              </w:rPr>
              <w:tab/>
            </w:r>
            <w:r>
              <w:rPr>
                <w:noProof/>
                <w:webHidden/>
              </w:rPr>
              <w:fldChar w:fldCharType="begin"/>
            </w:r>
            <w:r>
              <w:rPr>
                <w:noProof/>
                <w:webHidden/>
              </w:rPr>
              <w:instrText xml:space="preserve"> PAGEREF _Toc171948997 \h </w:instrText>
            </w:r>
            <w:r>
              <w:rPr>
                <w:noProof/>
                <w:webHidden/>
              </w:rPr>
            </w:r>
            <w:r>
              <w:rPr>
                <w:noProof/>
                <w:webHidden/>
              </w:rPr>
              <w:fldChar w:fldCharType="separate"/>
            </w:r>
            <w:r w:rsidR="000B62ED">
              <w:rPr>
                <w:noProof/>
                <w:webHidden/>
              </w:rPr>
              <w:t>11</w:t>
            </w:r>
            <w:r>
              <w:rPr>
                <w:noProof/>
                <w:webHidden/>
              </w:rPr>
              <w:fldChar w:fldCharType="end"/>
            </w:r>
          </w:hyperlink>
        </w:p>
        <w:p w14:paraId="1C26CAEE" w14:textId="1B48687D" w:rsidR="008A2836" w:rsidRDefault="008A2836">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171948998" w:history="1">
            <w:r w:rsidRPr="00CD4290">
              <w:rPr>
                <w:rStyle w:val="Hyperlink"/>
                <w:noProof/>
              </w:rPr>
              <w:t>3.2</w:t>
            </w:r>
            <w:r>
              <w:rPr>
                <w:rFonts w:asciiTheme="minorHAnsi" w:eastAsiaTheme="minorEastAsia" w:hAnsiTheme="minorHAnsi" w:cstheme="minorBidi"/>
                <w:noProof/>
                <w:color w:val="auto"/>
                <w:kern w:val="2"/>
                <w:sz w:val="24"/>
                <w:szCs w:val="30"/>
                <w:lang w:val="en-AU" w:eastAsia="zh-CN" w:bidi="th-TH"/>
                <w14:ligatures w14:val="standardContextual"/>
              </w:rPr>
              <w:tab/>
            </w:r>
            <w:r w:rsidRPr="00CD4290">
              <w:rPr>
                <w:rStyle w:val="Hyperlink"/>
                <w:noProof/>
              </w:rPr>
              <w:t>Medium term forecasts</w:t>
            </w:r>
            <w:r>
              <w:rPr>
                <w:noProof/>
                <w:webHidden/>
              </w:rPr>
              <w:tab/>
            </w:r>
            <w:r>
              <w:rPr>
                <w:noProof/>
                <w:webHidden/>
              </w:rPr>
              <w:fldChar w:fldCharType="begin"/>
            </w:r>
            <w:r>
              <w:rPr>
                <w:noProof/>
                <w:webHidden/>
              </w:rPr>
              <w:instrText xml:space="preserve"> PAGEREF _Toc171948998 \h </w:instrText>
            </w:r>
            <w:r>
              <w:rPr>
                <w:noProof/>
                <w:webHidden/>
              </w:rPr>
            </w:r>
            <w:r>
              <w:rPr>
                <w:noProof/>
                <w:webHidden/>
              </w:rPr>
              <w:fldChar w:fldCharType="separate"/>
            </w:r>
            <w:r w:rsidR="000B62ED">
              <w:rPr>
                <w:noProof/>
                <w:webHidden/>
              </w:rPr>
              <w:t>12</w:t>
            </w:r>
            <w:r>
              <w:rPr>
                <w:noProof/>
                <w:webHidden/>
              </w:rPr>
              <w:fldChar w:fldCharType="end"/>
            </w:r>
          </w:hyperlink>
        </w:p>
        <w:p w14:paraId="1743BBBE" w14:textId="18DFF085" w:rsidR="008A2836" w:rsidRDefault="008A2836">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171948999" w:history="1">
            <w:r w:rsidRPr="00CD4290">
              <w:rPr>
                <w:rStyle w:val="Hyperlink"/>
                <w:noProof/>
              </w:rPr>
              <w:t>3.3</w:t>
            </w:r>
            <w:r>
              <w:rPr>
                <w:rFonts w:asciiTheme="minorHAnsi" w:eastAsiaTheme="minorEastAsia" w:hAnsiTheme="minorHAnsi" w:cstheme="minorBidi"/>
                <w:noProof/>
                <w:color w:val="auto"/>
                <w:kern w:val="2"/>
                <w:sz w:val="24"/>
                <w:szCs w:val="30"/>
                <w:lang w:val="en-AU" w:eastAsia="zh-CN" w:bidi="th-TH"/>
                <w14:ligatures w14:val="standardContextual"/>
              </w:rPr>
              <w:tab/>
            </w:r>
            <w:r w:rsidRPr="00CD4290">
              <w:rPr>
                <w:rStyle w:val="Hyperlink"/>
                <w:noProof/>
              </w:rPr>
              <w:t>Measures of the ACT Government’s financial position</w:t>
            </w:r>
            <w:r>
              <w:rPr>
                <w:noProof/>
                <w:webHidden/>
              </w:rPr>
              <w:tab/>
            </w:r>
            <w:r>
              <w:rPr>
                <w:noProof/>
                <w:webHidden/>
              </w:rPr>
              <w:fldChar w:fldCharType="begin"/>
            </w:r>
            <w:r>
              <w:rPr>
                <w:noProof/>
                <w:webHidden/>
              </w:rPr>
              <w:instrText xml:space="preserve"> PAGEREF _Toc171948999 \h </w:instrText>
            </w:r>
            <w:r>
              <w:rPr>
                <w:noProof/>
                <w:webHidden/>
              </w:rPr>
            </w:r>
            <w:r>
              <w:rPr>
                <w:noProof/>
                <w:webHidden/>
              </w:rPr>
              <w:fldChar w:fldCharType="separate"/>
            </w:r>
            <w:r w:rsidR="000B62ED">
              <w:rPr>
                <w:noProof/>
                <w:webHidden/>
              </w:rPr>
              <w:t>13</w:t>
            </w:r>
            <w:r>
              <w:rPr>
                <w:noProof/>
                <w:webHidden/>
              </w:rPr>
              <w:fldChar w:fldCharType="end"/>
            </w:r>
          </w:hyperlink>
        </w:p>
        <w:p w14:paraId="1C86331B" w14:textId="39D26BB6" w:rsidR="008A2836" w:rsidRDefault="008A2836">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171949000" w:history="1">
            <w:r w:rsidRPr="00CD4290">
              <w:rPr>
                <w:rStyle w:val="Hyperlink"/>
                <w:noProof/>
              </w:rPr>
              <w:t>3.4</w:t>
            </w:r>
            <w:r>
              <w:rPr>
                <w:rFonts w:asciiTheme="minorHAnsi" w:eastAsiaTheme="minorEastAsia" w:hAnsiTheme="minorHAnsi" w:cstheme="minorBidi"/>
                <w:noProof/>
                <w:color w:val="auto"/>
                <w:kern w:val="2"/>
                <w:sz w:val="24"/>
                <w:szCs w:val="30"/>
                <w:lang w:val="en-AU" w:eastAsia="zh-CN" w:bidi="th-TH"/>
                <w14:ligatures w14:val="standardContextual"/>
              </w:rPr>
              <w:tab/>
            </w:r>
            <w:r w:rsidRPr="00CD4290">
              <w:rPr>
                <w:rStyle w:val="Hyperlink"/>
                <w:noProof/>
              </w:rPr>
              <w:t>Cash Flow Statement – General Government</w:t>
            </w:r>
            <w:r>
              <w:rPr>
                <w:noProof/>
                <w:webHidden/>
              </w:rPr>
              <w:tab/>
            </w:r>
            <w:r>
              <w:rPr>
                <w:noProof/>
                <w:webHidden/>
              </w:rPr>
              <w:fldChar w:fldCharType="begin"/>
            </w:r>
            <w:r>
              <w:rPr>
                <w:noProof/>
                <w:webHidden/>
              </w:rPr>
              <w:instrText xml:space="preserve"> PAGEREF _Toc171949000 \h </w:instrText>
            </w:r>
            <w:r>
              <w:rPr>
                <w:noProof/>
                <w:webHidden/>
              </w:rPr>
            </w:r>
            <w:r>
              <w:rPr>
                <w:noProof/>
                <w:webHidden/>
              </w:rPr>
              <w:fldChar w:fldCharType="separate"/>
            </w:r>
            <w:r w:rsidR="000B62ED">
              <w:rPr>
                <w:noProof/>
                <w:webHidden/>
              </w:rPr>
              <w:t>16</w:t>
            </w:r>
            <w:r>
              <w:rPr>
                <w:noProof/>
                <w:webHidden/>
              </w:rPr>
              <w:fldChar w:fldCharType="end"/>
            </w:r>
          </w:hyperlink>
        </w:p>
        <w:p w14:paraId="6363466F" w14:textId="01EFCA8B" w:rsidR="008A2836" w:rsidRDefault="008A2836">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171949001" w:history="1">
            <w:r w:rsidRPr="00CD4290">
              <w:rPr>
                <w:rStyle w:val="Hyperlink"/>
                <w:noProof/>
              </w:rPr>
              <w:t>3.5</w:t>
            </w:r>
            <w:r>
              <w:rPr>
                <w:rFonts w:asciiTheme="minorHAnsi" w:eastAsiaTheme="minorEastAsia" w:hAnsiTheme="minorHAnsi" w:cstheme="minorBidi"/>
                <w:noProof/>
                <w:color w:val="auto"/>
                <w:kern w:val="2"/>
                <w:sz w:val="24"/>
                <w:szCs w:val="30"/>
                <w:lang w:val="en-AU" w:eastAsia="zh-CN" w:bidi="th-TH"/>
                <w14:ligatures w14:val="standardContextual"/>
              </w:rPr>
              <w:tab/>
            </w:r>
            <w:r w:rsidRPr="00CD4290">
              <w:rPr>
                <w:rStyle w:val="Hyperlink"/>
                <w:noProof/>
              </w:rPr>
              <w:t>Comparisons with other States and Territories</w:t>
            </w:r>
            <w:r>
              <w:rPr>
                <w:noProof/>
                <w:webHidden/>
              </w:rPr>
              <w:tab/>
            </w:r>
            <w:r>
              <w:rPr>
                <w:noProof/>
                <w:webHidden/>
              </w:rPr>
              <w:fldChar w:fldCharType="begin"/>
            </w:r>
            <w:r>
              <w:rPr>
                <w:noProof/>
                <w:webHidden/>
              </w:rPr>
              <w:instrText xml:space="preserve"> PAGEREF _Toc171949001 \h </w:instrText>
            </w:r>
            <w:r>
              <w:rPr>
                <w:noProof/>
                <w:webHidden/>
              </w:rPr>
            </w:r>
            <w:r>
              <w:rPr>
                <w:noProof/>
                <w:webHidden/>
              </w:rPr>
              <w:fldChar w:fldCharType="separate"/>
            </w:r>
            <w:r w:rsidR="000B62ED">
              <w:rPr>
                <w:noProof/>
                <w:webHidden/>
              </w:rPr>
              <w:t>16</w:t>
            </w:r>
            <w:r>
              <w:rPr>
                <w:noProof/>
                <w:webHidden/>
              </w:rPr>
              <w:fldChar w:fldCharType="end"/>
            </w:r>
          </w:hyperlink>
        </w:p>
        <w:p w14:paraId="7291EFEE" w14:textId="313CA4E1" w:rsidR="008A2836" w:rsidRDefault="008A2836">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171949002" w:history="1">
            <w:r w:rsidRPr="00CD4290">
              <w:rPr>
                <w:rStyle w:val="Hyperlink"/>
                <w:noProof/>
              </w:rPr>
              <w:t>3.6</w:t>
            </w:r>
            <w:r>
              <w:rPr>
                <w:rFonts w:asciiTheme="minorHAnsi" w:eastAsiaTheme="minorEastAsia" w:hAnsiTheme="minorHAnsi" w:cstheme="minorBidi"/>
                <w:noProof/>
                <w:color w:val="auto"/>
                <w:kern w:val="2"/>
                <w:sz w:val="24"/>
                <w:szCs w:val="30"/>
                <w:lang w:val="en-AU" w:eastAsia="zh-CN" w:bidi="th-TH"/>
                <w14:ligatures w14:val="standardContextual"/>
              </w:rPr>
              <w:tab/>
            </w:r>
            <w:r w:rsidRPr="00CD4290">
              <w:rPr>
                <w:rStyle w:val="Hyperlink"/>
                <w:noProof/>
              </w:rPr>
              <w:t>Other measures of sustainability</w:t>
            </w:r>
            <w:r>
              <w:rPr>
                <w:noProof/>
                <w:webHidden/>
              </w:rPr>
              <w:tab/>
            </w:r>
            <w:r>
              <w:rPr>
                <w:noProof/>
                <w:webHidden/>
              </w:rPr>
              <w:fldChar w:fldCharType="begin"/>
            </w:r>
            <w:r>
              <w:rPr>
                <w:noProof/>
                <w:webHidden/>
              </w:rPr>
              <w:instrText xml:space="preserve"> PAGEREF _Toc171949002 \h </w:instrText>
            </w:r>
            <w:r>
              <w:rPr>
                <w:noProof/>
                <w:webHidden/>
              </w:rPr>
            </w:r>
            <w:r>
              <w:rPr>
                <w:noProof/>
                <w:webHidden/>
              </w:rPr>
              <w:fldChar w:fldCharType="separate"/>
            </w:r>
            <w:r w:rsidR="000B62ED">
              <w:rPr>
                <w:noProof/>
                <w:webHidden/>
              </w:rPr>
              <w:t>19</w:t>
            </w:r>
            <w:r>
              <w:rPr>
                <w:noProof/>
                <w:webHidden/>
              </w:rPr>
              <w:fldChar w:fldCharType="end"/>
            </w:r>
          </w:hyperlink>
        </w:p>
        <w:p w14:paraId="63AE74F8" w14:textId="2A36BF20" w:rsidR="008A2836" w:rsidRDefault="008A2836">
          <w:pPr>
            <w:pStyle w:val="TOC1"/>
            <w:tabs>
              <w:tab w:val="left" w:pos="441"/>
              <w:tab w:val="right" w:leader="dot" w:pos="9016"/>
            </w:tabs>
            <w:rPr>
              <w:rFonts w:asciiTheme="minorHAnsi" w:eastAsiaTheme="minorEastAsia" w:hAnsiTheme="minorHAnsi" w:cstheme="minorBidi"/>
              <w:b w:val="0"/>
              <w:noProof/>
              <w:color w:val="auto"/>
              <w:kern w:val="2"/>
              <w:sz w:val="24"/>
              <w:szCs w:val="30"/>
              <w:lang w:val="en-AU" w:eastAsia="zh-CN" w:bidi="th-TH"/>
              <w14:ligatures w14:val="standardContextual"/>
            </w:rPr>
          </w:pPr>
          <w:hyperlink w:anchor="_Toc171949003" w:history="1">
            <w:r w:rsidRPr="00CD4290">
              <w:rPr>
                <w:rStyle w:val="Hyperlink"/>
                <w:noProof/>
              </w:rPr>
              <w:t>4.</w:t>
            </w:r>
            <w:r>
              <w:rPr>
                <w:rFonts w:asciiTheme="minorHAnsi" w:eastAsiaTheme="minorEastAsia" w:hAnsiTheme="minorHAnsi" w:cstheme="minorBidi"/>
                <w:b w:val="0"/>
                <w:noProof/>
                <w:color w:val="auto"/>
                <w:kern w:val="2"/>
                <w:sz w:val="24"/>
                <w:szCs w:val="30"/>
                <w:lang w:val="en-AU" w:eastAsia="zh-CN" w:bidi="th-TH"/>
                <w14:ligatures w14:val="standardContextual"/>
              </w:rPr>
              <w:tab/>
            </w:r>
            <w:r w:rsidRPr="00CD4290">
              <w:rPr>
                <w:rStyle w:val="Hyperlink"/>
                <w:noProof/>
              </w:rPr>
              <w:t>Revenue</w:t>
            </w:r>
            <w:r>
              <w:rPr>
                <w:noProof/>
                <w:webHidden/>
              </w:rPr>
              <w:tab/>
            </w:r>
            <w:r>
              <w:rPr>
                <w:noProof/>
                <w:webHidden/>
              </w:rPr>
              <w:fldChar w:fldCharType="begin"/>
            </w:r>
            <w:r>
              <w:rPr>
                <w:noProof/>
                <w:webHidden/>
              </w:rPr>
              <w:instrText xml:space="preserve"> PAGEREF _Toc171949003 \h </w:instrText>
            </w:r>
            <w:r>
              <w:rPr>
                <w:noProof/>
                <w:webHidden/>
              </w:rPr>
            </w:r>
            <w:r>
              <w:rPr>
                <w:noProof/>
                <w:webHidden/>
              </w:rPr>
              <w:fldChar w:fldCharType="separate"/>
            </w:r>
            <w:r w:rsidR="000B62ED">
              <w:rPr>
                <w:noProof/>
                <w:webHidden/>
              </w:rPr>
              <w:t>21</w:t>
            </w:r>
            <w:r>
              <w:rPr>
                <w:noProof/>
                <w:webHidden/>
              </w:rPr>
              <w:fldChar w:fldCharType="end"/>
            </w:r>
          </w:hyperlink>
        </w:p>
        <w:p w14:paraId="36CA4382" w14:textId="1EB15E2A" w:rsidR="008A2836" w:rsidRDefault="008A2836">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171949004" w:history="1">
            <w:r w:rsidRPr="00CD4290">
              <w:rPr>
                <w:rStyle w:val="Hyperlink"/>
                <w:noProof/>
              </w:rPr>
              <w:t>4.1</w:t>
            </w:r>
            <w:r>
              <w:rPr>
                <w:rFonts w:asciiTheme="minorHAnsi" w:eastAsiaTheme="minorEastAsia" w:hAnsiTheme="minorHAnsi" w:cstheme="minorBidi"/>
                <w:noProof/>
                <w:color w:val="auto"/>
                <w:kern w:val="2"/>
                <w:sz w:val="24"/>
                <w:szCs w:val="30"/>
                <w:lang w:val="en-AU" w:eastAsia="zh-CN" w:bidi="th-TH"/>
                <w14:ligatures w14:val="standardContextual"/>
              </w:rPr>
              <w:tab/>
            </w:r>
            <w:r w:rsidRPr="00CD4290">
              <w:rPr>
                <w:rStyle w:val="Hyperlink"/>
                <w:noProof/>
              </w:rPr>
              <w:t>Overview</w:t>
            </w:r>
            <w:r>
              <w:rPr>
                <w:noProof/>
                <w:webHidden/>
              </w:rPr>
              <w:tab/>
            </w:r>
            <w:r>
              <w:rPr>
                <w:noProof/>
                <w:webHidden/>
              </w:rPr>
              <w:fldChar w:fldCharType="begin"/>
            </w:r>
            <w:r>
              <w:rPr>
                <w:noProof/>
                <w:webHidden/>
              </w:rPr>
              <w:instrText xml:space="preserve"> PAGEREF _Toc171949004 \h </w:instrText>
            </w:r>
            <w:r>
              <w:rPr>
                <w:noProof/>
                <w:webHidden/>
              </w:rPr>
            </w:r>
            <w:r>
              <w:rPr>
                <w:noProof/>
                <w:webHidden/>
              </w:rPr>
              <w:fldChar w:fldCharType="separate"/>
            </w:r>
            <w:r w:rsidR="000B62ED">
              <w:rPr>
                <w:noProof/>
                <w:webHidden/>
              </w:rPr>
              <w:t>21</w:t>
            </w:r>
            <w:r>
              <w:rPr>
                <w:noProof/>
                <w:webHidden/>
              </w:rPr>
              <w:fldChar w:fldCharType="end"/>
            </w:r>
          </w:hyperlink>
        </w:p>
        <w:p w14:paraId="088C9DE8" w14:textId="743D65FF" w:rsidR="008A2836" w:rsidRDefault="008A2836">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171949005" w:history="1">
            <w:r w:rsidRPr="00CD4290">
              <w:rPr>
                <w:rStyle w:val="Hyperlink"/>
                <w:noProof/>
              </w:rPr>
              <w:t>4.2</w:t>
            </w:r>
            <w:r>
              <w:rPr>
                <w:rFonts w:asciiTheme="minorHAnsi" w:eastAsiaTheme="minorEastAsia" w:hAnsiTheme="minorHAnsi" w:cstheme="minorBidi"/>
                <w:noProof/>
                <w:color w:val="auto"/>
                <w:kern w:val="2"/>
                <w:sz w:val="24"/>
                <w:szCs w:val="30"/>
                <w:lang w:val="en-AU" w:eastAsia="zh-CN" w:bidi="th-TH"/>
                <w14:ligatures w14:val="standardContextual"/>
              </w:rPr>
              <w:tab/>
            </w:r>
            <w:r w:rsidRPr="00CD4290">
              <w:rPr>
                <w:rStyle w:val="Hyperlink"/>
                <w:noProof/>
              </w:rPr>
              <w:t>Tax reform and Own Source Revenue</w:t>
            </w:r>
            <w:r>
              <w:rPr>
                <w:noProof/>
                <w:webHidden/>
              </w:rPr>
              <w:tab/>
            </w:r>
            <w:r>
              <w:rPr>
                <w:noProof/>
                <w:webHidden/>
              </w:rPr>
              <w:fldChar w:fldCharType="begin"/>
            </w:r>
            <w:r>
              <w:rPr>
                <w:noProof/>
                <w:webHidden/>
              </w:rPr>
              <w:instrText xml:space="preserve"> PAGEREF _Toc171949005 \h </w:instrText>
            </w:r>
            <w:r>
              <w:rPr>
                <w:noProof/>
                <w:webHidden/>
              </w:rPr>
            </w:r>
            <w:r>
              <w:rPr>
                <w:noProof/>
                <w:webHidden/>
              </w:rPr>
              <w:fldChar w:fldCharType="separate"/>
            </w:r>
            <w:r w:rsidR="000B62ED">
              <w:rPr>
                <w:noProof/>
                <w:webHidden/>
              </w:rPr>
              <w:t>23</w:t>
            </w:r>
            <w:r>
              <w:rPr>
                <w:noProof/>
                <w:webHidden/>
              </w:rPr>
              <w:fldChar w:fldCharType="end"/>
            </w:r>
          </w:hyperlink>
        </w:p>
        <w:p w14:paraId="1592924B" w14:textId="067D584B" w:rsidR="008A2836" w:rsidRDefault="008A2836">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171949006" w:history="1">
            <w:r w:rsidRPr="00CD4290">
              <w:rPr>
                <w:rStyle w:val="Hyperlink"/>
                <w:noProof/>
              </w:rPr>
              <w:t>4.3</w:t>
            </w:r>
            <w:r>
              <w:rPr>
                <w:rFonts w:asciiTheme="minorHAnsi" w:eastAsiaTheme="minorEastAsia" w:hAnsiTheme="minorHAnsi" w:cstheme="minorBidi"/>
                <w:noProof/>
                <w:color w:val="auto"/>
                <w:kern w:val="2"/>
                <w:sz w:val="24"/>
                <w:szCs w:val="30"/>
                <w:lang w:val="en-AU" w:eastAsia="zh-CN" w:bidi="th-TH"/>
                <w14:ligatures w14:val="standardContextual"/>
              </w:rPr>
              <w:tab/>
            </w:r>
            <w:r w:rsidRPr="00CD4290">
              <w:rPr>
                <w:rStyle w:val="Hyperlink"/>
                <w:noProof/>
              </w:rPr>
              <w:t>Budget impact on cost of living</w:t>
            </w:r>
            <w:r>
              <w:rPr>
                <w:noProof/>
                <w:webHidden/>
              </w:rPr>
              <w:tab/>
            </w:r>
            <w:r>
              <w:rPr>
                <w:noProof/>
                <w:webHidden/>
              </w:rPr>
              <w:fldChar w:fldCharType="begin"/>
            </w:r>
            <w:r>
              <w:rPr>
                <w:noProof/>
                <w:webHidden/>
              </w:rPr>
              <w:instrText xml:space="preserve"> PAGEREF _Toc171949006 \h </w:instrText>
            </w:r>
            <w:r>
              <w:rPr>
                <w:noProof/>
                <w:webHidden/>
              </w:rPr>
            </w:r>
            <w:r>
              <w:rPr>
                <w:noProof/>
                <w:webHidden/>
              </w:rPr>
              <w:fldChar w:fldCharType="separate"/>
            </w:r>
            <w:r w:rsidR="000B62ED">
              <w:rPr>
                <w:noProof/>
                <w:webHidden/>
              </w:rPr>
              <w:t>26</w:t>
            </w:r>
            <w:r>
              <w:rPr>
                <w:noProof/>
                <w:webHidden/>
              </w:rPr>
              <w:fldChar w:fldCharType="end"/>
            </w:r>
          </w:hyperlink>
        </w:p>
        <w:p w14:paraId="330305E3" w14:textId="48982D01" w:rsidR="008A2836" w:rsidRDefault="008A2836">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171949007" w:history="1">
            <w:r w:rsidRPr="00CD4290">
              <w:rPr>
                <w:rStyle w:val="Hyperlink"/>
                <w:noProof/>
              </w:rPr>
              <w:t>4.4</w:t>
            </w:r>
            <w:r>
              <w:rPr>
                <w:rFonts w:asciiTheme="minorHAnsi" w:eastAsiaTheme="minorEastAsia" w:hAnsiTheme="minorHAnsi" w:cstheme="minorBidi"/>
                <w:noProof/>
                <w:color w:val="auto"/>
                <w:kern w:val="2"/>
                <w:sz w:val="24"/>
                <w:szCs w:val="30"/>
                <w:lang w:val="en-AU" w:eastAsia="zh-CN" w:bidi="th-TH"/>
                <w14:ligatures w14:val="standardContextual"/>
              </w:rPr>
              <w:tab/>
            </w:r>
            <w:r w:rsidRPr="00CD4290">
              <w:rPr>
                <w:rStyle w:val="Hyperlink"/>
                <w:noProof/>
              </w:rPr>
              <w:t>Dividends and income tax equivalents</w:t>
            </w:r>
            <w:r>
              <w:rPr>
                <w:noProof/>
                <w:webHidden/>
              </w:rPr>
              <w:tab/>
            </w:r>
            <w:r>
              <w:rPr>
                <w:noProof/>
                <w:webHidden/>
              </w:rPr>
              <w:fldChar w:fldCharType="begin"/>
            </w:r>
            <w:r>
              <w:rPr>
                <w:noProof/>
                <w:webHidden/>
              </w:rPr>
              <w:instrText xml:space="preserve"> PAGEREF _Toc171949007 \h </w:instrText>
            </w:r>
            <w:r>
              <w:rPr>
                <w:noProof/>
                <w:webHidden/>
              </w:rPr>
            </w:r>
            <w:r>
              <w:rPr>
                <w:noProof/>
                <w:webHidden/>
              </w:rPr>
              <w:fldChar w:fldCharType="separate"/>
            </w:r>
            <w:r w:rsidR="000B62ED">
              <w:rPr>
                <w:noProof/>
                <w:webHidden/>
              </w:rPr>
              <w:t>27</w:t>
            </w:r>
            <w:r>
              <w:rPr>
                <w:noProof/>
                <w:webHidden/>
              </w:rPr>
              <w:fldChar w:fldCharType="end"/>
            </w:r>
          </w:hyperlink>
        </w:p>
        <w:p w14:paraId="1605A99D" w14:textId="46B60641" w:rsidR="008A2836" w:rsidRDefault="008A2836">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171949008" w:history="1">
            <w:r w:rsidRPr="00CD4290">
              <w:rPr>
                <w:rStyle w:val="Hyperlink"/>
                <w:noProof/>
              </w:rPr>
              <w:t>4.5</w:t>
            </w:r>
            <w:r>
              <w:rPr>
                <w:rFonts w:asciiTheme="minorHAnsi" w:eastAsiaTheme="minorEastAsia" w:hAnsiTheme="minorHAnsi" w:cstheme="minorBidi"/>
                <w:noProof/>
                <w:color w:val="auto"/>
                <w:kern w:val="2"/>
                <w:sz w:val="24"/>
                <w:szCs w:val="30"/>
                <w:lang w:val="en-AU" w:eastAsia="zh-CN" w:bidi="th-TH"/>
                <w14:ligatures w14:val="standardContextual"/>
              </w:rPr>
              <w:tab/>
            </w:r>
            <w:r w:rsidRPr="00CD4290">
              <w:rPr>
                <w:rStyle w:val="Hyperlink"/>
                <w:noProof/>
              </w:rPr>
              <w:t>Contributed assets</w:t>
            </w:r>
            <w:r>
              <w:rPr>
                <w:noProof/>
                <w:webHidden/>
              </w:rPr>
              <w:tab/>
            </w:r>
            <w:r>
              <w:rPr>
                <w:noProof/>
                <w:webHidden/>
              </w:rPr>
              <w:fldChar w:fldCharType="begin"/>
            </w:r>
            <w:r>
              <w:rPr>
                <w:noProof/>
                <w:webHidden/>
              </w:rPr>
              <w:instrText xml:space="preserve"> PAGEREF _Toc171949008 \h </w:instrText>
            </w:r>
            <w:r>
              <w:rPr>
                <w:noProof/>
                <w:webHidden/>
              </w:rPr>
            </w:r>
            <w:r>
              <w:rPr>
                <w:noProof/>
                <w:webHidden/>
              </w:rPr>
              <w:fldChar w:fldCharType="separate"/>
            </w:r>
            <w:r w:rsidR="000B62ED">
              <w:rPr>
                <w:noProof/>
                <w:webHidden/>
              </w:rPr>
              <w:t>29</w:t>
            </w:r>
            <w:r>
              <w:rPr>
                <w:noProof/>
                <w:webHidden/>
              </w:rPr>
              <w:fldChar w:fldCharType="end"/>
            </w:r>
          </w:hyperlink>
        </w:p>
        <w:p w14:paraId="72489ED5" w14:textId="2F18792D" w:rsidR="008A2836" w:rsidRDefault="008A2836">
          <w:pPr>
            <w:pStyle w:val="TOC1"/>
            <w:tabs>
              <w:tab w:val="left" w:pos="441"/>
              <w:tab w:val="right" w:leader="dot" w:pos="9016"/>
            </w:tabs>
            <w:rPr>
              <w:rFonts w:asciiTheme="minorHAnsi" w:eastAsiaTheme="minorEastAsia" w:hAnsiTheme="minorHAnsi" w:cstheme="minorBidi"/>
              <w:b w:val="0"/>
              <w:noProof/>
              <w:color w:val="auto"/>
              <w:kern w:val="2"/>
              <w:sz w:val="24"/>
              <w:szCs w:val="30"/>
              <w:lang w:val="en-AU" w:eastAsia="zh-CN" w:bidi="th-TH"/>
              <w14:ligatures w14:val="standardContextual"/>
            </w:rPr>
          </w:pPr>
          <w:hyperlink w:anchor="_Toc171949009" w:history="1">
            <w:r w:rsidRPr="00CD4290">
              <w:rPr>
                <w:rStyle w:val="Hyperlink"/>
                <w:noProof/>
              </w:rPr>
              <w:t>5.</w:t>
            </w:r>
            <w:r>
              <w:rPr>
                <w:rFonts w:asciiTheme="minorHAnsi" w:eastAsiaTheme="minorEastAsia" w:hAnsiTheme="minorHAnsi" w:cstheme="minorBidi"/>
                <w:b w:val="0"/>
                <w:noProof/>
                <w:color w:val="auto"/>
                <w:kern w:val="2"/>
                <w:sz w:val="24"/>
                <w:szCs w:val="30"/>
                <w:lang w:val="en-AU" w:eastAsia="zh-CN" w:bidi="th-TH"/>
                <w14:ligatures w14:val="standardContextual"/>
              </w:rPr>
              <w:tab/>
            </w:r>
            <w:r w:rsidRPr="00CD4290">
              <w:rPr>
                <w:rStyle w:val="Hyperlink"/>
                <w:noProof/>
              </w:rPr>
              <w:t>Expenses</w:t>
            </w:r>
            <w:r>
              <w:rPr>
                <w:noProof/>
                <w:webHidden/>
              </w:rPr>
              <w:tab/>
            </w:r>
            <w:r>
              <w:rPr>
                <w:noProof/>
                <w:webHidden/>
              </w:rPr>
              <w:fldChar w:fldCharType="begin"/>
            </w:r>
            <w:r>
              <w:rPr>
                <w:noProof/>
                <w:webHidden/>
              </w:rPr>
              <w:instrText xml:space="preserve"> PAGEREF _Toc171949009 \h </w:instrText>
            </w:r>
            <w:r>
              <w:rPr>
                <w:noProof/>
                <w:webHidden/>
              </w:rPr>
            </w:r>
            <w:r>
              <w:rPr>
                <w:noProof/>
                <w:webHidden/>
              </w:rPr>
              <w:fldChar w:fldCharType="separate"/>
            </w:r>
            <w:r w:rsidR="000B62ED">
              <w:rPr>
                <w:noProof/>
                <w:webHidden/>
              </w:rPr>
              <w:t>30</w:t>
            </w:r>
            <w:r>
              <w:rPr>
                <w:noProof/>
                <w:webHidden/>
              </w:rPr>
              <w:fldChar w:fldCharType="end"/>
            </w:r>
          </w:hyperlink>
        </w:p>
        <w:p w14:paraId="6702576C" w14:textId="2865E91E" w:rsidR="008A2836" w:rsidRDefault="008A2836">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171949010" w:history="1">
            <w:r w:rsidRPr="00CD4290">
              <w:rPr>
                <w:rStyle w:val="Hyperlink"/>
                <w:noProof/>
              </w:rPr>
              <w:t>5.1</w:t>
            </w:r>
            <w:r>
              <w:rPr>
                <w:rFonts w:asciiTheme="minorHAnsi" w:eastAsiaTheme="minorEastAsia" w:hAnsiTheme="minorHAnsi" w:cstheme="minorBidi"/>
                <w:noProof/>
                <w:color w:val="auto"/>
                <w:kern w:val="2"/>
                <w:sz w:val="24"/>
                <w:szCs w:val="30"/>
                <w:lang w:val="en-AU" w:eastAsia="zh-CN" w:bidi="th-TH"/>
                <w14:ligatures w14:val="standardContextual"/>
              </w:rPr>
              <w:tab/>
            </w:r>
            <w:r w:rsidRPr="00CD4290">
              <w:rPr>
                <w:rStyle w:val="Hyperlink"/>
                <w:noProof/>
              </w:rPr>
              <w:t>Overview</w:t>
            </w:r>
            <w:r>
              <w:rPr>
                <w:noProof/>
                <w:webHidden/>
              </w:rPr>
              <w:tab/>
            </w:r>
            <w:r>
              <w:rPr>
                <w:noProof/>
                <w:webHidden/>
              </w:rPr>
              <w:fldChar w:fldCharType="begin"/>
            </w:r>
            <w:r>
              <w:rPr>
                <w:noProof/>
                <w:webHidden/>
              </w:rPr>
              <w:instrText xml:space="preserve"> PAGEREF _Toc171949010 \h </w:instrText>
            </w:r>
            <w:r>
              <w:rPr>
                <w:noProof/>
                <w:webHidden/>
              </w:rPr>
            </w:r>
            <w:r>
              <w:rPr>
                <w:noProof/>
                <w:webHidden/>
              </w:rPr>
              <w:fldChar w:fldCharType="separate"/>
            </w:r>
            <w:r w:rsidR="000B62ED">
              <w:rPr>
                <w:noProof/>
                <w:webHidden/>
              </w:rPr>
              <w:t>30</w:t>
            </w:r>
            <w:r>
              <w:rPr>
                <w:noProof/>
                <w:webHidden/>
              </w:rPr>
              <w:fldChar w:fldCharType="end"/>
            </w:r>
          </w:hyperlink>
        </w:p>
        <w:p w14:paraId="5FE0C8C9" w14:textId="4BF176F9" w:rsidR="008A2836" w:rsidRDefault="008A2836">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171949011" w:history="1">
            <w:r w:rsidRPr="00CD4290">
              <w:rPr>
                <w:rStyle w:val="Hyperlink"/>
                <w:noProof/>
              </w:rPr>
              <w:t>5.2</w:t>
            </w:r>
            <w:r>
              <w:rPr>
                <w:rFonts w:asciiTheme="minorHAnsi" w:eastAsiaTheme="minorEastAsia" w:hAnsiTheme="minorHAnsi" w:cstheme="minorBidi"/>
                <w:noProof/>
                <w:color w:val="auto"/>
                <w:kern w:val="2"/>
                <w:sz w:val="24"/>
                <w:szCs w:val="30"/>
                <w:lang w:val="en-AU" w:eastAsia="zh-CN" w:bidi="th-TH"/>
                <w14:ligatures w14:val="standardContextual"/>
              </w:rPr>
              <w:tab/>
            </w:r>
            <w:r w:rsidRPr="00CD4290">
              <w:rPr>
                <w:rStyle w:val="Hyperlink"/>
                <w:noProof/>
              </w:rPr>
              <w:t>Reasons for growth</w:t>
            </w:r>
            <w:r>
              <w:rPr>
                <w:noProof/>
                <w:webHidden/>
              </w:rPr>
              <w:tab/>
            </w:r>
            <w:r>
              <w:rPr>
                <w:noProof/>
                <w:webHidden/>
              </w:rPr>
              <w:fldChar w:fldCharType="begin"/>
            </w:r>
            <w:r>
              <w:rPr>
                <w:noProof/>
                <w:webHidden/>
              </w:rPr>
              <w:instrText xml:space="preserve"> PAGEREF _Toc171949011 \h </w:instrText>
            </w:r>
            <w:r>
              <w:rPr>
                <w:noProof/>
                <w:webHidden/>
              </w:rPr>
            </w:r>
            <w:r>
              <w:rPr>
                <w:noProof/>
                <w:webHidden/>
              </w:rPr>
              <w:fldChar w:fldCharType="separate"/>
            </w:r>
            <w:r w:rsidR="000B62ED">
              <w:rPr>
                <w:noProof/>
                <w:webHidden/>
              </w:rPr>
              <w:t>32</w:t>
            </w:r>
            <w:r>
              <w:rPr>
                <w:noProof/>
                <w:webHidden/>
              </w:rPr>
              <w:fldChar w:fldCharType="end"/>
            </w:r>
          </w:hyperlink>
        </w:p>
        <w:p w14:paraId="4D83BF34" w14:textId="6093F700" w:rsidR="008A2836" w:rsidRDefault="008A2836">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171949012" w:history="1">
            <w:r w:rsidRPr="00CD4290">
              <w:rPr>
                <w:rStyle w:val="Hyperlink"/>
                <w:noProof/>
              </w:rPr>
              <w:t>5.3</w:t>
            </w:r>
            <w:r>
              <w:rPr>
                <w:rFonts w:asciiTheme="minorHAnsi" w:eastAsiaTheme="minorEastAsia" w:hAnsiTheme="minorHAnsi" w:cstheme="minorBidi"/>
                <w:noProof/>
                <w:color w:val="auto"/>
                <w:kern w:val="2"/>
                <w:sz w:val="24"/>
                <w:szCs w:val="30"/>
                <w:lang w:val="en-AU" w:eastAsia="zh-CN" w:bidi="th-TH"/>
                <w14:ligatures w14:val="standardContextual"/>
              </w:rPr>
              <w:tab/>
            </w:r>
            <w:r w:rsidRPr="00CD4290">
              <w:rPr>
                <w:rStyle w:val="Hyperlink"/>
                <w:noProof/>
              </w:rPr>
              <w:t>Expenses by function</w:t>
            </w:r>
            <w:r>
              <w:rPr>
                <w:noProof/>
                <w:webHidden/>
              </w:rPr>
              <w:tab/>
            </w:r>
            <w:r>
              <w:rPr>
                <w:noProof/>
                <w:webHidden/>
              </w:rPr>
              <w:fldChar w:fldCharType="begin"/>
            </w:r>
            <w:r>
              <w:rPr>
                <w:noProof/>
                <w:webHidden/>
              </w:rPr>
              <w:instrText xml:space="preserve"> PAGEREF _Toc171949012 \h </w:instrText>
            </w:r>
            <w:r>
              <w:rPr>
                <w:noProof/>
                <w:webHidden/>
              </w:rPr>
            </w:r>
            <w:r>
              <w:rPr>
                <w:noProof/>
                <w:webHidden/>
              </w:rPr>
              <w:fldChar w:fldCharType="separate"/>
            </w:r>
            <w:r w:rsidR="000B62ED">
              <w:rPr>
                <w:noProof/>
                <w:webHidden/>
              </w:rPr>
              <w:t>33</w:t>
            </w:r>
            <w:r>
              <w:rPr>
                <w:noProof/>
                <w:webHidden/>
              </w:rPr>
              <w:fldChar w:fldCharType="end"/>
            </w:r>
          </w:hyperlink>
        </w:p>
        <w:p w14:paraId="524B1537" w14:textId="32AF811B" w:rsidR="008A2836" w:rsidRDefault="008A2836">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171949013" w:history="1">
            <w:r w:rsidRPr="00CD4290">
              <w:rPr>
                <w:rStyle w:val="Hyperlink"/>
                <w:noProof/>
              </w:rPr>
              <w:t>5.4</w:t>
            </w:r>
            <w:r>
              <w:rPr>
                <w:rFonts w:asciiTheme="minorHAnsi" w:eastAsiaTheme="minorEastAsia" w:hAnsiTheme="minorHAnsi" w:cstheme="minorBidi"/>
                <w:noProof/>
                <w:color w:val="auto"/>
                <w:kern w:val="2"/>
                <w:sz w:val="24"/>
                <w:szCs w:val="30"/>
                <w:lang w:val="en-AU" w:eastAsia="zh-CN" w:bidi="th-TH"/>
                <w14:ligatures w14:val="standardContextual"/>
              </w:rPr>
              <w:tab/>
            </w:r>
            <w:r w:rsidRPr="00CD4290">
              <w:rPr>
                <w:rStyle w:val="Hyperlink"/>
                <w:noProof/>
              </w:rPr>
              <w:t>Expenses by economic type</w:t>
            </w:r>
            <w:r>
              <w:rPr>
                <w:noProof/>
                <w:webHidden/>
              </w:rPr>
              <w:tab/>
            </w:r>
            <w:r>
              <w:rPr>
                <w:noProof/>
                <w:webHidden/>
              </w:rPr>
              <w:fldChar w:fldCharType="begin"/>
            </w:r>
            <w:r>
              <w:rPr>
                <w:noProof/>
                <w:webHidden/>
              </w:rPr>
              <w:instrText xml:space="preserve"> PAGEREF _Toc171949013 \h </w:instrText>
            </w:r>
            <w:r>
              <w:rPr>
                <w:noProof/>
                <w:webHidden/>
              </w:rPr>
            </w:r>
            <w:r>
              <w:rPr>
                <w:noProof/>
                <w:webHidden/>
              </w:rPr>
              <w:fldChar w:fldCharType="separate"/>
            </w:r>
            <w:r w:rsidR="000B62ED">
              <w:rPr>
                <w:noProof/>
                <w:webHidden/>
              </w:rPr>
              <w:t>35</w:t>
            </w:r>
            <w:r>
              <w:rPr>
                <w:noProof/>
                <w:webHidden/>
              </w:rPr>
              <w:fldChar w:fldCharType="end"/>
            </w:r>
          </w:hyperlink>
        </w:p>
        <w:p w14:paraId="2579CB54" w14:textId="0C36CFAD" w:rsidR="008A2836" w:rsidRDefault="008A2836">
          <w:pPr>
            <w:pStyle w:val="TOC1"/>
            <w:tabs>
              <w:tab w:val="left" w:pos="441"/>
              <w:tab w:val="right" w:leader="dot" w:pos="9016"/>
            </w:tabs>
            <w:rPr>
              <w:rFonts w:asciiTheme="minorHAnsi" w:eastAsiaTheme="minorEastAsia" w:hAnsiTheme="minorHAnsi" w:cstheme="minorBidi"/>
              <w:b w:val="0"/>
              <w:noProof/>
              <w:color w:val="auto"/>
              <w:kern w:val="2"/>
              <w:sz w:val="24"/>
              <w:szCs w:val="30"/>
              <w:lang w:val="en-AU" w:eastAsia="zh-CN" w:bidi="th-TH"/>
              <w14:ligatures w14:val="standardContextual"/>
            </w:rPr>
          </w:pPr>
          <w:hyperlink w:anchor="_Toc171949014" w:history="1">
            <w:r w:rsidRPr="00CD4290">
              <w:rPr>
                <w:rStyle w:val="Hyperlink"/>
                <w:noProof/>
              </w:rPr>
              <w:t>6.</w:t>
            </w:r>
            <w:r>
              <w:rPr>
                <w:rFonts w:asciiTheme="minorHAnsi" w:eastAsiaTheme="minorEastAsia" w:hAnsiTheme="minorHAnsi" w:cstheme="minorBidi"/>
                <w:b w:val="0"/>
                <w:noProof/>
                <w:color w:val="auto"/>
                <w:kern w:val="2"/>
                <w:sz w:val="24"/>
                <w:szCs w:val="30"/>
                <w:lang w:val="en-AU" w:eastAsia="zh-CN" w:bidi="th-TH"/>
                <w14:ligatures w14:val="standardContextual"/>
              </w:rPr>
              <w:tab/>
            </w:r>
            <w:r w:rsidRPr="00CD4290">
              <w:rPr>
                <w:rStyle w:val="Hyperlink"/>
                <w:noProof/>
              </w:rPr>
              <w:t>New initiatives and wellbeing</w:t>
            </w:r>
            <w:r>
              <w:rPr>
                <w:noProof/>
                <w:webHidden/>
              </w:rPr>
              <w:tab/>
            </w:r>
            <w:r>
              <w:rPr>
                <w:noProof/>
                <w:webHidden/>
              </w:rPr>
              <w:fldChar w:fldCharType="begin"/>
            </w:r>
            <w:r>
              <w:rPr>
                <w:noProof/>
                <w:webHidden/>
              </w:rPr>
              <w:instrText xml:space="preserve"> PAGEREF _Toc171949014 \h </w:instrText>
            </w:r>
            <w:r>
              <w:rPr>
                <w:noProof/>
                <w:webHidden/>
              </w:rPr>
            </w:r>
            <w:r>
              <w:rPr>
                <w:noProof/>
                <w:webHidden/>
              </w:rPr>
              <w:fldChar w:fldCharType="separate"/>
            </w:r>
            <w:r w:rsidR="000B62ED">
              <w:rPr>
                <w:noProof/>
                <w:webHidden/>
              </w:rPr>
              <w:t>38</w:t>
            </w:r>
            <w:r>
              <w:rPr>
                <w:noProof/>
                <w:webHidden/>
              </w:rPr>
              <w:fldChar w:fldCharType="end"/>
            </w:r>
          </w:hyperlink>
        </w:p>
        <w:p w14:paraId="4C7A2204" w14:textId="30A640E1" w:rsidR="008A2836" w:rsidRDefault="008A2836">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171949015" w:history="1">
            <w:r w:rsidRPr="00CD4290">
              <w:rPr>
                <w:rStyle w:val="Hyperlink"/>
                <w:noProof/>
              </w:rPr>
              <w:t>6.1</w:t>
            </w:r>
            <w:r>
              <w:rPr>
                <w:rFonts w:asciiTheme="minorHAnsi" w:eastAsiaTheme="minorEastAsia" w:hAnsiTheme="minorHAnsi" w:cstheme="minorBidi"/>
                <w:noProof/>
                <w:color w:val="auto"/>
                <w:kern w:val="2"/>
                <w:sz w:val="24"/>
                <w:szCs w:val="30"/>
                <w:lang w:val="en-AU" w:eastAsia="zh-CN" w:bidi="th-TH"/>
                <w14:ligatures w14:val="standardContextual"/>
              </w:rPr>
              <w:tab/>
            </w:r>
            <w:r w:rsidRPr="00CD4290">
              <w:rPr>
                <w:rStyle w:val="Hyperlink"/>
                <w:noProof/>
              </w:rPr>
              <w:t>Introduction</w:t>
            </w:r>
            <w:r>
              <w:rPr>
                <w:noProof/>
                <w:webHidden/>
              </w:rPr>
              <w:tab/>
            </w:r>
            <w:r>
              <w:rPr>
                <w:noProof/>
                <w:webHidden/>
              </w:rPr>
              <w:fldChar w:fldCharType="begin"/>
            </w:r>
            <w:r>
              <w:rPr>
                <w:noProof/>
                <w:webHidden/>
              </w:rPr>
              <w:instrText xml:space="preserve"> PAGEREF _Toc171949015 \h </w:instrText>
            </w:r>
            <w:r>
              <w:rPr>
                <w:noProof/>
                <w:webHidden/>
              </w:rPr>
            </w:r>
            <w:r>
              <w:rPr>
                <w:noProof/>
                <w:webHidden/>
              </w:rPr>
              <w:fldChar w:fldCharType="separate"/>
            </w:r>
            <w:r w:rsidR="000B62ED">
              <w:rPr>
                <w:noProof/>
                <w:webHidden/>
              </w:rPr>
              <w:t>38</w:t>
            </w:r>
            <w:r>
              <w:rPr>
                <w:noProof/>
                <w:webHidden/>
              </w:rPr>
              <w:fldChar w:fldCharType="end"/>
            </w:r>
          </w:hyperlink>
        </w:p>
        <w:p w14:paraId="0477DEC1" w14:textId="142DEE82" w:rsidR="008A2836" w:rsidRDefault="008A2836">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171949016" w:history="1">
            <w:r w:rsidRPr="00CD4290">
              <w:rPr>
                <w:rStyle w:val="Hyperlink"/>
                <w:noProof/>
              </w:rPr>
              <w:t>6.2</w:t>
            </w:r>
            <w:r>
              <w:rPr>
                <w:rFonts w:asciiTheme="minorHAnsi" w:eastAsiaTheme="minorEastAsia" w:hAnsiTheme="minorHAnsi" w:cstheme="minorBidi"/>
                <w:noProof/>
                <w:color w:val="auto"/>
                <w:kern w:val="2"/>
                <w:sz w:val="24"/>
                <w:szCs w:val="30"/>
                <w:lang w:val="en-AU" w:eastAsia="zh-CN" w:bidi="th-TH"/>
                <w14:ligatures w14:val="standardContextual"/>
              </w:rPr>
              <w:tab/>
            </w:r>
            <w:r w:rsidRPr="00CD4290">
              <w:rPr>
                <w:rStyle w:val="Hyperlink"/>
                <w:noProof/>
              </w:rPr>
              <w:t>Reporting format for new initiatives</w:t>
            </w:r>
            <w:r>
              <w:rPr>
                <w:noProof/>
                <w:webHidden/>
              </w:rPr>
              <w:tab/>
            </w:r>
            <w:r>
              <w:rPr>
                <w:noProof/>
                <w:webHidden/>
              </w:rPr>
              <w:fldChar w:fldCharType="begin"/>
            </w:r>
            <w:r>
              <w:rPr>
                <w:noProof/>
                <w:webHidden/>
              </w:rPr>
              <w:instrText xml:space="preserve"> PAGEREF _Toc171949016 \h </w:instrText>
            </w:r>
            <w:r>
              <w:rPr>
                <w:noProof/>
                <w:webHidden/>
              </w:rPr>
            </w:r>
            <w:r>
              <w:rPr>
                <w:noProof/>
                <w:webHidden/>
              </w:rPr>
              <w:fldChar w:fldCharType="separate"/>
            </w:r>
            <w:r w:rsidR="000B62ED">
              <w:rPr>
                <w:noProof/>
                <w:webHidden/>
              </w:rPr>
              <w:t>38</w:t>
            </w:r>
            <w:r>
              <w:rPr>
                <w:noProof/>
                <w:webHidden/>
              </w:rPr>
              <w:fldChar w:fldCharType="end"/>
            </w:r>
          </w:hyperlink>
        </w:p>
        <w:p w14:paraId="05A949CA" w14:textId="1388AFFE" w:rsidR="008A2836" w:rsidRDefault="008A2836">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171949017" w:history="1">
            <w:r w:rsidRPr="00CD4290">
              <w:rPr>
                <w:rStyle w:val="Hyperlink"/>
                <w:noProof/>
              </w:rPr>
              <w:t>6.3</w:t>
            </w:r>
            <w:r>
              <w:rPr>
                <w:rFonts w:asciiTheme="minorHAnsi" w:eastAsiaTheme="minorEastAsia" w:hAnsiTheme="minorHAnsi" w:cstheme="minorBidi"/>
                <w:noProof/>
                <w:color w:val="auto"/>
                <w:kern w:val="2"/>
                <w:sz w:val="24"/>
                <w:szCs w:val="30"/>
                <w:lang w:val="en-AU" w:eastAsia="zh-CN" w:bidi="th-TH"/>
                <w14:ligatures w14:val="standardContextual"/>
              </w:rPr>
              <w:tab/>
            </w:r>
            <w:r w:rsidRPr="00CD4290">
              <w:rPr>
                <w:rStyle w:val="Hyperlink"/>
                <w:noProof/>
              </w:rPr>
              <w:t>New initiatives</w:t>
            </w:r>
            <w:r>
              <w:rPr>
                <w:noProof/>
                <w:webHidden/>
              </w:rPr>
              <w:tab/>
            </w:r>
            <w:r>
              <w:rPr>
                <w:noProof/>
                <w:webHidden/>
              </w:rPr>
              <w:fldChar w:fldCharType="begin"/>
            </w:r>
            <w:r>
              <w:rPr>
                <w:noProof/>
                <w:webHidden/>
              </w:rPr>
              <w:instrText xml:space="preserve"> PAGEREF _Toc171949017 \h </w:instrText>
            </w:r>
            <w:r>
              <w:rPr>
                <w:noProof/>
                <w:webHidden/>
              </w:rPr>
            </w:r>
            <w:r>
              <w:rPr>
                <w:noProof/>
                <w:webHidden/>
              </w:rPr>
              <w:fldChar w:fldCharType="separate"/>
            </w:r>
            <w:r w:rsidR="000B62ED">
              <w:rPr>
                <w:noProof/>
                <w:webHidden/>
              </w:rPr>
              <w:t>39</w:t>
            </w:r>
            <w:r>
              <w:rPr>
                <w:noProof/>
                <w:webHidden/>
              </w:rPr>
              <w:fldChar w:fldCharType="end"/>
            </w:r>
          </w:hyperlink>
        </w:p>
        <w:p w14:paraId="4A807C49" w14:textId="556A1CEC" w:rsidR="008A2836" w:rsidRDefault="008A2836">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171949018" w:history="1">
            <w:r w:rsidRPr="00CD4290">
              <w:rPr>
                <w:rStyle w:val="Hyperlink"/>
                <w:noProof/>
              </w:rPr>
              <w:t>6.4</w:t>
            </w:r>
            <w:r>
              <w:rPr>
                <w:rFonts w:asciiTheme="minorHAnsi" w:eastAsiaTheme="minorEastAsia" w:hAnsiTheme="minorHAnsi" w:cstheme="minorBidi"/>
                <w:noProof/>
                <w:color w:val="auto"/>
                <w:kern w:val="2"/>
                <w:sz w:val="24"/>
                <w:szCs w:val="30"/>
                <w:lang w:val="en-AU" w:eastAsia="zh-CN" w:bidi="th-TH"/>
                <w14:ligatures w14:val="standardContextual"/>
              </w:rPr>
              <w:tab/>
            </w:r>
            <w:r w:rsidRPr="00CD4290">
              <w:rPr>
                <w:rStyle w:val="Hyperlink"/>
                <w:noProof/>
              </w:rPr>
              <w:t>Reporting the cost of new initiatives</w:t>
            </w:r>
            <w:r>
              <w:rPr>
                <w:noProof/>
                <w:webHidden/>
              </w:rPr>
              <w:tab/>
            </w:r>
            <w:r>
              <w:rPr>
                <w:noProof/>
                <w:webHidden/>
              </w:rPr>
              <w:fldChar w:fldCharType="begin"/>
            </w:r>
            <w:r>
              <w:rPr>
                <w:noProof/>
                <w:webHidden/>
              </w:rPr>
              <w:instrText xml:space="preserve"> PAGEREF _Toc171949018 \h </w:instrText>
            </w:r>
            <w:r>
              <w:rPr>
                <w:noProof/>
                <w:webHidden/>
              </w:rPr>
            </w:r>
            <w:r>
              <w:rPr>
                <w:noProof/>
                <w:webHidden/>
              </w:rPr>
              <w:fldChar w:fldCharType="separate"/>
            </w:r>
            <w:r w:rsidR="000B62ED">
              <w:rPr>
                <w:noProof/>
                <w:webHidden/>
              </w:rPr>
              <w:t>42</w:t>
            </w:r>
            <w:r>
              <w:rPr>
                <w:noProof/>
                <w:webHidden/>
              </w:rPr>
              <w:fldChar w:fldCharType="end"/>
            </w:r>
          </w:hyperlink>
        </w:p>
        <w:p w14:paraId="3E2CD54F" w14:textId="700EC196" w:rsidR="008A2836" w:rsidRDefault="008A2836">
          <w:pPr>
            <w:pStyle w:val="TOC1"/>
            <w:tabs>
              <w:tab w:val="left" w:pos="441"/>
              <w:tab w:val="right" w:leader="dot" w:pos="9016"/>
            </w:tabs>
            <w:rPr>
              <w:rFonts w:asciiTheme="minorHAnsi" w:eastAsiaTheme="minorEastAsia" w:hAnsiTheme="minorHAnsi" w:cstheme="minorBidi"/>
              <w:b w:val="0"/>
              <w:noProof/>
              <w:color w:val="auto"/>
              <w:kern w:val="2"/>
              <w:sz w:val="24"/>
              <w:szCs w:val="30"/>
              <w:lang w:val="en-AU" w:eastAsia="zh-CN" w:bidi="th-TH"/>
              <w14:ligatures w14:val="standardContextual"/>
            </w:rPr>
          </w:pPr>
          <w:hyperlink w:anchor="_Toc171949019" w:history="1">
            <w:r w:rsidRPr="00CD4290">
              <w:rPr>
                <w:rStyle w:val="Hyperlink"/>
                <w:noProof/>
              </w:rPr>
              <w:t>7.</w:t>
            </w:r>
            <w:r>
              <w:rPr>
                <w:rFonts w:asciiTheme="minorHAnsi" w:eastAsiaTheme="minorEastAsia" w:hAnsiTheme="minorHAnsi" w:cstheme="minorBidi"/>
                <w:b w:val="0"/>
                <w:noProof/>
                <w:color w:val="auto"/>
                <w:kern w:val="2"/>
                <w:sz w:val="24"/>
                <w:szCs w:val="30"/>
                <w:lang w:val="en-AU" w:eastAsia="zh-CN" w:bidi="th-TH"/>
                <w14:ligatures w14:val="standardContextual"/>
              </w:rPr>
              <w:tab/>
            </w:r>
            <w:r w:rsidRPr="00CD4290">
              <w:rPr>
                <w:rStyle w:val="Hyperlink"/>
                <w:noProof/>
              </w:rPr>
              <w:t>Infrastructure and capital</w:t>
            </w:r>
            <w:r>
              <w:rPr>
                <w:noProof/>
                <w:webHidden/>
              </w:rPr>
              <w:tab/>
            </w:r>
            <w:r>
              <w:rPr>
                <w:noProof/>
                <w:webHidden/>
              </w:rPr>
              <w:fldChar w:fldCharType="begin"/>
            </w:r>
            <w:r>
              <w:rPr>
                <w:noProof/>
                <w:webHidden/>
              </w:rPr>
              <w:instrText xml:space="preserve"> PAGEREF _Toc171949019 \h </w:instrText>
            </w:r>
            <w:r>
              <w:rPr>
                <w:noProof/>
                <w:webHidden/>
              </w:rPr>
            </w:r>
            <w:r>
              <w:rPr>
                <w:noProof/>
                <w:webHidden/>
              </w:rPr>
              <w:fldChar w:fldCharType="separate"/>
            </w:r>
            <w:r w:rsidR="000B62ED">
              <w:rPr>
                <w:noProof/>
                <w:webHidden/>
              </w:rPr>
              <w:t>44</w:t>
            </w:r>
            <w:r>
              <w:rPr>
                <w:noProof/>
                <w:webHidden/>
              </w:rPr>
              <w:fldChar w:fldCharType="end"/>
            </w:r>
          </w:hyperlink>
        </w:p>
        <w:p w14:paraId="59001AE7" w14:textId="19FA1C42" w:rsidR="008A2836" w:rsidRDefault="008A2836">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171949020" w:history="1">
            <w:r w:rsidRPr="00CD4290">
              <w:rPr>
                <w:rStyle w:val="Hyperlink"/>
                <w:noProof/>
              </w:rPr>
              <w:t>7.1</w:t>
            </w:r>
            <w:r>
              <w:rPr>
                <w:rFonts w:asciiTheme="minorHAnsi" w:eastAsiaTheme="minorEastAsia" w:hAnsiTheme="minorHAnsi" w:cstheme="minorBidi"/>
                <w:noProof/>
                <w:color w:val="auto"/>
                <w:kern w:val="2"/>
                <w:sz w:val="24"/>
                <w:szCs w:val="30"/>
                <w:lang w:val="en-AU" w:eastAsia="zh-CN" w:bidi="th-TH"/>
                <w14:ligatures w14:val="standardContextual"/>
              </w:rPr>
              <w:tab/>
            </w:r>
            <w:r w:rsidRPr="00CD4290">
              <w:rPr>
                <w:rStyle w:val="Hyperlink"/>
                <w:noProof/>
              </w:rPr>
              <w:t>Overview</w:t>
            </w:r>
            <w:r>
              <w:rPr>
                <w:noProof/>
                <w:webHidden/>
              </w:rPr>
              <w:tab/>
            </w:r>
            <w:r>
              <w:rPr>
                <w:noProof/>
                <w:webHidden/>
              </w:rPr>
              <w:fldChar w:fldCharType="begin"/>
            </w:r>
            <w:r>
              <w:rPr>
                <w:noProof/>
                <w:webHidden/>
              </w:rPr>
              <w:instrText xml:space="preserve"> PAGEREF _Toc171949020 \h </w:instrText>
            </w:r>
            <w:r>
              <w:rPr>
                <w:noProof/>
                <w:webHidden/>
              </w:rPr>
            </w:r>
            <w:r>
              <w:rPr>
                <w:noProof/>
                <w:webHidden/>
              </w:rPr>
              <w:fldChar w:fldCharType="separate"/>
            </w:r>
            <w:r w:rsidR="000B62ED">
              <w:rPr>
                <w:noProof/>
                <w:webHidden/>
              </w:rPr>
              <w:t>44</w:t>
            </w:r>
            <w:r>
              <w:rPr>
                <w:noProof/>
                <w:webHidden/>
              </w:rPr>
              <w:fldChar w:fldCharType="end"/>
            </w:r>
          </w:hyperlink>
        </w:p>
        <w:p w14:paraId="7414FCA3" w14:textId="3FD9D302" w:rsidR="008A2836" w:rsidRDefault="008A2836">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171949021" w:history="1">
            <w:r w:rsidRPr="00CD4290">
              <w:rPr>
                <w:rStyle w:val="Hyperlink"/>
                <w:noProof/>
              </w:rPr>
              <w:t>7.3</w:t>
            </w:r>
            <w:r>
              <w:rPr>
                <w:rFonts w:asciiTheme="minorHAnsi" w:eastAsiaTheme="minorEastAsia" w:hAnsiTheme="minorHAnsi" w:cstheme="minorBidi"/>
                <w:noProof/>
                <w:color w:val="auto"/>
                <w:kern w:val="2"/>
                <w:sz w:val="24"/>
                <w:szCs w:val="30"/>
                <w:lang w:val="en-AU" w:eastAsia="zh-CN" w:bidi="th-TH"/>
                <w14:ligatures w14:val="standardContextual"/>
              </w:rPr>
              <w:tab/>
            </w:r>
            <w:r w:rsidRPr="00CD4290">
              <w:rPr>
                <w:rStyle w:val="Hyperlink"/>
                <w:noProof/>
              </w:rPr>
              <w:t>Asset Renewal Program</w:t>
            </w:r>
            <w:r>
              <w:rPr>
                <w:noProof/>
                <w:webHidden/>
              </w:rPr>
              <w:tab/>
            </w:r>
            <w:r>
              <w:rPr>
                <w:noProof/>
                <w:webHidden/>
              </w:rPr>
              <w:fldChar w:fldCharType="begin"/>
            </w:r>
            <w:r>
              <w:rPr>
                <w:noProof/>
                <w:webHidden/>
              </w:rPr>
              <w:instrText xml:space="preserve"> PAGEREF _Toc171949021 \h </w:instrText>
            </w:r>
            <w:r>
              <w:rPr>
                <w:noProof/>
                <w:webHidden/>
              </w:rPr>
            </w:r>
            <w:r>
              <w:rPr>
                <w:noProof/>
                <w:webHidden/>
              </w:rPr>
              <w:fldChar w:fldCharType="separate"/>
            </w:r>
            <w:r w:rsidR="000B62ED">
              <w:rPr>
                <w:noProof/>
                <w:webHidden/>
              </w:rPr>
              <w:t>47</w:t>
            </w:r>
            <w:r>
              <w:rPr>
                <w:noProof/>
                <w:webHidden/>
              </w:rPr>
              <w:fldChar w:fldCharType="end"/>
            </w:r>
          </w:hyperlink>
        </w:p>
        <w:p w14:paraId="642CE88E" w14:textId="429BB267" w:rsidR="008A2836" w:rsidRDefault="008A2836">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171949022" w:history="1">
            <w:r w:rsidRPr="00CD4290">
              <w:rPr>
                <w:rStyle w:val="Hyperlink"/>
                <w:noProof/>
              </w:rPr>
              <w:t>7.4</w:t>
            </w:r>
            <w:r>
              <w:rPr>
                <w:rFonts w:asciiTheme="minorHAnsi" w:eastAsiaTheme="minorEastAsia" w:hAnsiTheme="minorHAnsi" w:cstheme="minorBidi"/>
                <w:noProof/>
                <w:color w:val="auto"/>
                <w:kern w:val="2"/>
                <w:sz w:val="24"/>
                <w:szCs w:val="30"/>
                <w:lang w:val="en-AU" w:eastAsia="zh-CN" w:bidi="th-TH"/>
                <w14:ligatures w14:val="standardContextual"/>
              </w:rPr>
              <w:tab/>
            </w:r>
            <w:r w:rsidRPr="00CD4290">
              <w:rPr>
                <w:rStyle w:val="Hyperlink"/>
                <w:noProof/>
              </w:rPr>
              <w:t>Works-In-Progress</w:t>
            </w:r>
            <w:r>
              <w:rPr>
                <w:noProof/>
                <w:webHidden/>
              </w:rPr>
              <w:tab/>
            </w:r>
            <w:r>
              <w:rPr>
                <w:noProof/>
                <w:webHidden/>
              </w:rPr>
              <w:fldChar w:fldCharType="begin"/>
            </w:r>
            <w:r>
              <w:rPr>
                <w:noProof/>
                <w:webHidden/>
              </w:rPr>
              <w:instrText xml:space="preserve"> PAGEREF _Toc171949022 \h </w:instrText>
            </w:r>
            <w:r>
              <w:rPr>
                <w:noProof/>
                <w:webHidden/>
              </w:rPr>
            </w:r>
            <w:r>
              <w:rPr>
                <w:noProof/>
                <w:webHidden/>
              </w:rPr>
              <w:fldChar w:fldCharType="separate"/>
            </w:r>
            <w:r w:rsidR="000B62ED">
              <w:rPr>
                <w:noProof/>
                <w:webHidden/>
              </w:rPr>
              <w:t>47</w:t>
            </w:r>
            <w:r>
              <w:rPr>
                <w:noProof/>
                <w:webHidden/>
              </w:rPr>
              <w:fldChar w:fldCharType="end"/>
            </w:r>
          </w:hyperlink>
        </w:p>
        <w:p w14:paraId="29E28CCB" w14:textId="30DF5F0D" w:rsidR="008A2836" w:rsidRDefault="008A2836">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171949023" w:history="1">
            <w:r w:rsidRPr="00CD4290">
              <w:rPr>
                <w:rStyle w:val="Hyperlink"/>
                <w:noProof/>
              </w:rPr>
              <w:t>7.5</w:t>
            </w:r>
            <w:r>
              <w:rPr>
                <w:rFonts w:asciiTheme="minorHAnsi" w:eastAsiaTheme="minorEastAsia" w:hAnsiTheme="minorHAnsi" w:cstheme="minorBidi"/>
                <w:noProof/>
                <w:color w:val="auto"/>
                <w:kern w:val="2"/>
                <w:sz w:val="24"/>
                <w:szCs w:val="30"/>
                <w:lang w:val="en-AU" w:eastAsia="zh-CN" w:bidi="th-TH"/>
                <w14:ligatures w14:val="standardContextual"/>
              </w:rPr>
              <w:tab/>
            </w:r>
            <w:r w:rsidRPr="00CD4290">
              <w:rPr>
                <w:rStyle w:val="Hyperlink"/>
                <w:noProof/>
              </w:rPr>
              <w:t>Major Projects</w:t>
            </w:r>
            <w:r>
              <w:rPr>
                <w:noProof/>
                <w:webHidden/>
              </w:rPr>
              <w:tab/>
            </w:r>
            <w:r>
              <w:rPr>
                <w:noProof/>
                <w:webHidden/>
              </w:rPr>
              <w:fldChar w:fldCharType="begin"/>
            </w:r>
            <w:r>
              <w:rPr>
                <w:noProof/>
                <w:webHidden/>
              </w:rPr>
              <w:instrText xml:space="preserve"> PAGEREF _Toc171949023 \h </w:instrText>
            </w:r>
            <w:r>
              <w:rPr>
                <w:noProof/>
                <w:webHidden/>
              </w:rPr>
            </w:r>
            <w:r>
              <w:rPr>
                <w:noProof/>
                <w:webHidden/>
              </w:rPr>
              <w:fldChar w:fldCharType="separate"/>
            </w:r>
            <w:r w:rsidR="000B62ED">
              <w:rPr>
                <w:noProof/>
                <w:webHidden/>
              </w:rPr>
              <w:t>48</w:t>
            </w:r>
            <w:r>
              <w:rPr>
                <w:noProof/>
                <w:webHidden/>
              </w:rPr>
              <w:fldChar w:fldCharType="end"/>
            </w:r>
          </w:hyperlink>
        </w:p>
        <w:p w14:paraId="73400F3A" w14:textId="48CB35F4" w:rsidR="008A2836" w:rsidRDefault="008A2836">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171949024" w:history="1">
            <w:r w:rsidRPr="00CD4290">
              <w:rPr>
                <w:rStyle w:val="Hyperlink"/>
                <w:noProof/>
              </w:rPr>
              <w:t>7.6</w:t>
            </w:r>
            <w:r>
              <w:rPr>
                <w:rFonts w:asciiTheme="minorHAnsi" w:eastAsiaTheme="minorEastAsia" w:hAnsiTheme="minorHAnsi" w:cstheme="minorBidi"/>
                <w:noProof/>
                <w:color w:val="auto"/>
                <w:kern w:val="2"/>
                <w:sz w:val="24"/>
                <w:szCs w:val="30"/>
                <w:lang w:val="en-AU" w:eastAsia="zh-CN" w:bidi="th-TH"/>
                <w14:ligatures w14:val="standardContextual"/>
              </w:rPr>
              <w:tab/>
            </w:r>
            <w:r w:rsidRPr="00CD4290">
              <w:rPr>
                <w:rStyle w:val="Hyperlink"/>
                <w:noProof/>
              </w:rPr>
              <w:t>Capital Works Reserve</w:t>
            </w:r>
            <w:r>
              <w:rPr>
                <w:noProof/>
                <w:webHidden/>
              </w:rPr>
              <w:tab/>
            </w:r>
            <w:r>
              <w:rPr>
                <w:noProof/>
                <w:webHidden/>
              </w:rPr>
              <w:fldChar w:fldCharType="begin"/>
            </w:r>
            <w:r>
              <w:rPr>
                <w:noProof/>
                <w:webHidden/>
              </w:rPr>
              <w:instrText xml:space="preserve"> PAGEREF _Toc171949024 \h </w:instrText>
            </w:r>
            <w:r>
              <w:rPr>
                <w:noProof/>
                <w:webHidden/>
              </w:rPr>
            </w:r>
            <w:r>
              <w:rPr>
                <w:noProof/>
                <w:webHidden/>
              </w:rPr>
              <w:fldChar w:fldCharType="separate"/>
            </w:r>
            <w:r w:rsidR="000B62ED">
              <w:rPr>
                <w:noProof/>
                <w:webHidden/>
              </w:rPr>
              <w:t>48</w:t>
            </w:r>
            <w:r>
              <w:rPr>
                <w:noProof/>
                <w:webHidden/>
              </w:rPr>
              <w:fldChar w:fldCharType="end"/>
            </w:r>
          </w:hyperlink>
        </w:p>
        <w:p w14:paraId="7B9508D8" w14:textId="0AC71BFF" w:rsidR="008A2836" w:rsidRDefault="008A2836">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171949025" w:history="1">
            <w:r w:rsidRPr="00CD4290">
              <w:rPr>
                <w:rStyle w:val="Hyperlink"/>
                <w:noProof/>
              </w:rPr>
              <w:t>7.7</w:t>
            </w:r>
            <w:r>
              <w:rPr>
                <w:rFonts w:asciiTheme="minorHAnsi" w:eastAsiaTheme="minorEastAsia" w:hAnsiTheme="minorHAnsi" w:cstheme="minorBidi"/>
                <w:noProof/>
                <w:color w:val="auto"/>
                <w:kern w:val="2"/>
                <w:sz w:val="24"/>
                <w:szCs w:val="30"/>
                <w:lang w:val="en-AU" w:eastAsia="zh-CN" w:bidi="th-TH"/>
                <w14:ligatures w14:val="standardContextual"/>
              </w:rPr>
              <w:tab/>
            </w:r>
            <w:r w:rsidRPr="00CD4290">
              <w:rPr>
                <w:rStyle w:val="Hyperlink"/>
                <w:noProof/>
              </w:rPr>
              <w:t>Capital Works Program – Public Trading Enterprises</w:t>
            </w:r>
            <w:r>
              <w:rPr>
                <w:noProof/>
                <w:webHidden/>
              </w:rPr>
              <w:tab/>
            </w:r>
            <w:r>
              <w:rPr>
                <w:noProof/>
                <w:webHidden/>
              </w:rPr>
              <w:fldChar w:fldCharType="begin"/>
            </w:r>
            <w:r>
              <w:rPr>
                <w:noProof/>
                <w:webHidden/>
              </w:rPr>
              <w:instrText xml:space="preserve"> PAGEREF _Toc171949025 \h </w:instrText>
            </w:r>
            <w:r>
              <w:rPr>
                <w:noProof/>
                <w:webHidden/>
              </w:rPr>
            </w:r>
            <w:r>
              <w:rPr>
                <w:noProof/>
                <w:webHidden/>
              </w:rPr>
              <w:fldChar w:fldCharType="separate"/>
            </w:r>
            <w:r w:rsidR="000B62ED">
              <w:rPr>
                <w:noProof/>
                <w:webHidden/>
              </w:rPr>
              <w:t>48</w:t>
            </w:r>
            <w:r>
              <w:rPr>
                <w:noProof/>
                <w:webHidden/>
              </w:rPr>
              <w:fldChar w:fldCharType="end"/>
            </w:r>
          </w:hyperlink>
        </w:p>
        <w:p w14:paraId="1F815283" w14:textId="26AED247" w:rsidR="008A2836" w:rsidRDefault="008A2836">
          <w:pPr>
            <w:pStyle w:val="TOC1"/>
            <w:tabs>
              <w:tab w:val="left" w:pos="441"/>
              <w:tab w:val="right" w:leader="dot" w:pos="9016"/>
            </w:tabs>
            <w:rPr>
              <w:rFonts w:asciiTheme="minorHAnsi" w:eastAsiaTheme="minorEastAsia" w:hAnsiTheme="minorHAnsi" w:cstheme="minorBidi"/>
              <w:b w:val="0"/>
              <w:noProof/>
              <w:color w:val="auto"/>
              <w:kern w:val="2"/>
              <w:sz w:val="24"/>
              <w:szCs w:val="30"/>
              <w:lang w:val="en-AU" w:eastAsia="zh-CN" w:bidi="th-TH"/>
              <w14:ligatures w14:val="standardContextual"/>
            </w:rPr>
          </w:pPr>
          <w:hyperlink w:anchor="_Toc171949026" w:history="1">
            <w:r w:rsidRPr="00CD4290">
              <w:rPr>
                <w:rStyle w:val="Hyperlink"/>
                <w:noProof/>
              </w:rPr>
              <w:t>8.</w:t>
            </w:r>
            <w:r>
              <w:rPr>
                <w:rFonts w:asciiTheme="minorHAnsi" w:eastAsiaTheme="minorEastAsia" w:hAnsiTheme="minorHAnsi" w:cstheme="minorBidi"/>
                <w:b w:val="0"/>
                <w:noProof/>
                <w:color w:val="auto"/>
                <w:kern w:val="2"/>
                <w:sz w:val="24"/>
                <w:szCs w:val="30"/>
                <w:lang w:val="en-AU" w:eastAsia="zh-CN" w:bidi="th-TH"/>
                <w14:ligatures w14:val="standardContextual"/>
              </w:rPr>
              <w:tab/>
            </w:r>
            <w:r w:rsidRPr="00CD4290">
              <w:rPr>
                <w:rStyle w:val="Hyperlink"/>
                <w:noProof/>
              </w:rPr>
              <w:t>Assets and Liabilities</w:t>
            </w:r>
            <w:r>
              <w:rPr>
                <w:noProof/>
                <w:webHidden/>
              </w:rPr>
              <w:tab/>
            </w:r>
            <w:r>
              <w:rPr>
                <w:noProof/>
                <w:webHidden/>
              </w:rPr>
              <w:fldChar w:fldCharType="begin"/>
            </w:r>
            <w:r>
              <w:rPr>
                <w:noProof/>
                <w:webHidden/>
              </w:rPr>
              <w:instrText xml:space="preserve"> PAGEREF _Toc171949026 \h </w:instrText>
            </w:r>
            <w:r>
              <w:rPr>
                <w:noProof/>
                <w:webHidden/>
              </w:rPr>
            </w:r>
            <w:r>
              <w:rPr>
                <w:noProof/>
                <w:webHidden/>
              </w:rPr>
              <w:fldChar w:fldCharType="separate"/>
            </w:r>
            <w:r w:rsidR="000B62ED">
              <w:rPr>
                <w:noProof/>
                <w:webHidden/>
              </w:rPr>
              <w:t>49</w:t>
            </w:r>
            <w:r>
              <w:rPr>
                <w:noProof/>
                <w:webHidden/>
              </w:rPr>
              <w:fldChar w:fldCharType="end"/>
            </w:r>
          </w:hyperlink>
        </w:p>
        <w:p w14:paraId="3F4731CC" w14:textId="0932D572" w:rsidR="008A2836" w:rsidRDefault="008A2836">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171949027" w:history="1">
            <w:r w:rsidRPr="00CD4290">
              <w:rPr>
                <w:rStyle w:val="Hyperlink"/>
                <w:noProof/>
              </w:rPr>
              <w:t>8.1</w:t>
            </w:r>
            <w:r>
              <w:rPr>
                <w:rFonts w:asciiTheme="minorHAnsi" w:eastAsiaTheme="minorEastAsia" w:hAnsiTheme="minorHAnsi" w:cstheme="minorBidi"/>
                <w:noProof/>
                <w:color w:val="auto"/>
                <w:kern w:val="2"/>
                <w:sz w:val="24"/>
                <w:szCs w:val="30"/>
                <w:lang w:val="en-AU" w:eastAsia="zh-CN" w:bidi="th-TH"/>
                <w14:ligatures w14:val="standardContextual"/>
              </w:rPr>
              <w:tab/>
            </w:r>
            <w:r w:rsidRPr="00CD4290">
              <w:rPr>
                <w:rStyle w:val="Hyperlink"/>
                <w:noProof/>
              </w:rPr>
              <w:t>Overview</w:t>
            </w:r>
            <w:r>
              <w:rPr>
                <w:noProof/>
                <w:webHidden/>
              </w:rPr>
              <w:tab/>
            </w:r>
            <w:r>
              <w:rPr>
                <w:noProof/>
                <w:webHidden/>
              </w:rPr>
              <w:fldChar w:fldCharType="begin"/>
            </w:r>
            <w:r>
              <w:rPr>
                <w:noProof/>
                <w:webHidden/>
              </w:rPr>
              <w:instrText xml:space="preserve"> PAGEREF _Toc171949027 \h </w:instrText>
            </w:r>
            <w:r>
              <w:rPr>
                <w:noProof/>
                <w:webHidden/>
              </w:rPr>
            </w:r>
            <w:r>
              <w:rPr>
                <w:noProof/>
                <w:webHidden/>
              </w:rPr>
              <w:fldChar w:fldCharType="separate"/>
            </w:r>
            <w:r w:rsidR="000B62ED">
              <w:rPr>
                <w:noProof/>
                <w:webHidden/>
              </w:rPr>
              <w:t>49</w:t>
            </w:r>
            <w:r>
              <w:rPr>
                <w:noProof/>
                <w:webHidden/>
              </w:rPr>
              <w:fldChar w:fldCharType="end"/>
            </w:r>
          </w:hyperlink>
        </w:p>
        <w:p w14:paraId="294E4085" w14:textId="0E75C380" w:rsidR="008A2836" w:rsidRDefault="008A2836">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171949028" w:history="1">
            <w:r w:rsidRPr="00CD4290">
              <w:rPr>
                <w:rStyle w:val="Hyperlink"/>
                <w:noProof/>
              </w:rPr>
              <w:t>8.2</w:t>
            </w:r>
            <w:r>
              <w:rPr>
                <w:rFonts w:asciiTheme="minorHAnsi" w:eastAsiaTheme="minorEastAsia" w:hAnsiTheme="minorHAnsi" w:cstheme="minorBidi"/>
                <w:noProof/>
                <w:color w:val="auto"/>
                <w:kern w:val="2"/>
                <w:sz w:val="24"/>
                <w:szCs w:val="30"/>
                <w:lang w:val="en-AU" w:eastAsia="zh-CN" w:bidi="th-TH"/>
                <w14:ligatures w14:val="standardContextual"/>
              </w:rPr>
              <w:tab/>
            </w:r>
            <w:r w:rsidRPr="00CD4290">
              <w:rPr>
                <w:rStyle w:val="Hyperlink"/>
                <w:noProof/>
              </w:rPr>
              <w:t>Net debt</w:t>
            </w:r>
            <w:r>
              <w:rPr>
                <w:noProof/>
                <w:webHidden/>
              </w:rPr>
              <w:tab/>
            </w:r>
            <w:r>
              <w:rPr>
                <w:noProof/>
                <w:webHidden/>
              </w:rPr>
              <w:fldChar w:fldCharType="begin"/>
            </w:r>
            <w:r>
              <w:rPr>
                <w:noProof/>
                <w:webHidden/>
              </w:rPr>
              <w:instrText xml:space="preserve"> PAGEREF _Toc171949028 \h </w:instrText>
            </w:r>
            <w:r>
              <w:rPr>
                <w:noProof/>
                <w:webHidden/>
              </w:rPr>
            </w:r>
            <w:r>
              <w:rPr>
                <w:noProof/>
                <w:webHidden/>
              </w:rPr>
              <w:fldChar w:fldCharType="separate"/>
            </w:r>
            <w:r w:rsidR="000B62ED">
              <w:rPr>
                <w:noProof/>
                <w:webHidden/>
              </w:rPr>
              <w:t>49</w:t>
            </w:r>
            <w:r>
              <w:rPr>
                <w:noProof/>
                <w:webHidden/>
              </w:rPr>
              <w:fldChar w:fldCharType="end"/>
            </w:r>
          </w:hyperlink>
        </w:p>
        <w:p w14:paraId="3A0DE6E3" w14:textId="7A019BD5" w:rsidR="008A2836" w:rsidRDefault="008A2836">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171949029" w:history="1">
            <w:r w:rsidRPr="00CD4290">
              <w:rPr>
                <w:rStyle w:val="Hyperlink"/>
                <w:noProof/>
              </w:rPr>
              <w:t>8.3</w:t>
            </w:r>
            <w:r>
              <w:rPr>
                <w:rFonts w:asciiTheme="minorHAnsi" w:eastAsiaTheme="minorEastAsia" w:hAnsiTheme="minorHAnsi" w:cstheme="minorBidi"/>
                <w:noProof/>
                <w:color w:val="auto"/>
                <w:kern w:val="2"/>
                <w:sz w:val="24"/>
                <w:szCs w:val="30"/>
                <w:lang w:val="en-AU" w:eastAsia="zh-CN" w:bidi="th-TH"/>
                <w14:ligatures w14:val="standardContextual"/>
              </w:rPr>
              <w:tab/>
            </w:r>
            <w:r w:rsidRPr="00CD4290">
              <w:rPr>
                <w:rStyle w:val="Hyperlink"/>
                <w:noProof/>
              </w:rPr>
              <w:t>Net financial liabilities</w:t>
            </w:r>
            <w:r>
              <w:rPr>
                <w:noProof/>
                <w:webHidden/>
              </w:rPr>
              <w:tab/>
            </w:r>
            <w:r>
              <w:rPr>
                <w:noProof/>
                <w:webHidden/>
              </w:rPr>
              <w:fldChar w:fldCharType="begin"/>
            </w:r>
            <w:r>
              <w:rPr>
                <w:noProof/>
                <w:webHidden/>
              </w:rPr>
              <w:instrText xml:space="preserve"> PAGEREF _Toc171949029 \h </w:instrText>
            </w:r>
            <w:r>
              <w:rPr>
                <w:noProof/>
                <w:webHidden/>
              </w:rPr>
            </w:r>
            <w:r>
              <w:rPr>
                <w:noProof/>
                <w:webHidden/>
              </w:rPr>
              <w:fldChar w:fldCharType="separate"/>
            </w:r>
            <w:r w:rsidR="000B62ED">
              <w:rPr>
                <w:noProof/>
                <w:webHidden/>
              </w:rPr>
              <w:t>50</w:t>
            </w:r>
            <w:r>
              <w:rPr>
                <w:noProof/>
                <w:webHidden/>
              </w:rPr>
              <w:fldChar w:fldCharType="end"/>
            </w:r>
          </w:hyperlink>
        </w:p>
        <w:p w14:paraId="425F71A0" w14:textId="45BA6FDC" w:rsidR="008A2836" w:rsidRDefault="008A2836">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171949030" w:history="1">
            <w:r w:rsidRPr="00CD4290">
              <w:rPr>
                <w:rStyle w:val="Hyperlink"/>
                <w:noProof/>
              </w:rPr>
              <w:t>8.4</w:t>
            </w:r>
            <w:r>
              <w:rPr>
                <w:rFonts w:asciiTheme="minorHAnsi" w:eastAsiaTheme="minorEastAsia" w:hAnsiTheme="minorHAnsi" w:cstheme="minorBidi"/>
                <w:noProof/>
                <w:color w:val="auto"/>
                <w:kern w:val="2"/>
                <w:sz w:val="24"/>
                <w:szCs w:val="30"/>
                <w:lang w:val="en-AU" w:eastAsia="zh-CN" w:bidi="th-TH"/>
                <w14:ligatures w14:val="standardContextual"/>
              </w:rPr>
              <w:tab/>
            </w:r>
            <w:r w:rsidRPr="00CD4290">
              <w:rPr>
                <w:rStyle w:val="Hyperlink"/>
                <w:noProof/>
              </w:rPr>
              <w:t>Net worth</w:t>
            </w:r>
            <w:r>
              <w:rPr>
                <w:noProof/>
                <w:webHidden/>
              </w:rPr>
              <w:tab/>
            </w:r>
            <w:r>
              <w:rPr>
                <w:noProof/>
                <w:webHidden/>
              </w:rPr>
              <w:fldChar w:fldCharType="begin"/>
            </w:r>
            <w:r>
              <w:rPr>
                <w:noProof/>
                <w:webHidden/>
              </w:rPr>
              <w:instrText xml:space="preserve"> PAGEREF _Toc171949030 \h </w:instrText>
            </w:r>
            <w:r>
              <w:rPr>
                <w:noProof/>
                <w:webHidden/>
              </w:rPr>
            </w:r>
            <w:r>
              <w:rPr>
                <w:noProof/>
                <w:webHidden/>
              </w:rPr>
              <w:fldChar w:fldCharType="separate"/>
            </w:r>
            <w:r w:rsidR="000B62ED">
              <w:rPr>
                <w:noProof/>
                <w:webHidden/>
              </w:rPr>
              <w:t>52</w:t>
            </w:r>
            <w:r>
              <w:rPr>
                <w:noProof/>
                <w:webHidden/>
              </w:rPr>
              <w:fldChar w:fldCharType="end"/>
            </w:r>
          </w:hyperlink>
        </w:p>
        <w:p w14:paraId="6296D4D3" w14:textId="79579EF8" w:rsidR="008A2836" w:rsidRDefault="008A2836">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171949031" w:history="1">
            <w:r w:rsidRPr="00CD4290">
              <w:rPr>
                <w:rStyle w:val="Hyperlink"/>
                <w:noProof/>
              </w:rPr>
              <w:t>8.5</w:t>
            </w:r>
            <w:r>
              <w:rPr>
                <w:rFonts w:asciiTheme="minorHAnsi" w:eastAsiaTheme="minorEastAsia" w:hAnsiTheme="minorHAnsi" w:cstheme="minorBidi"/>
                <w:noProof/>
                <w:color w:val="auto"/>
                <w:kern w:val="2"/>
                <w:sz w:val="24"/>
                <w:szCs w:val="30"/>
                <w:lang w:val="en-AU" w:eastAsia="zh-CN" w:bidi="th-TH"/>
                <w14:ligatures w14:val="standardContextual"/>
              </w:rPr>
              <w:tab/>
            </w:r>
            <w:r w:rsidRPr="00CD4290">
              <w:rPr>
                <w:rStyle w:val="Hyperlink"/>
                <w:noProof/>
              </w:rPr>
              <w:t>Superannuation</w:t>
            </w:r>
            <w:r>
              <w:rPr>
                <w:noProof/>
                <w:webHidden/>
              </w:rPr>
              <w:tab/>
            </w:r>
            <w:r>
              <w:rPr>
                <w:noProof/>
                <w:webHidden/>
              </w:rPr>
              <w:fldChar w:fldCharType="begin"/>
            </w:r>
            <w:r>
              <w:rPr>
                <w:noProof/>
                <w:webHidden/>
              </w:rPr>
              <w:instrText xml:space="preserve"> PAGEREF _Toc171949031 \h </w:instrText>
            </w:r>
            <w:r>
              <w:rPr>
                <w:noProof/>
                <w:webHidden/>
              </w:rPr>
            </w:r>
            <w:r>
              <w:rPr>
                <w:noProof/>
                <w:webHidden/>
              </w:rPr>
              <w:fldChar w:fldCharType="separate"/>
            </w:r>
            <w:r w:rsidR="000B62ED">
              <w:rPr>
                <w:noProof/>
                <w:webHidden/>
              </w:rPr>
              <w:t>52</w:t>
            </w:r>
            <w:r>
              <w:rPr>
                <w:noProof/>
                <w:webHidden/>
              </w:rPr>
              <w:fldChar w:fldCharType="end"/>
            </w:r>
          </w:hyperlink>
        </w:p>
        <w:p w14:paraId="4F6F8A5A" w14:textId="45B6A8AA" w:rsidR="008A2836" w:rsidRDefault="008A2836">
          <w:pPr>
            <w:pStyle w:val="TOC1"/>
            <w:tabs>
              <w:tab w:val="left" w:pos="441"/>
              <w:tab w:val="right" w:leader="dot" w:pos="9016"/>
            </w:tabs>
            <w:rPr>
              <w:rFonts w:asciiTheme="minorHAnsi" w:eastAsiaTheme="minorEastAsia" w:hAnsiTheme="minorHAnsi" w:cstheme="minorBidi"/>
              <w:b w:val="0"/>
              <w:noProof/>
              <w:color w:val="auto"/>
              <w:kern w:val="2"/>
              <w:sz w:val="24"/>
              <w:szCs w:val="30"/>
              <w:lang w:val="en-AU" w:eastAsia="zh-CN" w:bidi="th-TH"/>
              <w14:ligatures w14:val="standardContextual"/>
            </w:rPr>
          </w:pPr>
          <w:hyperlink w:anchor="_Toc171949032" w:history="1">
            <w:r w:rsidRPr="00CD4290">
              <w:rPr>
                <w:rStyle w:val="Hyperlink"/>
                <w:noProof/>
              </w:rPr>
              <w:t>9.</w:t>
            </w:r>
            <w:r>
              <w:rPr>
                <w:rFonts w:asciiTheme="minorHAnsi" w:eastAsiaTheme="minorEastAsia" w:hAnsiTheme="minorHAnsi" w:cstheme="minorBidi"/>
                <w:b w:val="0"/>
                <w:noProof/>
                <w:color w:val="auto"/>
                <w:kern w:val="2"/>
                <w:sz w:val="24"/>
                <w:szCs w:val="30"/>
                <w:lang w:val="en-AU" w:eastAsia="zh-CN" w:bidi="th-TH"/>
                <w14:ligatures w14:val="standardContextual"/>
              </w:rPr>
              <w:tab/>
            </w:r>
            <w:r w:rsidRPr="00CD4290">
              <w:rPr>
                <w:rStyle w:val="Hyperlink"/>
                <w:noProof/>
              </w:rPr>
              <w:t>Budget accounting, classification and valuation issues</w:t>
            </w:r>
            <w:r>
              <w:rPr>
                <w:noProof/>
                <w:webHidden/>
              </w:rPr>
              <w:tab/>
            </w:r>
            <w:r>
              <w:rPr>
                <w:noProof/>
                <w:webHidden/>
              </w:rPr>
              <w:fldChar w:fldCharType="begin"/>
            </w:r>
            <w:r>
              <w:rPr>
                <w:noProof/>
                <w:webHidden/>
              </w:rPr>
              <w:instrText xml:space="preserve"> PAGEREF _Toc171949032 \h </w:instrText>
            </w:r>
            <w:r>
              <w:rPr>
                <w:noProof/>
                <w:webHidden/>
              </w:rPr>
            </w:r>
            <w:r>
              <w:rPr>
                <w:noProof/>
                <w:webHidden/>
              </w:rPr>
              <w:fldChar w:fldCharType="separate"/>
            </w:r>
            <w:r w:rsidR="000B62ED">
              <w:rPr>
                <w:noProof/>
                <w:webHidden/>
              </w:rPr>
              <w:t>58</w:t>
            </w:r>
            <w:r>
              <w:rPr>
                <w:noProof/>
                <w:webHidden/>
              </w:rPr>
              <w:fldChar w:fldCharType="end"/>
            </w:r>
          </w:hyperlink>
        </w:p>
        <w:p w14:paraId="051B8786" w14:textId="170A6BCD" w:rsidR="008A2836" w:rsidRDefault="008A2836">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171949033" w:history="1">
            <w:r w:rsidRPr="00CD4290">
              <w:rPr>
                <w:rStyle w:val="Hyperlink"/>
                <w:noProof/>
              </w:rPr>
              <w:t>9.1</w:t>
            </w:r>
            <w:r>
              <w:rPr>
                <w:rFonts w:asciiTheme="minorHAnsi" w:eastAsiaTheme="minorEastAsia" w:hAnsiTheme="minorHAnsi" w:cstheme="minorBidi"/>
                <w:noProof/>
                <w:color w:val="auto"/>
                <w:kern w:val="2"/>
                <w:sz w:val="24"/>
                <w:szCs w:val="30"/>
                <w:lang w:val="en-AU" w:eastAsia="zh-CN" w:bidi="th-TH"/>
                <w14:ligatures w14:val="standardContextual"/>
              </w:rPr>
              <w:tab/>
            </w:r>
            <w:r w:rsidRPr="00CD4290">
              <w:rPr>
                <w:rStyle w:val="Hyperlink"/>
                <w:noProof/>
              </w:rPr>
              <w:t>Overview</w:t>
            </w:r>
            <w:r>
              <w:rPr>
                <w:noProof/>
                <w:webHidden/>
              </w:rPr>
              <w:tab/>
            </w:r>
            <w:r>
              <w:rPr>
                <w:noProof/>
                <w:webHidden/>
              </w:rPr>
              <w:fldChar w:fldCharType="begin"/>
            </w:r>
            <w:r>
              <w:rPr>
                <w:noProof/>
                <w:webHidden/>
              </w:rPr>
              <w:instrText xml:space="preserve"> PAGEREF _Toc171949033 \h </w:instrText>
            </w:r>
            <w:r>
              <w:rPr>
                <w:noProof/>
                <w:webHidden/>
              </w:rPr>
            </w:r>
            <w:r>
              <w:rPr>
                <w:noProof/>
                <w:webHidden/>
              </w:rPr>
              <w:fldChar w:fldCharType="separate"/>
            </w:r>
            <w:r w:rsidR="000B62ED">
              <w:rPr>
                <w:noProof/>
                <w:webHidden/>
              </w:rPr>
              <w:t>58</w:t>
            </w:r>
            <w:r>
              <w:rPr>
                <w:noProof/>
                <w:webHidden/>
              </w:rPr>
              <w:fldChar w:fldCharType="end"/>
            </w:r>
          </w:hyperlink>
        </w:p>
        <w:p w14:paraId="0C2AD794" w14:textId="08B88172" w:rsidR="008A2836" w:rsidRDefault="008A2836">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171949034" w:history="1">
            <w:r w:rsidRPr="00CD4290">
              <w:rPr>
                <w:rStyle w:val="Hyperlink"/>
                <w:noProof/>
              </w:rPr>
              <w:t>9.2</w:t>
            </w:r>
            <w:r>
              <w:rPr>
                <w:rFonts w:asciiTheme="minorHAnsi" w:eastAsiaTheme="minorEastAsia" w:hAnsiTheme="minorHAnsi" w:cstheme="minorBidi"/>
                <w:noProof/>
                <w:color w:val="auto"/>
                <w:kern w:val="2"/>
                <w:sz w:val="24"/>
                <w:szCs w:val="30"/>
                <w:lang w:val="en-AU" w:eastAsia="zh-CN" w:bidi="th-TH"/>
                <w14:ligatures w14:val="standardContextual"/>
              </w:rPr>
              <w:tab/>
            </w:r>
            <w:r w:rsidRPr="00CD4290">
              <w:rPr>
                <w:rStyle w:val="Hyperlink"/>
                <w:noProof/>
              </w:rPr>
              <w:t>Disclosure of key accounting policies</w:t>
            </w:r>
            <w:r>
              <w:rPr>
                <w:noProof/>
                <w:webHidden/>
              </w:rPr>
              <w:tab/>
            </w:r>
            <w:r>
              <w:rPr>
                <w:noProof/>
                <w:webHidden/>
              </w:rPr>
              <w:fldChar w:fldCharType="begin"/>
            </w:r>
            <w:r>
              <w:rPr>
                <w:noProof/>
                <w:webHidden/>
              </w:rPr>
              <w:instrText xml:space="preserve"> PAGEREF _Toc171949034 \h </w:instrText>
            </w:r>
            <w:r>
              <w:rPr>
                <w:noProof/>
                <w:webHidden/>
              </w:rPr>
            </w:r>
            <w:r>
              <w:rPr>
                <w:noProof/>
                <w:webHidden/>
              </w:rPr>
              <w:fldChar w:fldCharType="separate"/>
            </w:r>
            <w:r w:rsidR="000B62ED">
              <w:rPr>
                <w:noProof/>
                <w:webHidden/>
              </w:rPr>
              <w:t>58</w:t>
            </w:r>
            <w:r>
              <w:rPr>
                <w:noProof/>
                <w:webHidden/>
              </w:rPr>
              <w:fldChar w:fldCharType="end"/>
            </w:r>
          </w:hyperlink>
        </w:p>
        <w:p w14:paraId="629D0F92" w14:textId="2F2714DF" w:rsidR="008A2836" w:rsidRDefault="008A2836">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171949035" w:history="1">
            <w:r w:rsidRPr="00CD4290">
              <w:rPr>
                <w:rStyle w:val="Hyperlink"/>
                <w:noProof/>
              </w:rPr>
              <w:t>9.3</w:t>
            </w:r>
            <w:r>
              <w:rPr>
                <w:rFonts w:asciiTheme="minorHAnsi" w:eastAsiaTheme="minorEastAsia" w:hAnsiTheme="minorHAnsi" w:cstheme="minorBidi"/>
                <w:noProof/>
                <w:color w:val="auto"/>
                <w:kern w:val="2"/>
                <w:sz w:val="24"/>
                <w:szCs w:val="30"/>
                <w:lang w:val="en-AU" w:eastAsia="zh-CN" w:bidi="th-TH"/>
                <w14:ligatures w14:val="standardContextual"/>
              </w:rPr>
              <w:tab/>
            </w:r>
            <w:r w:rsidRPr="00CD4290">
              <w:rPr>
                <w:rStyle w:val="Hyperlink"/>
                <w:noProof/>
              </w:rPr>
              <w:t>Superannuation return adjustment</w:t>
            </w:r>
            <w:r>
              <w:rPr>
                <w:noProof/>
                <w:webHidden/>
              </w:rPr>
              <w:tab/>
            </w:r>
            <w:r>
              <w:rPr>
                <w:noProof/>
                <w:webHidden/>
              </w:rPr>
              <w:fldChar w:fldCharType="begin"/>
            </w:r>
            <w:r>
              <w:rPr>
                <w:noProof/>
                <w:webHidden/>
              </w:rPr>
              <w:instrText xml:space="preserve"> PAGEREF _Toc171949035 \h </w:instrText>
            </w:r>
            <w:r>
              <w:rPr>
                <w:noProof/>
                <w:webHidden/>
              </w:rPr>
            </w:r>
            <w:r>
              <w:rPr>
                <w:noProof/>
                <w:webHidden/>
              </w:rPr>
              <w:fldChar w:fldCharType="separate"/>
            </w:r>
            <w:r w:rsidR="000B62ED">
              <w:rPr>
                <w:noProof/>
                <w:webHidden/>
              </w:rPr>
              <w:t>59</w:t>
            </w:r>
            <w:r>
              <w:rPr>
                <w:noProof/>
                <w:webHidden/>
              </w:rPr>
              <w:fldChar w:fldCharType="end"/>
            </w:r>
          </w:hyperlink>
        </w:p>
        <w:p w14:paraId="3E6B46D4" w14:textId="252ABD7F" w:rsidR="008A2836" w:rsidRDefault="008A2836">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171949036" w:history="1">
            <w:r w:rsidRPr="00CD4290">
              <w:rPr>
                <w:rStyle w:val="Hyperlink"/>
                <w:noProof/>
              </w:rPr>
              <w:t>9.4</w:t>
            </w:r>
            <w:r>
              <w:rPr>
                <w:rFonts w:asciiTheme="minorHAnsi" w:eastAsiaTheme="minorEastAsia" w:hAnsiTheme="minorHAnsi" w:cstheme="minorBidi"/>
                <w:noProof/>
                <w:color w:val="auto"/>
                <w:kern w:val="2"/>
                <w:sz w:val="24"/>
                <w:szCs w:val="30"/>
                <w:lang w:val="en-AU" w:eastAsia="zh-CN" w:bidi="th-TH"/>
                <w14:ligatures w14:val="standardContextual"/>
              </w:rPr>
              <w:tab/>
            </w:r>
            <w:r w:rsidRPr="00CD4290">
              <w:rPr>
                <w:rStyle w:val="Hyperlink"/>
                <w:noProof/>
              </w:rPr>
              <w:t>Superannuation liability valuation and service costs</w:t>
            </w:r>
            <w:r>
              <w:rPr>
                <w:noProof/>
                <w:webHidden/>
              </w:rPr>
              <w:tab/>
            </w:r>
            <w:r>
              <w:rPr>
                <w:noProof/>
                <w:webHidden/>
              </w:rPr>
              <w:fldChar w:fldCharType="begin"/>
            </w:r>
            <w:r>
              <w:rPr>
                <w:noProof/>
                <w:webHidden/>
              </w:rPr>
              <w:instrText xml:space="preserve"> PAGEREF _Toc171949036 \h </w:instrText>
            </w:r>
            <w:r>
              <w:rPr>
                <w:noProof/>
                <w:webHidden/>
              </w:rPr>
            </w:r>
            <w:r>
              <w:rPr>
                <w:noProof/>
                <w:webHidden/>
              </w:rPr>
              <w:fldChar w:fldCharType="separate"/>
            </w:r>
            <w:r w:rsidR="000B62ED">
              <w:rPr>
                <w:noProof/>
                <w:webHidden/>
              </w:rPr>
              <w:t>59</w:t>
            </w:r>
            <w:r>
              <w:rPr>
                <w:noProof/>
                <w:webHidden/>
              </w:rPr>
              <w:fldChar w:fldCharType="end"/>
            </w:r>
          </w:hyperlink>
        </w:p>
        <w:p w14:paraId="34891758" w14:textId="6F7E136A" w:rsidR="008A2836" w:rsidRDefault="008A2836">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171949037" w:history="1">
            <w:r w:rsidRPr="00CD4290">
              <w:rPr>
                <w:rStyle w:val="Hyperlink"/>
                <w:noProof/>
              </w:rPr>
              <w:t>9.5</w:t>
            </w:r>
            <w:r>
              <w:rPr>
                <w:rFonts w:asciiTheme="minorHAnsi" w:eastAsiaTheme="minorEastAsia" w:hAnsiTheme="minorHAnsi" w:cstheme="minorBidi"/>
                <w:noProof/>
                <w:color w:val="auto"/>
                <w:kern w:val="2"/>
                <w:sz w:val="24"/>
                <w:szCs w:val="30"/>
                <w:lang w:val="en-AU" w:eastAsia="zh-CN" w:bidi="th-TH"/>
                <w14:ligatures w14:val="standardContextual"/>
              </w:rPr>
              <w:tab/>
            </w:r>
            <w:r w:rsidRPr="00CD4290">
              <w:rPr>
                <w:rStyle w:val="Hyperlink"/>
                <w:noProof/>
              </w:rPr>
              <w:t>Service Concession Arrangements</w:t>
            </w:r>
            <w:r>
              <w:rPr>
                <w:noProof/>
                <w:webHidden/>
              </w:rPr>
              <w:tab/>
            </w:r>
            <w:r>
              <w:rPr>
                <w:noProof/>
                <w:webHidden/>
              </w:rPr>
              <w:fldChar w:fldCharType="begin"/>
            </w:r>
            <w:r>
              <w:rPr>
                <w:noProof/>
                <w:webHidden/>
              </w:rPr>
              <w:instrText xml:space="preserve"> PAGEREF _Toc171949037 \h </w:instrText>
            </w:r>
            <w:r>
              <w:rPr>
                <w:noProof/>
                <w:webHidden/>
              </w:rPr>
            </w:r>
            <w:r>
              <w:rPr>
                <w:noProof/>
                <w:webHidden/>
              </w:rPr>
              <w:fldChar w:fldCharType="separate"/>
            </w:r>
            <w:r w:rsidR="000B62ED">
              <w:rPr>
                <w:noProof/>
                <w:webHidden/>
              </w:rPr>
              <w:t>60</w:t>
            </w:r>
            <w:r>
              <w:rPr>
                <w:noProof/>
                <w:webHidden/>
              </w:rPr>
              <w:fldChar w:fldCharType="end"/>
            </w:r>
          </w:hyperlink>
        </w:p>
        <w:p w14:paraId="0A516D21" w14:textId="05C68471" w:rsidR="008A2836" w:rsidRDefault="008A2836">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171949038" w:history="1">
            <w:r w:rsidRPr="00CD4290">
              <w:rPr>
                <w:rStyle w:val="Hyperlink"/>
                <w:noProof/>
              </w:rPr>
              <w:t>9.6</w:t>
            </w:r>
            <w:r>
              <w:rPr>
                <w:rFonts w:asciiTheme="minorHAnsi" w:eastAsiaTheme="minorEastAsia" w:hAnsiTheme="minorHAnsi" w:cstheme="minorBidi"/>
                <w:noProof/>
                <w:color w:val="auto"/>
                <w:kern w:val="2"/>
                <w:sz w:val="24"/>
                <w:szCs w:val="30"/>
                <w:lang w:val="en-AU" w:eastAsia="zh-CN" w:bidi="th-TH"/>
                <w14:ligatures w14:val="standardContextual"/>
              </w:rPr>
              <w:tab/>
            </w:r>
            <w:r w:rsidRPr="00CD4290">
              <w:rPr>
                <w:rStyle w:val="Hyperlink"/>
                <w:noProof/>
              </w:rPr>
              <w:t>Acquisition of Calvary Public Hospital and Clare Holland House</w:t>
            </w:r>
            <w:r>
              <w:rPr>
                <w:noProof/>
                <w:webHidden/>
              </w:rPr>
              <w:tab/>
            </w:r>
            <w:r>
              <w:rPr>
                <w:noProof/>
                <w:webHidden/>
              </w:rPr>
              <w:fldChar w:fldCharType="begin"/>
            </w:r>
            <w:r>
              <w:rPr>
                <w:noProof/>
                <w:webHidden/>
              </w:rPr>
              <w:instrText xml:space="preserve"> PAGEREF _Toc171949038 \h </w:instrText>
            </w:r>
            <w:r>
              <w:rPr>
                <w:noProof/>
                <w:webHidden/>
              </w:rPr>
            </w:r>
            <w:r>
              <w:rPr>
                <w:noProof/>
                <w:webHidden/>
              </w:rPr>
              <w:fldChar w:fldCharType="separate"/>
            </w:r>
            <w:r w:rsidR="000B62ED">
              <w:rPr>
                <w:noProof/>
                <w:webHidden/>
              </w:rPr>
              <w:t>61</w:t>
            </w:r>
            <w:r>
              <w:rPr>
                <w:noProof/>
                <w:webHidden/>
              </w:rPr>
              <w:fldChar w:fldCharType="end"/>
            </w:r>
          </w:hyperlink>
        </w:p>
        <w:p w14:paraId="70D43C83" w14:textId="6F7EE7FF" w:rsidR="008A2836" w:rsidRDefault="008A2836">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171949039" w:history="1">
            <w:r w:rsidRPr="00CD4290">
              <w:rPr>
                <w:rStyle w:val="Hyperlink"/>
                <w:noProof/>
              </w:rPr>
              <w:t>9.7</w:t>
            </w:r>
            <w:r>
              <w:rPr>
                <w:rFonts w:asciiTheme="minorHAnsi" w:eastAsiaTheme="minorEastAsia" w:hAnsiTheme="minorHAnsi" w:cstheme="minorBidi"/>
                <w:noProof/>
                <w:color w:val="auto"/>
                <w:kern w:val="2"/>
                <w:sz w:val="24"/>
                <w:szCs w:val="30"/>
                <w:lang w:val="en-AU" w:eastAsia="zh-CN" w:bidi="th-TH"/>
                <w14:ligatures w14:val="standardContextual"/>
              </w:rPr>
              <w:tab/>
            </w:r>
            <w:r w:rsidRPr="00CD4290">
              <w:rPr>
                <w:rStyle w:val="Hyperlink"/>
                <w:noProof/>
              </w:rPr>
              <w:t>Technical adjustments</w:t>
            </w:r>
            <w:r>
              <w:rPr>
                <w:noProof/>
                <w:webHidden/>
              </w:rPr>
              <w:tab/>
            </w:r>
            <w:r>
              <w:rPr>
                <w:noProof/>
                <w:webHidden/>
              </w:rPr>
              <w:fldChar w:fldCharType="begin"/>
            </w:r>
            <w:r>
              <w:rPr>
                <w:noProof/>
                <w:webHidden/>
              </w:rPr>
              <w:instrText xml:space="preserve"> PAGEREF _Toc171949039 \h </w:instrText>
            </w:r>
            <w:r>
              <w:rPr>
                <w:noProof/>
                <w:webHidden/>
              </w:rPr>
            </w:r>
            <w:r>
              <w:rPr>
                <w:noProof/>
                <w:webHidden/>
              </w:rPr>
              <w:fldChar w:fldCharType="separate"/>
            </w:r>
            <w:r w:rsidR="000B62ED">
              <w:rPr>
                <w:noProof/>
                <w:webHidden/>
              </w:rPr>
              <w:t>61</w:t>
            </w:r>
            <w:r>
              <w:rPr>
                <w:noProof/>
                <w:webHidden/>
              </w:rPr>
              <w:fldChar w:fldCharType="end"/>
            </w:r>
          </w:hyperlink>
        </w:p>
        <w:p w14:paraId="19227044" w14:textId="297038A6" w:rsidR="008A2836" w:rsidRDefault="008A2836">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171949040" w:history="1">
            <w:r w:rsidRPr="00CD4290">
              <w:rPr>
                <w:rStyle w:val="Hyperlink"/>
                <w:noProof/>
              </w:rPr>
              <w:t>9.8</w:t>
            </w:r>
            <w:r>
              <w:rPr>
                <w:rFonts w:asciiTheme="minorHAnsi" w:eastAsiaTheme="minorEastAsia" w:hAnsiTheme="minorHAnsi" w:cstheme="minorBidi"/>
                <w:noProof/>
                <w:color w:val="auto"/>
                <w:kern w:val="2"/>
                <w:sz w:val="24"/>
                <w:szCs w:val="30"/>
                <w:lang w:val="en-AU" w:eastAsia="zh-CN" w:bidi="th-TH"/>
                <w14:ligatures w14:val="standardContextual"/>
              </w:rPr>
              <w:tab/>
            </w:r>
            <w:r w:rsidRPr="00CD4290">
              <w:rPr>
                <w:rStyle w:val="Hyperlink"/>
                <w:noProof/>
              </w:rPr>
              <w:t>Concessional loans</w:t>
            </w:r>
            <w:r>
              <w:rPr>
                <w:noProof/>
                <w:webHidden/>
              </w:rPr>
              <w:tab/>
            </w:r>
            <w:r>
              <w:rPr>
                <w:noProof/>
                <w:webHidden/>
              </w:rPr>
              <w:fldChar w:fldCharType="begin"/>
            </w:r>
            <w:r>
              <w:rPr>
                <w:noProof/>
                <w:webHidden/>
              </w:rPr>
              <w:instrText xml:space="preserve"> PAGEREF _Toc171949040 \h </w:instrText>
            </w:r>
            <w:r>
              <w:rPr>
                <w:noProof/>
                <w:webHidden/>
              </w:rPr>
            </w:r>
            <w:r>
              <w:rPr>
                <w:noProof/>
                <w:webHidden/>
              </w:rPr>
              <w:fldChar w:fldCharType="separate"/>
            </w:r>
            <w:r w:rsidR="000B62ED">
              <w:rPr>
                <w:noProof/>
                <w:webHidden/>
              </w:rPr>
              <w:t>62</w:t>
            </w:r>
            <w:r>
              <w:rPr>
                <w:noProof/>
                <w:webHidden/>
              </w:rPr>
              <w:fldChar w:fldCharType="end"/>
            </w:r>
          </w:hyperlink>
        </w:p>
        <w:p w14:paraId="5939B226" w14:textId="367EA4AC" w:rsidR="008A2836" w:rsidRDefault="008A2836">
          <w:pPr>
            <w:pStyle w:val="TOC1"/>
            <w:tabs>
              <w:tab w:val="left" w:pos="720"/>
              <w:tab w:val="right" w:leader="dot" w:pos="9016"/>
            </w:tabs>
            <w:rPr>
              <w:rFonts w:asciiTheme="minorHAnsi" w:eastAsiaTheme="minorEastAsia" w:hAnsiTheme="minorHAnsi" w:cstheme="minorBidi"/>
              <w:b w:val="0"/>
              <w:noProof/>
              <w:color w:val="auto"/>
              <w:kern w:val="2"/>
              <w:sz w:val="24"/>
              <w:szCs w:val="30"/>
              <w:lang w:val="en-AU" w:eastAsia="zh-CN" w:bidi="th-TH"/>
              <w14:ligatures w14:val="standardContextual"/>
            </w:rPr>
          </w:pPr>
          <w:hyperlink w:anchor="_Toc171949041" w:history="1">
            <w:r w:rsidRPr="00CD4290">
              <w:rPr>
                <w:rStyle w:val="Hyperlink"/>
                <w:noProof/>
              </w:rPr>
              <w:t>10.</w:t>
            </w:r>
            <w:r>
              <w:rPr>
                <w:rFonts w:asciiTheme="minorHAnsi" w:eastAsiaTheme="minorEastAsia" w:hAnsiTheme="minorHAnsi" w:cstheme="minorBidi"/>
                <w:b w:val="0"/>
                <w:noProof/>
                <w:color w:val="auto"/>
                <w:kern w:val="2"/>
                <w:sz w:val="24"/>
                <w:szCs w:val="30"/>
                <w:lang w:val="en-AU" w:eastAsia="zh-CN" w:bidi="th-TH"/>
                <w14:ligatures w14:val="standardContextual"/>
              </w:rPr>
              <w:tab/>
            </w:r>
            <w:r w:rsidRPr="00CD4290">
              <w:rPr>
                <w:rStyle w:val="Hyperlink"/>
                <w:noProof/>
              </w:rPr>
              <w:t>Women’s Budget Statement</w:t>
            </w:r>
            <w:r>
              <w:rPr>
                <w:noProof/>
                <w:webHidden/>
              </w:rPr>
              <w:tab/>
            </w:r>
            <w:r>
              <w:rPr>
                <w:noProof/>
                <w:webHidden/>
              </w:rPr>
              <w:fldChar w:fldCharType="begin"/>
            </w:r>
            <w:r>
              <w:rPr>
                <w:noProof/>
                <w:webHidden/>
              </w:rPr>
              <w:instrText xml:space="preserve"> PAGEREF _Toc171949041 \h </w:instrText>
            </w:r>
            <w:r>
              <w:rPr>
                <w:noProof/>
                <w:webHidden/>
              </w:rPr>
            </w:r>
            <w:r>
              <w:rPr>
                <w:noProof/>
                <w:webHidden/>
              </w:rPr>
              <w:fldChar w:fldCharType="separate"/>
            </w:r>
            <w:r w:rsidR="000B62ED">
              <w:rPr>
                <w:noProof/>
                <w:webHidden/>
              </w:rPr>
              <w:t>63</w:t>
            </w:r>
            <w:r>
              <w:rPr>
                <w:noProof/>
                <w:webHidden/>
              </w:rPr>
              <w:fldChar w:fldCharType="end"/>
            </w:r>
          </w:hyperlink>
        </w:p>
        <w:p w14:paraId="157446A8" w14:textId="59165DCE" w:rsidR="008A2836" w:rsidRDefault="008A2836">
          <w:pPr>
            <w:pStyle w:val="TOC2"/>
            <w:tabs>
              <w:tab w:val="left" w:pos="120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171949042" w:history="1">
            <w:r w:rsidRPr="00CD4290">
              <w:rPr>
                <w:rStyle w:val="Hyperlink"/>
                <w:noProof/>
              </w:rPr>
              <w:t>10.1</w:t>
            </w:r>
            <w:r>
              <w:rPr>
                <w:rFonts w:asciiTheme="minorHAnsi" w:eastAsiaTheme="minorEastAsia" w:hAnsiTheme="minorHAnsi" w:cstheme="minorBidi"/>
                <w:noProof/>
                <w:color w:val="auto"/>
                <w:kern w:val="2"/>
                <w:sz w:val="24"/>
                <w:szCs w:val="30"/>
                <w:lang w:val="en-AU" w:eastAsia="zh-CN" w:bidi="th-TH"/>
                <w14:ligatures w14:val="standardContextual"/>
              </w:rPr>
              <w:tab/>
            </w:r>
            <w:r w:rsidRPr="00CD4290">
              <w:rPr>
                <w:rStyle w:val="Hyperlink"/>
                <w:noProof/>
              </w:rPr>
              <w:t>Introduction</w:t>
            </w:r>
            <w:r>
              <w:rPr>
                <w:noProof/>
                <w:webHidden/>
              </w:rPr>
              <w:tab/>
            </w:r>
            <w:r>
              <w:rPr>
                <w:noProof/>
                <w:webHidden/>
              </w:rPr>
              <w:fldChar w:fldCharType="begin"/>
            </w:r>
            <w:r>
              <w:rPr>
                <w:noProof/>
                <w:webHidden/>
              </w:rPr>
              <w:instrText xml:space="preserve"> PAGEREF _Toc171949042 \h </w:instrText>
            </w:r>
            <w:r>
              <w:rPr>
                <w:noProof/>
                <w:webHidden/>
              </w:rPr>
            </w:r>
            <w:r>
              <w:rPr>
                <w:noProof/>
                <w:webHidden/>
              </w:rPr>
              <w:fldChar w:fldCharType="separate"/>
            </w:r>
            <w:r w:rsidR="000B62ED">
              <w:rPr>
                <w:noProof/>
                <w:webHidden/>
              </w:rPr>
              <w:t>63</w:t>
            </w:r>
            <w:r>
              <w:rPr>
                <w:noProof/>
                <w:webHidden/>
              </w:rPr>
              <w:fldChar w:fldCharType="end"/>
            </w:r>
          </w:hyperlink>
        </w:p>
        <w:p w14:paraId="28C74F42" w14:textId="517385CB" w:rsidR="008A2836" w:rsidRDefault="008A2836">
          <w:pPr>
            <w:pStyle w:val="TOC2"/>
            <w:tabs>
              <w:tab w:val="left" w:pos="120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171949043" w:history="1">
            <w:r w:rsidRPr="00CD4290">
              <w:rPr>
                <w:rStyle w:val="Hyperlink"/>
                <w:noProof/>
              </w:rPr>
              <w:t>10.2</w:t>
            </w:r>
            <w:r>
              <w:rPr>
                <w:rFonts w:asciiTheme="minorHAnsi" w:eastAsiaTheme="minorEastAsia" w:hAnsiTheme="minorHAnsi" w:cstheme="minorBidi"/>
                <w:noProof/>
                <w:color w:val="auto"/>
                <w:kern w:val="2"/>
                <w:sz w:val="24"/>
                <w:szCs w:val="30"/>
                <w:lang w:val="en-AU" w:eastAsia="zh-CN" w:bidi="th-TH"/>
                <w14:ligatures w14:val="standardContextual"/>
              </w:rPr>
              <w:tab/>
            </w:r>
            <w:r w:rsidRPr="00CD4290">
              <w:rPr>
                <w:rStyle w:val="Hyperlink"/>
                <w:noProof/>
              </w:rPr>
              <w:t>Overall impressions</w:t>
            </w:r>
            <w:r>
              <w:rPr>
                <w:noProof/>
                <w:webHidden/>
              </w:rPr>
              <w:tab/>
            </w:r>
            <w:r>
              <w:rPr>
                <w:noProof/>
                <w:webHidden/>
              </w:rPr>
              <w:fldChar w:fldCharType="begin"/>
            </w:r>
            <w:r>
              <w:rPr>
                <w:noProof/>
                <w:webHidden/>
              </w:rPr>
              <w:instrText xml:space="preserve"> PAGEREF _Toc171949043 \h </w:instrText>
            </w:r>
            <w:r>
              <w:rPr>
                <w:noProof/>
                <w:webHidden/>
              </w:rPr>
            </w:r>
            <w:r>
              <w:rPr>
                <w:noProof/>
                <w:webHidden/>
              </w:rPr>
              <w:fldChar w:fldCharType="separate"/>
            </w:r>
            <w:r w:rsidR="000B62ED">
              <w:rPr>
                <w:noProof/>
                <w:webHidden/>
              </w:rPr>
              <w:t>63</w:t>
            </w:r>
            <w:r>
              <w:rPr>
                <w:noProof/>
                <w:webHidden/>
              </w:rPr>
              <w:fldChar w:fldCharType="end"/>
            </w:r>
          </w:hyperlink>
        </w:p>
        <w:p w14:paraId="0138619C" w14:textId="5DA78E0B" w:rsidR="008A2836" w:rsidRDefault="008A2836">
          <w:pPr>
            <w:pStyle w:val="TOC1"/>
            <w:tabs>
              <w:tab w:val="left" w:pos="720"/>
              <w:tab w:val="right" w:leader="dot" w:pos="9016"/>
            </w:tabs>
            <w:rPr>
              <w:rFonts w:asciiTheme="minorHAnsi" w:eastAsiaTheme="minorEastAsia" w:hAnsiTheme="minorHAnsi" w:cstheme="minorBidi"/>
              <w:b w:val="0"/>
              <w:noProof/>
              <w:color w:val="auto"/>
              <w:kern w:val="2"/>
              <w:sz w:val="24"/>
              <w:szCs w:val="30"/>
              <w:lang w:val="en-AU" w:eastAsia="zh-CN" w:bidi="th-TH"/>
              <w14:ligatures w14:val="standardContextual"/>
            </w:rPr>
          </w:pPr>
          <w:hyperlink w:anchor="_Toc171949044" w:history="1">
            <w:r w:rsidRPr="00CD4290">
              <w:rPr>
                <w:rStyle w:val="Hyperlink"/>
                <w:noProof/>
              </w:rPr>
              <w:t>11.</w:t>
            </w:r>
            <w:r>
              <w:rPr>
                <w:rFonts w:asciiTheme="minorHAnsi" w:eastAsiaTheme="minorEastAsia" w:hAnsiTheme="minorHAnsi" w:cstheme="minorBidi"/>
                <w:b w:val="0"/>
                <w:noProof/>
                <w:color w:val="auto"/>
                <w:kern w:val="2"/>
                <w:sz w:val="24"/>
                <w:szCs w:val="30"/>
                <w:lang w:val="en-AU" w:eastAsia="zh-CN" w:bidi="th-TH"/>
                <w14:ligatures w14:val="standardContextual"/>
              </w:rPr>
              <w:tab/>
            </w:r>
            <w:r w:rsidRPr="00CD4290">
              <w:rPr>
                <w:rStyle w:val="Hyperlink"/>
                <w:noProof/>
              </w:rPr>
              <w:t>Housing Affordability and Provision of Public Housing</w:t>
            </w:r>
            <w:r>
              <w:rPr>
                <w:noProof/>
                <w:webHidden/>
              </w:rPr>
              <w:tab/>
            </w:r>
            <w:r>
              <w:rPr>
                <w:noProof/>
                <w:webHidden/>
              </w:rPr>
              <w:fldChar w:fldCharType="begin"/>
            </w:r>
            <w:r>
              <w:rPr>
                <w:noProof/>
                <w:webHidden/>
              </w:rPr>
              <w:instrText xml:space="preserve"> PAGEREF _Toc171949044 \h </w:instrText>
            </w:r>
            <w:r>
              <w:rPr>
                <w:noProof/>
                <w:webHidden/>
              </w:rPr>
            </w:r>
            <w:r>
              <w:rPr>
                <w:noProof/>
                <w:webHidden/>
              </w:rPr>
              <w:fldChar w:fldCharType="separate"/>
            </w:r>
            <w:r w:rsidR="000B62ED">
              <w:rPr>
                <w:noProof/>
                <w:webHidden/>
              </w:rPr>
              <w:t>66</w:t>
            </w:r>
            <w:r>
              <w:rPr>
                <w:noProof/>
                <w:webHidden/>
              </w:rPr>
              <w:fldChar w:fldCharType="end"/>
            </w:r>
          </w:hyperlink>
        </w:p>
        <w:p w14:paraId="6B054DD9" w14:textId="45E5F672" w:rsidR="008A2836" w:rsidRDefault="008A2836">
          <w:pPr>
            <w:pStyle w:val="TOC2"/>
            <w:tabs>
              <w:tab w:val="left" w:pos="120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171949045" w:history="1">
            <w:r w:rsidRPr="00CD4290">
              <w:rPr>
                <w:rStyle w:val="Hyperlink"/>
                <w:noProof/>
              </w:rPr>
              <w:t>11.1</w:t>
            </w:r>
            <w:r>
              <w:rPr>
                <w:rFonts w:asciiTheme="minorHAnsi" w:eastAsiaTheme="minorEastAsia" w:hAnsiTheme="minorHAnsi" w:cstheme="minorBidi"/>
                <w:noProof/>
                <w:color w:val="auto"/>
                <w:kern w:val="2"/>
                <w:sz w:val="24"/>
                <w:szCs w:val="30"/>
                <w:lang w:val="en-AU" w:eastAsia="zh-CN" w:bidi="th-TH"/>
                <w14:ligatures w14:val="standardContextual"/>
              </w:rPr>
              <w:tab/>
            </w:r>
            <w:r w:rsidRPr="00CD4290">
              <w:rPr>
                <w:rStyle w:val="Hyperlink"/>
                <w:noProof/>
              </w:rPr>
              <w:t>Housing Affordability</w:t>
            </w:r>
            <w:r>
              <w:rPr>
                <w:noProof/>
                <w:webHidden/>
              </w:rPr>
              <w:tab/>
            </w:r>
            <w:r>
              <w:rPr>
                <w:noProof/>
                <w:webHidden/>
              </w:rPr>
              <w:fldChar w:fldCharType="begin"/>
            </w:r>
            <w:r>
              <w:rPr>
                <w:noProof/>
                <w:webHidden/>
              </w:rPr>
              <w:instrText xml:space="preserve"> PAGEREF _Toc171949045 \h </w:instrText>
            </w:r>
            <w:r>
              <w:rPr>
                <w:noProof/>
                <w:webHidden/>
              </w:rPr>
            </w:r>
            <w:r>
              <w:rPr>
                <w:noProof/>
                <w:webHidden/>
              </w:rPr>
              <w:fldChar w:fldCharType="separate"/>
            </w:r>
            <w:r w:rsidR="000B62ED">
              <w:rPr>
                <w:noProof/>
                <w:webHidden/>
              </w:rPr>
              <w:t>66</w:t>
            </w:r>
            <w:r>
              <w:rPr>
                <w:noProof/>
                <w:webHidden/>
              </w:rPr>
              <w:fldChar w:fldCharType="end"/>
            </w:r>
          </w:hyperlink>
        </w:p>
        <w:p w14:paraId="4588762B" w14:textId="1AD5BC8B" w:rsidR="008A2836" w:rsidRDefault="008A2836">
          <w:pPr>
            <w:pStyle w:val="TOC2"/>
            <w:tabs>
              <w:tab w:val="left" w:pos="120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171949046" w:history="1">
            <w:r w:rsidRPr="00CD4290">
              <w:rPr>
                <w:rStyle w:val="Hyperlink"/>
                <w:noProof/>
              </w:rPr>
              <w:t>11.2</w:t>
            </w:r>
            <w:r>
              <w:rPr>
                <w:rFonts w:asciiTheme="minorHAnsi" w:eastAsiaTheme="minorEastAsia" w:hAnsiTheme="minorHAnsi" w:cstheme="minorBidi"/>
                <w:noProof/>
                <w:color w:val="auto"/>
                <w:kern w:val="2"/>
                <w:sz w:val="24"/>
                <w:szCs w:val="30"/>
                <w:lang w:val="en-AU" w:eastAsia="zh-CN" w:bidi="th-TH"/>
                <w14:ligatures w14:val="standardContextual"/>
              </w:rPr>
              <w:tab/>
            </w:r>
            <w:r w:rsidRPr="00CD4290">
              <w:rPr>
                <w:rStyle w:val="Hyperlink"/>
                <w:noProof/>
              </w:rPr>
              <w:t>ACT public housing and population growth</w:t>
            </w:r>
            <w:r>
              <w:rPr>
                <w:noProof/>
                <w:webHidden/>
              </w:rPr>
              <w:tab/>
            </w:r>
            <w:r>
              <w:rPr>
                <w:noProof/>
                <w:webHidden/>
              </w:rPr>
              <w:fldChar w:fldCharType="begin"/>
            </w:r>
            <w:r>
              <w:rPr>
                <w:noProof/>
                <w:webHidden/>
              </w:rPr>
              <w:instrText xml:space="preserve"> PAGEREF _Toc171949046 \h </w:instrText>
            </w:r>
            <w:r>
              <w:rPr>
                <w:noProof/>
                <w:webHidden/>
              </w:rPr>
            </w:r>
            <w:r>
              <w:rPr>
                <w:noProof/>
                <w:webHidden/>
              </w:rPr>
              <w:fldChar w:fldCharType="separate"/>
            </w:r>
            <w:r w:rsidR="000B62ED">
              <w:rPr>
                <w:noProof/>
                <w:webHidden/>
              </w:rPr>
              <w:t>67</w:t>
            </w:r>
            <w:r>
              <w:rPr>
                <w:noProof/>
                <w:webHidden/>
              </w:rPr>
              <w:fldChar w:fldCharType="end"/>
            </w:r>
          </w:hyperlink>
        </w:p>
        <w:p w14:paraId="1F2A2A10" w14:textId="13E113CB" w:rsidR="008A2836" w:rsidRDefault="008A2836">
          <w:pPr>
            <w:pStyle w:val="TOC2"/>
            <w:tabs>
              <w:tab w:val="left" w:pos="120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171949047" w:history="1">
            <w:r w:rsidRPr="00CD4290">
              <w:rPr>
                <w:rStyle w:val="Hyperlink"/>
                <w:noProof/>
              </w:rPr>
              <w:t>11.2</w:t>
            </w:r>
            <w:r>
              <w:rPr>
                <w:rFonts w:asciiTheme="minorHAnsi" w:eastAsiaTheme="minorEastAsia" w:hAnsiTheme="minorHAnsi" w:cstheme="minorBidi"/>
                <w:noProof/>
                <w:color w:val="auto"/>
                <w:kern w:val="2"/>
                <w:sz w:val="24"/>
                <w:szCs w:val="30"/>
                <w:lang w:val="en-AU" w:eastAsia="zh-CN" w:bidi="th-TH"/>
                <w14:ligatures w14:val="standardContextual"/>
              </w:rPr>
              <w:tab/>
            </w:r>
            <w:r w:rsidRPr="00CD4290">
              <w:rPr>
                <w:rStyle w:val="Hyperlink"/>
                <w:noProof/>
              </w:rPr>
              <w:t>Budget measures</w:t>
            </w:r>
            <w:r>
              <w:rPr>
                <w:noProof/>
                <w:webHidden/>
              </w:rPr>
              <w:tab/>
            </w:r>
            <w:r>
              <w:rPr>
                <w:noProof/>
                <w:webHidden/>
              </w:rPr>
              <w:fldChar w:fldCharType="begin"/>
            </w:r>
            <w:r>
              <w:rPr>
                <w:noProof/>
                <w:webHidden/>
              </w:rPr>
              <w:instrText xml:space="preserve"> PAGEREF _Toc171949047 \h </w:instrText>
            </w:r>
            <w:r>
              <w:rPr>
                <w:noProof/>
                <w:webHidden/>
              </w:rPr>
            </w:r>
            <w:r>
              <w:rPr>
                <w:noProof/>
                <w:webHidden/>
              </w:rPr>
              <w:fldChar w:fldCharType="separate"/>
            </w:r>
            <w:r w:rsidR="000B62ED">
              <w:rPr>
                <w:noProof/>
                <w:webHidden/>
              </w:rPr>
              <w:t>68</w:t>
            </w:r>
            <w:r>
              <w:rPr>
                <w:noProof/>
                <w:webHidden/>
              </w:rPr>
              <w:fldChar w:fldCharType="end"/>
            </w:r>
          </w:hyperlink>
        </w:p>
        <w:p w14:paraId="2F9C6481" w14:textId="559C98EB" w:rsidR="008A2836" w:rsidRDefault="008A2836">
          <w:pPr>
            <w:pStyle w:val="TOC1"/>
            <w:tabs>
              <w:tab w:val="right" w:leader="dot" w:pos="9016"/>
            </w:tabs>
            <w:rPr>
              <w:rFonts w:asciiTheme="minorHAnsi" w:eastAsiaTheme="minorEastAsia" w:hAnsiTheme="minorHAnsi" w:cstheme="minorBidi"/>
              <w:b w:val="0"/>
              <w:noProof/>
              <w:color w:val="auto"/>
              <w:kern w:val="2"/>
              <w:sz w:val="24"/>
              <w:szCs w:val="30"/>
              <w:lang w:val="en-AU" w:eastAsia="zh-CN" w:bidi="th-TH"/>
              <w14:ligatures w14:val="standardContextual"/>
            </w:rPr>
          </w:pPr>
          <w:hyperlink w:anchor="_Toc171949048" w:history="1">
            <w:r w:rsidRPr="00CD4290">
              <w:rPr>
                <w:rStyle w:val="Hyperlink"/>
                <w:noProof/>
              </w:rPr>
              <w:t>Bibliography</w:t>
            </w:r>
            <w:r>
              <w:rPr>
                <w:noProof/>
                <w:webHidden/>
              </w:rPr>
              <w:tab/>
            </w:r>
            <w:r>
              <w:rPr>
                <w:noProof/>
                <w:webHidden/>
              </w:rPr>
              <w:fldChar w:fldCharType="begin"/>
            </w:r>
            <w:r>
              <w:rPr>
                <w:noProof/>
                <w:webHidden/>
              </w:rPr>
              <w:instrText xml:space="preserve"> PAGEREF _Toc171949048 \h </w:instrText>
            </w:r>
            <w:r>
              <w:rPr>
                <w:noProof/>
                <w:webHidden/>
              </w:rPr>
            </w:r>
            <w:r>
              <w:rPr>
                <w:noProof/>
                <w:webHidden/>
              </w:rPr>
              <w:fldChar w:fldCharType="separate"/>
            </w:r>
            <w:r w:rsidR="000B62ED">
              <w:rPr>
                <w:noProof/>
                <w:webHidden/>
              </w:rPr>
              <w:t>70</w:t>
            </w:r>
            <w:r>
              <w:rPr>
                <w:noProof/>
                <w:webHidden/>
              </w:rPr>
              <w:fldChar w:fldCharType="end"/>
            </w:r>
          </w:hyperlink>
        </w:p>
        <w:p w14:paraId="1AC0F466" w14:textId="1DC887A6" w:rsidR="00F2715A" w:rsidRDefault="00AF4AA5">
          <w:r>
            <w:rPr>
              <w:b/>
              <w:bCs/>
              <w:noProof/>
            </w:rPr>
            <w:fldChar w:fldCharType="end"/>
          </w:r>
        </w:p>
      </w:sdtContent>
    </w:sdt>
    <w:p w14:paraId="6155749C" w14:textId="711ECC58" w:rsidR="008A2836" w:rsidRDefault="00AF4AA5">
      <w:pPr>
        <w:pStyle w:val="TableofFigures"/>
        <w:tabs>
          <w:tab w:val="right" w:leader="dot" w:pos="9016"/>
        </w:tabs>
        <w:rPr>
          <w:rFonts w:eastAsiaTheme="minorEastAsia"/>
          <w:noProof/>
          <w:kern w:val="2"/>
          <w:sz w:val="24"/>
          <w:szCs w:val="30"/>
          <w:lang w:eastAsia="zh-CN" w:bidi="th-TH"/>
          <w14:ligatures w14:val="standardContextual"/>
        </w:rPr>
      </w:pPr>
      <w:r>
        <w:fldChar w:fldCharType="begin"/>
      </w:r>
      <w:r w:rsidR="00F2715A">
        <w:instrText xml:space="preserve"> TOC \h \z \c "Table" </w:instrText>
      </w:r>
      <w:r>
        <w:fldChar w:fldCharType="separate"/>
      </w:r>
      <w:hyperlink w:anchor="_Toc171949049" w:history="1">
        <w:r w:rsidR="008A2836" w:rsidRPr="00D1021B">
          <w:rPr>
            <w:rStyle w:val="Hyperlink"/>
            <w:noProof/>
          </w:rPr>
          <w:t>Table 1: Current outcomes and economic estimates and forecasts in the 2024-25 ACT Budget, percentage change</w:t>
        </w:r>
        <w:r w:rsidR="008A2836">
          <w:rPr>
            <w:noProof/>
            <w:webHidden/>
          </w:rPr>
          <w:tab/>
        </w:r>
        <w:r w:rsidR="008A2836">
          <w:rPr>
            <w:noProof/>
            <w:webHidden/>
          </w:rPr>
          <w:fldChar w:fldCharType="begin"/>
        </w:r>
        <w:r w:rsidR="008A2836">
          <w:rPr>
            <w:noProof/>
            <w:webHidden/>
          </w:rPr>
          <w:instrText xml:space="preserve"> PAGEREF _Toc171949049 \h </w:instrText>
        </w:r>
        <w:r w:rsidR="008A2836">
          <w:rPr>
            <w:noProof/>
            <w:webHidden/>
          </w:rPr>
        </w:r>
        <w:r w:rsidR="008A2836">
          <w:rPr>
            <w:noProof/>
            <w:webHidden/>
          </w:rPr>
          <w:fldChar w:fldCharType="separate"/>
        </w:r>
        <w:r w:rsidR="000B62ED">
          <w:rPr>
            <w:noProof/>
            <w:webHidden/>
          </w:rPr>
          <w:t>2</w:t>
        </w:r>
        <w:r w:rsidR="008A2836">
          <w:rPr>
            <w:noProof/>
            <w:webHidden/>
          </w:rPr>
          <w:fldChar w:fldCharType="end"/>
        </w:r>
      </w:hyperlink>
    </w:p>
    <w:p w14:paraId="26675E83" w14:textId="18B7A35A" w:rsidR="008A2836" w:rsidRDefault="008A2836">
      <w:pPr>
        <w:pStyle w:val="TableofFigures"/>
        <w:tabs>
          <w:tab w:val="right" w:leader="dot" w:pos="9016"/>
        </w:tabs>
        <w:rPr>
          <w:rFonts w:eastAsiaTheme="minorEastAsia"/>
          <w:noProof/>
          <w:kern w:val="2"/>
          <w:sz w:val="24"/>
          <w:szCs w:val="30"/>
          <w:lang w:eastAsia="zh-CN" w:bidi="th-TH"/>
          <w14:ligatures w14:val="standardContextual"/>
        </w:rPr>
      </w:pPr>
      <w:hyperlink w:anchor="_Toc171949050" w:history="1">
        <w:r w:rsidRPr="00D1021B">
          <w:rPr>
            <w:rStyle w:val="Hyperlink"/>
            <w:noProof/>
          </w:rPr>
          <w:t>Table 2: General Government Sector Headline Net Operating Balance</w:t>
        </w:r>
        <w:r>
          <w:rPr>
            <w:noProof/>
            <w:webHidden/>
          </w:rPr>
          <w:tab/>
        </w:r>
        <w:r>
          <w:rPr>
            <w:noProof/>
            <w:webHidden/>
          </w:rPr>
          <w:fldChar w:fldCharType="begin"/>
        </w:r>
        <w:r>
          <w:rPr>
            <w:noProof/>
            <w:webHidden/>
          </w:rPr>
          <w:instrText xml:space="preserve"> PAGEREF _Toc171949050 \h </w:instrText>
        </w:r>
        <w:r>
          <w:rPr>
            <w:noProof/>
            <w:webHidden/>
          </w:rPr>
        </w:r>
        <w:r>
          <w:rPr>
            <w:noProof/>
            <w:webHidden/>
          </w:rPr>
          <w:fldChar w:fldCharType="separate"/>
        </w:r>
        <w:r w:rsidR="000B62ED">
          <w:rPr>
            <w:noProof/>
            <w:webHidden/>
          </w:rPr>
          <w:t>11</w:t>
        </w:r>
        <w:r>
          <w:rPr>
            <w:noProof/>
            <w:webHidden/>
          </w:rPr>
          <w:fldChar w:fldCharType="end"/>
        </w:r>
      </w:hyperlink>
    </w:p>
    <w:p w14:paraId="66A19942" w14:textId="7105E017" w:rsidR="008A2836" w:rsidRDefault="008A2836">
      <w:pPr>
        <w:pStyle w:val="TableofFigures"/>
        <w:tabs>
          <w:tab w:val="right" w:leader="dot" w:pos="9016"/>
        </w:tabs>
        <w:rPr>
          <w:rFonts w:eastAsiaTheme="minorEastAsia"/>
          <w:noProof/>
          <w:kern w:val="2"/>
          <w:sz w:val="24"/>
          <w:szCs w:val="30"/>
          <w:lang w:eastAsia="zh-CN" w:bidi="th-TH"/>
          <w14:ligatures w14:val="standardContextual"/>
        </w:rPr>
      </w:pPr>
      <w:hyperlink w:anchor="_Toc171949051" w:history="1">
        <w:r w:rsidRPr="00D1021B">
          <w:rPr>
            <w:rStyle w:val="Hyperlink"/>
            <w:noProof/>
          </w:rPr>
          <w:t>Table 3: General Government Sector Key Balance Sheet Measures</w:t>
        </w:r>
        <w:r>
          <w:rPr>
            <w:noProof/>
            <w:webHidden/>
          </w:rPr>
          <w:tab/>
        </w:r>
        <w:r>
          <w:rPr>
            <w:noProof/>
            <w:webHidden/>
          </w:rPr>
          <w:fldChar w:fldCharType="begin"/>
        </w:r>
        <w:r>
          <w:rPr>
            <w:noProof/>
            <w:webHidden/>
          </w:rPr>
          <w:instrText xml:space="preserve"> PAGEREF _Toc171949051 \h </w:instrText>
        </w:r>
        <w:r>
          <w:rPr>
            <w:noProof/>
            <w:webHidden/>
          </w:rPr>
        </w:r>
        <w:r>
          <w:rPr>
            <w:noProof/>
            <w:webHidden/>
          </w:rPr>
          <w:fldChar w:fldCharType="separate"/>
        </w:r>
        <w:r w:rsidR="000B62ED">
          <w:rPr>
            <w:noProof/>
            <w:webHidden/>
          </w:rPr>
          <w:t>14</w:t>
        </w:r>
        <w:r>
          <w:rPr>
            <w:noProof/>
            <w:webHidden/>
          </w:rPr>
          <w:fldChar w:fldCharType="end"/>
        </w:r>
      </w:hyperlink>
    </w:p>
    <w:p w14:paraId="608178BA" w14:textId="147D6FB4" w:rsidR="008A2836" w:rsidRDefault="008A2836">
      <w:pPr>
        <w:pStyle w:val="TableofFigures"/>
        <w:tabs>
          <w:tab w:val="right" w:leader="dot" w:pos="9016"/>
        </w:tabs>
        <w:rPr>
          <w:rFonts w:eastAsiaTheme="minorEastAsia"/>
          <w:noProof/>
          <w:kern w:val="2"/>
          <w:sz w:val="24"/>
          <w:szCs w:val="30"/>
          <w:lang w:eastAsia="zh-CN" w:bidi="th-TH"/>
          <w14:ligatures w14:val="standardContextual"/>
        </w:rPr>
      </w:pPr>
      <w:hyperlink w:anchor="_Toc171949052" w:history="1">
        <w:r w:rsidRPr="00D1021B">
          <w:rPr>
            <w:rStyle w:val="Hyperlink"/>
            <w:noProof/>
          </w:rPr>
          <w:t>Table 4: Long-term credit rating as reported by States and Territories, 2023-24</w:t>
        </w:r>
        <w:r>
          <w:rPr>
            <w:noProof/>
            <w:webHidden/>
          </w:rPr>
          <w:tab/>
        </w:r>
        <w:r>
          <w:rPr>
            <w:noProof/>
            <w:webHidden/>
          </w:rPr>
          <w:fldChar w:fldCharType="begin"/>
        </w:r>
        <w:r>
          <w:rPr>
            <w:noProof/>
            <w:webHidden/>
          </w:rPr>
          <w:instrText xml:space="preserve"> PAGEREF _Toc171949052 \h </w:instrText>
        </w:r>
        <w:r>
          <w:rPr>
            <w:noProof/>
            <w:webHidden/>
          </w:rPr>
        </w:r>
        <w:r>
          <w:rPr>
            <w:noProof/>
            <w:webHidden/>
          </w:rPr>
          <w:fldChar w:fldCharType="separate"/>
        </w:r>
        <w:r w:rsidR="000B62ED">
          <w:rPr>
            <w:noProof/>
            <w:webHidden/>
          </w:rPr>
          <w:t>19</w:t>
        </w:r>
        <w:r>
          <w:rPr>
            <w:noProof/>
            <w:webHidden/>
          </w:rPr>
          <w:fldChar w:fldCharType="end"/>
        </w:r>
      </w:hyperlink>
    </w:p>
    <w:p w14:paraId="62016C28" w14:textId="5EC556DD" w:rsidR="008A2836" w:rsidRDefault="008A2836">
      <w:pPr>
        <w:pStyle w:val="TableofFigures"/>
        <w:tabs>
          <w:tab w:val="right" w:leader="dot" w:pos="9016"/>
        </w:tabs>
        <w:rPr>
          <w:rFonts w:eastAsiaTheme="minorEastAsia"/>
          <w:noProof/>
          <w:kern w:val="2"/>
          <w:sz w:val="24"/>
          <w:szCs w:val="30"/>
          <w:lang w:eastAsia="zh-CN" w:bidi="th-TH"/>
          <w14:ligatures w14:val="standardContextual"/>
        </w:rPr>
      </w:pPr>
      <w:hyperlink w:anchor="_Toc171949053" w:history="1">
        <w:r w:rsidRPr="00D1021B">
          <w:rPr>
            <w:rStyle w:val="Hyperlink"/>
            <w:noProof/>
          </w:rPr>
          <w:t>Table 5: Dividends and Tax Equivalents</w:t>
        </w:r>
        <w:r>
          <w:rPr>
            <w:noProof/>
            <w:webHidden/>
          </w:rPr>
          <w:tab/>
        </w:r>
        <w:r>
          <w:rPr>
            <w:noProof/>
            <w:webHidden/>
          </w:rPr>
          <w:fldChar w:fldCharType="begin"/>
        </w:r>
        <w:r>
          <w:rPr>
            <w:noProof/>
            <w:webHidden/>
          </w:rPr>
          <w:instrText xml:space="preserve"> PAGEREF _Toc171949053 \h </w:instrText>
        </w:r>
        <w:r>
          <w:rPr>
            <w:noProof/>
            <w:webHidden/>
          </w:rPr>
        </w:r>
        <w:r>
          <w:rPr>
            <w:noProof/>
            <w:webHidden/>
          </w:rPr>
          <w:fldChar w:fldCharType="separate"/>
        </w:r>
        <w:r w:rsidR="000B62ED">
          <w:rPr>
            <w:noProof/>
            <w:webHidden/>
          </w:rPr>
          <w:t>27</w:t>
        </w:r>
        <w:r>
          <w:rPr>
            <w:noProof/>
            <w:webHidden/>
          </w:rPr>
          <w:fldChar w:fldCharType="end"/>
        </w:r>
      </w:hyperlink>
    </w:p>
    <w:p w14:paraId="6B9F2CA5" w14:textId="10B59ECB" w:rsidR="008A2836" w:rsidRDefault="008A2836">
      <w:pPr>
        <w:pStyle w:val="TableofFigures"/>
        <w:tabs>
          <w:tab w:val="right" w:leader="dot" w:pos="9016"/>
        </w:tabs>
        <w:rPr>
          <w:rFonts w:eastAsiaTheme="minorEastAsia"/>
          <w:noProof/>
          <w:kern w:val="2"/>
          <w:sz w:val="24"/>
          <w:szCs w:val="30"/>
          <w:lang w:eastAsia="zh-CN" w:bidi="th-TH"/>
          <w14:ligatures w14:val="standardContextual"/>
        </w:rPr>
      </w:pPr>
      <w:hyperlink w:anchor="_Toc171949054" w:history="1">
        <w:r w:rsidRPr="00D1021B">
          <w:rPr>
            <w:rStyle w:val="Hyperlink"/>
            <w:noProof/>
          </w:rPr>
          <w:t>Table 6: Budget and forecast expenses</w:t>
        </w:r>
        <w:r>
          <w:rPr>
            <w:noProof/>
            <w:webHidden/>
          </w:rPr>
          <w:tab/>
        </w:r>
        <w:r>
          <w:rPr>
            <w:noProof/>
            <w:webHidden/>
          </w:rPr>
          <w:fldChar w:fldCharType="begin"/>
        </w:r>
        <w:r>
          <w:rPr>
            <w:noProof/>
            <w:webHidden/>
          </w:rPr>
          <w:instrText xml:space="preserve"> PAGEREF _Toc171949054 \h </w:instrText>
        </w:r>
        <w:r>
          <w:rPr>
            <w:noProof/>
            <w:webHidden/>
          </w:rPr>
        </w:r>
        <w:r>
          <w:rPr>
            <w:noProof/>
            <w:webHidden/>
          </w:rPr>
          <w:fldChar w:fldCharType="separate"/>
        </w:r>
        <w:r w:rsidR="000B62ED">
          <w:rPr>
            <w:noProof/>
            <w:webHidden/>
          </w:rPr>
          <w:t>30</w:t>
        </w:r>
        <w:r>
          <w:rPr>
            <w:noProof/>
            <w:webHidden/>
          </w:rPr>
          <w:fldChar w:fldCharType="end"/>
        </w:r>
      </w:hyperlink>
    </w:p>
    <w:p w14:paraId="5480A848" w14:textId="75F4D4BF" w:rsidR="008A2836" w:rsidRDefault="008A2836">
      <w:pPr>
        <w:pStyle w:val="TableofFigures"/>
        <w:tabs>
          <w:tab w:val="right" w:leader="dot" w:pos="9016"/>
        </w:tabs>
        <w:rPr>
          <w:rFonts w:eastAsiaTheme="minorEastAsia"/>
          <w:noProof/>
          <w:kern w:val="2"/>
          <w:sz w:val="24"/>
          <w:szCs w:val="30"/>
          <w:lang w:eastAsia="zh-CN" w:bidi="th-TH"/>
          <w14:ligatures w14:val="standardContextual"/>
        </w:rPr>
      </w:pPr>
      <w:hyperlink w:anchor="_Toc171949055" w:history="1">
        <w:r w:rsidRPr="00D1021B">
          <w:rPr>
            <w:rStyle w:val="Hyperlink"/>
            <w:noProof/>
          </w:rPr>
          <w:t>Table 7: New capital, expenses and revenue initiatives, Budget and forecast years, by primary domain ($000)</w:t>
        </w:r>
        <w:r>
          <w:rPr>
            <w:noProof/>
            <w:webHidden/>
          </w:rPr>
          <w:tab/>
        </w:r>
        <w:r>
          <w:rPr>
            <w:noProof/>
            <w:webHidden/>
          </w:rPr>
          <w:fldChar w:fldCharType="begin"/>
        </w:r>
        <w:r>
          <w:rPr>
            <w:noProof/>
            <w:webHidden/>
          </w:rPr>
          <w:instrText xml:space="preserve"> PAGEREF _Toc171949055 \h </w:instrText>
        </w:r>
        <w:r>
          <w:rPr>
            <w:noProof/>
            <w:webHidden/>
          </w:rPr>
        </w:r>
        <w:r>
          <w:rPr>
            <w:noProof/>
            <w:webHidden/>
          </w:rPr>
          <w:fldChar w:fldCharType="separate"/>
        </w:r>
        <w:r w:rsidR="000B62ED">
          <w:rPr>
            <w:noProof/>
            <w:webHidden/>
          </w:rPr>
          <w:t>40</w:t>
        </w:r>
        <w:r>
          <w:rPr>
            <w:noProof/>
            <w:webHidden/>
          </w:rPr>
          <w:fldChar w:fldCharType="end"/>
        </w:r>
      </w:hyperlink>
    </w:p>
    <w:p w14:paraId="66C4B330" w14:textId="313E8228" w:rsidR="008A2836" w:rsidRDefault="008A2836">
      <w:pPr>
        <w:pStyle w:val="TableofFigures"/>
        <w:tabs>
          <w:tab w:val="right" w:leader="dot" w:pos="9016"/>
        </w:tabs>
        <w:rPr>
          <w:rFonts w:eastAsiaTheme="minorEastAsia"/>
          <w:noProof/>
          <w:kern w:val="2"/>
          <w:sz w:val="24"/>
          <w:szCs w:val="30"/>
          <w:lang w:eastAsia="zh-CN" w:bidi="th-TH"/>
          <w14:ligatures w14:val="standardContextual"/>
        </w:rPr>
      </w:pPr>
      <w:hyperlink w:anchor="_Toc171949056" w:history="1">
        <w:r w:rsidRPr="00D1021B">
          <w:rPr>
            <w:rStyle w:val="Hyperlink"/>
            <w:noProof/>
          </w:rPr>
          <w:t>Table 8: New initiatives - Budget and forecast years, expenses, offsets, and savings ($000)</w:t>
        </w:r>
        <w:r>
          <w:rPr>
            <w:noProof/>
            <w:webHidden/>
          </w:rPr>
          <w:tab/>
        </w:r>
        <w:r>
          <w:rPr>
            <w:noProof/>
            <w:webHidden/>
          </w:rPr>
          <w:fldChar w:fldCharType="begin"/>
        </w:r>
        <w:r>
          <w:rPr>
            <w:noProof/>
            <w:webHidden/>
          </w:rPr>
          <w:instrText xml:space="preserve"> PAGEREF _Toc171949056 \h </w:instrText>
        </w:r>
        <w:r>
          <w:rPr>
            <w:noProof/>
            <w:webHidden/>
          </w:rPr>
        </w:r>
        <w:r>
          <w:rPr>
            <w:noProof/>
            <w:webHidden/>
          </w:rPr>
          <w:fldChar w:fldCharType="separate"/>
        </w:r>
        <w:r w:rsidR="000B62ED">
          <w:rPr>
            <w:noProof/>
            <w:webHidden/>
          </w:rPr>
          <w:t>42</w:t>
        </w:r>
        <w:r>
          <w:rPr>
            <w:noProof/>
            <w:webHidden/>
          </w:rPr>
          <w:fldChar w:fldCharType="end"/>
        </w:r>
      </w:hyperlink>
    </w:p>
    <w:p w14:paraId="231B1AE5" w14:textId="0A4B411C" w:rsidR="008A2836" w:rsidRDefault="008A2836">
      <w:pPr>
        <w:pStyle w:val="TableofFigures"/>
        <w:tabs>
          <w:tab w:val="right" w:leader="dot" w:pos="9016"/>
        </w:tabs>
        <w:rPr>
          <w:rFonts w:eastAsiaTheme="minorEastAsia"/>
          <w:noProof/>
          <w:kern w:val="2"/>
          <w:sz w:val="24"/>
          <w:szCs w:val="30"/>
          <w:lang w:eastAsia="zh-CN" w:bidi="th-TH"/>
          <w14:ligatures w14:val="standardContextual"/>
        </w:rPr>
      </w:pPr>
      <w:hyperlink w:anchor="_Toc171949057" w:history="1">
        <w:r w:rsidRPr="00D1021B">
          <w:rPr>
            <w:rStyle w:val="Hyperlink"/>
            <w:noProof/>
          </w:rPr>
          <w:t>Table 9: Summary of Infrastructure Investment Program – 2024-25 to 2028-29</w:t>
        </w:r>
        <w:r>
          <w:rPr>
            <w:noProof/>
            <w:webHidden/>
          </w:rPr>
          <w:tab/>
        </w:r>
        <w:r>
          <w:rPr>
            <w:noProof/>
            <w:webHidden/>
          </w:rPr>
          <w:fldChar w:fldCharType="begin"/>
        </w:r>
        <w:r>
          <w:rPr>
            <w:noProof/>
            <w:webHidden/>
          </w:rPr>
          <w:instrText xml:space="preserve"> PAGEREF _Toc171949057 \h </w:instrText>
        </w:r>
        <w:r>
          <w:rPr>
            <w:noProof/>
            <w:webHidden/>
          </w:rPr>
        </w:r>
        <w:r>
          <w:rPr>
            <w:noProof/>
            <w:webHidden/>
          </w:rPr>
          <w:fldChar w:fldCharType="separate"/>
        </w:r>
        <w:r w:rsidR="000B62ED">
          <w:rPr>
            <w:noProof/>
            <w:webHidden/>
          </w:rPr>
          <w:t>44</w:t>
        </w:r>
        <w:r>
          <w:rPr>
            <w:noProof/>
            <w:webHidden/>
          </w:rPr>
          <w:fldChar w:fldCharType="end"/>
        </w:r>
      </w:hyperlink>
    </w:p>
    <w:p w14:paraId="61E39097" w14:textId="17A73178" w:rsidR="008A2836" w:rsidRDefault="008A2836">
      <w:pPr>
        <w:pStyle w:val="TableofFigures"/>
        <w:tabs>
          <w:tab w:val="right" w:leader="dot" w:pos="9016"/>
        </w:tabs>
        <w:rPr>
          <w:rFonts w:eastAsiaTheme="minorEastAsia"/>
          <w:noProof/>
          <w:kern w:val="2"/>
          <w:sz w:val="24"/>
          <w:szCs w:val="30"/>
          <w:lang w:eastAsia="zh-CN" w:bidi="th-TH"/>
          <w14:ligatures w14:val="standardContextual"/>
        </w:rPr>
      </w:pPr>
      <w:hyperlink w:anchor="_Toc171949058" w:history="1">
        <w:r w:rsidRPr="00D1021B">
          <w:rPr>
            <w:rStyle w:val="Hyperlink"/>
            <w:noProof/>
          </w:rPr>
          <w:t>Table 10: Impact of a 1 percentage point decrease in the discount rate on superannuation liability</w:t>
        </w:r>
        <w:r>
          <w:rPr>
            <w:noProof/>
            <w:webHidden/>
          </w:rPr>
          <w:tab/>
        </w:r>
        <w:r>
          <w:rPr>
            <w:noProof/>
            <w:webHidden/>
          </w:rPr>
          <w:fldChar w:fldCharType="begin"/>
        </w:r>
        <w:r>
          <w:rPr>
            <w:noProof/>
            <w:webHidden/>
          </w:rPr>
          <w:instrText xml:space="preserve"> PAGEREF _Toc171949058 \h </w:instrText>
        </w:r>
        <w:r>
          <w:rPr>
            <w:noProof/>
            <w:webHidden/>
          </w:rPr>
        </w:r>
        <w:r>
          <w:rPr>
            <w:noProof/>
            <w:webHidden/>
          </w:rPr>
          <w:fldChar w:fldCharType="separate"/>
        </w:r>
        <w:r w:rsidR="000B62ED">
          <w:rPr>
            <w:noProof/>
            <w:webHidden/>
          </w:rPr>
          <w:t>60</w:t>
        </w:r>
        <w:r>
          <w:rPr>
            <w:noProof/>
            <w:webHidden/>
          </w:rPr>
          <w:fldChar w:fldCharType="end"/>
        </w:r>
      </w:hyperlink>
    </w:p>
    <w:p w14:paraId="722EE30B" w14:textId="1370B26A" w:rsidR="008A2836" w:rsidRDefault="008A2836">
      <w:pPr>
        <w:pStyle w:val="TableofFigures"/>
        <w:tabs>
          <w:tab w:val="right" w:leader="dot" w:pos="9016"/>
        </w:tabs>
        <w:rPr>
          <w:rFonts w:eastAsiaTheme="minorEastAsia"/>
          <w:noProof/>
          <w:kern w:val="2"/>
          <w:sz w:val="24"/>
          <w:szCs w:val="30"/>
          <w:lang w:eastAsia="zh-CN" w:bidi="th-TH"/>
          <w14:ligatures w14:val="standardContextual"/>
        </w:rPr>
      </w:pPr>
      <w:hyperlink w:anchor="_Toc171949059" w:history="1">
        <w:r w:rsidRPr="00D1021B">
          <w:rPr>
            <w:rStyle w:val="Hyperlink"/>
            <w:noProof/>
          </w:rPr>
          <w:t>Table 11: Impact of a 1 percentage point decrease in the discount rate on superannuation expense</w:t>
        </w:r>
        <w:r>
          <w:rPr>
            <w:noProof/>
            <w:webHidden/>
          </w:rPr>
          <w:tab/>
        </w:r>
        <w:r>
          <w:rPr>
            <w:noProof/>
            <w:webHidden/>
          </w:rPr>
          <w:fldChar w:fldCharType="begin"/>
        </w:r>
        <w:r>
          <w:rPr>
            <w:noProof/>
            <w:webHidden/>
          </w:rPr>
          <w:instrText xml:space="preserve"> PAGEREF _Toc171949059 \h </w:instrText>
        </w:r>
        <w:r>
          <w:rPr>
            <w:noProof/>
            <w:webHidden/>
          </w:rPr>
        </w:r>
        <w:r>
          <w:rPr>
            <w:noProof/>
            <w:webHidden/>
          </w:rPr>
          <w:fldChar w:fldCharType="separate"/>
        </w:r>
        <w:r w:rsidR="000B62ED">
          <w:rPr>
            <w:noProof/>
            <w:webHidden/>
          </w:rPr>
          <w:t>60</w:t>
        </w:r>
        <w:r>
          <w:rPr>
            <w:noProof/>
            <w:webHidden/>
          </w:rPr>
          <w:fldChar w:fldCharType="end"/>
        </w:r>
      </w:hyperlink>
    </w:p>
    <w:p w14:paraId="6E488523" w14:textId="0BC9164F" w:rsidR="005E4723" w:rsidRDefault="00AF4AA5">
      <w:r>
        <w:fldChar w:fldCharType="end"/>
      </w:r>
    </w:p>
    <w:p w14:paraId="7DEDA00E" w14:textId="76876480" w:rsidR="008A2836" w:rsidRDefault="00AF4AA5">
      <w:pPr>
        <w:pStyle w:val="TableofFigures"/>
        <w:tabs>
          <w:tab w:val="right" w:leader="dot" w:pos="9016"/>
        </w:tabs>
        <w:rPr>
          <w:rFonts w:eastAsiaTheme="minorEastAsia"/>
          <w:noProof/>
          <w:kern w:val="2"/>
          <w:sz w:val="24"/>
          <w:szCs w:val="30"/>
          <w:lang w:eastAsia="zh-CN" w:bidi="th-TH"/>
          <w14:ligatures w14:val="standardContextual"/>
        </w:rPr>
      </w:pPr>
      <w:r>
        <w:fldChar w:fldCharType="begin"/>
      </w:r>
      <w:r w:rsidR="00F2715A">
        <w:instrText xml:space="preserve"> TOC \h \z \c "Figure" </w:instrText>
      </w:r>
      <w:r>
        <w:fldChar w:fldCharType="separate"/>
      </w:r>
      <w:hyperlink w:anchor="_Toc171949060" w:history="1">
        <w:r w:rsidR="008A2836" w:rsidRPr="00765985">
          <w:rPr>
            <w:rStyle w:val="Hyperlink"/>
            <w:noProof/>
          </w:rPr>
          <w:t>Figure 1: Comparison of Gross State Product (GSP) with Final Demand for the ACT – 2009-10 to 2022-23 ($ million)</w:t>
        </w:r>
        <w:r w:rsidR="008A2836">
          <w:rPr>
            <w:noProof/>
            <w:webHidden/>
          </w:rPr>
          <w:tab/>
        </w:r>
        <w:r w:rsidR="008A2836">
          <w:rPr>
            <w:noProof/>
            <w:webHidden/>
          </w:rPr>
          <w:fldChar w:fldCharType="begin"/>
        </w:r>
        <w:r w:rsidR="008A2836">
          <w:rPr>
            <w:noProof/>
            <w:webHidden/>
          </w:rPr>
          <w:instrText xml:space="preserve"> PAGEREF _Toc171949060 \h </w:instrText>
        </w:r>
        <w:r w:rsidR="008A2836">
          <w:rPr>
            <w:noProof/>
            <w:webHidden/>
          </w:rPr>
        </w:r>
        <w:r w:rsidR="008A2836">
          <w:rPr>
            <w:noProof/>
            <w:webHidden/>
          </w:rPr>
          <w:fldChar w:fldCharType="separate"/>
        </w:r>
        <w:r w:rsidR="000B62ED">
          <w:rPr>
            <w:noProof/>
            <w:webHidden/>
          </w:rPr>
          <w:t>3</w:t>
        </w:r>
        <w:r w:rsidR="008A2836">
          <w:rPr>
            <w:noProof/>
            <w:webHidden/>
          </w:rPr>
          <w:fldChar w:fldCharType="end"/>
        </w:r>
      </w:hyperlink>
    </w:p>
    <w:p w14:paraId="202238C4" w14:textId="5EEA9868" w:rsidR="008A2836" w:rsidRDefault="008A2836">
      <w:pPr>
        <w:pStyle w:val="TableofFigures"/>
        <w:tabs>
          <w:tab w:val="right" w:leader="dot" w:pos="9016"/>
        </w:tabs>
        <w:rPr>
          <w:rFonts w:eastAsiaTheme="minorEastAsia"/>
          <w:noProof/>
          <w:kern w:val="2"/>
          <w:sz w:val="24"/>
          <w:szCs w:val="30"/>
          <w:lang w:eastAsia="zh-CN" w:bidi="th-TH"/>
          <w14:ligatures w14:val="standardContextual"/>
        </w:rPr>
      </w:pPr>
      <w:hyperlink w:anchor="_Toc171949061" w:history="1">
        <w:r w:rsidRPr="00765985">
          <w:rPr>
            <w:rStyle w:val="Hyperlink"/>
            <w:noProof/>
          </w:rPr>
          <w:t>Figure 2: Components of Final Demand for the New South Wales and ACT economies, year ended March 2024</w:t>
        </w:r>
        <w:r>
          <w:rPr>
            <w:noProof/>
            <w:webHidden/>
          </w:rPr>
          <w:tab/>
        </w:r>
        <w:r>
          <w:rPr>
            <w:noProof/>
            <w:webHidden/>
          </w:rPr>
          <w:fldChar w:fldCharType="begin"/>
        </w:r>
        <w:r>
          <w:rPr>
            <w:noProof/>
            <w:webHidden/>
          </w:rPr>
          <w:instrText xml:space="preserve"> PAGEREF _Toc171949061 \h </w:instrText>
        </w:r>
        <w:r>
          <w:rPr>
            <w:noProof/>
            <w:webHidden/>
          </w:rPr>
        </w:r>
        <w:r>
          <w:rPr>
            <w:noProof/>
            <w:webHidden/>
          </w:rPr>
          <w:fldChar w:fldCharType="separate"/>
        </w:r>
        <w:r w:rsidR="000B62ED">
          <w:rPr>
            <w:noProof/>
            <w:webHidden/>
          </w:rPr>
          <w:t>5</w:t>
        </w:r>
        <w:r>
          <w:rPr>
            <w:noProof/>
            <w:webHidden/>
          </w:rPr>
          <w:fldChar w:fldCharType="end"/>
        </w:r>
      </w:hyperlink>
    </w:p>
    <w:p w14:paraId="5BE87E75" w14:textId="517B40F8" w:rsidR="008A2836" w:rsidRDefault="008A2836">
      <w:pPr>
        <w:pStyle w:val="TableofFigures"/>
        <w:tabs>
          <w:tab w:val="right" w:leader="dot" w:pos="9016"/>
        </w:tabs>
        <w:rPr>
          <w:rFonts w:eastAsiaTheme="minorEastAsia"/>
          <w:noProof/>
          <w:kern w:val="2"/>
          <w:sz w:val="24"/>
          <w:szCs w:val="30"/>
          <w:lang w:eastAsia="zh-CN" w:bidi="th-TH"/>
          <w14:ligatures w14:val="standardContextual"/>
        </w:rPr>
      </w:pPr>
      <w:hyperlink w:anchor="_Toc171949062" w:history="1">
        <w:r w:rsidRPr="00765985">
          <w:rPr>
            <w:rStyle w:val="Hyperlink"/>
            <w:noProof/>
          </w:rPr>
          <w:t>Figure 3: Relative shares of ACT Final Demand – 2013-14 to 2023-24*</w:t>
        </w:r>
        <w:r>
          <w:rPr>
            <w:noProof/>
            <w:webHidden/>
          </w:rPr>
          <w:tab/>
        </w:r>
        <w:r>
          <w:rPr>
            <w:noProof/>
            <w:webHidden/>
          </w:rPr>
          <w:fldChar w:fldCharType="begin"/>
        </w:r>
        <w:r>
          <w:rPr>
            <w:noProof/>
            <w:webHidden/>
          </w:rPr>
          <w:instrText xml:space="preserve"> PAGEREF _Toc171949062 \h </w:instrText>
        </w:r>
        <w:r>
          <w:rPr>
            <w:noProof/>
            <w:webHidden/>
          </w:rPr>
        </w:r>
        <w:r>
          <w:rPr>
            <w:noProof/>
            <w:webHidden/>
          </w:rPr>
          <w:fldChar w:fldCharType="separate"/>
        </w:r>
        <w:r w:rsidR="000B62ED">
          <w:rPr>
            <w:noProof/>
            <w:webHidden/>
          </w:rPr>
          <w:t>5</w:t>
        </w:r>
        <w:r>
          <w:rPr>
            <w:noProof/>
            <w:webHidden/>
          </w:rPr>
          <w:fldChar w:fldCharType="end"/>
        </w:r>
      </w:hyperlink>
    </w:p>
    <w:p w14:paraId="014844BF" w14:textId="2411B41F" w:rsidR="008A2836" w:rsidRDefault="008A2836">
      <w:pPr>
        <w:pStyle w:val="TableofFigures"/>
        <w:tabs>
          <w:tab w:val="right" w:leader="dot" w:pos="9016"/>
        </w:tabs>
        <w:rPr>
          <w:rFonts w:eastAsiaTheme="minorEastAsia"/>
          <w:noProof/>
          <w:kern w:val="2"/>
          <w:sz w:val="24"/>
          <w:szCs w:val="30"/>
          <w:lang w:eastAsia="zh-CN" w:bidi="th-TH"/>
          <w14:ligatures w14:val="standardContextual"/>
        </w:rPr>
      </w:pPr>
      <w:hyperlink w:anchor="_Toc171949063" w:history="1">
        <w:r w:rsidRPr="00765985">
          <w:rPr>
            <w:rStyle w:val="Hyperlink"/>
            <w:noProof/>
          </w:rPr>
          <w:t>Figure 4: Percentage of ACT Final Demand made up by the Public Sector (Commonwealth and ACT Government) – 2013-14 to 2023-24*</w:t>
        </w:r>
        <w:r>
          <w:rPr>
            <w:noProof/>
            <w:webHidden/>
          </w:rPr>
          <w:tab/>
        </w:r>
        <w:r>
          <w:rPr>
            <w:noProof/>
            <w:webHidden/>
          </w:rPr>
          <w:fldChar w:fldCharType="begin"/>
        </w:r>
        <w:r>
          <w:rPr>
            <w:noProof/>
            <w:webHidden/>
          </w:rPr>
          <w:instrText xml:space="preserve"> PAGEREF _Toc171949063 \h </w:instrText>
        </w:r>
        <w:r>
          <w:rPr>
            <w:noProof/>
            <w:webHidden/>
          </w:rPr>
        </w:r>
        <w:r>
          <w:rPr>
            <w:noProof/>
            <w:webHidden/>
          </w:rPr>
          <w:fldChar w:fldCharType="separate"/>
        </w:r>
        <w:r w:rsidR="000B62ED">
          <w:rPr>
            <w:noProof/>
            <w:webHidden/>
          </w:rPr>
          <w:t>6</w:t>
        </w:r>
        <w:r>
          <w:rPr>
            <w:noProof/>
            <w:webHidden/>
          </w:rPr>
          <w:fldChar w:fldCharType="end"/>
        </w:r>
      </w:hyperlink>
    </w:p>
    <w:p w14:paraId="4C81F8A0" w14:textId="38BCDD5F" w:rsidR="008A2836" w:rsidRDefault="008A2836">
      <w:pPr>
        <w:pStyle w:val="TableofFigures"/>
        <w:tabs>
          <w:tab w:val="right" w:leader="dot" w:pos="9016"/>
        </w:tabs>
        <w:rPr>
          <w:rFonts w:eastAsiaTheme="minorEastAsia"/>
          <w:noProof/>
          <w:kern w:val="2"/>
          <w:sz w:val="24"/>
          <w:szCs w:val="30"/>
          <w:lang w:eastAsia="zh-CN" w:bidi="th-TH"/>
          <w14:ligatures w14:val="standardContextual"/>
        </w:rPr>
      </w:pPr>
      <w:hyperlink w:anchor="_Toc171949064" w:history="1">
        <w:r w:rsidRPr="00765985">
          <w:rPr>
            <w:rStyle w:val="Hyperlink"/>
            <w:noProof/>
          </w:rPr>
          <w:t>Figure 5: Number of Businesses Operating in the ACT – June 2015 to June 2023</w:t>
        </w:r>
        <w:r>
          <w:rPr>
            <w:noProof/>
            <w:webHidden/>
          </w:rPr>
          <w:tab/>
        </w:r>
        <w:r>
          <w:rPr>
            <w:noProof/>
            <w:webHidden/>
          </w:rPr>
          <w:fldChar w:fldCharType="begin"/>
        </w:r>
        <w:r>
          <w:rPr>
            <w:noProof/>
            <w:webHidden/>
          </w:rPr>
          <w:instrText xml:space="preserve"> PAGEREF _Toc171949064 \h </w:instrText>
        </w:r>
        <w:r>
          <w:rPr>
            <w:noProof/>
            <w:webHidden/>
          </w:rPr>
        </w:r>
        <w:r>
          <w:rPr>
            <w:noProof/>
            <w:webHidden/>
          </w:rPr>
          <w:fldChar w:fldCharType="separate"/>
        </w:r>
        <w:r w:rsidR="000B62ED">
          <w:rPr>
            <w:noProof/>
            <w:webHidden/>
          </w:rPr>
          <w:t>7</w:t>
        </w:r>
        <w:r>
          <w:rPr>
            <w:noProof/>
            <w:webHidden/>
          </w:rPr>
          <w:fldChar w:fldCharType="end"/>
        </w:r>
      </w:hyperlink>
    </w:p>
    <w:p w14:paraId="312BF688" w14:textId="54B3D361" w:rsidR="008A2836" w:rsidRDefault="008A2836">
      <w:pPr>
        <w:pStyle w:val="TableofFigures"/>
        <w:tabs>
          <w:tab w:val="right" w:leader="dot" w:pos="9016"/>
        </w:tabs>
        <w:rPr>
          <w:rFonts w:eastAsiaTheme="minorEastAsia"/>
          <w:noProof/>
          <w:kern w:val="2"/>
          <w:sz w:val="24"/>
          <w:szCs w:val="30"/>
          <w:lang w:eastAsia="zh-CN" w:bidi="th-TH"/>
          <w14:ligatures w14:val="standardContextual"/>
        </w:rPr>
      </w:pPr>
      <w:hyperlink w:anchor="_Toc171949065" w:history="1">
        <w:r w:rsidRPr="00765985">
          <w:rPr>
            <w:rStyle w:val="Hyperlink"/>
            <w:noProof/>
          </w:rPr>
          <w:t>Figure 6: Business Survival Rate for All Businesses Operating at 30 June 2019</w:t>
        </w:r>
        <w:r>
          <w:rPr>
            <w:noProof/>
            <w:webHidden/>
          </w:rPr>
          <w:tab/>
        </w:r>
        <w:r>
          <w:rPr>
            <w:noProof/>
            <w:webHidden/>
          </w:rPr>
          <w:fldChar w:fldCharType="begin"/>
        </w:r>
        <w:r>
          <w:rPr>
            <w:noProof/>
            <w:webHidden/>
          </w:rPr>
          <w:instrText xml:space="preserve"> PAGEREF _Toc171949065 \h </w:instrText>
        </w:r>
        <w:r>
          <w:rPr>
            <w:noProof/>
            <w:webHidden/>
          </w:rPr>
        </w:r>
        <w:r>
          <w:rPr>
            <w:noProof/>
            <w:webHidden/>
          </w:rPr>
          <w:fldChar w:fldCharType="separate"/>
        </w:r>
        <w:r w:rsidR="000B62ED">
          <w:rPr>
            <w:noProof/>
            <w:webHidden/>
          </w:rPr>
          <w:t>7</w:t>
        </w:r>
        <w:r>
          <w:rPr>
            <w:noProof/>
            <w:webHidden/>
          </w:rPr>
          <w:fldChar w:fldCharType="end"/>
        </w:r>
      </w:hyperlink>
    </w:p>
    <w:p w14:paraId="7E9D8DA1" w14:textId="370E0308" w:rsidR="008A2836" w:rsidRDefault="008A2836">
      <w:pPr>
        <w:pStyle w:val="TableofFigures"/>
        <w:tabs>
          <w:tab w:val="right" w:leader="dot" w:pos="9016"/>
        </w:tabs>
        <w:rPr>
          <w:rFonts w:eastAsiaTheme="minorEastAsia"/>
          <w:noProof/>
          <w:kern w:val="2"/>
          <w:sz w:val="24"/>
          <w:szCs w:val="30"/>
          <w:lang w:eastAsia="zh-CN" w:bidi="th-TH"/>
          <w14:ligatures w14:val="standardContextual"/>
        </w:rPr>
      </w:pPr>
      <w:hyperlink w:anchor="_Toc171949066" w:history="1">
        <w:r w:rsidRPr="00765985">
          <w:rPr>
            <w:rStyle w:val="Hyperlink"/>
            <w:noProof/>
          </w:rPr>
          <w:t>Figure 7: Business Survival Rate for New Business Start-Ups in 2020</w:t>
        </w:r>
        <w:r>
          <w:rPr>
            <w:noProof/>
            <w:webHidden/>
          </w:rPr>
          <w:tab/>
        </w:r>
        <w:r>
          <w:rPr>
            <w:noProof/>
            <w:webHidden/>
          </w:rPr>
          <w:fldChar w:fldCharType="begin"/>
        </w:r>
        <w:r>
          <w:rPr>
            <w:noProof/>
            <w:webHidden/>
          </w:rPr>
          <w:instrText xml:space="preserve"> PAGEREF _Toc171949066 \h </w:instrText>
        </w:r>
        <w:r>
          <w:rPr>
            <w:noProof/>
            <w:webHidden/>
          </w:rPr>
        </w:r>
        <w:r>
          <w:rPr>
            <w:noProof/>
            <w:webHidden/>
          </w:rPr>
          <w:fldChar w:fldCharType="separate"/>
        </w:r>
        <w:r w:rsidR="000B62ED">
          <w:rPr>
            <w:noProof/>
            <w:webHidden/>
          </w:rPr>
          <w:t>8</w:t>
        </w:r>
        <w:r>
          <w:rPr>
            <w:noProof/>
            <w:webHidden/>
          </w:rPr>
          <w:fldChar w:fldCharType="end"/>
        </w:r>
      </w:hyperlink>
    </w:p>
    <w:p w14:paraId="7D4F4B9A" w14:textId="52F896EE" w:rsidR="008A2836" w:rsidRDefault="008A2836">
      <w:pPr>
        <w:pStyle w:val="TableofFigures"/>
        <w:tabs>
          <w:tab w:val="right" w:leader="dot" w:pos="9016"/>
        </w:tabs>
        <w:rPr>
          <w:rFonts w:eastAsiaTheme="minorEastAsia"/>
          <w:noProof/>
          <w:kern w:val="2"/>
          <w:sz w:val="24"/>
          <w:szCs w:val="30"/>
          <w:lang w:eastAsia="zh-CN" w:bidi="th-TH"/>
          <w14:ligatures w14:val="standardContextual"/>
        </w:rPr>
      </w:pPr>
      <w:hyperlink w:anchor="_Toc171949067" w:history="1">
        <w:r w:rsidRPr="00765985">
          <w:rPr>
            <w:rStyle w:val="Hyperlink"/>
            <w:noProof/>
          </w:rPr>
          <w:t>Figure 8: ACT Government and Centre for Population ACT Population Growth Forecasts: 2023-24 to 2027-28</w:t>
        </w:r>
        <w:r>
          <w:rPr>
            <w:noProof/>
            <w:webHidden/>
          </w:rPr>
          <w:tab/>
        </w:r>
        <w:r>
          <w:rPr>
            <w:noProof/>
            <w:webHidden/>
          </w:rPr>
          <w:fldChar w:fldCharType="begin"/>
        </w:r>
        <w:r>
          <w:rPr>
            <w:noProof/>
            <w:webHidden/>
          </w:rPr>
          <w:instrText xml:space="preserve"> PAGEREF _Toc171949067 \h </w:instrText>
        </w:r>
        <w:r>
          <w:rPr>
            <w:noProof/>
            <w:webHidden/>
          </w:rPr>
        </w:r>
        <w:r>
          <w:rPr>
            <w:noProof/>
            <w:webHidden/>
          </w:rPr>
          <w:fldChar w:fldCharType="separate"/>
        </w:r>
        <w:r w:rsidR="000B62ED">
          <w:rPr>
            <w:noProof/>
            <w:webHidden/>
          </w:rPr>
          <w:t>10</w:t>
        </w:r>
        <w:r>
          <w:rPr>
            <w:noProof/>
            <w:webHidden/>
          </w:rPr>
          <w:fldChar w:fldCharType="end"/>
        </w:r>
      </w:hyperlink>
    </w:p>
    <w:p w14:paraId="6614455C" w14:textId="47331F03" w:rsidR="008A2836" w:rsidRDefault="008A2836">
      <w:pPr>
        <w:pStyle w:val="TableofFigures"/>
        <w:tabs>
          <w:tab w:val="right" w:leader="dot" w:pos="9016"/>
        </w:tabs>
        <w:rPr>
          <w:rFonts w:eastAsiaTheme="minorEastAsia"/>
          <w:noProof/>
          <w:kern w:val="2"/>
          <w:sz w:val="24"/>
          <w:szCs w:val="30"/>
          <w:lang w:eastAsia="zh-CN" w:bidi="th-TH"/>
          <w14:ligatures w14:val="standardContextual"/>
        </w:rPr>
      </w:pPr>
      <w:hyperlink w:anchor="_Toc171949068" w:history="1">
        <w:r w:rsidRPr="00765985">
          <w:rPr>
            <w:rStyle w:val="Hyperlink"/>
            <w:noProof/>
          </w:rPr>
          <w:t>Figure 9: Contribution of Superannuation Return Adjustment to Headline Net Operating Balance</w:t>
        </w:r>
        <w:r>
          <w:rPr>
            <w:noProof/>
            <w:webHidden/>
          </w:rPr>
          <w:tab/>
        </w:r>
        <w:r>
          <w:rPr>
            <w:noProof/>
            <w:webHidden/>
          </w:rPr>
          <w:fldChar w:fldCharType="begin"/>
        </w:r>
        <w:r>
          <w:rPr>
            <w:noProof/>
            <w:webHidden/>
          </w:rPr>
          <w:instrText xml:space="preserve"> PAGEREF _Toc171949068 \h </w:instrText>
        </w:r>
        <w:r>
          <w:rPr>
            <w:noProof/>
            <w:webHidden/>
          </w:rPr>
        </w:r>
        <w:r>
          <w:rPr>
            <w:noProof/>
            <w:webHidden/>
          </w:rPr>
          <w:fldChar w:fldCharType="separate"/>
        </w:r>
        <w:r w:rsidR="000B62ED">
          <w:rPr>
            <w:noProof/>
            <w:webHidden/>
          </w:rPr>
          <w:t>12</w:t>
        </w:r>
        <w:r>
          <w:rPr>
            <w:noProof/>
            <w:webHidden/>
          </w:rPr>
          <w:fldChar w:fldCharType="end"/>
        </w:r>
      </w:hyperlink>
    </w:p>
    <w:p w14:paraId="32B5C259" w14:textId="2F6A4297" w:rsidR="008A2836" w:rsidRDefault="008A2836">
      <w:pPr>
        <w:pStyle w:val="TableofFigures"/>
        <w:tabs>
          <w:tab w:val="right" w:leader="dot" w:pos="9016"/>
        </w:tabs>
        <w:rPr>
          <w:rFonts w:eastAsiaTheme="minorEastAsia"/>
          <w:noProof/>
          <w:kern w:val="2"/>
          <w:sz w:val="24"/>
          <w:szCs w:val="30"/>
          <w:lang w:eastAsia="zh-CN" w:bidi="th-TH"/>
          <w14:ligatures w14:val="standardContextual"/>
        </w:rPr>
      </w:pPr>
      <w:hyperlink w:anchor="_Toc171949069" w:history="1">
        <w:r w:rsidRPr="00765985">
          <w:rPr>
            <w:rStyle w:val="Hyperlink"/>
            <w:noProof/>
          </w:rPr>
          <w:t>Figure 10: Forecast returns to surplus</w:t>
        </w:r>
        <w:r>
          <w:rPr>
            <w:noProof/>
            <w:webHidden/>
          </w:rPr>
          <w:tab/>
        </w:r>
        <w:r>
          <w:rPr>
            <w:noProof/>
            <w:webHidden/>
          </w:rPr>
          <w:fldChar w:fldCharType="begin"/>
        </w:r>
        <w:r>
          <w:rPr>
            <w:noProof/>
            <w:webHidden/>
          </w:rPr>
          <w:instrText xml:space="preserve"> PAGEREF _Toc171949069 \h </w:instrText>
        </w:r>
        <w:r>
          <w:rPr>
            <w:noProof/>
            <w:webHidden/>
          </w:rPr>
        </w:r>
        <w:r>
          <w:rPr>
            <w:noProof/>
            <w:webHidden/>
          </w:rPr>
          <w:fldChar w:fldCharType="separate"/>
        </w:r>
        <w:r w:rsidR="000B62ED">
          <w:rPr>
            <w:noProof/>
            <w:webHidden/>
          </w:rPr>
          <w:t>13</w:t>
        </w:r>
        <w:r>
          <w:rPr>
            <w:noProof/>
            <w:webHidden/>
          </w:rPr>
          <w:fldChar w:fldCharType="end"/>
        </w:r>
      </w:hyperlink>
    </w:p>
    <w:p w14:paraId="01EDA7B4" w14:textId="23D35EEB" w:rsidR="008A2836" w:rsidRDefault="008A2836">
      <w:pPr>
        <w:pStyle w:val="TableofFigures"/>
        <w:tabs>
          <w:tab w:val="right" w:leader="dot" w:pos="9016"/>
        </w:tabs>
        <w:rPr>
          <w:rFonts w:eastAsiaTheme="minorEastAsia"/>
          <w:noProof/>
          <w:kern w:val="2"/>
          <w:sz w:val="24"/>
          <w:szCs w:val="30"/>
          <w:lang w:eastAsia="zh-CN" w:bidi="th-TH"/>
          <w14:ligatures w14:val="standardContextual"/>
        </w:rPr>
      </w:pPr>
      <w:hyperlink w:anchor="_Toc171949070" w:history="1">
        <w:r w:rsidRPr="00765985">
          <w:rPr>
            <w:rStyle w:val="Hyperlink"/>
            <w:noProof/>
          </w:rPr>
          <w:t>Figure 11: Key balance sheet measures</w:t>
        </w:r>
        <w:r>
          <w:rPr>
            <w:noProof/>
            <w:webHidden/>
          </w:rPr>
          <w:tab/>
        </w:r>
        <w:r>
          <w:rPr>
            <w:noProof/>
            <w:webHidden/>
          </w:rPr>
          <w:fldChar w:fldCharType="begin"/>
        </w:r>
        <w:r>
          <w:rPr>
            <w:noProof/>
            <w:webHidden/>
          </w:rPr>
          <w:instrText xml:space="preserve"> PAGEREF _Toc171949070 \h </w:instrText>
        </w:r>
        <w:r>
          <w:rPr>
            <w:noProof/>
            <w:webHidden/>
          </w:rPr>
        </w:r>
        <w:r>
          <w:rPr>
            <w:noProof/>
            <w:webHidden/>
          </w:rPr>
          <w:fldChar w:fldCharType="separate"/>
        </w:r>
        <w:r w:rsidR="000B62ED">
          <w:rPr>
            <w:noProof/>
            <w:webHidden/>
          </w:rPr>
          <w:t>15</w:t>
        </w:r>
        <w:r>
          <w:rPr>
            <w:noProof/>
            <w:webHidden/>
          </w:rPr>
          <w:fldChar w:fldCharType="end"/>
        </w:r>
      </w:hyperlink>
    </w:p>
    <w:p w14:paraId="15474FED" w14:textId="6BDC5643" w:rsidR="008A2836" w:rsidRDefault="008A2836">
      <w:pPr>
        <w:pStyle w:val="TableofFigures"/>
        <w:tabs>
          <w:tab w:val="right" w:leader="dot" w:pos="9016"/>
        </w:tabs>
        <w:rPr>
          <w:rFonts w:eastAsiaTheme="minorEastAsia"/>
          <w:noProof/>
          <w:kern w:val="2"/>
          <w:sz w:val="24"/>
          <w:szCs w:val="30"/>
          <w:lang w:eastAsia="zh-CN" w:bidi="th-TH"/>
          <w14:ligatures w14:val="standardContextual"/>
        </w:rPr>
      </w:pPr>
      <w:hyperlink w:anchor="_Toc171949071" w:history="1">
        <w:r w:rsidRPr="00765985">
          <w:rPr>
            <w:rStyle w:val="Hyperlink"/>
            <w:noProof/>
          </w:rPr>
          <w:t>Figure 12: Key balance sheet measures as a proportion of Gross State Product</w:t>
        </w:r>
        <w:r>
          <w:rPr>
            <w:noProof/>
            <w:webHidden/>
          </w:rPr>
          <w:tab/>
        </w:r>
        <w:r>
          <w:rPr>
            <w:noProof/>
            <w:webHidden/>
          </w:rPr>
          <w:fldChar w:fldCharType="begin"/>
        </w:r>
        <w:r>
          <w:rPr>
            <w:noProof/>
            <w:webHidden/>
          </w:rPr>
          <w:instrText xml:space="preserve"> PAGEREF _Toc171949071 \h </w:instrText>
        </w:r>
        <w:r>
          <w:rPr>
            <w:noProof/>
            <w:webHidden/>
          </w:rPr>
        </w:r>
        <w:r>
          <w:rPr>
            <w:noProof/>
            <w:webHidden/>
          </w:rPr>
          <w:fldChar w:fldCharType="separate"/>
        </w:r>
        <w:r w:rsidR="000B62ED">
          <w:rPr>
            <w:noProof/>
            <w:webHidden/>
          </w:rPr>
          <w:t>16</w:t>
        </w:r>
        <w:r>
          <w:rPr>
            <w:noProof/>
            <w:webHidden/>
          </w:rPr>
          <w:fldChar w:fldCharType="end"/>
        </w:r>
      </w:hyperlink>
    </w:p>
    <w:p w14:paraId="6BD1FF07" w14:textId="6306D36A" w:rsidR="008A2836" w:rsidRDefault="008A2836">
      <w:pPr>
        <w:pStyle w:val="TableofFigures"/>
        <w:tabs>
          <w:tab w:val="right" w:leader="dot" w:pos="9016"/>
        </w:tabs>
        <w:rPr>
          <w:rFonts w:eastAsiaTheme="minorEastAsia"/>
          <w:noProof/>
          <w:kern w:val="2"/>
          <w:sz w:val="24"/>
          <w:szCs w:val="30"/>
          <w:lang w:eastAsia="zh-CN" w:bidi="th-TH"/>
          <w14:ligatures w14:val="standardContextual"/>
        </w:rPr>
      </w:pPr>
      <w:hyperlink w:anchor="_Toc171949072" w:history="1">
        <w:r w:rsidRPr="00765985">
          <w:rPr>
            <w:rStyle w:val="Hyperlink"/>
            <w:noProof/>
          </w:rPr>
          <w:t>Figure 13: Net debt, net financial liabilities and net worth comparison across jurisdictions</w:t>
        </w:r>
        <w:r>
          <w:rPr>
            <w:noProof/>
            <w:webHidden/>
          </w:rPr>
          <w:tab/>
        </w:r>
        <w:r>
          <w:rPr>
            <w:noProof/>
            <w:webHidden/>
          </w:rPr>
          <w:fldChar w:fldCharType="begin"/>
        </w:r>
        <w:r>
          <w:rPr>
            <w:noProof/>
            <w:webHidden/>
          </w:rPr>
          <w:instrText xml:space="preserve"> PAGEREF _Toc171949072 \h </w:instrText>
        </w:r>
        <w:r>
          <w:rPr>
            <w:noProof/>
            <w:webHidden/>
          </w:rPr>
        </w:r>
        <w:r>
          <w:rPr>
            <w:noProof/>
            <w:webHidden/>
          </w:rPr>
          <w:fldChar w:fldCharType="separate"/>
        </w:r>
        <w:r w:rsidR="000B62ED">
          <w:rPr>
            <w:noProof/>
            <w:webHidden/>
          </w:rPr>
          <w:t>17</w:t>
        </w:r>
        <w:r>
          <w:rPr>
            <w:noProof/>
            <w:webHidden/>
          </w:rPr>
          <w:fldChar w:fldCharType="end"/>
        </w:r>
      </w:hyperlink>
    </w:p>
    <w:p w14:paraId="7231AEC5" w14:textId="7246FFF7" w:rsidR="008A2836" w:rsidRDefault="008A2836">
      <w:pPr>
        <w:pStyle w:val="TableofFigures"/>
        <w:tabs>
          <w:tab w:val="right" w:leader="dot" w:pos="9016"/>
        </w:tabs>
        <w:rPr>
          <w:rFonts w:eastAsiaTheme="minorEastAsia"/>
          <w:noProof/>
          <w:kern w:val="2"/>
          <w:sz w:val="24"/>
          <w:szCs w:val="30"/>
          <w:lang w:eastAsia="zh-CN" w:bidi="th-TH"/>
          <w14:ligatures w14:val="standardContextual"/>
        </w:rPr>
      </w:pPr>
      <w:hyperlink w:anchor="_Toc171949073" w:history="1">
        <w:r w:rsidRPr="00765985">
          <w:rPr>
            <w:rStyle w:val="Hyperlink"/>
            <w:noProof/>
          </w:rPr>
          <w:t>Figure 14: ACT interest expense as a proportion of ACT Government revenue and Gross State Product, 2014-15 (actual) to 2027-28 (forecast)</w:t>
        </w:r>
        <w:r>
          <w:rPr>
            <w:noProof/>
            <w:webHidden/>
          </w:rPr>
          <w:tab/>
        </w:r>
        <w:r>
          <w:rPr>
            <w:noProof/>
            <w:webHidden/>
          </w:rPr>
          <w:fldChar w:fldCharType="begin"/>
        </w:r>
        <w:r>
          <w:rPr>
            <w:noProof/>
            <w:webHidden/>
          </w:rPr>
          <w:instrText xml:space="preserve"> PAGEREF _Toc171949073 \h </w:instrText>
        </w:r>
        <w:r>
          <w:rPr>
            <w:noProof/>
            <w:webHidden/>
          </w:rPr>
        </w:r>
        <w:r>
          <w:rPr>
            <w:noProof/>
            <w:webHidden/>
          </w:rPr>
          <w:fldChar w:fldCharType="separate"/>
        </w:r>
        <w:r w:rsidR="000B62ED">
          <w:rPr>
            <w:noProof/>
            <w:webHidden/>
          </w:rPr>
          <w:t>18</w:t>
        </w:r>
        <w:r>
          <w:rPr>
            <w:noProof/>
            <w:webHidden/>
          </w:rPr>
          <w:fldChar w:fldCharType="end"/>
        </w:r>
      </w:hyperlink>
    </w:p>
    <w:p w14:paraId="770AA5E3" w14:textId="493FE514" w:rsidR="008A2836" w:rsidRDefault="008A2836">
      <w:pPr>
        <w:pStyle w:val="TableofFigures"/>
        <w:tabs>
          <w:tab w:val="right" w:leader="dot" w:pos="9016"/>
        </w:tabs>
        <w:rPr>
          <w:rFonts w:eastAsiaTheme="minorEastAsia"/>
          <w:noProof/>
          <w:kern w:val="2"/>
          <w:sz w:val="24"/>
          <w:szCs w:val="30"/>
          <w:lang w:eastAsia="zh-CN" w:bidi="th-TH"/>
          <w14:ligatures w14:val="standardContextual"/>
        </w:rPr>
      </w:pPr>
      <w:hyperlink w:anchor="_Toc171949074" w:history="1">
        <w:r w:rsidRPr="00765985">
          <w:rPr>
            <w:rStyle w:val="Hyperlink"/>
            <w:noProof/>
          </w:rPr>
          <w:t>Figure 15: Estimated ACT Budget Revenue in the 2023-24 and 2024-25 ACT Budgets</w:t>
        </w:r>
        <w:r>
          <w:rPr>
            <w:noProof/>
            <w:webHidden/>
          </w:rPr>
          <w:tab/>
        </w:r>
        <w:r>
          <w:rPr>
            <w:noProof/>
            <w:webHidden/>
          </w:rPr>
          <w:fldChar w:fldCharType="begin"/>
        </w:r>
        <w:r>
          <w:rPr>
            <w:noProof/>
            <w:webHidden/>
          </w:rPr>
          <w:instrText xml:space="preserve"> PAGEREF _Toc171949074 \h </w:instrText>
        </w:r>
        <w:r>
          <w:rPr>
            <w:noProof/>
            <w:webHidden/>
          </w:rPr>
        </w:r>
        <w:r>
          <w:rPr>
            <w:noProof/>
            <w:webHidden/>
          </w:rPr>
          <w:fldChar w:fldCharType="separate"/>
        </w:r>
        <w:r w:rsidR="000B62ED">
          <w:rPr>
            <w:noProof/>
            <w:webHidden/>
          </w:rPr>
          <w:t>22</w:t>
        </w:r>
        <w:r>
          <w:rPr>
            <w:noProof/>
            <w:webHidden/>
          </w:rPr>
          <w:fldChar w:fldCharType="end"/>
        </w:r>
      </w:hyperlink>
    </w:p>
    <w:p w14:paraId="6E8AEC13" w14:textId="53056DD6" w:rsidR="008A2836" w:rsidRDefault="008A2836">
      <w:pPr>
        <w:pStyle w:val="TableofFigures"/>
        <w:tabs>
          <w:tab w:val="right" w:leader="dot" w:pos="9016"/>
        </w:tabs>
        <w:rPr>
          <w:rFonts w:eastAsiaTheme="minorEastAsia"/>
          <w:noProof/>
          <w:kern w:val="2"/>
          <w:sz w:val="24"/>
          <w:szCs w:val="30"/>
          <w:lang w:eastAsia="zh-CN" w:bidi="th-TH"/>
          <w14:ligatures w14:val="standardContextual"/>
        </w:rPr>
      </w:pPr>
      <w:hyperlink w:anchor="_Toc171949075" w:history="1">
        <w:r w:rsidRPr="00765985">
          <w:rPr>
            <w:rStyle w:val="Hyperlink"/>
            <w:noProof/>
          </w:rPr>
          <w:t>Figure 16: Revenue Estimated Outcome 2023-24 and Forecast 2024-25</w:t>
        </w:r>
        <w:r>
          <w:rPr>
            <w:noProof/>
            <w:webHidden/>
          </w:rPr>
          <w:tab/>
        </w:r>
        <w:r>
          <w:rPr>
            <w:noProof/>
            <w:webHidden/>
          </w:rPr>
          <w:fldChar w:fldCharType="begin"/>
        </w:r>
        <w:r>
          <w:rPr>
            <w:noProof/>
            <w:webHidden/>
          </w:rPr>
          <w:instrText xml:space="preserve"> PAGEREF _Toc171949075 \h </w:instrText>
        </w:r>
        <w:r>
          <w:rPr>
            <w:noProof/>
            <w:webHidden/>
          </w:rPr>
        </w:r>
        <w:r>
          <w:rPr>
            <w:noProof/>
            <w:webHidden/>
          </w:rPr>
          <w:fldChar w:fldCharType="separate"/>
        </w:r>
        <w:r w:rsidR="000B62ED">
          <w:rPr>
            <w:noProof/>
            <w:webHidden/>
          </w:rPr>
          <w:t>23</w:t>
        </w:r>
        <w:r>
          <w:rPr>
            <w:noProof/>
            <w:webHidden/>
          </w:rPr>
          <w:fldChar w:fldCharType="end"/>
        </w:r>
      </w:hyperlink>
    </w:p>
    <w:p w14:paraId="628F836B" w14:textId="2890BF9F" w:rsidR="008A2836" w:rsidRDefault="008A2836">
      <w:pPr>
        <w:pStyle w:val="TableofFigures"/>
        <w:tabs>
          <w:tab w:val="right" w:leader="dot" w:pos="9016"/>
        </w:tabs>
        <w:rPr>
          <w:rFonts w:eastAsiaTheme="minorEastAsia"/>
          <w:noProof/>
          <w:kern w:val="2"/>
          <w:sz w:val="24"/>
          <w:szCs w:val="30"/>
          <w:lang w:eastAsia="zh-CN" w:bidi="th-TH"/>
          <w14:ligatures w14:val="standardContextual"/>
        </w:rPr>
      </w:pPr>
      <w:hyperlink w:anchor="_Toc171949076" w:history="1">
        <w:r w:rsidRPr="00765985">
          <w:rPr>
            <w:rStyle w:val="Hyperlink"/>
            <w:noProof/>
          </w:rPr>
          <w:t>Figure 17: Composition of ACT Government Own-Source Taxation Revenue</w:t>
        </w:r>
        <w:r>
          <w:rPr>
            <w:noProof/>
            <w:webHidden/>
          </w:rPr>
          <w:tab/>
        </w:r>
        <w:r>
          <w:rPr>
            <w:noProof/>
            <w:webHidden/>
          </w:rPr>
          <w:fldChar w:fldCharType="begin"/>
        </w:r>
        <w:r>
          <w:rPr>
            <w:noProof/>
            <w:webHidden/>
          </w:rPr>
          <w:instrText xml:space="preserve"> PAGEREF _Toc171949076 \h </w:instrText>
        </w:r>
        <w:r>
          <w:rPr>
            <w:noProof/>
            <w:webHidden/>
          </w:rPr>
        </w:r>
        <w:r>
          <w:rPr>
            <w:noProof/>
            <w:webHidden/>
          </w:rPr>
          <w:fldChar w:fldCharType="separate"/>
        </w:r>
        <w:r w:rsidR="000B62ED">
          <w:rPr>
            <w:noProof/>
            <w:webHidden/>
          </w:rPr>
          <w:t>24</w:t>
        </w:r>
        <w:r>
          <w:rPr>
            <w:noProof/>
            <w:webHidden/>
          </w:rPr>
          <w:fldChar w:fldCharType="end"/>
        </w:r>
      </w:hyperlink>
    </w:p>
    <w:p w14:paraId="36B19D14" w14:textId="1FC82163" w:rsidR="008A2836" w:rsidRDefault="008A2836">
      <w:pPr>
        <w:pStyle w:val="TableofFigures"/>
        <w:tabs>
          <w:tab w:val="right" w:leader="dot" w:pos="9016"/>
        </w:tabs>
        <w:rPr>
          <w:rFonts w:eastAsiaTheme="minorEastAsia"/>
          <w:noProof/>
          <w:kern w:val="2"/>
          <w:sz w:val="24"/>
          <w:szCs w:val="30"/>
          <w:lang w:eastAsia="zh-CN" w:bidi="th-TH"/>
          <w14:ligatures w14:val="standardContextual"/>
        </w:rPr>
      </w:pPr>
      <w:hyperlink w:anchor="_Toc171949077" w:history="1">
        <w:r w:rsidRPr="00765985">
          <w:rPr>
            <w:rStyle w:val="Hyperlink"/>
            <w:noProof/>
          </w:rPr>
          <w:t>Figure 18: Icon Water Net Profit After Tax</w:t>
        </w:r>
        <w:r>
          <w:rPr>
            <w:noProof/>
            <w:webHidden/>
          </w:rPr>
          <w:tab/>
        </w:r>
        <w:r>
          <w:rPr>
            <w:noProof/>
            <w:webHidden/>
          </w:rPr>
          <w:fldChar w:fldCharType="begin"/>
        </w:r>
        <w:r>
          <w:rPr>
            <w:noProof/>
            <w:webHidden/>
          </w:rPr>
          <w:instrText xml:space="preserve"> PAGEREF _Toc171949077 \h </w:instrText>
        </w:r>
        <w:r>
          <w:rPr>
            <w:noProof/>
            <w:webHidden/>
          </w:rPr>
        </w:r>
        <w:r>
          <w:rPr>
            <w:noProof/>
            <w:webHidden/>
          </w:rPr>
          <w:fldChar w:fldCharType="separate"/>
        </w:r>
        <w:r w:rsidR="000B62ED">
          <w:rPr>
            <w:noProof/>
            <w:webHidden/>
          </w:rPr>
          <w:t>28</w:t>
        </w:r>
        <w:r>
          <w:rPr>
            <w:noProof/>
            <w:webHidden/>
          </w:rPr>
          <w:fldChar w:fldCharType="end"/>
        </w:r>
      </w:hyperlink>
    </w:p>
    <w:p w14:paraId="56E3CFBF" w14:textId="62575C28" w:rsidR="008A2836" w:rsidRDefault="008A2836">
      <w:pPr>
        <w:pStyle w:val="TableofFigures"/>
        <w:tabs>
          <w:tab w:val="right" w:leader="dot" w:pos="9016"/>
        </w:tabs>
        <w:rPr>
          <w:rFonts w:eastAsiaTheme="minorEastAsia"/>
          <w:noProof/>
          <w:kern w:val="2"/>
          <w:sz w:val="24"/>
          <w:szCs w:val="30"/>
          <w:lang w:eastAsia="zh-CN" w:bidi="th-TH"/>
          <w14:ligatures w14:val="standardContextual"/>
        </w:rPr>
      </w:pPr>
      <w:hyperlink w:anchor="_Toc171949078" w:history="1">
        <w:r w:rsidRPr="00765985">
          <w:rPr>
            <w:rStyle w:val="Hyperlink"/>
            <w:noProof/>
          </w:rPr>
          <w:t>Figure 19: Expense forecasts as a proportion of GSP – 2019-20 to 2024-25 Budgets</w:t>
        </w:r>
        <w:r>
          <w:rPr>
            <w:noProof/>
            <w:webHidden/>
          </w:rPr>
          <w:tab/>
        </w:r>
        <w:r>
          <w:rPr>
            <w:noProof/>
            <w:webHidden/>
          </w:rPr>
          <w:fldChar w:fldCharType="begin"/>
        </w:r>
        <w:r>
          <w:rPr>
            <w:noProof/>
            <w:webHidden/>
          </w:rPr>
          <w:instrText xml:space="preserve"> PAGEREF _Toc171949078 \h </w:instrText>
        </w:r>
        <w:r>
          <w:rPr>
            <w:noProof/>
            <w:webHidden/>
          </w:rPr>
        </w:r>
        <w:r>
          <w:rPr>
            <w:noProof/>
            <w:webHidden/>
          </w:rPr>
          <w:fldChar w:fldCharType="separate"/>
        </w:r>
        <w:r w:rsidR="000B62ED">
          <w:rPr>
            <w:noProof/>
            <w:webHidden/>
          </w:rPr>
          <w:t>31</w:t>
        </w:r>
        <w:r>
          <w:rPr>
            <w:noProof/>
            <w:webHidden/>
          </w:rPr>
          <w:fldChar w:fldCharType="end"/>
        </w:r>
      </w:hyperlink>
    </w:p>
    <w:p w14:paraId="7CA5B729" w14:textId="1672A317" w:rsidR="008A2836" w:rsidRDefault="008A2836">
      <w:pPr>
        <w:pStyle w:val="TableofFigures"/>
        <w:tabs>
          <w:tab w:val="right" w:leader="dot" w:pos="9016"/>
        </w:tabs>
        <w:rPr>
          <w:rFonts w:eastAsiaTheme="minorEastAsia"/>
          <w:noProof/>
          <w:kern w:val="2"/>
          <w:sz w:val="24"/>
          <w:szCs w:val="30"/>
          <w:lang w:eastAsia="zh-CN" w:bidi="th-TH"/>
          <w14:ligatures w14:val="standardContextual"/>
        </w:rPr>
      </w:pPr>
      <w:hyperlink w:anchor="_Toc171949079" w:history="1">
        <w:r w:rsidRPr="00765985">
          <w:rPr>
            <w:rStyle w:val="Hyperlink"/>
            <w:noProof/>
          </w:rPr>
          <w:t>Figure 20: Expense forecasts – 2019-20 to 2024-25 Budgets</w:t>
        </w:r>
        <w:r>
          <w:rPr>
            <w:noProof/>
            <w:webHidden/>
          </w:rPr>
          <w:tab/>
        </w:r>
        <w:r>
          <w:rPr>
            <w:noProof/>
            <w:webHidden/>
          </w:rPr>
          <w:fldChar w:fldCharType="begin"/>
        </w:r>
        <w:r>
          <w:rPr>
            <w:noProof/>
            <w:webHidden/>
          </w:rPr>
          <w:instrText xml:space="preserve"> PAGEREF _Toc171949079 \h </w:instrText>
        </w:r>
        <w:r>
          <w:rPr>
            <w:noProof/>
            <w:webHidden/>
          </w:rPr>
        </w:r>
        <w:r>
          <w:rPr>
            <w:noProof/>
            <w:webHidden/>
          </w:rPr>
          <w:fldChar w:fldCharType="separate"/>
        </w:r>
        <w:r w:rsidR="000B62ED">
          <w:rPr>
            <w:noProof/>
            <w:webHidden/>
          </w:rPr>
          <w:t>32</w:t>
        </w:r>
        <w:r>
          <w:rPr>
            <w:noProof/>
            <w:webHidden/>
          </w:rPr>
          <w:fldChar w:fldCharType="end"/>
        </w:r>
      </w:hyperlink>
    </w:p>
    <w:p w14:paraId="7C70ABDB" w14:textId="39229809" w:rsidR="008A2836" w:rsidRDefault="008A2836">
      <w:pPr>
        <w:pStyle w:val="TableofFigures"/>
        <w:tabs>
          <w:tab w:val="right" w:leader="dot" w:pos="9016"/>
        </w:tabs>
        <w:rPr>
          <w:rFonts w:eastAsiaTheme="minorEastAsia"/>
          <w:noProof/>
          <w:kern w:val="2"/>
          <w:sz w:val="24"/>
          <w:szCs w:val="30"/>
          <w:lang w:eastAsia="zh-CN" w:bidi="th-TH"/>
          <w14:ligatures w14:val="standardContextual"/>
        </w:rPr>
      </w:pPr>
      <w:hyperlink w:anchor="_Toc171949080" w:history="1">
        <w:r w:rsidRPr="00765985">
          <w:rPr>
            <w:rStyle w:val="Hyperlink"/>
            <w:noProof/>
          </w:rPr>
          <w:t>Figure 21: Expenses by function – 2023-24 (est.) to 2027-28</w:t>
        </w:r>
        <w:r>
          <w:rPr>
            <w:noProof/>
            <w:webHidden/>
          </w:rPr>
          <w:tab/>
        </w:r>
        <w:r>
          <w:rPr>
            <w:noProof/>
            <w:webHidden/>
          </w:rPr>
          <w:fldChar w:fldCharType="begin"/>
        </w:r>
        <w:r>
          <w:rPr>
            <w:noProof/>
            <w:webHidden/>
          </w:rPr>
          <w:instrText xml:space="preserve"> PAGEREF _Toc171949080 \h </w:instrText>
        </w:r>
        <w:r>
          <w:rPr>
            <w:noProof/>
            <w:webHidden/>
          </w:rPr>
        </w:r>
        <w:r>
          <w:rPr>
            <w:noProof/>
            <w:webHidden/>
          </w:rPr>
          <w:fldChar w:fldCharType="separate"/>
        </w:r>
        <w:r w:rsidR="000B62ED">
          <w:rPr>
            <w:noProof/>
            <w:webHidden/>
          </w:rPr>
          <w:t>34</w:t>
        </w:r>
        <w:r>
          <w:rPr>
            <w:noProof/>
            <w:webHidden/>
          </w:rPr>
          <w:fldChar w:fldCharType="end"/>
        </w:r>
      </w:hyperlink>
    </w:p>
    <w:p w14:paraId="097DFC74" w14:textId="5AC2309C" w:rsidR="008A2836" w:rsidRDefault="008A2836">
      <w:pPr>
        <w:pStyle w:val="TableofFigures"/>
        <w:tabs>
          <w:tab w:val="right" w:leader="dot" w:pos="9016"/>
        </w:tabs>
        <w:rPr>
          <w:rFonts w:eastAsiaTheme="minorEastAsia"/>
          <w:noProof/>
          <w:kern w:val="2"/>
          <w:sz w:val="24"/>
          <w:szCs w:val="30"/>
          <w:lang w:eastAsia="zh-CN" w:bidi="th-TH"/>
          <w14:ligatures w14:val="standardContextual"/>
        </w:rPr>
      </w:pPr>
      <w:hyperlink w:anchor="_Toc171949081" w:history="1">
        <w:r w:rsidRPr="00765985">
          <w:rPr>
            <w:rStyle w:val="Hyperlink"/>
            <w:noProof/>
          </w:rPr>
          <w:t>Figure 22: Expenses by economic type – 2023-24 (est.) to 2027-28</w:t>
        </w:r>
        <w:r>
          <w:rPr>
            <w:noProof/>
            <w:webHidden/>
          </w:rPr>
          <w:tab/>
        </w:r>
        <w:r>
          <w:rPr>
            <w:noProof/>
            <w:webHidden/>
          </w:rPr>
          <w:fldChar w:fldCharType="begin"/>
        </w:r>
        <w:r>
          <w:rPr>
            <w:noProof/>
            <w:webHidden/>
          </w:rPr>
          <w:instrText xml:space="preserve"> PAGEREF _Toc171949081 \h </w:instrText>
        </w:r>
        <w:r>
          <w:rPr>
            <w:noProof/>
            <w:webHidden/>
          </w:rPr>
        </w:r>
        <w:r>
          <w:rPr>
            <w:noProof/>
            <w:webHidden/>
          </w:rPr>
          <w:fldChar w:fldCharType="separate"/>
        </w:r>
        <w:r w:rsidR="000B62ED">
          <w:rPr>
            <w:noProof/>
            <w:webHidden/>
          </w:rPr>
          <w:t>35</w:t>
        </w:r>
        <w:r>
          <w:rPr>
            <w:noProof/>
            <w:webHidden/>
          </w:rPr>
          <w:fldChar w:fldCharType="end"/>
        </w:r>
      </w:hyperlink>
    </w:p>
    <w:p w14:paraId="414AA669" w14:textId="46E73F9C" w:rsidR="008A2836" w:rsidRDefault="008A2836">
      <w:pPr>
        <w:pStyle w:val="TableofFigures"/>
        <w:tabs>
          <w:tab w:val="right" w:leader="dot" w:pos="9016"/>
        </w:tabs>
        <w:rPr>
          <w:rFonts w:eastAsiaTheme="minorEastAsia"/>
          <w:noProof/>
          <w:kern w:val="2"/>
          <w:sz w:val="24"/>
          <w:szCs w:val="30"/>
          <w:lang w:eastAsia="zh-CN" w:bidi="th-TH"/>
          <w14:ligatures w14:val="standardContextual"/>
        </w:rPr>
      </w:pPr>
      <w:hyperlink w:anchor="_Toc171949082" w:history="1">
        <w:r w:rsidRPr="00765985">
          <w:rPr>
            <w:rStyle w:val="Hyperlink"/>
            <w:noProof/>
          </w:rPr>
          <w:t>Figure 23: Interest expenses as a proportion of Gross State Product, 2011-12 (actual) to 2027-28 (forecast)</w:t>
        </w:r>
        <w:r>
          <w:rPr>
            <w:noProof/>
            <w:webHidden/>
          </w:rPr>
          <w:tab/>
        </w:r>
        <w:r>
          <w:rPr>
            <w:noProof/>
            <w:webHidden/>
          </w:rPr>
          <w:fldChar w:fldCharType="begin"/>
        </w:r>
        <w:r>
          <w:rPr>
            <w:noProof/>
            <w:webHidden/>
          </w:rPr>
          <w:instrText xml:space="preserve"> PAGEREF _Toc171949082 \h </w:instrText>
        </w:r>
        <w:r>
          <w:rPr>
            <w:noProof/>
            <w:webHidden/>
          </w:rPr>
        </w:r>
        <w:r>
          <w:rPr>
            <w:noProof/>
            <w:webHidden/>
          </w:rPr>
          <w:fldChar w:fldCharType="separate"/>
        </w:r>
        <w:r w:rsidR="000B62ED">
          <w:rPr>
            <w:noProof/>
            <w:webHidden/>
          </w:rPr>
          <w:t>37</w:t>
        </w:r>
        <w:r>
          <w:rPr>
            <w:noProof/>
            <w:webHidden/>
          </w:rPr>
          <w:fldChar w:fldCharType="end"/>
        </w:r>
      </w:hyperlink>
    </w:p>
    <w:p w14:paraId="67DEF3CB" w14:textId="3B91D7F0" w:rsidR="008A2836" w:rsidRDefault="008A2836">
      <w:pPr>
        <w:pStyle w:val="TableofFigures"/>
        <w:tabs>
          <w:tab w:val="right" w:leader="dot" w:pos="9016"/>
        </w:tabs>
        <w:rPr>
          <w:rFonts w:eastAsiaTheme="minorEastAsia"/>
          <w:noProof/>
          <w:kern w:val="2"/>
          <w:sz w:val="24"/>
          <w:szCs w:val="30"/>
          <w:lang w:eastAsia="zh-CN" w:bidi="th-TH"/>
          <w14:ligatures w14:val="standardContextual"/>
        </w:rPr>
      </w:pPr>
      <w:hyperlink w:anchor="_Toc171949083" w:history="1">
        <w:r w:rsidRPr="00765985">
          <w:rPr>
            <w:rStyle w:val="Hyperlink"/>
            <w:noProof/>
          </w:rPr>
          <w:t>Figure 24: Capital Works Program Forecasts</w:t>
        </w:r>
        <w:r>
          <w:rPr>
            <w:noProof/>
            <w:webHidden/>
          </w:rPr>
          <w:tab/>
        </w:r>
        <w:r>
          <w:rPr>
            <w:noProof/>
            <w:webHidden/>
          </w:rPr>
          <w:fldChar w:fldCharType="begin"/>
        </w:r>
        <w:r>
          <w:rPr>
            <w:noProof/>
            <w:webHidden/>
          </w:rPr>
          <w:instrText xml:space="preserve"> PAGEREF _Toc171949083 \h </w:instrText>
        </w:r>
        <w:r>
          <w:rPr>
            <w:noProof/>
            <w:webHidden/>
          </w:rPr>
        </w:r>
        <w:r>
          <w:rPr>
            <w:noProof/>
            <w:webHidden/>
          </w:rPr>
          <w:fldChar w:fldCharType="separate"/>
        </w:r>
        <w:r w:rsidR="000B62ED">
          <w:rPr>
            <w:noProof/>
            <w:webHidden/>
          </w:rPr>
          <w:t>45</w:t>
        </w:r>
        <w:r>
          <w:rPr>
            <w:noProof/>
            <w:webHidden/>
          </w:rPr>
          <w:fldChar w:fldCharType="end"/>
        </w:r>
      </w:hyperlink>
    </w:p>
    <w:p w14:paraId="6F3B90EE" w14:textId="14EA1BC5" w:rsidR="008A2836" w:rsidRDefault="008A2836">
      <w:pPr>
        <w:pStyle w:val="TableofFigures"/>
        <w:tabs>
          <w:tab w:val="right" w:leader="dot" w:pos="9016"/>
        </w:tabs>
        <w:rPr>
          <w:rFonts w:eastAsiaTheme="minorEastAsia"/>
          <w:noProof/>
          <w:kern w:val="2"/>
          <w:sz w:val="24"/>
          <w:szCs w:val="30"/>
          <w:lang w:eastAsia="zh-CN" w:bidi="th-TH"/>
          <w14:ligatures w14:val="standardContextual"/>
        </w:rPr>
      </w:pPr>
      <w:hyperlink w:anchor="_Toc171949084" w:history="1">
        <w:r w:rsidRPr="00765985">
          <w:rPr>
            <w:rStyle w:val="Hyperlink"/>
            <w:rFonts w:ascii="Calibri" w:hAnsi="Calibri" w:cs="Calibri"/>
            <w:noProof/>
          </w:rPr>
          <w:t>Figure 25: Net debt as a proportion of Gross State Product</w:t>
        </w:r>
        <w:r>
          <w:rPr>
            <w:noProof/>
            <w:webHidden/>
          </w:rPr>
          <w:tab/>
        </w:r>
        <w:r>
          <w:rPr>
            <w:noProof/>
            <w:webHidden/>
          </w:rPr>
          <w:fldChar w:fldCharType="begin"/>
        </w:r>
        <w:r>
          <w:rPr>
            <w:noProof/>
            <w:webHidden/>
          </w:rPr>
          <w:instrText xml:space="preserve"> PAGEREF _Toc171949084 \h </w:instrText>
        </w:r>
        <w:r>
          <w:rPr>
            <w:noProof/>
            <w:webHidden/>
          </w:rPr>
        </w:r>
        <w:r>
          <w:rPr>
            <w:noProof/>
            <w:webHidden/>
          </w:rPr>
          <w:fldChar w:fldCharType="separate"/>
        </w:r>
        <w:r w:rsidR="000B62ED">
          <w:rPr>
            <w:noProof/>
            <w:webHidden/>
          </w:rPr>
          <w:t>50</w:t>
        </w:r>
        <w:r>
          <w:rPr>
            <w:noProof/>
            <w:webHidden/>
          </w:rPr>
          <w:fldChar w:fldCharType="end"/>
        </w:r>
      </w:hyperlink>
    </w:p>
    <w:p w14:paraId="5B33E0A9" w14:textId="26318D4E" w:rsidR="008A2836" w:rsidRDefault="008A2836">
      <w:pPr>
        <w:pStyle w:val="TableofFigures"/>
        <w:tabs>
          <w:tab w:val="right" w:leader="dot" w:pos="9016"/>
        </w:tabs>
        <w:rPr>
          <w:rFonts w:eastAsiaTheme="minorEastAsia"/>
          <w:noProof/>
          <w:kern w:val="2"/>
          <w:sz w:val="24"/>
          <w:szCs w:val="30"/>
          <w:lang w:eastAsia="zh-CN" w:bidi="th-TH"/>
          <w14:ligatures w14:val="standardContextual"/>
        </w:rPr>
      </w:pPr>
      <w:hyperlink w:anchor="_Toc171949085" w:history="1">
        <w:r w:rsidRPr="00765985">
          <w:rPr>
            <w:rStyle w:val="Hyperlink"/>
            <w:rFonts w:ascii="Calibri" w:hAnsi="Calibri" w:cs="Calibri"/>
            <w:noProof/>
          </w:rPr>
          <w:t>Figure 26: Net financial liabilities as a proportion of Gross State Product</w:t>
        </w:r>
        <w:r>
          <w:rPr>
            <w:noProof/>
            <w:webHidden/>
          </w:rPr>
          <w:tab/>
        </w:r>
        <w:r>
          <w:rPr>
            <w:noProof/>
            <w:webHidden/>
          </w:rPr>
          <w:fldChar w:fldCharType="begin"/>
        </w:r>
        <w:r>
          <w:rPr>
            <w:noProof/>
            <w:webHidden/>
          </w:rPr>
          <w:instrText xml:space="preserve"> PAGEREF _Toc171949085 \h </w:instrText>
        </w:r>
        <w:r>
          <w:rPr>
            <w:noProof/>
            <w:webHidden/>
          </w:rPr>
        </w:r>
        <w:r>
          <w:rPr>
            <w:noProof/>
            <w:webHidden/>
          </w:rPr>
          <w:fldChar w:fldCharType="separate"/>
        </w:r>
        <w:r w:rsidR="000B62ED">
          <w:rPr>
            <w:noProof/>
            <w:webHidden/>
          </w:rPr>
          <w:t>51</w:t>
        </w:r>
        <w:r>
          <w:rPr>
            <w:noProof/>
            <w:webHidden/>
          </w:rPr>
          <w:fldChar w:fldCharType="end"/>
        </w:r>
      </w:hyperlink>
    </w:p>
    <w:p w14:paraId="703EAA4E" w14:textId="5AF3789B" w:rsidR="008A2836" w:rsidRDefault="008A2836">
      <w:pPr>
        <w:pStyle w:val="TableofFigures"/>
        <w:tabs>
          <w:tab w:val="right" w:leader="dot" w:pos="9016"/>
        </w:tabs>
        <w:rPr>
          <w:rFonts w:eastAsiaTheme="minorEastAsia"/>
          <w:noProof/>
          <w:kern w:val="2"/>
          <w:sz w:val="24"/>
          <w:szCs w:val="30"/>
          <w:lang w:eastAsia="zh-CN" w:bidi="th-TH"/>
          <w14:ligatures w14:val="standardContextual"/>
        </w:rPr>
      </w:pPr>
      <w:hyperlink w:anchor="_Toc171949086" w:history="1">
        <w:r w:rsidRPr="00765985">
          <w:rPr>
            <w:rStyle w:val="Hyperlink"/>
            <w:rFonts w:ascii="Calibri" w:hAnsi="Calibri" w:cs="Calibri"/>
            <w:noProof/>
          </w:rPr>
          <w:t>Figure 27: Net worth as a proportion of Gross State Product</w:t>
        </w:r>
        <w:r>
          <w:rPr>
            <w:noProof/>
            <w:webHidden/>
          </w:rPr>
          <w:tab/>
        </w:r>
        <w:r>
          <w:rPr>
            <w:noProof/>
            <w:webHidden/>
          </w:rPr>
          <w:fldChar w:fldCharType="begin"/>
        </w:r>
        <w:r>
          <w:rPr>
            <w:noProof/>
            <w:webHidden/>
          </w:rPr>
          <w:instrText xml:space="preserve"> PAGEREF _Toc171949086 \h </w:instrText>
        </w:r>
        <w:r>
          <w:rPr>
            <w:noProof/>
            <w:webHidden/>
          </w:rPr>
        </w:r>
        <w:r>
          <w:rPr>
            <w:noProof/>
            <w:webHidden/>
          </w:rPr>
          <w:fldChar w:fldCharType="separate"/>
        </w:r>
        <w:r w:rsidR="000B62ED">
          <w:rPr>
            <w:noProof/>
            <w:webHidden/>
          </w:rPr>
          <w:t>52</w:t>
        </w:r>
        <w:r>
          <w:rPr>
            <w:noProof/>
            <w:webHidden/>
          </w:rPr>
          <w:fldChar w:fldCharType="end"/>
        </w:r>
      </w:hyperlink>
    </w:p>
    <w:p w14:paraId="2F18564B" w14:textId="065697E8" w:rsidR="008A2836" w:rsidRDefault="008A2836">
      <w:pPr>
        <w:pStyle w:val="TableofFigures"/>
        <w:tabs>
          <w:tab w:val="right" w:leader="dot" w:pos="9016"/>
        </w:tabs>
        <w:rPr>
          <w:rFonts w:eastAsiaTheme="minorEastAsia"/>
          <w:noProof/>
          <w:kern w:val="2"/>
          <w:sz w:val="24"/>
          <w:szCs w:val="30"/>
          <w:lang w:eastAsia="zh-CN" w:bidi="th-TH"/>
          <w14:ligatures w14:val="standardContextual"/>
        </w:rPr>
      </w:pPr>
      <w:hyperlink w:anchor="_Toc171949087" w:history="1">
        <w:r w:rsidRPr="00765985">
          <w:rPr>
            <w:rStyle w:val="Hyperlink"/>
            <w:rFonts w:ascii="Calibri" w:hAnsi="Calibri" w:cs="Calibri"/>
            <w:noProof/>
          </w:rPr>
          <w:t>Figure 28: Estimated Defined Benefit Superannuation Liabilities</w:t>
        </w:r>
        <w:r>
          <w:rPr>
            <w:noProof/>
            <w:webHidden/>
          </w:rPr>
          <w:tab/>
        </w:r>
        <w:r>
          <w:rPr>
            <w:noProof/>
            <w:webHidden/>
          </w:rPr>
          <w:fldChar w:fldCharType="begin"/>
        </w:r>
        <w:r>
          <w:rPr>
            <w:noProof/>
            <w:webHidden/>
          </w:rPr>
          <w:instrText xml:space="preserve"> PAGEREF _Toc171949087 \h </w:instrText>
        </w:r>
        <w:r>
          <w:rPr>
            <w:noProof/>
            <w:webHidden/>
          </w:rPr>
        </w:r>
        <w:r>
          <w:rPr>
            <w:noProof/>
            <w:webHidden/>
          </w:rPr>
          <w:fldChar w:fldCharType="separate"/>
        </w:r>
        <w:r w:rsidR="000B62ED">
          <w:rPr>
            <w:noProof/>
            <w:webHidden/>
          </w:rPr>
          <w:t>54</w:t>
        </w:r>
        <w:r>
          <w:rPr>
            <w:noProof/>
            <w:webHidden/>
          </w:rPr>
          <w:fldChar w:fldCharType="end"/>
        </w:r>
      </w:hyperlink>
    </w:p>
    <w:p w14:paraId="53B33AB6" w14:textId="18362664" w:rsidR="008A2836" w:rsidRDefault="008A2836">
      <w:pPr>
        <w:pStyle w:val="TableofFigures"/>
        <w:tabs>
          <w:tab w:val="right" w:leader="dot" w:pos="9016"/>
        </w:tabs>
        <w:rPr>
          <w:rFonts w:eastAsiaTheme="minorEastAsia"/>
          <w:noProof/>
          <w:kern w:val="2"/>
          <w:sz w:val="24"/>
          <w:szCs w:val="30"/>
          <w:lang w:eastAsia="zh-CN" w:bidi="th-TH"/>
          <w14:ligatures w14:val="standardContextual"/>
        </w:rPr>
      </w:pPr>
      <w:hyperlink w:anchor="_Toc171949088" w:history="1">
        <w:r w:rsidRPr="00765985">
          <w:rPr>
            <w:rStyle w:val="Hyperlink"/>
            <w:rFonts w:ascii="Calibri" w:hAnsi="Calibri" w:cs="Calibri"/>
            <w:noProof/>
          </w:rPr>
          <w:t>Figure 29: Estimated Defined Benefit Superannuation Flows</w:t>
        </w:r>
        <w:r>
          <w:rPr>
            <w:noProof/>
            <w:webHidden/>
          </w:rPr>
          <w:tab/>
        </w:r>
        <w:r>
          <w:rPr>
            <w:noProof/>
            <w:webHidden/>
          </w:rPr>
          <w:fldChar w:fldCharType="begin"/>
        </w:r>
        <w:r>
          <w:rPr>
            <w:noProof/>
            <w:webHidden/>
          </w:rPr>
          <w:instrText xml:space="preserve"> PAGEREF _Toc171949088 \h </w:instrText>
        </w:r>
        <w:r>
          <w:rPr>
            <w:noProof/>
            <w:webHidden/>
          </w:rPr>
        </w:r>
        <w:r>
          <w:rPr>
            <w:noProof/>
            <w:webHidden/>
          </w:rPr>
          <w:fldChar w:fldCharType="separate"/>
        </w:r>
        <w:r w:rsidR="000B62ED">
          <w:rPr>
            <w:noProof/>
            <w:webHidden/>
          </w:rPr>
          <w:t>54</w:t>
        </w:r>
        <w:r>
          <w:rPr>
            <w:noProof/>
            <w:webHidden/>
          </w:rPr>
          <w:fldChar w:fldCharType="end"/>
        </w:r>
      </w:hyperlink>
    </w:p>
    <w:p w14:paraId="1DE02C30" w14:textId="69E5358E" w:rsidR="008A2836" w:rsidRDefault="008A2836">
      <w:pPr>
        <w:pStyle w:val="TableofFigures"/>
        <w:tabs>
          <w:tab w:val="right" w:leader="dot" w:pos="9016"/>
        </w:tabs>
        <w:rPr>
          <w:rFonts w:eastAsiaTheme="minorEastAsia"/>
          <w:noProof/>
          <w:kern w:val="2"/>
          <w:sz w:val="24"/>
          <w:szCs w:val="30"/>
          <w:lang w:eastAsia="zh-CN" w:bidi="th-TH"/>
          <w14:ligatures w14:val="standardContextual"/>
        </w:rPr>
      </w:pPr>
      <w:hyperlink w:anchor="_Toc171949089" w:history="1">
        <w:r w:rsidRPr="00765985">
          <w:rPr>
            <w:rStyle w:val="Hyperlink"/>
            <w:rFonts w:ascii="Calibri" w:hAnsi="Calibri" w:cs="Calibri"/>
            <w:noProof/>
          </w:rPr>
          <w:t>Figure 30: Defined Benefit Superannuation Unfunded Liability and Investment Assets</w:t>
        </w:r>
        <w:r>
          <w:rPr>
            <w:noProof/>
            <w:webHidden/>
          </w:rPr>
          <w:tab/>
        </w:r>
        <w:r>
          <w:rPr>
            <w:noProof/>
            <w:webHidden/>
          </w:rPr>
          <w:fldChar w:fldCharType="begin"/>
        </w:r>
        <w:r>
          <w:rPr>
            <w:noProof/>
            <w:webHidden/>
          </w:rPr>
          <w:instrText xml:space="preserve"> PAGEREF _Toc171949089 \h </w:instrText>
        </w:r>
        <w:r>
          <w:rPr>
            <w:noProof/>
            <w:webHidden/>
          </w:rPr>
        </w:r>
        <w:r>
          <w:rPr>
            <w:noProof/>
            <w:webHidden/>
          </w:rPr>
          <w:fldChar w:fldCharType="separate"/>
        </w:r>
        <w:r w:rsidR="000B62ED">
          <w:rPr>
            <w:noProof/>
            <w:webHidden/>
          </w:rPr>
          <w:t>56</w:t>
        </w:r>
        <w:r>
          <w:rPr>
            <w:noProof/>
            <w:webHidden/>
          </w:rPr>
          <w:fldChar w:fldCharType="end"/>
        </w:r>
      </w:hyperlink>
    </w:p>
    <w:p w14:paraId="3C0BFFA2" w14:textId="7038B8FD" w:rsidR="008A2836" w:rsidRDefault="008A2836">
      <w:pPr>
        <w:pStyle w:val="TableofFigures"/>
        <w:tabs>
          <w:tab w:val="right" w:leader="dot" w:pos="9016"/>
        </w:tabs>
        <w:rPr>
          <w:rFonts w:eastAsiaTheme="minorEastAsia"/>
          <w:noProof/>
          <w:kern w:val="2"/>
          <w:sz w:val="24"/>
          <w:szCs w:val="30"/>
          <w:lang w:eastAsia="zh-CN" w:bidi="th-TH"/>
          <w14:ligatures w14:val="standardContextual"/>
        </w:rPr>
      </w:pPr>
      <w:hyperlink w:anchor="_Toc171949090" w:history="1">
        <w:r w:rsidRPr="00765985">
          <w:rPr>
            <w:rStyle w:val="Hyperlink"/>
            <w:noProof/>
          </w:rPr>
          <w:t>Figure 31: Portion of Income Required to Service a New Mortgage and Rent for a Dwelling in Australian Capital Cities</w:t>
        </w:r>
        <w:r>
          <w:rPr>
            <w:noProof/>
            <w:webHidden/>
          </w:rPr>
          <w:tab/>
        </w:r>
        <w:r>
          <w:rPr>
            <w:noProof/>
            <w:webHidden/>
          </w:rPr>
          <w:fldChar w:fldCharType="begin"/>
        </w:r>
        <w:r>
          <w:rPr>
            <w:noProof/>
            <w:webHidden/>
          </w:rPr>
          <w:instrText xml:space="preserve"> PAGEREF _Toc171949090 \h </w:instrText>
        </w:r>
        <w:r>
          <w:rPr>
            <w:noProof/>
            <w:webHidden/>
          </w:rPr>
        </w:r>
        <w:r>
          <w:rPr>
            <w:noProof/>
            <w:webHidden/>
          </w:rPr>
          <w:fldChar w:fldCharType="separate"/>
        </w:r>
        <w:r w:rsidR="000B62ED">
          <w:rPr>
            <w:noProof/>
            <w:webHidden/>
          </w:rPr>
          <w:t>66</w:t>
        </w:r>
        <w:r>
          <w:rPr>
            <w:noProof/>
            <w:webHidden/>
          </w:rPr>
          <w:fldChar w:fldCharType="end"/>
        </w:r>
      </w:hyperlink>
    </w:p>
    <w:p w14:paraId="335ACDA8" w14:textId="50535CC8" w:rsidR="008A2836" w:rsidRDefault="008A2836">
      <w:pPr>
        <w:pStyle w:val="TableofFigures"/>
        <w:tabs>
          <w:tab w:val="right" w:leader="dot" w:pos="9016"/>
        </w:tabs>
        <w:rPr>
          <w:rFonts w:eastAsiaTheme="minorEastAsia"/>
          <w:noProof/>
          <w:kern w:val="2"/>
          <w:sz w:val="24"/>
          <w:szCs w:val="30"/>
          <w:lang w:eastAsia="zh-CN" w:bidi="th-TH"/>
          <w14:ligatures w14:val="standardContextual"/>
        </w:rPr>
      </w:pPr>
      <w:hyperlink w:anchor="_Toc171949091" w:history="1">
        <w:r w:rsidRPr="00765985">
          <w:rPr>
            <w:rStyle w:val="Hyperlink"/>
            <w:noProof/>
          </w:rPr>
          <w:t xml:space="preserve">Figure 32: </w:t>
        </w:r>
        <w:r w:rsidRPr="00765985">
          <w:rPr>
            <w:rStyle w:val="Hyperlink"/>
            <w:rFonts w:cstheme="minorHAnsi"/>
            <w:noProof/>
          </w:rPr>
          <w:t>ACT Population and the Provision of ACT Public Housing Dwellings</w:t>
        </w:r>
        <w:r>
          <w:rPr>
            <w:noProof/>
            <w:webHidden/>
          </w:rPr>
          <w:tab/>
        </w:r>
        <w:r>
          <w:rPr>
            <w:noProof/>
            <w:webHidden/>
          </w:rPr>
          <w:fldChar w:fldCharType="begin"/>
        </w:r>
        <w:r>
          <w:rPr>
            <w:noProof/>
            <w:webHidden/>
          </w:rPr>
          <w:instrText xml:space="preserve"> PAGEREF _Toc171949091 \h </w:instrText>
        </w:r>
        <w:r>
          <w:rPr>
            <w:noProof/>
            <w:webHidden/>
          </w:rPr>
        </w:r>
        <w:r>
          <w:rPr>
            <w:noProof/>
            <w:webHidden/>
          </w:rPr>
          <w:fldChar w:fldCharType="separate"/>
        </w:r>
        <w:r w:rsidR="000B62ED">
          <w:rPr>
            <w:noProof/>
            <w:webHidden/>
          </w:rPr>
          <w:t>68</w:t>
        </w:r>
        <w:r>
          <w:rPr>
            <w:noProof/>
            <w:webHidden/>
          </w:rPr>
          <w:fldChar w:fldCharType="end"/>
        </w:r>
      </w:hyperlink>
    </w:p>
    <w:p w14:paraId="7C4E2B5E" w14:textId="3D907DC6" w:rsidR="009830B1" w:rsidRDefault="00AF4AA5" w:rsidP="00B42143">
      <w:pPr>
        <w:rPr>
          <w:rFonts w:eastAsiaTheme="majorEastAsia"/>
        </w:rPr>
      </w:pPr>
      <w:r>
        <w:fldChar w:fldCharType="end"/>
      </w:r>
      <w:bookmarkStart w:id="0" w:name="_Toc453495100"/>
      <w:bookmarkStart w:id="1" w:name="_Toc453516099"/>
      <w:r w:rsidR="009830B1">
        <w:br w:type="page"/>
      </w:r>
    </w:p>
    <w:p w14:paraId="7357AA9E" w14:textId="77777777" w:rsidR="006C458F" w:rsidRPr="007F2757" w:rsidRDefault="006C458F" w:rsidP="006C458F">
      <w:pPr>
        <w:pStyle w:val="Heading1"/>
        <w:rPr>
          <w:color w:val="5B9BD5" w:themeColor="accent1"/>
        </w:rPr>
      </w:pPr>
      <w:bookmarkStart w:id="2" w:name="_Toc171948984"/>
      <w:bookmarkEnd w:id="0"/>
      <w:bookmarkEnd w:id="1"/>
      <w:r w:rsidRPr="007F2757">
        <w:rPr>
          <w:color w:val="5B9BD5" w:themeColor="accent1"/>
        </w:rPr>
        <w:lastRenderedPageBreak/>
        <w:t>Executive Summary</w:t>
      </w:r>
      <w:bookmarkEnd w:id="2"/>
    </w:p>
    <w:p w14:paraId="32D84E0B" w14:textId="7F70AFD2" w:rsidR="00DB6CCE" w:rsidRDefault="00DB6CCE" w:rsidP="00DB6CCE">
      <w:r>
        <w:t>Most of the ACT Budget economic forecasts appear reasonable.  There may be some risk attached to the forecast for the Canberra CPI in 2024-25 which is lower than the most recent national forecast from the Reserve Bank of Australia.</w:t>
      </w:r>
      <w:r w:rsidR="00D73A6E">
        <w:t xml:space="preserve">  The main risk to the economic outlook comes from the broader national economy, particularly from interest rates and inflation, compounded by international geopolitical tensions.</w:t>
      </w:r>
      <w:r w:rsidR="00A65C77">
        <w:t xml:space="preserve">  </w:t>
      </w:r>
      <w:r>
        <w:t>The population forecasts and projections presented by the ACT are on the high side based on forecasts for the Commonwealth Government by the Centre for Population.</w:t>
      </w:r>
    </w:p>
    <w:p w14:paraId="5739A2D2" w14:textId="082B2834" w:rsidR="002D6A39" w:rsidRDefault="002D6A39" w:rsidP="00DB6CCE">
      <w:r w:rsidRPr="00583EFC">
        <w:t>Since the onset of the economic disruption caused by the COVID-19 pandemic, the ACT economy has generally become much less diverse and more dependent on the public sector, with the Commonwealth and ACT governments now accounting for around 56</w:t>
      </w:r>
      <w:r>
        <w:t xml:space="preserve"> percent</w:t>
      </w:r>
      <w:r w:rsidRPr="00583EFC">
        <w:t xml:space="preserve"> of final demand, as compared to 53</w:t>
      </w:r>
      <w:r>
        <w:t xml:space="preserve"> percent</w:t>
      </w:r>
      <w:r w:rsidRPr="00583EFC">
        <w:t xml:space="preserve"> pre-COVID.</w:t>
      </w:r>
    </w:p>
    <w:p w14:paraId="5B0E5191" w14:textId="7C36AD59" w:rsidR="00573650" w:rsidRDefault="00DB6CCE" w:rsidP="00573650">
      <w:r>
        <w:t xml:space="preserve">The Budget forecasts a headline net operating deficit of $642.1 million in 2024-25, moving over the forward years to a surplus of $179.5 million by 2027-28. </w:t>
      </w:r>
      <w:r w:rsidR="00573650">
        <w:t xml:space="preserve"> The position on operating cash is forecast to move into surplus in 2024-25 following cash deficits in recent Budgets.  However, the total cash balance is forecast to be in deficit across the Budget and forward years. </w:t>
      </w:r>
    </w:p>
    <w:p w14:paraId="02263E2A" w14:textId="62A23656" w:rsidR="00573650" w:rsidRDefault="00573650" w:rsidP="00573650">
      <w:r>
        <w:t>Interest expenses show significant growth over the Budget and forward years.  Interest expenses are now forecast to reach $514 million in 2024-25 and $832 million in 2027-28.  The Budget forecast for interest expenses is $127 million higher than the estimated 2023-24 outcome and is forecast to increase by a further $318</w:t>
      </w:r>
      <w:r w:rsidR="00977D91">
        <w:t xml:space="preserve"> </w:t>
      </w:r>
      <w:r>
        <w:t xml:space="preserve">million over the Budget and forward years.  </w:t>
      </w:r>
    </w:p>
    <w:p w14:paraId="1A2A7362" w14:textId="3459AEB9" w:rsidR="0027250E" w:rsidRPr="002931EA" w:rsidRDefault="0027250E" w:rsidP="0027250E">
      <w:pPr>
        <w:rPr>
          <w:rFonts w:ascii="Calibri" w:hAnsi="Calibri" w:cs="Calibri"/>
        </w:rPr>
      </w:pPr>
      <w:r w:rsidRPr="00387155">
        <w:rPr>
          <w:rFonts w:ascii="Calibri" w:hAnsi="Calibri" w:cs="Calibri"/>
        </w:rPr>
        <w:t>A short-term increase in net debt can be a sensible response to adverse economic shocks</w:t>
      </w:r>
      <w:r>
        <w:rPr>
          <w:rFonts w:ascii="Calibri" w:hAnsi="Calibri" w:cs="Calibri"/>
        </w:rPr>
        <w:t>, such as the COVID19 pandemic, and can be justified when investing in future wealth generating assets</w:t>
      </w:r>
      <w:r w:rsidRPr="00387155">
        <w:rPr>
          <w:rFonts w:ascii="Calibri" w:hAnsi="Calibri" w:cs="Calibri"/>
        </w:rPr>
        <w:t xml:space="preserve">. </w:t>
      </w:r>
      <w:r>
        <w:rPr>
          <w:rFonts w:ascii="Calibri" w:hAnsi="Calibri" w:cs="Calibri"/>
        </w:rPr>
        <w:t xml:space="preserve"> </w:t>
      </w:r>
      <w:r w:rsidRPr="00387155">
        <w:rPr>
          <w:rFonts w:ascii="Calibri" w:hAnsi="Calibri" w:cs="Calibri"/>
        </w:rPr>
        <w:t>However, continuing high levels of debt are undesirable as they impose debt servicing costs and can reduce future budget flexibility.</w:t>
      </w:r>
    </w:p>
    <w:p w14:paraId="371901F6" w14:textId="135992E4" w:rsidR="00E32DC2" w:rsidRDefault="0027756B" w:rsidP="00E32DC2">
      <w:r w:rsidRPr="0027756B">
        <w:t>The Budget includes 166 new policy initiatives that involve a mix of capital, expense, and revenue.  The new policy initiatives collectively represent $414 million of capital, $615 million expenses, and $</w:t>
      </w:r>
      <w:r w:rsidR="0027250E">
        <w:t>2</w:t>
      </w:r>
      <w:r w:rsidRPr="0027756B">
        <w:t xml:space="preserve">24 million of revenue, in net terms, over four years.  </w:t>
      </w:r>
    </w:p>
    <w:p w14:paraId="3F57F950" w14:textId="670AD49C" w:rsidR="00573650" w:rsidRPr="00573650" w:rsidRDefault="00E32DC2" w:rsidP="00573650">
      <w:r>
        <w:t xml:space="preserve">Significant new investments are being made across most domains, with the largest new spending earmarked for the Health, Housing, Living Standards and Connectivity domains. </w:t>
      </w:r>
    </w:p>
    <w:p w14:paraId="3068073C" w14:textId="610FB443" w:rsidR="00E32DC2" w:rsidRPr="00E32DC2" w:rsidRDefault="00E32DC2" w:rsidP="00E32DC2">
      <w:pPr>
        <w:rPr>
          <w:color w:val="000000" w:themeColor="text1"/>
        </w:rPr>
      </w:pPr>
      <w:r w:rsidRPr="00E32DC2">
        <w:rPr>
          <w:color w:val="000000" w:themeColor="text1"/>
        </w:rPr>
        <w:t xml:space="preserve">The Budget also includes funding for substantial major projects, infrastructure and capital works program across the Budget and forward years through the Infrastructure Investment Program, and the overarching ACT Infrastructure Plan. The program is over five years out to 2028-29.  The ACT </w:t>
      </w:r>
      <w:r w:rsidR="00502E78">
        <w:rPr>
          <w:color w:val="000000" w:themeColor="text1"/>
        </w:rPr>
        <w:t>G</w:t>
      </w:r>
      <w:r w:rsidRPr="00E32DC2">
        <w:rPr>
          <w:color w:val="000000" w:themeColor="text1"/>
        </w:rPr>
        <w:t>overnment intends to invest $1.4 billion in 2024-25 and approximately $8.1 billion out to 2028-29.</w:t>
      </w:r>
    </w:p>
    <w:p w14:paraId="23CDFCCD" w14:textId="5D96B59A" w:rsidR="00E32DC2" w:rsidRPr="00573650" w:rsidRDefault="00E32DC2" w:rsidP="00573650">
      <w:pPr>
        <w:rPr>
          <w:color w:val="000000" w:themeColor="text1"/>
        </w:rPr>
      </w:pPr>
      <w:r w:rsidRPr="00E32DC2">
        <w:rPr>
          <w:color w:val="000000" w:themeColor="text1"/>
        </w:rPr>
        <w:t xml:space="preserve">Key projects include hospitals, </w:t>
      </w:r>
      <w:r w:rsidR="00872CEA">
        <w:rPr>
          <w:color w:val="000000" w:themeColor="text1"/>
        </w:rPr>
        <w:t xml:space="preserve">health centres, </w:t>
      </w:r>
      <w:r w:rsidRPr="00E32DC2">
        <w:rPr>
          <w:color w:val="000000" w:themeColor="text1"/>
        </w:rPr>
        <w:t>schools, public housing, urban renewal, transport and roads, community and services, and climate action</w:t>
      </w:r>
      <w:r w:rsidR="00573650">
        <w:rPr>
          <w:color w:val="000000" w:themeColor="text1"/>
        </w:rPr>
        <w:t>.</w:t>
      </w:r>
    </w:p>
    <w:p w14:paraId="6A7C20E3" w14:textId="0349DA0E" w:rsidR="00E32DC2" w:rsidRPr="00F71A02" w:rsidRDefault="00DB6CCE" w:rsidP="00E32DC2">
      <w:pPr>
        <w:rPr>
          <w:rStyle w:val="BbodytextChar"/>
        </w:rPr>
      </w:pPr>
      <w:r>
        <w:t xml:space="preserve">The ACT has a strong balance sheet, but that position is deteriorating over time.  Despite the forecast return to surplus in 2026-27, net debt and net financial liabilities are continuing to grow through the forecast period while net </w:t>
      </w:r>
      <w:r w:rsidRPr="00E32DC2">
        <w:rPr>
          <w:color w:val="000000" w:themeColor="text1"/>
        </w:rPr>
        <w:t>worth is falling.</w:t>
      </w:r>
      <w:r w:rsidR="00E32DC2" w:rsidRPr="00E32DC2">
        <w:rPr>
          <w:color w:val="000000" w:themeColor="text1"/>
        </w:rPr>
        <w:t xml:space="preserve">  The ACT has moved from the position of being a net creditor at the beginning of the last decade to having a substantial and increasing debt and interest burden in the Budget and forward years. The recent downgrade of the ACT credit rating is an indication of its weaken</w:t>
      </w:r>
      <w:r w:rsidR="0027250E">
        <w:rPr>
          <w:color w:val="000000" w:themeColor="text1"/>
        </w:rPr>
        <w:t>ed</w:t>
      </w:r>
      <w:r w:rsidR="00E32DC2" w:rsidRPr="00E32DC2">
        <w:rPr>
          <w:color w:val="000000" w:themeColor="text1"/>
        </w:rPr>
        <w:t xml:space="preserve"> </w:t>
      </w:r>
      <w:r w:rsidR="002152A9">
        <w:rPr>
          <w:color w:val="000000" w:themeColor="text1"/>
        </w:rPr>
        <w:t xml:space="preserve">fiscal </w:t>
      </w:r>
      <w:r w:rsidR="00E32DC2" w:rsidRPr="00E32DC2">
        <w:rPr>
          <w:color w:val="000000" w:themeColor="text1"/>
        </w:rPr>
        <w:t>position.</w:t>
      </w:r>
    </w:p>
    <w:p w14:paraId="4428D8AC" w14:textId="7882EC2C" w:rsidR="00DB6CCE" w:rsidRDefault="00CB7B9D" w:rsidP="00DB6CCE">
      <w:r>
        <w:t>Pegasus notes improvements in transparency in the current Budget</w:t>
      </w:r>
      <w:r w:rsidR="00384752">
        <w:t xml:space="preserve"> Papers</w:t>
      </w:r>
      <w:r>
        <w:t xml:space="preserve">, including in relation to significant accounting policies and dividend policies.  </w:t>
      </w:r>
      <w:r w:rsidR="008E418D">
        <w:t>Consistent r</w:t>
      </w:r>
      <w:r>
        <w:t xml:space="preserve">eporting of </w:t>
      </w:r>
      <w:r w:rsidR="00302CBF">
        <w:t>w</w:t>
      </w:r>
      <w:r>
        <w:t xml:space="preserve">ellbeing initiatives </w:t>
      </w:r>
      <w:r w:rsidR="0027250E">
        <w:t xml:space="preserve">in line with normal budget </w:t>
      </w:r>
      <w:r w:rsidR="005C5BB5">
        <w:t xml:space="preserve">and accounting </w:t>
      </w:r>
      <w:r w:rsidR="0027250E">
        <w:t xml:space="preserve">conventions </w:t>
      </w:r>
      <w:r>
        <w:t>would further improve transparency.</w:t>
      </w:r>
      <w:r w:rsidR="005C5BB5" w:rsidRPr="005C5BB5">
        <w:rPr>
          <w:i/>
          <w:iCs/>
          <w:color w:val="5B9BD5"/>
          <w:sz w:val="24"/>
          <w:szCs w:val="24"/>
        </w:rPr>
        <w:t xml:space="preserve"> </w:t>
      </w:r>
    </w:p>
    <w:p w14:paraId="0ADDF5A3" w14:textId="77777777" w:rsidR="006E48C1" w:rsidRDefault="006E48C1" w:rsidP="007D35A9"/>
    <w:p w14:paraId="2A56C2D0" w14:textId="77777777" w:rsidR="006E48C1" w:rsidRPr="007D35A9" w:rsidRDefault="006E48C1" w:rsidP="007D35A9"/>
    <w:p w14:paraId="26DCDE62" w14:textId="2E1EA40D" w:rsidR="009830B1" w:rsidRPr="00D84FDE" w:rsidRDefault="009830B1">
      <w:pPr>
        <w:rPr>
          <w:lang w:val="en-US"/>
        </w:rPr>
        <w:sectPr w:rsidR="009830B1" w:rsidRPr="00D84FDE">
          <w:footerReference w:type="default" r:id="rId15"/>
          <w:pgSz w:w="11906" w:h="16838"/>
          <w:pgMar w:top="1440" w:right="1440" w:bottom="1440" w:left="1440" w:header="708" w:footer="708" w:gutter="0"/>
          <w:pgNumType w:fmt="lowerRoman" w:start="0"/>
          <w:cols w:space="708"/>
          <w:docGrid w:linePitch="360"/>
        </w:sectPr>
      </w:pPr>
    </w:p>
    <w:p w14:paraId="024C282D" w14:textId="1088E5BF" w:rsidR="00DF3E69" w:rsidRDefault="009830B1" w:rsidP="00DF3E69">
      <w:pPr>
        <w:pStyle w:val="Heading1"/>
      </w:pPr>
      <w:bookmarkStart w:id="3" w:name="_Toc453495101"/>
      <w:bookmarkStart w:id="4" w:name="_Toc453516100"/>
      <w:bookmarkStart w:id="5" w:name="_Toc171948985"/>
      <w:r>
        <w:lastRenderedPageBreak/>
        <w:t>1</w:t>
      </w:r>
      <w:r w:rsidR="00F917F6">
        <w:t>.</w:t>
      </w:r>
      <w:r w:rsidR="00DF3E69">
        <w:tab/>
      </w:r>
      <w:r w:rsidR="00DF3E69" w:rsidRPr="006967FF">
        <w:t>Introduction</w:t>
      </w:r>
      <w:bookmarkEnd w:id="3"/>
      <w:bookmarkEnd w:id="4"/>
      <w:bookmarkEnd w:id="5"/>
    </w:p>
    <w:p w14:paraId="72B9D475" w14:textId="77777777" w:rsidR="006E48C1" w:rsidRDefault="006E48C1" w:rsidP="006E48C1">
      <w:pPr>
        <w:pStyle w:val="Heading2"/>
        <w:spacing w:after="240"/>
      </w:pPr>
      <w:bookmarkStart w:id="6" w:name="_Toc171948986"/>
      <w:r>
        <w:t>1.1</w:t>
      </w:r>
      <w:r>
        <w:tab/>
        <w:t>Purpose</w:t>
      </w:r>
      <w:bookmarkEnd w:id="6"/>
    </w:p>
    <w:p w14:paraId="5E188E34" w14:textId="1CA22E37" w:rsidR="006E48C1" w:rsidRDefault="006E48C1" w:rsidP="006E48C1">
      <w:r w:rsidRPr="00E278FD">
        <w:t>This report</w:t>
      </w:r>
      <w:r>
        <w:t xml:space="preserve"> has been produced to assist the Select Committee on Estimates in its consideration of the 2024-25 ACT Budget.</w:t>
      </w:r>
    </w:p>
    <w:p w14:paraId="6F144AE9" w14:textId="77777777" w:rsidR="006E48C1" w:rsidRDefault="006E48C1" w:rsidP="006E48C1">
      <w:r>
        <w:t>The purpose of the report is to identify major features of the Budget that the Committee may wish to explore in its consideration of the Budget.  The report does not express any judgement on the appropriateness of individual decisions reflected in the document.  The focus of the report is on the reasonableness of assumptions used in construction of the Budget, elucidation of key features of the Budget and the consistency and transparency of the presentation of the Budget aggregates.</w:t>
      </w:r>
    </w:p>
    <w:p w14:paraId="788ACDAB" w14:textId="77777777" w:rsidR="006E48C1" w:rsidRDefault="006E48C1" w:rsidP="006E48C1">
      <w:r>
        <w:t>Additional comment has been provided in the report on issues specifically identified by the Committee.</w:t>
      </w:r>
    </w:p>
    <w:p w14:paraId="0001113C" w14:textId="77777777" w:rsidR="006E48C1" w:rsidRDefault="006E48C1" w:rsidP="006E48C1">
      <w:pPr>
        <w:pStyle w:val="Heading2"/>
        <w:spacing w:after="240"/>
      </w:pPr>
      <w:bookmarkStart w:id="7" w:name="_Toc171948987"/>
      <w:r>
        <w:t>1.2</w:t>
      </w:r>
      <w:r>
        <w:tab/>
        <w:t>Approach</w:t>
      </w:r>
      <w:bookmarkEnd w:id="7"/>
    </w:p>
    <w:p w14:paraId="43FEE4DE" w14:textId="77777777" w:rsidR="006E48C1" w:rsidRDefault="006E48C1" w:rsidP="006E48C1">
      <w:r>
        <w:t xml:space="preserve">The report is based on a desk-top review of the ACT Budget documentation presented to the Assembly on Tuesday 25 June 2024.  </w:t>
      </w:r>
      <w:r>
        <w:rPr>
          <w:rStyle w:val="BodyTextChar"/>
          <w:rFonts w:eastAsiaTheme="minorHAnsi"/>
        </w:rPr>
        <w:t xml:space="preserve">We have also </w:t>
      </w:r>
      <w:r>
        <w:t xml:space="preserve">consulted other documentation in the public domain including </w:t>
      </w:r>
      <w:r w:rsidRPr="00A0737F">
        <w:t>Commonwealth Government Budget Papers</w:t>
      </w:r>
      <w:r>
        <w:t>, the Budget Papers of other States and the Northern Territory, and economic statements</w:t>
      </w:r>
      <w:r w:rsidRPr="00A0737F">
        <w:t>, previous ACT Budget documents, reports of the ACT Auditor-General, various Ministerial statements, Departmental reports and other research literature.</w:t>
      </w:r>
    </w:p>
    <w:p w14:paraId="249EE9B9" w14:textId="48377BCB" w:rsidR="006E48C1" w:rsidRDefault="006E48C1" w:rsidP="006E48C1">
      <w:r>
        <w:t>Pegasus was also given access to ACT Treasury officials at a meeting on 27 June 2024.  ACT Treasury provided the opportunity to discuss aspects of the Budget and subsequently provided written answers to questions.  Pegasus thanks the ACT Treasury officials for making this opportunity available to us</w:t>
      </w:r>
      <w:r w:rsidR="00F302AE">
        <w:t>, for their careful and considered answers to our questions</w:t>
      </w:r>
      <w:r>
        <w:t xml:space="preserve"> and for their prompt response</w:t>
      </w:r>
      <w:r w:rsidR="00F302AE">
        <w:t>s</w:t>
      </w:r>
      <w:r>
        <w:t>.  Our report is better for this engagement.  Information provided by ACT Treasury is noted in the text.</w:t>
      </w:r>
    </w:p>
    <w:p w14:paraId="7F793412" w14:textId="77777777" w:rsidR="006E48C1" w:rsidRDefault="006E48C1" w:rsidP="006E48C1">
      <w:pPr>
        <w:pStyle w:val="Heading2"/>
      </w:pPr>
      <w:bookmarkStart w:id="8" w:name="_Toc171948988"/>
      <w:r>
        <w:t>1.3</w:t>
      </w:r>
      <w:r>
        <w:tab/>
        <w:t>Limitation of scope</w:t>
      </w:r>
      <w:bookmarkEnd w:id="8"/>
    </w:p>
    <w:p w14:paraId="67CF9CE2" w14:textId="77777777" w:rsidR="006E48C1" w:rsidRDefault="006E48C1" w:rsidP="006E48C1">
      <w:pPr>
        <w:pStyle w:val="BodyText"/>
      </w:pPr>
      <w:r>
        <w:t xml:space="preserve">In preparing advice for the Select Committee, </w:t>
      </w:r>
      <w:r w:rsidRPr="00DB3531">
        <w:t xml:space="preserve">Pegasus </w:t>
      </w:r>
      <w:r>
        <w:t xml:space="preserve">has </w:t>
      </w:r>
      <w:r w:rsidRPr="00DB3531">
        <w:t>relie</w:t>
      </w:r>
      <w:r>
        <w:t>d</w:t>
      </w:r>
      <w:r w:rsidRPr="00DB3531">
        <w:t xml:space="preserve"> on details contained in the Budget Papers</w:t>
      </w:r>
      <w:r>
        <w:t>,</w:t>
      </w:r>
      <w:r w:rsidRPr="00DB3531">
        <w:t xml:space="preserve"> our independent research and analysis and other </w:t>
      </w:r>
      <w:r>
        <w:t xml:space="preserve">public </w:t>
      </w:r>
      <w:r w:rsidRPr="00DB3531">
        <w:t>sources.</w:t>
      </w:r>
      <w:r>
        <w:t xml:space="preserve"> </w:t>
      </w:r>
    </w:p>
    <w:p w14:paraId="22C27E2B" w14:textId="77777777" w:rsidR="006E48C1" w:rsidRPr="00DB3531" w:rsidRDefault="006E48C1" w:rsidP="006E48C1">
      <w:pPr>
        <w:pStyle w:val="BodyText"/>
      </w:pPr>
      <w:r>
        <w:t xml:space="preserve">Work was undertaken and a draft report provided within 10 days </w:t>
      </w:r>
      <w:r w:rsidRPr="006967FF">
        <w:t>of the presentation of the Budget to the Legislative Assembly</w:t>
      </w:r>
      <w:r>
        <w:t xml:space="preserve">.  </w:t>
      </w:r>
      <w:r w:rsidRPr="00DB3531">
        <w:t xml:space="preserve">These matters have </w:t>
      </w:r>
      <w:r>
        <w:t xml:space="preserve">constrained the extent and depth of analysis that could be undertaken. </w:t>
      </w:r>
    </w:p>
    <w:p w14:paraId="75BCD4B4" w14:textId="77777777" w:rsidR="0026045A" w:rsidRDefault="0026045A" w:rsidP="009F0A42">
      <w:pPr>
        <w:pStyle w:val="BodyText"/>
      </w:pPr>
    </w:p>
    <w:p w14:paraId="0F197B6D" w14:textId="08771169" w:rsidR="008962AD" w:rsidRDefault="008962AD">
      <w:pPr>
        <w:rPr>
          <w:rStyle w:val="BodyTextChar"/>
          <w:rFonts w:eastAsiaTheme="minorHAnsi"/>
        </w:rPr>
      </w:pPr>
      <w:r>
        <w:rPr>
          <w:rStyle w:val="BodyTextChar"/>
          <w:rFonts w:eastAsiaTheme="minorHAnsi"/>
        </w:rPr>
        <w:br w:type="page"/>
      </w:r>
    </w:p>
    <w:p w14:paraId="77E6A570" w14:textId="39C812D8" w:rsidR="006E48C1" w:rsidRDefault="004733C7" w:rsidP="006E48C1">
      <w:pPr>
        <w:pStyle w:val="Heading1"/>
      </w:pPr>
      <w:bookmarkStart w:id="9" w:name="_Toc453495106"/>
      <w:bookmarkStart w:id="10" w:name="_Toc453516105"/>
      <w:bookmarkStart w:id="11" w:name="_Toc171948989"/>
      <w:r>
        <w:lastRenderedPageBreak/>
        <w:t>2</w:t>
      </w:r>
      <w:r w:rsidR="008962AD">
        <w:t>.</w:t>
      </w:r>
      <w:r w:rsidR="00F62C32">
        <w:tab/>
      </w:r>
      <w:r w:rsidR="00F62C32" w:rsidRPr="006E48C1">
        <w:t>Economic Forecasts</w:t>
      </w:r>
      <w:bookmarkEnd w:id="9"/>
      <w:bookmarkEnd w:id="10"/>
      <w:bookmarkEnd w:id="11"/>
    </w:p>
    <w:p w14:paraId="1E6CF963" w14:textId="3198097C" w:rsidR="006E48C1" w:rsidRDefault="006E48C1" w:rsidP="006E48C1">
      <w:pPr>
        <w:rPr>
          <w:i/>
          <w:iCs/>
          <w:color w:val="5B9BD5"/>
          <w:sz w:val="24"/>
          <w:szCs w:val="24"/>
        </w:rPr>
      </w:pPr>
      <w:r w:rsidRPr="0085008A">
        <w:rPr>
          <w:i/>
          <w:iCs/>
          <w:color w:val="5B9BD5"/>
          <w:sz w:val="24"/>
          <w:szCs w:val="24"/>
        </w:rPr>
        <w:t>Most of the ACT Budget economic forecasts appear reasonable.  There may be some risk attached to the forecast for the Canberra CPI in 2024-25 which is lower than the most recent national forecast from the Reserve Bank of Australia.</w:t>
      </w:r>
    </w:p>
    <w:p w14:paraId="7BD7A451" w14:textId="77777777" w:rsidR="00EF4999" w:rsidRPr="0085008A" w:rsidRDefault="00EF4999" w:rsidP="00EF4999">
      <w:pPr>
        <w:rPr>
          <w:i/>
          <w:iCs/>
          <w:color w:val="5B9BD5"/>
          <w:sz w:val="24"/>
          <w:szCs w:val="24"/>
        </w:rPr>
      </w:pPr>
      <w:r w:rsidRPr="0085008A">
        <w:rPr>
          <w:i/>
          <w:iCs/>
          <w:color w:val="5B9BD5"/>
          <w:sz w:val="24"/>
          <w:szCs w:val="24"/>
        </w:rPr>
        <w:t>The main risk to the economic outlook comes from the broader national economy, particularly from interest rates and inflation, compounded by international geopolitical tensions.</w:t>
      </w:r>
    </w:p>
    <w:p w14:paraId="55A81FA2" w14:textId="5D9298CA" w:rsidR="006E48C1" w:rsidRPr="0085008A" w:rsidRDefault="006E48C1" w:rsidP="006E48C1">
      <w:pPr>
        <w:rPr>
          <w:i/>
          <w:iCs/>
          <w:color w:val="5B9BD5"/>
          <w:sz w:val="24"/>
          <w:szCs w:val="24"/>
        </w:rPr>
      </w:pPr>
      <w:r w:rsidRPr="0085008A">
        <w:rPr>
          <w:i/>
          <w:iCs/>
          <w:color w:val="5B9BD5"/>
          <w:sz w:val="24"/>
          <w:szCs w:val="24"/>
        </w:rPr>
        <w:t xml:space="preserve">The population forecasts and projections presented by the ACT </w:t>
      </w:r>
      <w:r w:rsidR="00384752">
        <w:rPr>
          <w:i/>
          <w:iCs/>
          <w:color w:val="5B9BD5"/>
          <w:sz w:val="24"/>
          <w:szCs w:val="24"/>
        </w:rPr>
        <w:t xml:space="preserve">Government </w:t>
      </w:r>
      <w:r w:rsidRPr="0085008A">
        <w:rPr>
          <w:i/>
          <w:iCs/>
          <w:color w:val="5B9BD5"/>
          <w:sz w:val="24"/>
          <w:szCs w:val="24"/>
        </w:rPr>
        <w:t>are on the high side based on forecasts for the Commonwealth Government by the Centre for Population.</w:t>
      </w:r>
    </w:p>
    <w:p w14:paraId="0639C35B" w14:textId="62191926" w:rsidR="003B71A7" w:rsidRDefault="003B71A7" w:rsidP="003B71A7">
      <w:pPr>
        <w:pStyle w:val="Heading2"/>
      </w:pPr>
      <w:bookmarkStart w:id="12" w:name="_Toc171948990"/>
      <w:r w:rsidRPr="00365238">
        <w:t>2.1</w:t>
      </w:r>
      <w:r w:rsidRPr="00365238">
        <w:tab/>
        <w:t>Overview</w:t>
      </w:r>
      <w:bookmarkEnd w:id="12"/>
    </w:p>
    <w:p w14:paraId="7FDA5AA2" w14:textId="13C3C024" w:rsidR="00F62C32" w:rsidRPr="00583EFC" w:rsidRDefault="00F62C32">
      <w:r w:rsidRPr="00583EFC">
        <w:t>A summary of current economic trends alongside the economic estimates and forecasts contained in the 20</w:t>
      </w:r>
      <w:r w:rsidR="003C5854" w:rsidRPr="00583EFC">
        <w:t>2</w:t>
      </w:r>
      <w:r w:rsidR="003B2125" w:rsidRPr="00583EFC">
        <w:t>4</w:t>
      </w:r>
      <w:r w:rsidRPr="00583EFC">
        <w:t>-</w:t>
      </w:r>
      <w:r w:rsidR="00806654" w:rsidRPr="00583EFC">
        <w:t>2</w:t>
      </w:r>
      <w:r w:rsidR="003B2125" w:rsidRPr="00583EFC">
        <w:t>5</w:t>
      </w:r>
      <w:r w:rsidRPr="00583EFC">
        <w:t xml:space="preserve"> ACT Budget are provided in </w:t>
      </w:r>
      <w:r w:rsidR="000035C8" w:rsidRPr="00583EFC">
        <w:fldChar w:fldCharType="begin"/>
      </w:r>
      <w:r w:rsidR="000035C8" w:rsidRPr="00583EFC">
        <w:instrText xml:space="preserve"> REF _Ref453489411 \h  \* MERGEFORMAT </w:instrText>
      </w:r>
      <w:r w:rsidR="000035C8" w:rsidRPr="00583EFC">
        <w:fldChar w:fldCharType="separate"/>
      </w:r>
      <w:r w:rsidR="000B62ED" w:rsidRPr="00583EFC">
        <w:t xml:space="preserve">Table </w:t>
      </w:r>
      <w:r w:rsidR="000B62ED">
        <w:t>1</w:t>
      </w:r>
      <w:r w:rsidR="000035C8" w:rsidRPr="00583EFC">
        <w:fldChar w:fldCharType="end"/>
      </w:r>
      <w:r w:rsidR="00821781" w:rsidRPr="00583EFC">
        <w:t xml:space="preserve"> </w:t>
      </w:r>
      <w:r w:rsidRPr="00583EFC">
        <w:t>below.</w:t>
      </w:r>
    </w:p>
    <w:p w14:paraId="76D3E92B" w14:textId="57C70CD1" w:rsidR="00970786" w:rsidRPr="00583EFC" w:rsidRDefault="00970786" w:rsidP="00B12EFE">
      <w:pPr>
        <w:pStyle w:val="Caption"/>
      </w:pPr>
      <w:bookmarkStart w:id="13" w:name="_Ref453489411"/>
      <w:bookmarkStart w:id="14" w:name="_Toc453495086"/>
      <w:bookmarkStart w:id="15" w:name="_Toc453516085"/>
      <w:bookmarkStart w:id="16" w:name="_Toc171949049"/>
      <w:r w:rsidRPr="00583EFC">
        <w:t xml:space="preserve">Table </w:t>
      </w:r>
      <w:r w:rsidR="00AF4AA5" w:rsidRPr="00583EFC">
        <w:fldChar w:fldCharType="begin"/>
      </w:r>
      <w:r w:rsidRPr="00583EFC">
        <w:instrText xml:space="preserve"> SEQ Table \* ARABIC </w:instrText>
      </w:r>
      <w:r w:rsidR="00AF4AA5" w:rsidRPr="00583EFC">
        <w:fldChar w:fldCharType="separate"/>
      </w:r>
      <w:r w:rsidR="000B62ED">
        <w:rPr>
          <w:noProof/>
        </w:rPr>
        <w:t>1</w:t>
      </w:r>
      <w:r w:rsidR="00AF4AA5" w:rsidRPr="00583EFC">
        <w:fldChar w:fldCharType="end"/>
      </w:r>
      <w:bookmarkEnd w:id="13"/>
      <w:r w:rsidRPr="00583EFC">
        <w:t>: Current outcomes and economic estimates and forecasts in the 20</w:t>
      </w:r>
      <w:r w:rsidR="00B92402" w:rsidRPr="00583EFC">
        <w:t>2</w:t>
      </w:r>
      <w:r w:rsidR="003D2259" w:rsidRPr="00583EFC">
        <w:t>4</w:t>
      </w:r>
      <w:r w:rsidRPr="00583EFC">
        <w:t>-</w:t>
      </w:r>
      <w:r w:rsidR="00B92402" w:rsidRPr="00583EFC">
        <w:t>2</w:t>
      </w:r>
      <w:r w:rsidR="003D2259" w:rsidRPr="00583EFC">
        <w:t>5</w:t>
      </w:r>
      <w:r w:rsidRPr="00583EFC">
        <w:t xml:space="preserve"> ACT Budget, percentage change</w:t>
      </w:r>
      <w:bookmarkEnd w:id="14"/>
      <w:bookmarkEnd w:id="15"/>
      <w:bookmarkEnd w:id="16"/>
    </w:p>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5"/>
        <w:gridCol w:w="1600"/>
        <w:gridCol w:w="81"/>
        <w:gridCol w:w="1021"/>
        <w:gridCol w:w="203"/>
        <w:gridCol w:w="859"/>
        <w:gridCol w:w="374"/>
        <w:gridCol w:w="874"/>
        <w:gridCol w:w="409"/>
        <w:gridCol w:w="1264"/>
        <w:gridCol w:w="1052"/>
      </w:tblGrid>
      <w:tr w:rsidR="005406E1" w:rsidRPr="00583EFC" w14:paraId="75418E5E" w14:textId="35504DC6" w:rsidTr="008154B6">
        <w:tc>
          <w:tcPr>
            <w:tcW w:w="1536" w:type="dxa"/>
            <w:tcBorders>
              <w:top w:val="single" w:sz="4" w:space="0" w:color="auto"/>
            </w:tcBorders>
          </w:tcPr>
          <w:p w14:paraId="3AA4FB40" w14:textId="77777777" w:rsidR="008154B6" w:rsidRPr="00583EFC" w:rsidRDefault="008154B6">
            <w:pPr>
              <w:rPr>
                <w:sz w:val="20"/>
                <w:szCs w:val="20"/>
              </w:rPr>
            </w:pPr>
            <w:r w:rsidRPr="00583EFC">
              <w:rPr>
                <w:sz w:val="20"/>
                <w:szCs w:val="20"/>
              </w:rPr>
              <w:t>Indicator</w:t>
            </w:r>
          </w:p>
        </w:tc>
        <w:tc>
          <w:tcPr>
            <w:tcW w:w="1332" w:type="dxa"/>
            <w:tcBorders>
              <w:top w:val="single" w:sz="4" w:space="0" w:color="auto"/>
            </w:tcBorders>
          </w:tcPr>
          <w:p w14:paraId="66479DFD" w14:textId="1347F5EC" w:rsidR="008154B6" w:rsidRPr="00583EFC" w:rsidRDefault="008154B6" w:rsidP="00246C35">
            <w:pPr>
              <w:rPr>
                <w:sz w:val="20"/>
                <w:szCs w:val="20"/>
              </w:rPr>
            </w:pPr>
            <w:r w:rsidRPr="00583EFC">
              <w:rPr>
                <w:sz w:val="20"/>
                <w:szCs w:val="20"/>
              </w:rPr>
              <w:t>Current outcomes</w:t>
            </w:r>
          </w:p>
        </w:tc>
        <w:tc>
          <w:tcPr>
            <w:tcW w:w="1342" w:type="dxa"/>
            <w:gridSpan w:val="3"/>
            <w:tcBorders>
              <w:top w:val="single" w:sz="4" w:space="0" w:color="auto"/>
            </w:tcBorders>
          </w:tcPr>
          <w:p w14:paraId="03A20579" w14:textId="3899838F" w:rsidR="008154B6" w:rsidRPr="00583EFC" w:rsidRDefault="008154B6">
            <w:pPr>
              <w:rPr>
                <w:sz w:val="20"/>
                <w:szCs w:val="20"/>
              </w:rPr>
            </w:pPr>
            <w:r w:rsidRPr="00583EFC">
              <w:rPr>
                <w:sz w:val="20"/>
                <w:szCs w:val="20"/>
              </w:rPr>
              <w:t>202</w:t>
            </w:r>
            <w:r w:rsidR="006401FB" w:rsidRPr="00583EFC">
              <w:rPr>
                <w:sz w:val="20"/>
                <w:szCs w:val="20"/>
              </w:rPr>
              <w:t>3</w:t>
            </w:r>
            <w:r w:rsidRPr="00583EFC">
              <w:rPr>
                <w:sz w:val="20"/>
                <w:szCs w:val="20"/>
              </w:rPr>
              <w:t>-2</w:t>
            </w:r>
            <w:r w:rsidR="003B2125" w:rsidRPr="00583EFC">
              <w:rPr>
                <w:sz w:val="20"/>
                <w:szCs w:val="20"/>
              </w:rPr>
              <w:t>4</w:t>
            </w:r>
            <w:r w:rsidRPr="00583EFC">
              <w:rPr>
                <w:sz w:val="20"/>
                <w:szCs w:val="20"/>
              </w:rPr>
              <w:t xml:space="preserve"> </w:t>
            </w:r>
            <w:r w:rsidR="002F2A5B" w:rsidRPr="00583EFC">
              <w:rPr>
                <w:sz w:val="20"/>
                <w:szCs w:val="20"/>
              </w:rPr>
              <w:t>Forecasts</w:t>
            </w:r>
          </w:p>
        </w:tc>
        <w:tc>
          <w:tcPr>
            <w:tcW w:w="1290" w:type="dxa"/>
            <w:gridSpan w:val="2"/>
            <w:tcBorders>
              <w:top w:val="single" w:sz="4" w:space="0" w:color="auto"/>
            </w:tcBorders>
          </w:tcPr>
          <w:p w14:paraId="61460F9E" w14:textId="6CE757EB" w:rsidR="00111237" w:rsidRPr="00583EFC" w:rsidRDefault="008154B6">
            <w:pPr>
              <w:rPr>
                <w:b/>
                <w:bCs/>
                <w:sz w:val="20"/>
                <w:szCs w:val="20"/>
              </w:rPr>
            </w:pPr>
            <w:r w:rsidRPr="00583EFC">
              <w:rPr>
                <w:b/>
                <w:bCs/>
                <w:sz w:val="20"/>
                <w:szCs w:val="20"/>
              </w:rPr>
              <w:t>202</w:t>
            </w:r>
            <w:r w:rsidR="003B2125" w:rsidRPr="00583EFC">
              <w:rPr>
                <w:b/>
                <w:bCs/>
                <w:sz w:val="20"/>
                <w:szCs w:val="20"/>
              </w:rPr>
              <w:t>4</w:t>
            </w:r>
            <w:r w:rsidRPr="00583EFC">
              <w:rPr>
                <w:b/>
                <w:bCs/>
                <w:sz w:val="20"/>
                <w:szCs w:val="20"/>
              </w:rPr>
              <w:t>-2</w:t>
            </w:r>
            <w:r w:rsidR="003B2125" w:rsidRPr="00583EFC">
              <w:rPr>
                <w:b/>
                <w:bCs/>
                <w:sz w:val="20"/>
                <w:szCs w:val="20"/>
              </w:rPr>
              <w:t>5</w:t>
            </w:r>
            <w:r w:rsidRPr="00583EFC">
              <w:rPr>
                <w:b/>
                <w:bCs/>
                <w:sz w:val="20"/>
                <w:szCs w:val="20"/>
              </w:rPr>
              <w:t xml:space="preserve"> Budget</w:t>
            </w:r>
            <w:r w:rsidR="00111237" w:rsidRPr="00583EFC">
              <w:rPr>
                <w:b/>
                <w:bCs/>
                <w:sz w:val="20"/>
                <w:szCs w:val="20"/>
              </w:rPr>
              <w:t xml:space="preserve"> </w:t>
            </w:r>
            <w:r w:rsidR="002F2A5B" w:rsidRPr="00583EFC">
              <w:rPr>
                <w:b/>
                <w:bCs/>
                <w:sz w:val="20"/>
                <w:szCs w:val="20"/>
              </w:rPr>
              <w:t>Forecast</w:t>
            </w:r>
          </w:p>
        </w:tc>
        <w:tc>
          <w:tcPr>
            <w:tcW w:w="1346" w:type="dxa"/>
            <w:gridSpan w:val="2"/>
            <w:tcBorders>
              <w:top w:val="single" w:sz="4" w:space="0" w:color="auto"/>
            </w:tcBorders>
          </w:tcPr>
          <w:p w14:paraId="6484E7A6" w14:textId="71FF14FC" w:rsidR="008154B6" w:rsidRPr="00583EFC" w:rsidRDefault="008154B6">
            <w:pPr>
              <w:rPr>
                <w:sz w:val="20"/>
                <w:szCs w:val="20"/>
              </w:rPr>
            </w:pPr>
            <w:r w:rsidRPr="00583EFC">
              <w:rPr>
                <w:sz w:val="20"/>
                <w:szCs w:val="20"/>
              </w:rPr>
              <w:t>202</w:t>
            </w:r>
            <w:r w:rsidR="000836F5" w:rsidRPr="00583EFC">
              <w:rPr>
                <w:sz w:val="20"/>
                <w:szCs w:val="20"/>
              </w:rPr>
              <w:t>5</w:t>
            </w:r>
            <w:r w:rsidRPr="00583EFC">
              <w:rPr>
                <w:sz w:val="20"/>
                <w:szCs w:val="20"/>
              </w:rPr>
              <w:t>-2</w:t>
            </w:r>
            <w:r w:rsidR="000836F5" w:rsidRPr="00583EFC">
              <w:rPr>
                <w:sz w:val="20"/>
                <w:szCs w:val="20"/>
              </w:rPr>
              <w:t>6</w:t>
            </w:r>
            <w:r w:rsidRPr="00583EFC">
              <w:rPr>
                <w:sz w:val="20"/>
                <w:szCs w:val="20"/>
              </w:rPr>
              <w:t xml:space="preserve"> </w:t>
            </w:r>
            <w:r w:rsidR="00261A6C" w:rsidRPr="00583EFC">
              <w:rPr>
                <w:sz w:val="20"/>
                <w:szCs w:val="20"/>
              </w:rPr>
              <w:t>Projection</w:t>
            </w:r>
          </w:p>
        </w:tc>
        <w:tc>
          <w:tcPr>
            <w:tcW w:w="1343" w:type="dxa"/>
            <w:tcBorders>
              <w:top w:val="single" w:sz="4" w:space="0" w:color="auto"/>
            </w:tcBorders>
          </w:tcPr>
          <w:p w14:paraId="59B7A4FE" w14:textId="2BD6BF44" w:rsidR="008154B6" w:rsidRPr="00583EFC" w:rsidRDefault="008154B6">
            <w:pPr>
              <w:rPr>
                <w:sz w:val="20"/>
                <w:szCs w:val="20"/>
              </w:rPr>
            </w:pPr>
            <w:r w:rsidRPr="00583EFC">
              <w:rPr>
                <w:sz w:val="20"/>
                <w:szCs w:val="20"/>
              </w:rPr>
              <w:t>202</w:t>
            </w:r>
            <w:r w:rsidR="000836F5" w:rsidRPr="00583EFC">
              <w:rPr>
                <w:sz w:val="20"/>
                <w:szCs w:val="20"/>
              </w:rPr>
              <w:t>6</w:t>
            </w:r>
            <w:r w:rsidRPr="00583EFC">
              <w:rPr>
                <w:sz w:val="20"/>
                <w:szCs w:val="20"/>
              </w:rPr>
              <w:t>-2</w:t>
            </w:r>
            <w:r w:rsidR="000836F5" w:rsidRPr="00583EFC">
              <w:rPr>
                <w:sz w:val="20"/>
                <w:szCs w:val="20"/>
              </w:rPr>
              <w:t>7</w:t>
            </w:r>
            <w:r w:rsidRPr="00583EFC">
              <w:rPr>
                <w:sz w:val="20"/>
                <w:szCs w:val="20"/>
              </w:rPr>
              <w:t xml:space="preserve"> Projection</w:t>
            </w:r>
          </w:p>
        </w:tc>
        <w:tc>
          <w:tcPr>
            <w:tcW w:w="1053" w:type="dxa"/>
            <w:tcBorders>
              <w:top w:val="single" w:sz="4" w:space="0" w:color="auto"/>
            </w:tcBorders>
          </w:tcPr>
          <w:p w14:paraId="64C481C4" w14:textId="74F7953B" w:rsidR="008154B6" w:rsidRPr="00583EFC" w:rsidRDefault="008154B6">
            <w:pPr>
              <w:rPr>
                <w:sz w:val="20"/>
                <w:szCs w:val="20"/>
              </w:rPr>
            </w:pPr>
            <w:r w:rsidRPr="00583EFC">
              <w:rPr>
                <w:sz w:val="20"/>
                <w:szCs w:val="20"/>
              </w:rPr>
              <w:t>202</w:t>
            </w:r>
            <w:r w:rsidR="000836F5" w:rsidRPr="00583EFC">
              <w:rPr>
                <w:sz w:val="20"/>
                <w:szCs w:val="20"/>
              </w:rPr>
              <w:t>7</w:t>
            </w:r>
            <w:r w:rsidRPr="00583EFC">
              <w:rPr>
                <w:sz w:val="20"/>
                <w:szCs w:val="20"/>
              </w:rPr>
              <w:t>-2</w:t>
            </w:r>
            <w:r w:rsidR="000836F5" w:rsidRPr="00583EFC">
              <w:rPr>
                <w:sz w:val="20"/>
                <w:szCs w:val="20"/>
              </w:rPr>
              <w:t>8</w:t>
            </w:r>
            <w:r w:rsidRPr="00583EFC">
              <w:rPr>
                <w:sz w:val="20"/>
                <w:szCs w:val="20"/>
              </w:rPr>
              <w:t xml:space="preserve"> Projection</w:t>
            </w:r>
          </w:p>
        </w:tc>
      </w:tr>
      <w:tr w:rsidR="005406E1" w:rsidRPr="00583EFC" w14:paraId="427BB18E" w14:textId="61B31810" w:rsidTr="008154B6">
        <w:tc>
          <w:tcPr>
            <w:tcW w:w="1536" w:type="dxa"/>
          </w:tcPr>
          <w:p w14:paraId="52155E6F" w14:textId="2C2C9309" w:rsidR="008154B6" w:rsidRPr="00583EFC" w:rsidRDefault="008154B6" w:rsidP="005A0C24">
            <w:pPr>
              <w:rPr>
                <w:sz w:val="20"/>
                <w:szCs w:val="20"/>
              </w:rPr>
            </w:pPr>
            <w:r w:rsidRPr="00583EFC">
              <w:rPr>
                <w:sz w:val="20"/>
                <w:szCs w:val="20"/>
              </w:rPr>
              <w:t>Gross State Product</w:t>
            </w:r>
            <w:r w:rsidR="00263D51" w:rsidRPr="00583EFC">
              <w:rPr>
                <w:sz w:val="20"/>
                <w:szCs w:val="20"/>
                <w:vertAlign w:val="superscript"/>
              </w:rPr>
              <w:t>1</w:t>
            </w:r>
          </w:p>
        </w:tc>
        <w:tc>
          <w:tcPr>
            <w:tcW w:w="1406" w:type="dxa"/>
            <w:gridSpan w:val="2"/>
          </w:tcPr>
          <w:p w14:paraId="18D4A05E" w14:textId="65C0F864" w:rsidR="008154B6" w:rsidRPr="00583EFC" w:rsidRDefault="008154B6" w:rsidP="00971349">
            <w:pPr>
              <w:ind w:left="897"/>
            </w:pPr>
          </w:p>
        </w:tc>
        <w:tc>
          <w:tcPr>
            <w:tcW w:w="1046" w:type="dxa"/>
          </w:tcPr>
          <w:p w14:paraId="3D5CB069" w14:textId="231FFC58" w:rsidR="008154B6" w:rsidRPr="00583EFC" w:rsidRDefault="00871422" w:rsidP="00DB6B3A">
            <w:pPr>
              <w:ind w:left="629" w:right="-11" w:hanging="320"/>
            </w:pPr>
            <w:r w:rsidRPr="00583EFC">
              <w:t>3</w:t>
            </w:r>
          </w:p>
        </w:tc>
        <w:tc>
          <w:tcPr>
            <w:tcW w:w="1089" w:type="dxa"/>
            <w:gridSpan w:val="2"/>
          </w:tcPr>
          <w:p w14:paraId="2D4BC9E7" w14:textId="0FE418B6" w:rsidR="008154B6" w:rsidRPr="00583EFC" w:rsidRDefault="00261A6C" w:rsidP="00DB6B3A">
            <w:pPr>
              <w:ind w:left="629" w:right="-11" w:hanging="118"/>
            </w:pPr>
            <w:r w:rsidRPr="00583EFC">
              <w:t>2</w:t>
            </w:r>
            <w:r w:rsidR="006401FB" w:rsidRPr="00583EFC">
              <w:t>¾</w:t>
            </w:r>
          </w:p>
        </w:tc>
        <w:tc>
          <w:tcPr>
            <w:tcW w:w="1301" w:type="dxa"/>
            <w:gridSpan w:val="2"/>
          </w:tcPr>
          <w:p w14:paraId="3018FA09" w14:textId="22DD8EC6" w:rsidR="008154B6" w:rsidRPr="00583EFC" w:rsidRDefault="00871422" w:rsidP="00183E51">
            <w:pPr>
              <w:ind w:left="629" w:right="-11"/>
            </w:pPr>
            <w:r w:rsidRPr="00583EFC">
              <w:t>3</w:t>
            </w:r>
            <w:r w:rsidR="006401FB" w:rsidRPr="00583EFC">
              <w:t>¼</w:t>
            </w:r>
          </w:p>
        </w:tc>
        <w:tc>
          <w:tcPr>
            <w:tcW w:w="1811" w:type="dxa"/>
            <w:gridSpan w:val="2"/>
          </w:tcPr>
          <w:p w14:paraId="493CF479" w14:textId="544CDEB9" w:rsidR="008154B6" w:rsidRPr="00583EFC" w:rsidRDefault="00871422" w:rsidP="00DB6B3A">
            <w:pPr>
              <w:ind w:left="787" w:right="-22"/>
              <w:jc w:val="both"/>
            </w:pPr>
            <w:r w:rsidRPr="00583EFC">
              <w:t>3</w:t>
            </w:r>
            <w:r w:rsidR="00C50435" w:rsidRPr="00583EFC">
              <w:t>½</w:t>
            </w:r>
          </w:p>
        </w:tc>
        <w:tc>
          <w:tcPr>
            <w:tcW w:w="1053" w:type="dxa"/>
          </w:tcPr>
          <w:p w14:paraId="2EAF122D" w14:textId="6D3D2055" w:rsidR="00C50435" w:rsidRPr="00583EFC" w:rsidRDefault="00871422" w:rsidP="00C50435">
            <w:pPr>
              <w:ind w:left="503" w:right="-22" w:hanging="46"/>
            </w:pPr>
            <w:r w:rsidRPr="00583EFC">
              <w:t>3</w:t>
            </w:r>
            <w:r w:rsidR="00C50435" w:rsidRPr="00583EFC">
              <w:t>¾</w:t>
            </w:r>
          </w:p>
        </w:tc>
      </w:tr>
      <w:tr w:rsidR="005406E1" w:rsidRPr="00583EFC" w14:paraId="689272A4" w14:textId="0D592590" w:rsidTr="008154B6">
        <w:tc>
          <w:tcPr>
            <w:tcW w:w="1536" w:type="dxa"/>
          </w:tcPr>
          <w:p w14:paraId="6EFFB424" w14:textId="1DF72407" w:rsidR="008154B6" w:rsidRPr="00583EFC" w:rsidRDefault="008154B6" w:rsidP="005A0C24">
            <w:pPr>
              <w:rPr>
                <w:sz w:val="20"/>
                <w:szCs w:val="20"/>
                <w:vertAlign w:val="superscript"/>
              </w:rPr>
            </w:pPr>
            <w:r w:rsidRPr="00583EFC">
              <w:rPr>
                <w:sz w:val="20"/>
                <w:szCs w:val="20"/>
              </w:rPr>
              <w:t>State Final Demand</w:t>
            </w:r>
            <w:r w:rsidR="00263D51" w:rsidRPr="00583EFC">
              <w:rPr>
                <w:sz w:val="20"/>
                <w:szCs w:val="20"/>
                <w:vertAlign w:val="superscript"/>
              </w:rPr>
              <w:t>1</w:t>
            </w:r>
            <w:r w:rsidR="00F22AB6" w:rsidRPr="00583EFC">
              <w:rPr>
                <w:sz w:val="20"/>
                <w:szCs w:val="20"/>
                <w:vertAlign w:val="superscript"/>
              </w:rPr>
              <w:t>,2</w:t>
            </w:r>
          </w:p>
        </w:tc>
        <w:tc>
          <w:tcPr>
            <w:tcW w:w="1406" w:type="dxa"/>
            <w:gridSpan w:val="2"/>
          </w:tcPr>
          <w:p w14:paraId="62AEBCFE" w14:textId="4E1DF36E" w:rsidR="008154B6" w:rsidRPr="00583EFC" w:rsidRDefault="00855A48" w:rsidP="00971349">
            <w:pPr>
              <w:ind w:left="897"/>
            </w:pPr>
            <w:r w:rsidRPr="00583EFC">
              <w:t>2.4</w:t>
            </w:r>
          </w:p>
        </w:tc>
        <w:tc>
          <w:tcPr>
            <w:tcW w:w="1046" w:type="dxa"/>
          </w:tcPr>
          <w:p w14:paraId="1ADC8F17" w14:textId="3E789585" w:rsidR="008154B6" w:rsidRPr="00583EFC" w:rsidRDefault="00871422" w:rsidP="00DB6B3A">
            <w:pPr>
              <w:ind w:left="629" w:right="-11" w:hanging="320"/>
            </w:pPr>
            <w:r w:rsidRPr="00583EFC">
              <w:t>2</w:t>
            </w:r>
            <w:r w:rsidR="00C50435" w:rsidRPr="00583EFC">
              <w:t>¼</w:t>
            </w:r>
          </w:p>
        </w:tc>
        <w:tc>
          <w:tcPr>
            <w:tcW w:w="1089" w:type="dxa"/>
            <w:gridSpan w:val="2"/>
          </w:tcPr>
          <w:p w14:paraId="0048C38D" w14:textId="3B085FBF" w:rsidR="008154B6" w:rsidRPr="00583EFC" w:rsidRDefault="00006E89" w:rsidP="00DB6B3A">
            <w:pPr>
              <w:ind w:left="629" w:right="-11" w:hanging="118"/>
            </w:pPr>
            <w:r w:rsidRPr="00583EFC">
              <w:t>2</w:t>
            </w:r>
          </w:p>
        </w:tc>
        <w:tc>
          <w:tcPr>
            <w:tcW w:w="1301" w:type="dxa"/>
            <w:gridSpan w:val="2"/>
          </w:tcPr>
          <w:p w14:paraId="6495361C" w14:textId="09275F69" w:rsidR="008154B6" w:rsidRPr="00583EFC" w:rsidRDefault="00871422" w:rsidP="00183E51">
            <w:pPr>
              <w:ind w:left="629" w:right="-11"/>
            </w:pPr>
            <w:r w:rsidRPr="00583EFC">
              <w:t>2</w:t>
            </w:r>
            <w:r w:rsidR="00006E89" w:rsidRPr="00583EFC">
              <w:t>¾</w:t>
            </w:r>
          </w:p>
        </w:tc>
        <w:tc>
          <w:tcPr>
            <w:tcW w:w="1811" w:type="dxa"/>
            <w:gridSpan w:val="2"/>
          </w:tcPr>
          <w:p w14:paraId="4B49C835" w14:textId="2B178149" w:rsidR="008154B6" w:rsidRPr="00583EFC" w:rsidRDefault="00006E89" w:rsidP="00DB6B3A">
            <w:pPr>
              <w:ind w:left="787" w:right="-22"/>
              <w:jc w:val="both"/>
            </w:pPr>
            <w:r w:rsidRPr="00583EFC">
              <w:t>3</w:t>
            </w:r>
          </w:p>
        </w:tc>
        <w:tc>
          <w:tcPr>
            <w:tcW w:w="1053" w:type="dxa"/>
          </w:tcPr>
          <w:p w14:paraId="3002B74A" w14:textId="5B64E731" w:rsidR="008154B6" w:rsidRPr="00583EFC" w:rsidRDefault="00B938B8" w:rsidP="00DB6B3A">
            <w:pPr>
              <w:ind w:left="503" w:right="-22" w:hanging="46"/>
            </w:pPr>
            <w:r w:rsidRPr="00583EFC">
              <w:t>3</w:t>
            </w:r>
          </w:p>
        </w:tc>
      </w:tr>
      <w:tr w:rsidR="005406E1" w:rsidRPr="00583EFC" w14:paraId="596090C9" w14:textId="733E71A3" w:rsidTr="008154B6">
        <w:tc>
          <w:tcPr>
            <w:tcW w:w="1536" w:type="dxa"/>
          </w:tcPr>
          <w:p w14:paraId="5544F22A" w14:textId="50E6553B" w:rsidR="008154B6" w:rsidRPr="00583EFC" w:rsidRDefault="008154B6" w:rsidP="005A0C24">
            <w:pPr>
              <w:rPr>
                <w:sz w:val="20"/>
                <w:szCs w:val="20"/>
                <w:vertAlign w:val="superscript"/>
              </w:rPr>
            </w:pPr>
            <w:r w:rsidRPr="00583EFC">
              <w:rPr>
                <w:sz w:val="20"/>
                <w:szCs w:val="20"/>
              </w:rPr>
              <w:t>Employment</w:t>
            </w:r>
            <w:r w:rsidR="00F22AB6" w:rsidRPr="00583EFC">
              <w:rPr>
                <w:sz w:val="20"/>
                <w:szCs w:val="20"/>
                <w:vertAlign w:val="superscript"/>
              </w:rPr>
              <w:t>3</w:t>
            </w:r>
            <w:r w:rsidR="007C3F67" w:rsidRPr="00583EFC">
              <w:rPr>
                <w:sz w:val="20"/>
                <w:szCs w:val="20"/>
                <w:vertAlign w:val="superscript"/>
              </w:rPr>
              <w:t>,4</w:t>
            </w:r>
          </w:p>
        </w:tc>
        <w:tc>
          <w:tcPr>
            <w:tcW w:w="1406" w:type="dxa"/>
            <w:gridSpan w:val="2"/>
          </w:tcPr>
          <w:p w14:paraId="510B275F" w14:textId="269D74C7" w:rsidR="001F7334" w:rsidRPr="00583EFC" w:rsidRDefault="00CA3FB9" w:rsidP="001F7334">
            <w:pPr>
              <w:ind w:left="897" w:right="289"/>
            </w:pPr>
            <w:r w:rsidRPr="00583EFC">
              <w:t>1.9</w:t>
            </w:r>
          </w:p>
        </w:tc>
        <w:tc>
          <w:tcPr>
            <w:tcW w:w="1046" w:type="dxa"/>
          </w:tcPr>
          <w:p w14:paraId="72E5B972" w14:textId="0195BF94" w:rsidR="008154B6" w:rsidRPr="00583EFC" w:rsidRDefault="008E6D2F" w:rsidP="00DB6B3A">
            <w:pPr>
              <w:ind w:left="629" w:right="-11" w:hanging="320"/>
            </w:pPr>
            <w:r w:rsidRPr="00583EFC">
              <w:t>2</w:t>
            </w:r>
          </w:p>
        </w:tc>
        <w:tc>
          <w:tcPr>
            <w:tcW w:w="1089" w:type="dxa"/>
            <w:gridSpan w:val="2"/>
          </w:tcPr>
          <w:p w14:paraId="6A973CF9" w14:textId="6C2D5C2D" w:rsidR="008154B6" w:rsidRPr="00583EFC" w:rsidRDefault="005158EF" w:rsidP="00DB6B3A">
            <w:pPr>
              <w:ind w:left="629" w:right="-11" w:hanging="118"/>
            </w:pPr>
            <w:r w:rsidRPr="00583EFC">
              <w:t>1¾</w:t>
            </w:r>
          </w:p>
        </w:tc>
        <w:tc>
          <w:tcPr>
            <w:tcW w:w="1301" w:type="dxa"/>
            <w:gridSpan w:val="2"/>
          </w:tcPr>
          <w:p w14:paraId="33F259DA" w14:textId="1FD1B9E5" w:rsidR="00871422" w:rsidRPr="00583EFC" w:rsidRDefault="00276BD5" w:rsidP="00871422">
            <w:pPr>
              <w:ind w:left="629" w:right="-11"/>
            </w:pPr>
            <w:r w:rsidRPr="00583EFC">
              <w:t>1¾</w:t>
            </w:r>
          </w:p>
        </w:tc>
        <w:tc>
          <w:tcPr>
            <w:tcW w:w="1811" w:type="dxa"/>
            <w:gridSpan w:val="2"/>
          </w:tcPr>
          <w:p w14:paraId="736DE113" w14:textId="4F2BDA1E" w:rsidR="008154B6" w:rsidRPr="00583EFC" w:rsidRDefault="00276BD5" w:rsidP="00DB6B3A">
            <w:pPr>
              <w:ind w:left="787" w:right="-22"/>
              <w:jc w:val="both"/>
            </w:pPr>
            <w:r w:rsidRPr="00583EFC">
              <w:t>1¾</w:t>
            </w:r>
          </w:p>
        </w:tc>
        <w:tc>
          <w:tcPr>
            <w:tcW w:w="1053" w:type="dxa"/>
          </w:tcPr>
          <w:p w14:paraId="3D9A7FAA" w14:textId="358CA7D0" w:rsidR="008154B6" w:rsidRPr="00583EFC" w:rsidRDefault="00276BD5" w:rsidP="00DB6B3A">
            <w:pPr>
              <w:ind w:left="503" w:right="-22" w:hanging="46"/>
            </w:pPr>
            <w:r w:rsidRPr="00583EFC">
              <w:t>1¾</w:t>
            </w:r>
          </w:p>
        </w:tc>
      </w:tr>
      <w:tr w:rsidR="005406E1" w:rsidRPr="00583EFC" w14:paraId="570031A4" w14:textId="6B206390" w:rsidTr="008154B6">
        <w:tc>
          <w:tcPr>
            <w:tcW w:w="1536" w:type="dxa"/>
          </w:tcPr>
          <w:p w14:paraId="689F44A9" w14:textId="26B44FE6" w:rsidR="008154B6" w:rsidRPr="00583EFC" w:rsidRDefault="008154B6" w:rsidP="005A0C24">
            <w:pPr>
              <w:rPr>
                <w:sz w:val="20"/>
                <w:szCs w:val="20"/>
              </w:rPr>
            </w:pPr>
            <w:r w:rsidRPr="00583EFC">
              <w:rPr>
                <w:sz w:val="20"/>
                <w:szCs w:val="20"/>
              </w:rPr>
              <w:t>Wage Price Index</w:t>
            </w:r>
            <w:r w:rsidR="0056189E" w:rsidRPr="00583EFC">
              <w:rPr>
                <w:sz w:val="20"/>
                <w:szCs w:val="20"/>
                <w:vertAlign w:val="superscript"/>
              </w:rPr>
              <w:t>2,3</w:t>
            </w:r>
          </w:p>
        </w:tc>
        <w:tc>
          <w:tcPr>
            <w:tcW w:w="1406" w:type="dxa"/>
            <w:gridSpan w:val="2"/>
          </w:tcPr>
          <w:p w14:paraId="4119F8D6" w14:textId="1AB6C932" w:rsidR="008154B6" w:rsidRPr="00583EFC" w:rsidRDefault="00493BBB" w:rsidP="0080260C">
            <w:pPr>
              <w:ind w:left="897" w:right="289"/>
            </w:pPr>
            <w:r w:rsidRPr="00583EFC">
              <w:t>3.</w:t>
            </w:r>
            <w:r w:rsidR="007B5733" w:rsidRPr="00583EFC">
              <w:t>2</w:t>
            </w:r>
          </w:p>
        </w:tc>
        <w:tc>
          <w:tcPr>
            <w:tcW w:w="1046" w:type="dxa"/>
          </w:tcPr>
          <w:p w14:paraId="411278F1" w14:textId="317AE192" w:rsidR="008154B6" w:rsidRPr="00583EFC" w:rsidRDefault="00487469" w:rsidP="00DB6B3A">
            <w:pPr>
              <w:ind w:left="629" w:right="-11" w:hanging="320"/>
            </w:pPr>
            <w:r w:rsidRPr="00583EFC">
              <w:t>4</w:t>
            </w:r>
          </w:p>
        </w:tc>
        <w:tc>
          <w:tcPr>
            <w:tcW w:w="1089" w:type="dxa"/>
            <w:gridSpan w:val="2"/>
          </w:tcPr>
          <w:p w14:paraId="0F0F2CCC" w14:textId="3B7250BD" w:rsidR="008154B6" w:rsidRPr="00583EFC" w:rsidRDefault="00871422" w:rsidP="00DB6B3A">
            <w:pPr>
              <w:ind w:left="629" w:right="-11" w:hanging="118"/>
            </w:pPr>
            <w:r w:rsidRPr="00583EFC">
              <w:t>3</w:t>
            </w:r>
            <w:r w:rsidR="009325E9" w:rsidRPr="00583EFC">
              <w:t>½</w:t>
            </w:r>
          </w:p>
        </w:tc>
        <w:tc>
          <w:tcPr>
            <w:tcW w:w="1301" w:type="dxa"/>
            <w:gridSpan w:val="2"/>
          </w:tcPr>
          <w:p w14:paraId="1C6C03BC" w14:textId="1A7C6341" w:rsidR="008154B6" w:rsidRPr="00583EFC" w:rsidRDefault="00871422" w:rsidP="00D97B30">
            <w:pPr>
              <w:ind w:left="629" w:right="-11"/>
            </w:pPr>
            <w:r w:rsidRPr="00583EFC">
              <w:t>3</w:t>
            </w:r>
            <w:r w:rsidR="008154B6" w:rsidRPr="00583EFC">
              <w:t>½</w:t>
            </w:r>
          </w:p>
        </w:tc>
        <w:tc>
          <w:tcPr>
            <w:tcW w:w="1811" w:type="dxa"/>
            <w:gridSpan w:val="2"/>
          </w:tcPr>
          <w:p w14:paraId="76D7FC8A" w14:textId="39237ED3" w:rsidR="009325E9" w:rsidRPr="00583EFC" w:rsidRDefault="00871422" w:rsidP="009325E9">
            <w:pPr>
              <w:ind w:left="787" w:right="-22"/>
              <w:jc w:val="both"/>
            </w:pPr>
            <w:r w:rsidRPr="00583EFC">
              <w:t>3</w:t>
            </w:r>
            <w:r w:rsidR="009325E9" w:rsidRPr="00583EFC">
              <w:t>¼</w:t>
            </w:r>
          </w:p>
        </w:tc>
        <w:tc>
          <w:tcPr>
            <w:tcW w:w="1053" w:type="dxa"/>
          </w:tcPr>
          <w:p w14:paraId="54987E1A" w14:textId="2D3A7755" w:rsidR="008154B6" w:rsidRPr="00583EFC" w:rsidRDefault="00871422" w:rsidP="00DB6B3A">
            <w:pPr>
              <w:ind w:left="503" w:right="-22" w:hanging="46"/>
            </w:pPr>
            <w:r w:rsidRPr="00583EFC">
              <w:t>3</w:t>
            </w:r>
            <w:r w:rsidR="00C16340" w:rsidRPr="00583EFC">
              <w:t>¼</w:t>
            </w:r>
          </w:p>
        </w:tc>
      </w:tr>
      <w:tr w:rsidR="005406E1" w:rsidRPr="00583EFC" w14:paraId="4827A4D8" w14:textId="792A8FC5" w:rsidTr="008154B6">
        <w:tc>
          <w:tcPr>
            <w:tcW w:w="1536" w:type="dxa"/>
          </w:tcPr>
          <w:p w14:paraId="3D7D55FE" w14:textId="7FC0FDFD" w:rsidR="008154B6" w:rsidRPr="00583EFC" w:rsidRDefault="008154B6" w:rsidP="005A0C24">
            <w:pPr>
              <w:rPr>
                <w:sz w:val="20"/>
                <w:szCs w:val="20"/>
              </w:rPr>
            </w:pPr>
            <w:r w:rsidRPr="00583EFC">
              <w:rPr>
                <w:sz w:val="20"/>
                <w:szCs w:val="20"/>
              </w:rPr>
              <w:t>Consumer Price Index</w:t>
            </w:r>
            <w:r w:rsidR="00AE63CB" w:rsidRPr="00583EFC">
              <w:rPr>
                <w:sz w:val="20"/>
                <w:szCs w:val="20"/>
                <w:vertAlign w:val="superscript"/>
              </w:rPr>
              <w:t>2,</w:t>
            </w:r>
            <w:r w:rsidR="000D1DF8" w:rsidRPr="00583EFC">
              <w:rPr>
                <w:sz w:val="20"/>
                <w:szCs w:val="20"/>
                <w:vertAlign w:val="superscript"/>
              </w:rPr>
              <w:t>3</w:t>
            </w:r>
          </w:p>
        </w:tc>
        <w:tc>
          <w:tcPr>
            <w:tcW w:w="1406" w:type="dxa"/>
            <w:gridSpan w:val="2"/>
          </w:tcPr>
          <w:p w14:paraId="0C58BCF4" w14:textId="0996701C" w:rsidR="008154B6" w:rsidRPr="00583EFC" w:rsidRDefault="009017EC" w:rsidP="0080260C">
            <w:pPr>
              <w:ind w:left="897" w:right="289"/>
            </w:pPr>
            <w:r w:rsidRPr="00583EFC">
              <w:t>3.3</w:t>
            </w:r>
          </w:p>
        </w:tc>
        <w:tc>
          <w:tcPr>
            <w:tcW w:w="1046" w:type="dxa"/>
          </w:tcPr>
          <w:p w14:paraId="024BC524" w14:textId="00729EE5" w:rsidR="008154B6" w:rsidRPr="00583EFC" w:rsidRDefault="009325E9" w:rsidP="00DB6B3A">
            <w:pPr>
              <w:ind w:left="629" w:right="-11" w:hanging="320"/>
            </w:pPr>
            <w:r w:rsidRPr="00583EFC">
              <w:t>3</w:t>
            </w:r>
            <w:r w:rsidR="005406E1" w:rsidRPr="00583EFC">
              <w:t>½</w:t>
            </w:r>
          </w:p>
        </w:tc>
        <w:tc>
          <w:tcPr>
            <w:tcW w:w="1089" w:type="dxa"/>
            <w:gridSpan w:val="2"/>
          </w:tcPr>
          <w:p w14:paraId="42E32D9E" w14:textId="4846547D" w:rsidR="008154B6" w:rsidRPr="00583EFC" w:rsidRDefault="00871422" w:rsidP="00DB6B3A">
            <w:pPr>
              <w:ind w:left="629" w:right="-11" w:hanging="118"/>
            </w:pPr>
            <w:r w:rsidRPr="00583EFC">
              <w:t>3</w:t>
            </w:r>
          </w:p>
        </w:tc>
        <w:tc>
          <w:tcPr>
            <w:tcW w:w="1301" w:type="dxa"/>
            <w:gridSpan w:val="2"/>
          </w:tcPr>
          <w:p w14:paraId="4355A1A6" w14:textId="16D7BADC" w:rsidR="00871422" w:rsidRPr="00583EFC" w:rsidRDefault="0036468C" w:rsidP="00871422">
            <w:pPr>
              <w:ind w:left="629" w:right="-11"/>
            </w:pPr>
            <w:r w:rsidRPr="00583EFC">
              <w:t>2¾</w:t>
            </w:r>
          </w:p>
        </w:tc>
        <w:tc>
          <w:tcPr>
            <w:tcW w:w="1811" w:type="dxa"/>
            <w:gridSpan w:val="2"/>
          </w:tcPr>
          <w:p w14:paraId="4727424F" w14:textId="5446F0E0" w:rsidR="008154B6" w:rsidRPr="00583EFC" w:rsidRDefault="00BF6BCF" w:rsidP="00DB6B3A">
            <w:pPr>
              <w:ind w:left="787" w:right="-11"/>
              <w:jc w:val="both"/>
            </w:pPr>
            <w:r w:rsidRPr="00583EFC">
              <w:t>2</w:t>
            </w:r>
            <w:r w:rsidR="00871422" w:rsidRPr="00583EFC">
              <w:t>½</w:t>
            </w:r>
          </w:p>
        </w:tc>
        <w:tc>
          <w:tcPr>
            <w:tcW w:w="1053" w:type="dxa"/>
          </w:tcPr>
          <w:p w14:paraId="70DA8115" w14:textId="7BB8E780" w:rsidR="008154B6" w:rsidRPr="00583EFC" w:rsidRDefault="00BF6BCF" w:rsidP="00DB6B3A">
            <w:pPr>
              <w:ind w:left="503" w:right="-11" w:hanging="46"/>
            </w:pPr>
            <w:r w:rsidRPr="00583EFC">
              <w:t>2</w:t>
            </w:r>
            <w:r w:rsidR="00871422" w:rsidRPr="00583EFC">
              <w:t>½</w:t>
            </w:r>
          </w:p>
        </w:tc>
      </w:tr>
      <w:tr w:rsidR="005406E1" w:rsidRPr="007D6C86" w14:paraId="40C251E0" w14:textId="09970109" w:rsidTr="008154B6">
        <w:tc>
          <w:tcPr>
            <w:tcW w:w="1536" w:type="dxa"/>
            <w:tcBorders>
              <w:bottom w:val="single" w:sz="4" w:space="0" w:color="auto"/>
            </w:tcBorders>
          </w:tcPr>
          <w:p w14:paraId="33EBCBA2" w14:textId="3B6C676E" w:rsidR="008154B6" w:rsidRPr="00583EFC" w:rsidRDefault="008154B6" w:rsidP="005A0C24">
            <w:pPr>
              <w:rPr>
                <w:sz w:val="20"/>
                <w:szCs w:val="20"/>
              </w:rPr>
            </w:pPr>
            <w:r w:rsidRPr="00583EFC">
              <w:rPr>
                <w:sz w:val="20"/>
                <w:szCs w:val="20"/>
              </w:rPr>
              <w:t>Population</w:t>
            </w:r>
            <w:r w:rsidR="0056189E" w:rsidRPr="00583EFC">
              <w:rPr>
                <w:sz w:val="20"/>
                <w:szCs w:val="20"/>
                <w:vertAlign w:val="superscript"/>
              </w:rPr>
              <w:t>3,</w:t>
            </w:r>
            <w:r w:rsidR="00AE63CB" w:rsidRPr="00583EFC">
              <w:rPr>
                <w:sz w:val="20"/>
                <w:szCs w:val="20"/>
                <w:vertAlign w:val="superscript"/>
              </w:rPr>
              <w:t>5</w:t>
            </w:r>
          </w:p>
        </w:tc>
        <w:tc>
          <w:tcPr>
            <w:tcW w:w="1406" w:type="dxa"/>
            <w:gridSpan w:val="2"/>
            <w:tcBorders>
              <w:bottom w:val="single" w:sz="4" w:space="0" w:color="auto"/>
            </w:tcBorders>
          </w:tcPr>
          <w:p w14:paraId="77EFE588" w14:textId="5B4FDD1F" w:rsidR="004629B9" w:rsidRPr="00583EFC" w:rsidRDefault="00C46DA0" w:rsidP="004629B9">
            <w:pPr>
              <w:ind w:left="897" w:right="289"/>
            </w:pPr>
            <w:r w:rsidRPr="00583EFC">
              <w:t>2.0</w:t>
            </w:r>
          </w:p>
        </w:tc>
        <w:tc>
          <w:tcPr>
            <w:tcW w:w="1046" w:type="dxa"/>
            <w:tcBorders>
              <w:bottom w:val="single" w:sz="4" w:space="0" w:color="auto"/>
            </w:tcBorders>
          </w:tcPr>
          <w:p w14:paraId="5BABE1CF" w14:textId="2318BC5F" w:rsidR="008154B6" w:rsidRPr="00583EFC" w:rsidRDefault="005406E1" w:rsidP="00DB6B3A">
            <w:pPr>
              <w:ind w:left="629" w:right="-11" w:hanging="320"/>
            </w:pPr>
            <w:r w:rsidRPr="00583EFC">
              <w:t>2</w:t>
            </w:r>
          </w:p>
        </w:tc>
        <w:tc>
          <w:tcPr>
            <w:tcW w:w="1089" w:type="dxa"/>
            <w:gridSpan w:val="2"/>
            <w:tcBorders>
              <w:bottom w:val="single" w:sz="4" w:space="0" w:color="auto"/>
            </w:tcBorders>
          </w:tcPr>
          <w:p w14:paraId="339A6EB8" w14:textId="3067D1A0" w:rsidR="008154B6" w:rsidRPr="00583EFC" w:rsidRDefault="005406E1" w:rsidP="00DB6B3A">
            <w:pPr>
              <w:ind w:left="629" w:right="-11" w:hanging="118"/>
            </w:pPr>
            <w:r w:rsidRPr="00583EFC">
              <w:t>1¾</w:t>
            </w:r>
          </w:p>
        </w:tc>
        <w:tc>
          <w:tcPr>
            <w:tcW w:w="1301" w:type="dxa"/>
            <w:gridSpan w:val="2"/>
            <w:tcBorders>
              <w:bottom w:val="single" w:sz="4" w:space="0" w:color="auto"/>
            </w:tcBorders>
          </w:tcPr>
          <w:p w14:paraId="494590E3" w14:textId="00EBE0FD" w:rsidR="00DB6B3A" w:rsidRPr="00583EFC" w:rsidRDefault="005406E1" w:rsidP="00DB6B3A">
            <w:pPr>
              <w:ind w:left="629" w:right="-11"/>
            </w:pPr>
            <w:r w:rsidRPr="00583EFC">
              <w:t>1¾</w:t>
            </w:r>
          </w:p>
        </w:tc>
        <w:tc>
          <w:tcPr>
            <w:tcW w:w="1811" w:type="dxa"/>
            <w:gridSpan w:val="2"/>
            <w:tcBorders>
              <w:bottom w:val="single" w:sz="4" w:space="0" w:color="auto"/>
            </w:tcBorders>
          </w:tcPr>
          <w:p w14:paraId="0CD41F52" w14:textId="7E766417" w:rsidR="008154B6" w:rsidRPr="00583EFC" w:rsidRDefault="005406E1" w:rsidP="00DB6B3A">
            <w:pPr>
              <w:ind w:left="787" w:right="-22"/>
              <w:jc w:val="both"/>
            </w:pPr>
            <w:r w:rsidRPr="00583EFC">
              <w:t>1¾</w:t>
            </w:r>
          </w:p>
        </w:tc>
        <w:tc>
          <w:tcPr>
            <w:tcW w:w="1053" w:type="dxa"/>
            <w:tcBorders>
              <w:bottom w:val="single" w:sz="4" w:space="0" w:color="auto"/>
            </w:tcBorders>
          </w:tcPr>
          <w:p w14:paraId="010F7A3C" w14:textId="2F12763C" w:rsidR="00DB6B3A" w:rsidRPr="00583EFC" w:rsidRDefault="005406E1" w:rsidP="00DB6B3A">
            <w:pPr>
              <w:ind w:left="503" w:right="-22" w:hanging="46"/>
            </w:pPr>
            <w:r w:rsidRPr="00583EFC">
              <w:t>1¾</w:t>
            </w:r>
          </w:p>
        </w:tc>
      </w:tr>
    </w:tbl>
    <w:p w14:paraId="35715CEA" w14:textId="1F5D5118" w:rsidR="00F4156B" w:rsidRPr="00583EFC" w:rsidRDefault="00562BAD" w:rsidP="00FB6634">
      <w:pPr>
        <w:spacing w:before="0"/>
      </w:pPr>
      <w:r w:rsidRPr="00562BAD">
        <w:rPr>
          <w:sz w:val="20"/>
          <w:szCs w:val="20"/>
        </w:rPr>
        <w:t>1.</w:t>
      </w:r>
      <w:r>
        <w:rPr>
          <w:sz w:val="20"/>
          <w:szCs w:val="20"/>
        </w:rPr>
        <w:t xml:space="preserve"> </w:t>
      </w:r>
      <w:r w:rsidR="000164A7" w:rsidRPr="00562BAD">
        <w:rPr>
          <w:sz w:val="20"/>
          <w:szCs w:val="20"/>
        </w:rPr>
        <w:t xml:space="preserve">In </w:t>
      </w:r>
      <w:r w:rsidR="00C831A0" w:rsidRPr="00562BAD">
        <w:rPr>
          <w:sz w:val="20"/>
          <w:szCs w:val="20"/>
        </w:rPr>
        <w:t>year avera</w:t>
      </w:r>
      <w:r w:rsidR="00263D51" w:rsidRPr="00562BAD">
        <w:rPr>
          <w:sz w:val="20"/>
          <w:szCs w:val="20"/>
        </w:rPr>
        <w:t>ge</w:t>
      </w:r>
      <w:r w:rsidR="006A67A0" w:rsidRPr="00562BAD">
        <w:rPr>
          <w:sz w:val="20"/>
          <w:szCs w:val="20"/>
        </w:rPr>
        <w:t xml:space="preserve"> terms</w:t>
      </w:r>
      <w:r w:rsidR="007F19CA" w:rsidRPr="00562BAD">
        <w:rPr>
          <w:sz w:val="20"/>
          <w:szCs w:val="20"/>
        </w:rPr>
        <w:t>.</w:t>
      </w:r>
      <w:r w:rsidR="000164A7" w:rsidRPr="00562BAD">
        <w:rPr>
          <w:sz w:val="20"/>
          <w:szCs w:val="20"/>
        </w:rPr>
        <w:br/>
      </w:r>
      <w:r w:rsidR="00F22AB6" w:rsidRPr="00562BAD">
        <w:rPr>
          <w:sz w:val="20"/>
          <w:szCs w:val="20"/>
        </w:rPr>
        <w:t>2.</w:t>
      </w:r>
      <w:r w:rsidR="0001649C" w:rsidRPr="00562BAD">
        <w:rPr>
          <w:sz w:val="20"/>
          <w:szCs w:val="20"/>
        </w:rPr>
        <w:t xml:space="preserve"> </w:t>
      </w:r>
      <w:r w:rsidR="00F22AB6" w:rsidRPr="00562BAD">
        <w:rPr>
          <w:sz w:val="20"/>
          <w:szCs w:val="20"/>
        </w:rPr>
        <w:t>Outcome to the end of March 202</w:t>
      </w:r>
      <w:r w:rsidR="00C46DA0">
        <w:rPr>
          <w:sz w:val="20"/>
          <w:szCs w:val="20"/>
        </w:rPr>
        <w:t>4</w:t>
      </w:r>
      <w:r w:rsidR="00A16BD0" w:rsidRPr="00562BAD">
        <w:rPr>
          <w:sz w:val="20"/>
          <w:szCs w:val="20"/>
        </w:rPr>
        <w:t>.</w:t>
      </w:r>
      <w:r w:rsidR="00F22AB6" w:rsidRPr="00562BAD">
        <w:rPr>
          <w:sz w:val="20"/>
          <w:szCs w:val="20"/>
        </w:rPr>
        <w:br/>
        <w:t>3</w:t>
      </w:r>
      <w:r w:rsidR="000164A7" w:rsidRPr="00562BAD">
        <w:rPr>
          <w:sz w:val="20"/>
          <w:szCs w:val="20"/>
        </w:rPr>
        <w:t>.</w:t>
      </w:r>
      <w:r w:rsidR="00670392" w:rsidRPr="00562BAD">
        <w:rPr>
          <w:sz w:val="20"/>
          <w:szCs w:val="20"/>
        </w:rPr>
        <w:t xml:space="preserve"> T</w:t>
      </w:r>
      <w:r w:rsidR="001364C8" w:rsidRPr="00562BAD">
        <w:rPr>
          <w:sz w:val="20"/>
          <w:szCs w:val="20"/>
        </w:rPr>
        <w:t>h</w:t>
      </w:r>
      <w:r w:rsidR="008B60FD" w:rsidRPr="00562BAD">
        <w:rPr>
          <w:sz w:val="20"/>
          <w:szCs w:val="20"/>
        </w:rPr>
        <w:t>r</w:t>
      </w:r>
      <w:r w:rsidR="001364C8" w:rsidRPr="00562BAD">
        <w:rPr>
          <w:sz w:val="20"/>
          <w:szCs w:val="20"/>
        </w:rPr>
        <w:t>ough the year</w:t>
      </w:r>
      <w:r w:rsidR="007F19CA" w:rsidRPr="00562BAD">
        <w:rPr>
          <w:sz w:val="20"/>
          <w:szCs w:val="20"/>
        </w:rPr>
        <w:t>.</w:t>
      </w:r>
      <w:r w:rsidR="00AE6233" w:rsidRPr="00562BAD">
        <w:rPr>
          <w:sz w:val="20"/>
          <w:szCs w:val="20"/>
        </w:rPr>
        <w:br/>
      </w:r>
      <w:r w:rsidR="004217C6">
        <w:rPr>
          <w:sz w:val="20"/>
          <w:szCs w:val="20"/>
        </w:rPr>
        <w:t>4</w:t>
      </w:r>
      <w:r w:rsidR="00B92402" w:rsidRPr="00562BAD">
        <w:rPr>
          <w:sz w:val="20"/>
          <w:szCs w:val="20"/>
        </w:rPr>
        <w:t xml:space="preserve">. </w:t>
      </w:r>
      <w:r w:rsidR="0083366A">
        <w:rPr>
          <w:sz w:val="20"/>
          <w:szCs w:val="20"/>
        </w:rPr>
        <w:t>Outcome in trend terms to the end of May 202</w:t>
      </w:r>
      <w:r w:rsidR="00591150">
        <w:rPr>
          <w:sz w:val="20"/>
          <w:szCs w:val="20"/>
        </w:rPr>
        <w:t>4</w:t>
      </w:r>
      <w:r w:rsidR="003F0AA9">
        <w:rPr>
          <w:sz w:val="20"/>
          <w:szCs w:val="20"/>
        </w:rPr>
        <w:t>.</w:t>
      </w:r>
      <w:r w:rsidR="0083366A">
        <w:rPr>
          <w:sz w:val="20"/>
          <w:szCs w:val="20"/>
        </w:rPr>
        <w:br/>
      </w:r>
      <w:r w:rsidR="00AE63CB">
        <w:rPr>
          <w:sz w:val="20"/>
          <w:szCs w:val="20"/>
        </w:rPr>
        <w:t>5</w:t>
      </w:r>
      <w:r w:rsidR="003F0AA9">
        <w:rPr>
          <w:sz w:val="20"/>
          <w:szCs w:val="20"/>
        </w:rPr>
        <w:t xml:space="preserve">. </w:t>
      </w:r>
      <w:r w:rsidR="0056189E" w:rsidRPr="00562BAD">
        <w:rPr>
          <w:sz w:val="20"/>
          <w:szCs w:val="20"/>
        </w:rPr>
        <w:t>Outcome</w:t>
      </w:r>
      <w:r w:rsidR="00B92402" w:rsidRPr="00562BAD">
        <w:rPr>
          <w:sz w:val="20"/>
          <w:szCs w:val="20"/>
        </w:rPr>
        <w:t xml:space="preserve"> to the end of </w:t>
      </w:r>
      <w:r w:rsidR="00A654E3" w:rsidRPr="00562BAD">
        <w:rPr>
          <w:sz w:val="20"/>
          <w:szCs w:val="20"/>
        </w:rPr>
        <w:t>December</w:t>
      </w:r>
      <w:r w:rsidR="00B92402" w:rsidRPr="00562BAD">
        <w:rPr>
          <w:sz w:val="20"/>
          <w:szCs w:val="20"/>
        </w:rPr>
        <w:t xml:space="preserve"> 202</w:t>
      </w:r>
      <w:r w:rsidR="00591150">
        <w:rPr>
          <w:sz w:val="20"/>
          <w:szCs w:val="20"/>
        </w:rPr>
        <w:t>4</w:t>
      </w:r>
      <w:r w:rsidR="00B92402" w:rsidRPr="00562BAD">
        <w:rPr>
          <w:sz w:val="20"/>
          <w:szCs w:val="20"/>
        </w:rPr>
        <w:t>.</w:t>
      </w:r>
      <w:r w:rsidR="00B92402" w:rsidRPr="00562BAD">
        <w:rPr>
          <w:sz w:val="20"/>
          <w:szCs w:val="20"/>
        </w:rPr>
        <w:br/>
      </w:r>
      <w:r w:rsidR="00B92402" w:rsidRPr="007D11BB">
        <w:rPr>
          <w:sz w:val="20"/>
          <w:szCs w:val="20"/>
        </w:rPr>
        <w:t xml:space="preserve">Sources: </w:t>
      </w:r>
      <w:r w:rsidR="00AB05D0" w:rsidRPr="007D11BB">
        <w:rPr>
          <w:sz w:val="20"/>
          <w:szCs w:val="20"/>
        </w:rPr>
        <w:t>ACT Government</w:t>
      </w:r>
      <w:r w:rsidR="00B95A10">
        <w:rPr>
          <w:sz w:val="20"/>
          <w:szCs w:val="20"/>
        </w:rPr>
        <w:t xml:space="preserve"> </w:t>
      </w:r>
      <w:sdt>
        <w:sdtPr>
          <w:rPr>
            <w:sz w:val="20"/>
            <w:szCs w:val="20"/>
          </w:rPr>
          <w:id w:val="-2050751710"/>
          <w:citation/>
        </w:sdtPr>
        <w:sdtContent>
          <w:r w:rsidR="004C7266">
            <w:rPr>
              <w:sz w:val="20"/>
              <w:szCs w:val="20"/>
            </w:rPr>
            <w:fldChar w:fldCharType="begin"/>
          </w:r>
          <w:r w:rsidR="001105F9">
            <w:rPr>
              <w:sz w:val="20"/>
              <w:szCs w:val="20"/>
            </w:rPr>
            <w:instrText xml:space="preserve">CITATION ACT24 \n  \t  \l 3081 </w:instrText>
          </w:r>
          <w:r w:rsidR="004C7266">
            <w:rPr>
              <w:sz w:val="20"/>
              <w:szCs w:val="20"/>
            </w:rPr>
            <w:fldChar w:fldCharType="separate"/>
          </w:r>
          <w:r w:rsidR="00874F23" w:rsidRPr="00874F23">
            <w:rPr>
              <w:noProof/>
              <w:sz w:val="20"/>
              <w:szCs w:val="20"/>
            </w:rPr>
            <w:t>(2024)</w:t>
          </w:r>
          <w:r w:rsidR="004C7266">
            <w:rPr>
              <w:sz w:val="20"/>
              <w:szCs w:val="20"/>
            </w:rPr>
            <w:fldChar w:fldCharType="end"/>
          </w:r>
        </w:sdtContent>
      </w:sdt>
      <w:r w:rsidR="00AB05D0" w:rsidRPr="007D11BB">
        <w:rPr>
          <w:sz w:val="20"/>
          <w:szCs w:val="20"/>
        </w:rPr>
        <w:t xml:space="preserve">, </w:t>
      </w:r>
      <w:r w:rsidR="00B92402" w:rsidRPr="00365238">
        <w:rPr>
          <w:sz w:val="20"/>
          <w:szCs w:val="20"/>
        </w:rPr>
        <w:t>Australian Bureau of Statistics (ABS)</w:t>
      </w:r>
      <w:r w:rsidR="007235CD" w:rsidRPr="00365238">
        <w:rPr>
          <w:sz w:val="20"/>
          <w:szCs w:val="20"/>
        </w:rPr>
        <w:t xml:space="preserve"> </w:t>
      </w:r>
      <w:r w:rsidR="00F4156B" w:rsidRPr="00583EFC">
        <w:rPr>
          <w:sz w:val="20"/>
          <w:szCs w:val="20"/>
        </w:rPr>
        <w:t>(</w:t>
      </w:r>
      <w:r w:rsidR="008A441B" w:rsidRPr="00583EFC">
        <w:rPr>
          <w:sz w:val="20"/>
          <w:szCs w:val="20"/>
        </w:rPr>
        <w:t>202</w:t>
      </w:r>
      <w:r w:rsidR="00793EB0" w:rsidRPr="00583EFC">
        <w:rPr>
          <w:sz w:val="20"/>
          <w:szCs w:val="20"/>
        </w:rPr>
        <w:t>4</w:t>
      </w:r>
      <w:r w:rsidR="008A441B" w:rsidRPr="00583EFC">
        <w:rPr>
          <w:sz w:val="20"/>
          <w:szCs w:val="20"/>
        </w:rPr>
        <w:t>, 202</w:t>
      </w:r>
      <w:r w:rsidR="00365238" w:rsidRPr="00583EFC">
        <w:rPr>
          <w:sz w:val="20"/>
          <w:szCs w:val="20"/>
        </w:rPr>
        <w:t>3</w:t>
      </w:r>
      <w:r w:rsidR="005C5CB9" w:rsidRPr="00583EFC">
        <w:rPr>
          <w:sz w:val="20"/>
          <w:szCs w:val="20"/>
        </w:rPr>
        <w:t>b</w:t>
      </w:r>
      <w:r w:rsidR="008A441B" w:rsidRPr="00583EFC">
        <w:rPr>
          <w:sz w:val="20"/>
          <w:szCs w:val="20"/>
        </w:rPr>
        <w:t>, 202</w:t>
      </w:r>
      <w:r w:rsidR="00303BE8" w:rsidRPr="00583EFC">
        <w:rPr>
          <w:sz w:val="20"/>
          <w:szCs w:val="20"/>
        </w:rPr>
        <w:t>c</w:t>
      </w:r>
      <w:r w:rsidR="008A441B" w:rsidRPr="00583EFC">
        <w:rPr>
          <w:sz w:val="20"/>
          <w:szCs w:val="20"/>
        </w:rPr>
        <w:t>, 202</w:t>
      </w:r>
      <w:r w:rsidR="00365238" w:rsidRPr="00583EFC">
        <w:rPr>
          <w:sz w:val="20"/>
          <w:szCs w:val="20"/>
        </w:rPr>
        <w:t>3e</w:t>
      </w:r>
      <w:r w:rsidR="008A441B" w:rsidRPr="00583EFC">
        <w:rPr>
          <w:sz w:val="20"/>
          <w:szCs w:val="20"/>
        </w:rPr>
        <w:t xml:space="preserve">, </w:t>
      </w:r>
      <w:r w:rsidR="00FB6634" w:rsidRPr="00583EFC">
        <w:rPr>
          <w:sz w:val="20"/>
          <w:szCs w:val="20"/>
        </w:rPr>
        <w:t>2</w:t>
      </w:r>
      <w:r w:rsidR="008A441B" w:rsidRPr="00583EFC">
        <w:rPr>
          <w:sz w:val="20"/>
          <w:szCs w:val="20"/>
        </w:rPr>
        <w:t>02</w:t>
      </w:r>
      <w:r w:rsidR="00365238" w:rsidRPr="00583EFC">
        <w:rPr>
          <w:sz w:val="20"/>
          <w:szCs w:val="20"/>
        </w:rPr>
        <w:t>3</w:t>
      </w:r>
      <w:r w:rsidR="00FB6634" w:rsidRPr="00583EFC">
        <w:rPr>
          <w:sz w:val="20"/>
          <w:szCs w:val="20"/>
        </w:rPr>
        <w:t>f</w:t>
      </w:r>
      <w:r w:rsidR="008A441B" w:rsidRPr="00583EFC">
        <w:rPr>
          <w:sz w:val="20"/>
          <w:szCs w:val="20"/>
        </w:rPr>
        <w:t>)</w:t>
      </w:r>
      <w:r w:rsidR="00F4156B" w:rsidRPr="00583EFC">
        <w:rPr>
          <w:sz w:val="20"/>
          <w:szCs w:val="20"/>
        </w:rPr>
        <w:t>.</w:t>
      </w:r>
    </w:p>
    <w:p w14:paraId="192A6A93" w14:textId="54552AC6" w:rsidR="001B4F63" w:rsidRPr="00583EFC" w:rsidRDefault="004733C7" w:rsidP="00326DE1">
      <w:pPr>
        <w:pStyle w:val="Heading2"/>
        <w:spacing w:after="240"/>
      </w:pPr>
      <w:bookmarkStart w:id="17" w:name="_Ref453164292"/>
      <w:bookmarkStart w:id="18" w:name="_Toc453495107"/>
      <w:bookmarkStart w:id="19" w:name="_Toc453516106"/>
      <w:bookmarkStart w:id="20" w:name="_Toc171948991"/>
      <w:r w:rsidRPr="00583EFC">
        <w:t>2</w:t>
      </w:r>
      <w:r w:rsidR="002223A7" w:rsidRPr="00583EFC">
        <w:t>.</w:t>
      </w:r>
      <w:r w:rsidR="00F4156B" w:rsidRPr="00583EFC">
        <w:t>2</w:t>
      </w:r>
      <w:r w:rsidR="002223A7" w:rsidRPr="00583EFC">
        <w:tab/>
        <w:t xml:space="preserve">ACT </w:t>
      </w:r>
      <w:r w:rsidR="00B55ED8" w:rsidRPr="00583EFC">
        <w:t xml:space="preserve">Gross State Product and </w:t>
      </w:r>
      <w:r w:rsidR="00446A54" w:rsidRPr="00583EFC">
        <w:t>f</w:t>
      </w:r>
      <w:r w:rsidR="002223A7" w:rsidRPr="00583EFC">
        <w:t xml:space="preserve">inal </w:t>
      </w:r>
      <w:r w:rsidR="00446A54" w:rsidRPr="00583EFC">
        <w:t>d</w:t>
      </w:r>
      <w:r w:rsidR="002223A7" w:rsidRPr="00583EFC">
        <w:t>emand</w:t>
      </w:r>
      <w:bookmarkEnd w:id="17"/>
      <w:bookmarkEnd w:id="18"/>
      <w:bookmarkEnd w:id="19"/>
      <w:bookmarkEnd w:id="20"/>
    </w:p>
    <w:p w14:paraId="53ED9E94" w14:textId="2909F876" w:rsidR="008D18C8" w:rsidRPr="00583EFC" w:rsidRDefault="009E5D70" w:rsidP="008D18C8">
      <w:pPr>
        <w:pStyle w:val="BodyText"/>
      </w:pPr>
      <w:r w:rsidRPr="00583EFC">
        <w:t xml:space="preserve">Gross domestic product (GDP) measures the value of goods and services that an economy produces in a period </w:t>
      </w:r>
      <w:sdt>
        <w:sdtPr>
          <w:id w:val="1332713561"/>
          <w:citation/>
        </w:sdtPr>
        <w:sdtContent>
          <w:r w:rsidRPr="00583EFC">
            <w:fldChar w:fldCharType="begin"/>
          </w:r>
          <w:r w:rsidRPr="00583EFC">
            <w:instrText xml:space="preserve">CITATION LiB21 \p 2 \t  \l 3081 </w:instrText>
          </w:r>
          <w:r w:rsidRPr="00583EFC">
            <w:fldChar w:fldCharType="separate"/>
          </w:r>
          <w:r w:rsidR="00874F23" w:rsidRPr="00583EFC">
            <w:rPr>
              <w:noProof/>
            </w:rPr>
            <w:t>(Li &amp; Gao, 2021, p. 2)</w:t>
          </w:r>
          <w:r w:rsidRPr="00583EFC">
            <w:fldChar w:fldCharType="end"/>
          </w:r>
        </w:sdtContent>
      </w:sdt>
      <w:r w:rsidRPr="00583EFC">
        <w:t xml:space="preserve">. </w:t>
      </w:r>
      <w:r w:rsidR="008D18C8" w:rsidRPr="00583EFC">
        <w:t xml:space="preserve">Gross state product (GSP) is the equivalent of GDP for a region of a national economy </w:t>
      </w:r>
      <w:sdt>
        <w:sdtPr>
          <w:id w:val="289325881"/>
          <w:citation/>
        </w:sdtPr>
        <w:sdtContent>
          <w:r w:rsidR="008D18C8" w:rsidRPr="00583EFC">
            <w:fldChar w:fldCharType="begin"/>
          </w:r>
          <w:r w:rsidR="00982BBD" w:rsidRPr="00583EFC">
            <w:instrText xml:space="preserve">CITATION Aus2114 \l 3081 </w:instrText>
          </w:r>
          <w:r w:rsidR="008D18C8" w:rsidRPr="00583EFC">
            <w:fldChar w:fldCharType="separate"/>
          </w:r>
          <w:r w:rsidR="00874F23" w:rsidRPr="00583EFC">
            <w:rPr>
              <w:noProof/>
            </w:rPr>
            <w:t>(Australian Bureau of Statistics, 2021b)</w:t>
          </w:r>
          <w:r w:rsidR="008D18C8" w:rsidRPr="00583EFC">
            <w:fldChar w:fldCharType="end"/>
          </w:r>
        </w:sdtContent>
      </w:sdt>
      <w:r w:rsidR="008D18C8" w:rsidRPr="00583EFC">
        <w:t>. This measure can be produced for a region of any size whether a state, territory, or district. In the Australian context, it is compiled for the six states and two territories.</w:t>
      </w:r>
    </w:p>
    <w:p w14:paraId="7294C19D" w14:textId="5FA84F0D" w:rsidR="00421860" w:rsidRPr="00583EFC" w:rsidRDefault="0057386B" w:rsidP="00C53B65">
      <w:pPr>
        <w:pStyle w:val="BodyText"/>
      </w:pPr>
      <w:r w:rsidRPr="00583EFC">
        <w:t>W</w:t>
      </w:r>
      <w:r w:rsidR="00FD16CE" w:rsidRPr="00583EFC">
        <w:t>hile GDP is published quarterly</w:t>
      </w:r>
      <w:r w:rsidR="00F930FE" w:rsidRPr="00583EFC">
        <w:t xml:space="preserve"> </w:t>
      </w:r>
      <w:r w:rsidR="00F0177B" w:rsidRPr="00583EFC">
        <w:t xml:space="preserve">by </w:t>
      </w:r>
      <w:r w:rsidR="00F930FE" w:rsidRPr="00583EFC">
        <w:t>t</w:t>
      </w:r>
      <w:r w:rsidR="006E04A9" w:rsidRPr="00583EFC">
        <w:t xml:space="preserve">he </w:t>
      </w:r>
      <w:r w:rsidR="008D18C8" w:rsidRPr="00583EFC">
        <w:t>Australian Bureau of Statistics</w:t>
      </w:r>
      <w:r w:rsidR="000A7594" w:rsidRPr="00583EFC">
        <w:t xml:space="preserve"> (ABS)</w:t>
      </w:r>
      <w:r w:rsidR="008D18C8" w:rsidRPr="00583EFC">
        <w:t xml:space="preserve"> </w:t>
      </w:r>
      <w:r w:rsidR="00F930FE" w:rsidRPr="00583EFC">
        <w:t>as part of the national account</w:t>
      </w:r>
      <w:r w:rsidR="00B07CD3" w:rsidRPr="00583EFC">
        <w:t>s</w:t>
      </w:r>
      <w:r w:rsidR="004217C6" w:rsidRPr="00583EFC">
        <w:t xml:space="preserve">, </w:t>
      </w:r>
      <w:r w:rsidR="008D18C8" w:rsidRPr="00583EFC">
        <w:t xml:space="preserve">GSP is only available </w:t>
      </w:r>
      <w:r w:rsidR="004217C6" w:rsidRPr="00583EFC">
        <w:t xml:space="preserve">on an </w:t>
      </w:r>
      <w:r w:rsidR="008D18C8" w:rsidRPr="00583EFC">
        <w:t>annual</w:t>
      </w:r>
      <w:r w:rsidR="004217C6" w:rsidRPr="00583EFC">
        <w:t xml:space="preserve"> basis</w:t>
      </w:r>
      <w:r w:rsidR="000A7594" w:rsidRPr="00583EFC">
        <w:t xml:space="preserve"> </w:t>
      </w:r>
      <w:sdt>
        <w:sdtPr>
          <w:id w:val="469252021"/>
          <w:citation/>
        </w:sdtPr>
        <w:sdtContent>
          <w:r w:rsidR="000A7594" w:rsidRPr="00583EFC">
            <w:fldChar w:fldCharType="begin"/>
          </w:r>
          <w:r w:rsidRPr="00583EFC">
            <w:instrText xml:space="preserve">CITATION LiB21 \p 1 \t  \l 3081 </w:instrText>
          </w:r>
          <w:r w:rsidR="000A7594" w:rsidRPr="00583EFC">
            <w:fldChar w:fldCharType="separate"/>
          </w:r>
          <w:r w:rsidR="00874F23" w:rsidRPr="00583EFC">
            <w:rPr>
              <w:noProof/>
            </w:rPr>
            <w:t>(Li &amp; Gao, 2021, p. 1)</w:t>
          </w:r>
          <w:r w:rsidR="000A7594" w:rsidRPr="00583EFC">
            <w:fldChar w:fldCharType="end"/>
          </w:r>
        </w:sdtContent>
      </w:sdt>
      <w:r w:rsidR="008D18C8" w:rsidRPr="00583EFC">
        <w:t>.</w:t>
      </w:r>
      <w:r w:rsidR="009A6599" w:rsidRPr="00583EFC">
        <w:t xml:space="preserve"> </w:t>
      </w:r>
      <w:r w:rsidR="00065B85" w:rsidRPr="00583EFC">
        <w:t xml:space="preserve">This </w:t>
      </w:r>
      <w:r w:rsidR="00A32680" w:rsidRPr="00583EFC">
        <w:t xml:space="preserve">severely restricts the usefulness of GSP as </w:t>
      </w:r>
      <w:r w:rsidR="0050186C" w:rsidRPr="00583EFC">
        <w:t>a</w:t>
      </w:r>
      <w:r w:rsidR="0030638F" w:rsidRPr="00583EFC">
        <w:t>n immediate and</w:t>
      </w:r>
      <w:r w:rsidR="0050186C" w:rsidRPr="00583EFC">
        <w:t xml:space="preserve"> recent indicator of economic activity. </w:t>
      </w:r>
    </w:p>
    <w:p w14:paraId="4030E637" w14:textId="101CA50A" w:rsidR="001328F5" w:rsidRPr="00583EFC" w:rsidRDefault="00504C3D" w:rsidP="00C53B65">
      <w:pPr>
        <w:pStyle w:val="BodyText"/>
      </w:pPr>
      <w:r w:rsidRPr="00583EFC">
        <w:lastRenderedPageBreak/>
        <w:t xml:space="preserve">A less comprehensive </w:t>
      </w:r>
      <w:r w:rsidR="00970D38" w:rsidRPr="00583EFC">
        <w:t>indicator</w:t>
      </w:r>
      <w:r w:rsidRPr="00583EFC">
        <w:t xml:space="preserve"> of </w:t>
      </w:r>
      <w:r w:rsidR="00970D38" w:rsidRPr="00583EFC">
        <w:t xml:space="preserve">economic activity is state final demand that measures </w:t>
      </w:r>
      <w:r w:rsidR="001D273E" w:rsidRPr="00583EFC">
        <w:t>consumption and investment spending by households and government sectors</w:t>
      </w:r>
      <w:r w:rsidR="00E62753" w:rsidRPr="00583EFC">
        <w:t xml:space="preserve"> </w:t>
      </w:r>
      <w:sdt>
        <w:sdtPr>
          <w:id w:val="1315766419"/>
          <w:citation/>
        </w:sdtPr>
        <w:sdtContent>
          <w:r w:rsidR="00E62753" w:rsidRPr="00583EFC">
            <w:fldChar w:fldCharType="begin"/>
          </w:r>
          <w:r w:rsidR="005D604A" w:rsidRPr="00583EFC">
            <w:instrText xml:space="preserve">CITATION Car17 \p 2 \l 3081 </w:instrText>
          </w:r>
          <w:r w:rsidR="00E62753" w:rsidRPr="00583EFC">
            <w:fldChar w:fldCharType="separate"/>
          </w:r>
          <w:r w:rsidR="00874F23" w:rsidRPr="00583EFC">
            <w:rPr>
              <w:noProof/>
            </w:rPr>
            <w:t>(Carr, Fernandes, &amp; Rosewall, 2017, p. 2)</w:t>
          </w:r>
          <w:r w:rsidR="00E62753" w:rsidRPr="00583EFC">
            <w:fldChar w:fldCharType="end"/>
          </w:r>
        </w:sdtContent>
      </w:sdt>
      <w:r w:rsidR="001D273E" w:rsidRPr="00583EFC">
        <w:t>.</w:t>
      </w:r>
      <w:r w:rsidR="005A7222" w:rsidRPr="00583EFC">
        <w:t xml:space="preserve"> State final demand differs from GSP </w:t>
      </w:r>
      <w:r w:rsidR="00A93DC8" w:rsidRPr="00583EFC">
        <w:t>in that</w:t>
      </w:r>
      <w:r w:rsidR="005A7222" w:rsidRPr="00583EFC">
        <w:t xml:space="preserve"> it excludes international and interstate trade as well as the change in inventories. </w:t>
      </w:r>
      <w:r w:rsidR="00AA092B" w:rsidRPr="00583EFC">
        <w:t>Unlike GSP that is only published annually,</w:t>
      </w:r>
      <w:r w:rsidR="005A7222" w:rsidRPr="00583EFC">
        <w:t xml:space="preserve"> state final demand is published as part of the quarterly national accounts</w:t>
      </w:r>
      <w:r w:rsidR="00AA092B" w:rsidRPr="00583EFC">
        <w:t>.</w:t>
      </w:r>
    </w:p>
    <w:p w14:paraId="268CE691" w14:textId="759FA07E" w:rsidR="009A6599" w:rsidRDefault="003249F5" w:rsidP="00C53B65">
      <w:pPr>
        <w:pStyle w:val="BodyText"/>
      </w:pPr>
      <w:r w:rsidRPr="00583EFC">
        <w:t>In the absence of quarterly GSP, state final demand</w:t>
      </w:r>
      <w:r w:rsidR="007F18C6" w:rsidRPr="00583EFC">
        <w:t xml:space="preserve"> offers</w:t>
      </w:r>
      <w:r w:rsidR="00C53B65" w:rsidRPr="00583EFC">
        <w:t xml:space="preserve"> </w:t>
      </w:r>
      <w:r w:rsidR="007F18C6" w:rsidRPr="00583EFC">
        <w:t>t</w:t>
      </w:r>
      <w:r w:rsidR="009A6599" w:rsidRPr="00583EFC">
        <w:t xml:space="preserve">he most </w:t>
      </w:r>
      <w:r w:rsidR="000A7800" w:rsidRPr="00583EFC">
        <w:t xml:space="preserve">readily </w:t>
      </w:r>
      <w:r w:rsidR="006E1704" w:rsidRPr="00583EFC">
        <w:t xml:space="preserve">available </w:t>
      </w:r>
      <w:r w:rsidR="009A6599" w:rsidRPr="00583EFC">
        <w:t xml:space="preserve">immediate indicator of economic activity within the ACT. </w:t>
      </w:r>
      <w:r w:rsidR="000A7800" w:rsidRPr="00583EFC">
        <w:t>A</w:t>
      </w:r>
      <w:r w:rsidR="005E7420" w:rsidRPr="00583EFC">
        <w:t>s</w:t>
      </w:r>
      <w:r w:rsidR="000A7800" w:rsidRPr="00583EFC">
        <w:t xml:space="preserve"> f</w:t>
      </w:r>
      <w:r w:rsidR="009A6599" w:rsidRPr="00583EFC">
        <w:t>inal demand contains most of the components of GSP</w:t>
      </w:r>
      <w:r w:rsidR="000A7800" w:rsidRPr="00583EFC">
        <w:t>,</w:t>
      </w:r>
      <w:r w:rsidR="009A6599" w:rsidRPr="00583EFC">
        <w:t xml:space="preserve"> </w:t>
      </w:r>
      <w:r w:rsidR="000A7800" w:rsidRPr="00583EFC">
        <w:t>it is</w:t>
      </w:r>
      <w:r w:rsidR="009A6599" w:rsidRPr="00583EFC">
        <w:t xml:space="preserve"> </w:t>
      </w:r>
      <w:r w:rsidR="00D9623B" w:rsidRPr="00583EFC">
        <w:t>highly correlated with GSP</w:t>
      </w:r>
      <w:r w:rsidR="00BD2DF2" w:rsidRPr="00583EFC">
        <w:t xml:space="preserve"> that</w:t>
      </w:r>
      <w:r w:rsidR="005E7420" w:rsidRPr="00583EFC">
        <w:t xml:space="preserve"> is outlined in </w:t>
      </w:r>
      <w:r w:rsidR="00576DB5">
        <w:fldChar w:fldCharType="begin"/>
      </w:r>
      <w:r w:rsidR="00576DB5">
        <w:instrText xml:space="preserve"> REF _Ref170907123 \h </w:instrText>
      </w:r>
      <w:r w:rsidR="00576DB5">
        <w:fldChar w:fldCharType="separate"/>
      </w:r>
      <w:r w:rsidR="000B62ED">
        <w:t xml:space="preserve">Figure </w:t>
      </w:r>
      <w:r w:rsidR="000B62ED">
        <w:rPr>
          <w:noProof/>
        </w:rPr>
        <w:t>1</w:t>
      </w:r>
      <w:r w:rsidR="00576DB5">
        <w:fldChar w:fldCharType="end"/>
      </w:r>
      <w:r w:rsidR="005E7420" w:rsidRPr="00583EFC">
        <w:t xml:space="preserve"> below.</w:t>
      </w:r>
    </w:p>
    <w:p w14:paraId="74CD3114" w14:textId="7E28D912" w:rsidR="005E7420" w:rsidRDefault="005E7420" w:rsidP="00500AC3">
      <w:pPr>
        <w:pStyle w:val="Caption"/>
        <w:spacing w:before="0"/>
      </w:pPr>
      <w:bookmarkStart w:id="21" w:name="_Ref170907123"/>
      <w:bookmarkStart w:id="22" w:name="_Toc171949060"/>
      <w:r>
        <w:t xml:space="preserve">Figure </w:t>
      </w:r>
      <w:r>
        <w:fldChar w:fldCharType="begin"/>
      </w:r>
      <w:r>
        <w:instrText xml:space="preserve"> SEQ Figure \* ARABIC </w:instrText>
      </w:r>
      <w:r>
        <w:fldChar w:fldCharType="separate"/>
      </w:r>
      <w:r w:rsidR="000B62ED">
        <w:rPr>
          <w:noProof/>
        </w:rPr>
        <w:t>1</w:t>
      </w:r>
      <w:r>
        <w:fldChar w:fldCharType="end"/>
      </w:r>
      <w:bookmarkEnd w:id="21"/>
      <w:r>
        <w:t>: Comparison of Gross State Product</w:t>
      </w:r>
      <w:r w:rsidR="00C529E1">
        <w:t xml:space="preserve"> (GSP)</w:t>
      </w:r>
      <w:r>
        <w:t xml:space="preserve"> with </w:t>
      </w:r>
      <w:r w:rsidR="00042EDE">
        <w:t>Final Demand for the ACT – 20</w:t>
      </w:r>
      <w:r w:rsidR="000F57FC">
        <w:t>09-</w:t>
      </w:r>
      <w:r w:rsidR="00042EDE">
        <w:t>10 to 202</w:t>
      </w:r>
      <w:r w:rsidR="000F57FC">
        <w:t>2-2</w:t>
      </w:r>
      <w:r w:rsidR="00042EDE">
        <w:t>3</w:t>
      </w:r>
      <w:r w:rsidR="00BE20D1">
        <w:t xml:space="preserve"> ($ million)</w:t>
      </w:r>
      <w:bookmarkEnd w:id="22"/>
    </w:p>
    <w:p w14:paraId="12333C35" w14:textId="57C7E981" w:rsidR="005E7420" w:rsidRDefault="00793314" w:rsidP="00500AC3">
      <w:pPr>
        <w:pStyle w:val="BodyText"/>
        <w:spacing w:before="0" w:after="0"/>
      </w:pPr>
      <w:r w:rsidRPr="00793314">
        <w:rPr>
          <w:noProof/>
        </w:rPr>
        <w:t xml:space="preserve"> </w:t>
      </w:r>
      <w:r>
        <w:rPr>
          <w:noProof/>
        </w:rPr>
        <w:drawing>
          <wp:inline distT="0" distB="0" distL="0" distR="0" wp14:anchorId="40350562" wp14:editId="26B17CE7">
            <wp:extent cx="5731510" cy="3737610"/>
            <wp:effectExtent l="0" t="0" r="0" b="0"/>
            <wp:docPr id="533968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968672" name=""/>
                    <pic:cNvPicPr/>
                  </pic:nvPicPr>
                  <pic:blipFill>
                    <a:blip r:embed="rId16"/>
                    <a:stretch>
                      <a:fillRect/>
                    </a:stretch>
                  </pic:blipFill>
                  <pic:spPr>
                    <a:xfrm>
                      <a:off x="0" y="0"/>
                      <a:ext cx="5731510" cy="3737610"/>
                    </a:xfrm>
                    <a:prstGeom prst="rect">
                      <a:avLst/>
                    </a:prstGeom>
                  </pic:spPr>
                </pic:pic>
              </a:graphicData>
            </a:graphic>
          </wp:inline>
        </w:drawing>
      </w:r>
      <w:r w:rsidR="001705F6">
        <w:br/>
        <w:t xml:space="preserve">Source: ABS </w:t>
      </w:r>
      <w:sdt>
        <w:sdtPr>
          <w:id w:val="1762713350"/>
          <w:citation/>
        </w:sdtPr>
        <w:sdtContent>
          <w:r w:rsidR="00251D4E">
            <w:fldChar w:fldCharType="begin"/>
          </w:r>
          <w:r w:rsidR="00251D4E">
            <w:instrText xml:space="preserve">CITATION Aus231 \n  \t  \l 3081 </w:instrText>
          </w:r>
          <w:r w:rsidR="00251D4E">
            <w:fldChar w:fldCharType="separate"/>
          </w:r>
          <w:r w:rsidR="00874F23">
            <w:rPr>
              <w:noProof/>
            </w:rPr>
            <w:t>(2023)</w:t>
          </w:r>
          <w:r w:rsidR="00251D4E">
            <w:fldChar w:fldCharType="end"/>
          </w:r>
        </w:sdtContent>
      </w:sdt>
      <w:r w:rsidR="00251D4E">
        <w:t>.</w:t>
      </w:r>
    </w:p>
    <w:p w14:paraId="69B61E59" w14:textId="03BBC221" w:rsidR="007737D8" w:rsidRPr="00583EFC" w:rsidRDefault="00325EE3" w:rsidP="00732042">
      <w:pPr>
        <w:rPr>
          <w:lang w:bidi="th-TH"/>
        </w:rPr>
      </w:pPr>
      <w:r w:rsidRPr="00583EFC">
        <w:t xml:space="preserve">The most recent national accounts released by the ABS </w:t>
      </w:r>
      <w:sdt>
        <w:sdtPr>
          <w:id w:val="-94864878"/>
          <w:citation/>
        </w:sdtPr>
        <w:sdtContent>
          <w:r w:rsidRPr="00583EFC">
            <w:fldChar w:fldCharType="begin"/>
          </w:r>
          <w:r w:rsidR="001E7D0C" w:rsidRPr="00583EFC">
            <w:instrText xml:space="preserve">CITATION Aus229 \n  \t  \l 3081 </w:instrText>
          </w:r>
          <w:r w:rsidRPr="00583EFC">
            <w:fldChar w:fldCharType="separate"/>
          </w:r>
          <w:r w:rsidR="00874F23" w:rsidRPr="00583EFC">
            <w:rPr>
              <w:noProof/>
            </w:rPr>
            <w:t>(2024)</w:t>
          </w:r>
          <w:r w:rsidRPr="00583EFC">
            <w:fldChar w:fldCharType="end"/>
          </w:r>
        </w:sdtContent>
      </w:sdt>
      <w:r w:rsidRPr="00583EFC">
        <w:t xml:space="preserve"> relate to the March quarter 202</w:t>
      </w:r>
      <w:r w:rsidR="006A18EF" w:rsidRPr="00583EFC">
        <w:t>4</w:t>
      </w:r>
      <w:r w:rsidRPr="00583EFC">
        <w:t xml:space="preserve">. ACT final demand </w:t>
      </w:r>
      <w:r w:rsidR="00016BD0" w:rsidRPr="00583EFC">
        <w:t>grew</w:t>
      </w:r>
      <w:r w:rsidRPr="00583EFC">
        <w:t xml:space="preserve"> by </w:t>
      </w:r>
      <w:r w:rsidR="00EC1334" w:rsidRPr="00583EFC">
        <w:t>1.1</w:t>
      </w:r>
      <w:r w:rsidR="006E48C1">
        <w:t xml:space="preserve"> percent</w:t>
      </w:r>
      <w:r w:rsidRPr="00583EFC">
        <w:t xml:space="preserve"> in </w:t>
      </w:r>
      <w:r w:rsidR="00016BD0" w:rsidRPr="00583EFC">
        <w:t xml:space="preserve">the March </w:t>
      </w:r>
      <w:r w:rsidRPr="00583EFC">
        <w:t>quarter 202</w:t>
      </w:r>
      <w:r w:rsidR="00EC1334" w:rsidRPr="00583EFC">
        <w:t>4</w:t>
      </w:r>
      <w:r w:rsidR="00732042" w:rsidRPr="00583EFC">
        <w:t>.</w:t>
      </w:r>
      <w:r w:rsidR="004D35DB" w:rsidRPr="00583EFC">
        <w:t xml:space="preserve"> </w:t>
      </w:r>
      <w:r w:rsidR="00732042" w:rsidRPr="00583EFC">
        <w:t>This is a</w:t>
      </w:r>
      <w:r w:rsidR="004D35DB" w:rsidRPr="00583EFC">
        <w:t xml:space="preserve"> </w:t>
      </w:r>
      <w:r w:rsidR="00732042" w:rsidRPr="00583EFC">
        <w:t xml:space="preserve">strong result </w:t>
      </w:r>
      <w:r w:rsidR="00210DD4" w:rsidRPr="00583EFC">
        <w:t xml:space="preserve">primarily </w:t>
      </w:r>
      <w:r w:rsidR="00865569" w:rsidRPr="00583EFC">
        <w:t>driven</w:t>
      </w:r>
      <w:r w:rsidR="004D35DB" w:rsidRPr="00583EFC">
        <w:t xml:space="preserve"> by </w:t>
      </w:r>
      <w:r w:rsidR="00732042" w:rsidRPr="00583EFC">
        <w:t>a 1.9</w:t>
      </w:r>
      <w:r w:rsidR="006E48C1">
        <w:t xml:space="preserve"> percent</w:t>
      </w:r>
      <w:r w:rsidR="00732042" w:rsidRPr="00583EFC">
        <w:t xml:space="preserve"> increase in </w:t>
      </w:r>
      <w:r w:rsidR="007737D8" w:rsidRPr="00583EFC">
        <w:rPr>
          <w:lang w:bidi="th-TH"/>
        </w:rPr>
        <w:t xml:space="preserve">final consumption expenditure </w:t>
      </w:r>
      <w:r w:rsidR="00865569" w:rsidRPr="00583EFC">
        <w:rPr>
          <w:lang w:bidi="th-TH"/>
        </w:rPr>
        <w:t>due to</w:t>
      </w:r>
      <w:r w:rsidR="007737D8" w:rsidRPr="00583EFC">
        <w:rPr>
          <w:lang w:bidi="th-TH"/>
        </w:rPr>
        <w:t>: </w:t>
      </w:r>
    </w:p>
    <w:p w14:paraId="0AB7392B" w14:textId="0B87D7A6" w:rsidR="007737D8" w:rsidRPr="00583EFC" w:rsidRDefault="007737D8" w:rsidP="00210DD4">
      <w:pPr>
        <w:pStyle w:val="BodyText"/>
        <w:numPr>
          <w:ilvl w:val="0"/>
          <w:numId w:val="23"/>
        </w:numPr>
        <w:rPr>
          <w:lang w:bidi="th-TH"/>
        </w:rPr>
      </w:pPr>
      <w:r w:rsidRPr="00583EFC">
        <w:rPr>
          <w:lang w:bidi="th-TH"/>
        </w:rPr>
        <w:t>3.0</w:t>
      </w:r>
      <w:r w:rsidR="006E48C1">
        <w:rPr>
          <w:lang w:bidi="th-TH"/>
        </w:rPr>
        <w:t xml:space="preserve"> percent</w:t>
      </w:r>
      <w:r w:rsidRPr="00583EFC">
        <w:rPr>
          <w:lang w:bidi="th-TH"/>
        </w:rPr>
        <w:t xml:space="preserve"> rise in government consumption </w:t>
      </w:r>
      <w:r w:rsidR="00210DD4" w:rsidRPr="00583EFC">
        <w:rPr>
          <w:lang w:bidi="th-TH"/>
        </w:rPr>
        <w:t>due to a rise in</w:t>
      </w:r>
      <w:r w:rsidRPr="00583EFC">
        <w:rPr>
          <w:lang w:bidi="th-TH"/>
        </w:rPr>
        <w:t xml:space="preserve"> national general government (2.6</w:t>
      </w:r>
      <w:r w:rsidR="006E48C1">
        <w:rPr>
          <w:lang w:bidi="th-TH"/>
        </w:rPr>
        <w:t xml:space="preserve"> percent</w:t>
      </w:r>
      <w:r w:rsidRPr="00583EFC">
        <w:rPr>
          <w:lang w:bidi="th-TH"/>
        </w:rPr>
        <w:t xml:space="preserve">) spending across a range of departments, as well as strength in </w:t>
      </w:r>
      <w:r w:rsidR="00BC7EE2" w:rsidRPr="00583EFC">
        <w:rPr>
          <w:lang w:bidi="th-TH"/>
        </w:rPr>
        <w:t>ACT Government</w:t>
      </w:r>
      <w:r w:rsidRPr="00583EFC">
        <w:rPr>
          <w:lang w:bidi="th-TH"/>
        </w:rPr>
        <w:t xml:space="preserve"> (5.0</w:t>
      </w:r>
      <w:r w:rsidR="006E48C1">
        <w:rPr>
          <w:lang w:bidi="th-TH"/>
        </w:rPr>
        <w:t xml:space="preserve"> percent</w:t>
      </w:r>
      <w:r w:rsidRPr="00583EFC">
        <w:rPr>
          <w:lang w:bidi="th-TH"/>
        </w:rPr>
        <w:t>) spending on across multiple departments.</w:t>
      </w:r>
    </w:p>
    <w:p w14:paraId="68CD6FBA" w14:textId="4CE6363D" w:rsidR="00BC7EE2" w:rsidRPr="00583EFC" w:rsidRDefault="00BC7EE2" w:rsidP="00210DD4">
      <w:pPr>
        <w:pStyle w:val="BodyText"/>
        <w:numPr>
          <w:ilvl w:val="0"/>
          <w:numId w:val="23"/>
        </w:numPr>
        <w:rPr>
          <w:lang w:bidi="th-TH"/>
        </w:rPr>
      </w:pPr>
      <w:r w:rsidRPr="00583EFC">
        <w:rPr>
          <w:lang w:bidi="th-TH"/>
        </w:rPr>
        <w:t>0.4</w:t>
      </w:r>
      <w:r w:rsidR="006E48C1">
        <w:rPr>
          <w:lang w:bidi="th-TH"/>
        </w:rPr>
        <w:t xml:space="preserve"> percent</w:t>
      </w:r>
      <w:r w:rsidRPr="00583EFC">
        <w:rPr>
          <w:lang w:bidi="th-TH"/>
        </w:rPr>
        <w:t xml:space="preserve"> rise in household consumption.</w:t>
      </w:r>
    </w:p>
    <w:p w14:paraId="2760599F" w14:textId="12B906DE" w:rsidR="00BC7EE2" w:rsidRPr="00583EFC" w:rsidRDefault="006B3806" w:rsidP="007737D8">
      <w:pPr>
        <w:pStyle w:val="BodyText"/>
        <w:rPr>
          <w:lang w:bidi="th-TH"/>
        </w:rPr>
      </w:pPr>
      <w:r w:rsidRPr="00583EFC">
        <w:rPr>
          <w:lang w:bidi="th-TH"/>
        </w:rPr>
        <w:t xml:space="preserve">The strong growth in consumption expenditure </w:t>
      </w:r>
      <w:r w:rsidR="001C6BD4" w:rsidRPr="00583EFC">
        <w:rPr>
          <w:lang w:bidi="th-TH"/>
        </w:rPr>
        <w:t>was partially offset by falls in both private investment (</w:t>
      </w:r>
      <w:r w:rsidR="00284343" w:rsidRPr="00583EFC">
        <w:rPr>
          <w:lang w:bidi="th-TH"/>
        </w:rPr>
        <w:t>a decrease of 2.2</w:t>
      </w:r>
      <w:r w:rsidR="006E48C1">
        <w:rPr>
          <w:lang w:bidi="th-TH"/>
        </w:rPr>
        <w:t xml:space="preserve"> percent</w:t>
      </w:r>
      <w:r w:rsidR="00284343" w:rsidRPr="00583EFC">
        <w:rPr>
          <w:lang w:bidi="th-TH"/>
        </w:rPr>
        <w:t>) and public investment (</w:t>
      </w:r>
      <w:r w:rsidR="008E4BBF" w:rsidRPr="00583EFC">
        <w:rPr>
          <w:lang w:bidi="th-TH"/>
        </w:rPr>
        <w:t>a decrease of 4.6</w:t>
      </w:r>
      <w:r w:rsidR="006E48C1">
        <w:rPr>
          <w:lang w:bidi="th-TH"/>
        </w:rPr>
        <w:t xml:space="preserve"> percent</w:t>
      </w:r>
      <w:r w:rsidR="008E4BBF" w:rsidRPr="00583EFC">
        <w:rPr>
          <w:lang w:bidi="th-TH"/>
        </w:rPr>
        <w:t>). Major components of the fall in private investment were:</w:t>
      </w:r>
    </w:p>
    <w:p w14:paraId="6F8D5926" w14:textId="343AC364" w:rsidR="007737D8" w:rsidRPr="00583EFC" w:rsidRDefault="007737D8" w:rsidP="008E4BBF">
      <w:pPr>
        <w:pStyle w:val="BodyText"/>
        <w:numPr>
          <w:ilvl w:val="0"/>
          <w:numId w:val="24"/>
        </w:numPr>
        <w:rPr>
          <w:lang w:bidi="th-TH"/>
        </w:rPr>
      </w:pPr>
      <w:r w:rsidRPr="00583EFC">
        <w:rPr>
          <w:lang w:bidi="th-TH"/>
        </w:rPr>
        <w:t>12.0</w:t>
      </w:r>
      <w:r w:rsidR="006E48C1">
        <w:rPr>
          <w:lang w:bidi="th-TH"/>
        </w:rPr>
        <w:t xml:space="preserve"> percent</w:t>
      </w:r>
      <w:r w:rsidRPr="00583EFC">
        <w:rPr>
          <w:lang w:bidi="th-TH"/>
        </w:rPr>
        <w:t xml:space="preserve"> fall in total dwellings driven by new and used dwellings (-13.1</w:t>
      </w:r>
      <w:r w:rsidR="006E48C1">
        <w:rPr>
          <w:lang w:bidi="th-TH"/>
        </w:rPr>
        <w:t xml:space="preserve"> percent</w:t>
      </w:r>
      <w:r w:rsidRPr="00583EFC">
        <w:rPr>
          <w:lang w:bidi="th-TH"/>
        </w:rPr>
        <w:t>) and alterations and additions (-9.0</w:t>
      </w:r>
      <w:r w:rsidR="006E48C1">
        <w:rPr>
          <w:lang w:bidi="th-TH"/>
        </w:rPr>
        <w:t xml:space="preserve"> percent</w:t>
      </w:r>
      <w:r w:rsidRPr="00583EFC">
        <w:rPr>
          <w:lang w:bidi="th-TH"/>
        </w:rPr>
        <w:t>)</w:t>
      </w:r>
    </w:p>
    <w:p w14:paraId="1CA1FE05" w14:textId="7644E558" w:rsidR="007737D8" w:rsidRPr="00583EFC" w:rsidRDefault="007737D8" w:rsidP="008E4BBF">
      <w:pPr>
        <w:pStyle w:val="BodyText"/>
        <w:numPr>
          <w:ilvl w:val="0"/>
          <w:numId w:val="24"/>
        </w:numPr>
        <w:rPr>
          <w:lang w:bidi="th-TH"/>
        </w:rPr>
      </w:pPr>
      <w:r w:rsidRPr="00583EFC">
        <w:rPr>
          <w:lang w:bidi="th-TH"/>
        </w:rPr>
        <w:t>6.1</w:t>
      </w:r>
      <w:r w:rsidR="006E48C1">
        <w:rPr>
          <w:lang w:bidi="th-TH"/>
        </w:rPr>
        <w:t xml:space="preserve"> percent</w:t>
      </w:r>
      <w:r w:rsidRPr="00583EFC">
        <w:rPr>
          <w:lang w:bidi="th-TH"/>
        </w:rPr>
        <w:t xml:space="preserve"> fall in ownership transfer costs</w:t>
      </w:r>
    </w:p>
    <w:p w14:paraId="03B7C470" w14:textId="680B4752" w:rsidR="007737D8" w:rsidRPr="00583EFC" w:rsidRDefault="00EB445F" w:rsidP="007737D8">
      <w:pPr>
        <w:pStyle w:val="BodyText"/>
        <w:numPr>
          <w:ilvl w:val="0"/>
          <w:numId w:val="24"/>
        </w:numPr>
        <w:rPr>
          <w:lang w:bidi="th-TH"/>
        </w:rPr>
      </w:pPr>
      <w:r w:rsidRPr="00583EFC">
        <w:rPr>
          <w:lang w:bidi="th-TH"/>
        </w:rPr>
        <w:lastRenderedPageBreak/>
        <w:t xml:space="preserve">These falls were partly offset by a </w:t>
      </w:r>
      <w:r w:rsidR="007737D8" w:rsidRPr="00583EFC">
        <w:rPr>
          <w:lang w:bidi="th-TH"/>
        </w:rPr>
        <w:t>18.0</w:t>
      </w:r>
      <w:r w:rsidR="006E48C1">
        <w:rPr>
          <w:lang w:bidi="th-TH"/>
        </w:rPr>
        <w:t xml:space="preserve"> percent</w:t>
      </w:r>
      <w:r w:rsidR="007737D8" w:rsidRPr="00583EFC">
        <w:rPr>
          <w:lang w:bidi="th-TH"/>
        </w:rPr>
        <w:t xml:space="preserve"> rise in total machinery and equipment driven by increased investment on IT equipment and vehicles.</w:t>
      </w:r>
    </w:p>
    <w:p w14:paraId="3BF7C033" w14:textId="4470AEAF" w:rsidR="007737D8" w:rsidRPr="00583EFC" w:rsidRDefault="005F0939" w:rsidP="007737D8">
      <w:pPr>
        <w:pStyle w:val="BodyText"/>
        <w:rPr>
          <w:lang w:bidi="th-TH"/>
        </w:rPr>
      </w:pPr>
      <w:r w:rsidRPr="00583EFC">
        <w:rPr>
          <w:lang w:bidi="th-TH"/>
        </w:rPr>
        <w:t>Major components in the fall in public investment were</w:t>
      </w:r>
      <w:r w:rsidR="007737D8" w:rsidRPr="00583EFC">
        <w:rPr>
          <w:lang w:bidi="th-TH"/>
        </w:rPr>
        <w:t>:</w:t>
      </w:r>
    </w:p>
    <w:p w14:paraId="2A953141" w14:textId="5BA435AF" w:rsidR="007737D8" w:rsidRPr="00583EFC" w:rsidRDefault="007737D8" w:rsidP="00A817C6">
      <w:pPr>
        <w:pStyle w:val="BodyText"/>
        <w:numPr>
          <w:ilvl w:val="0"/>
          <w:numId w:val="25"/>
        </w:numPr>
        <w:rPr>
          <w:lang w:bidi="th-TH"/>
        </w:rPr>
      </w:pPr>
      <w:r w:rsidRPr="00583EFC">
        <w:rPr>
          <w:lang w:bidi="th-TH"/>
        </w:rPr>
        <w:t>3.7</w:t>
      </w:r>
      <w:r w:rsidR="006E48C1">
        <w:rPr>
          <w:lang w:bidi="th-TH"/>
        </w:rPr>
        <w:t xml:space="preserve"> percent</w:t>
      </w:r>
      <w:r w:rsidRPr="00583EFC">
        <w:rPr>
          <w:lang w:bidi="th-TH"/>
        </w:rPr>
        <w:t xml:space="preserve"> fall in general government driven by reduced </w:t>
      </w:r>
      <w:r w:rsidR="00A817C6" w:rsidRPr="00583EFC">
        <w:rPr>
          <w:lang w:bidi="th-TH"/>
        </w:rPr>
        <w:t>ACT Government</w:t>
      </w:r>
      <w:r w:rsidRPr="00583EFC">
        <w:rPr>
          <w:lang w:bidi="th-TH"/>
        </w:rPr>
        <w:t xml:space="preserve"> (-10.9</w:t>
      </w:r>
      <w:r w:rsidR="006E48C1">
        <w:rPr>
          <w:lang w:bidi="th-TH"/>
        </w:rPr>
        <w:t xml:space="preserve"> percent</w:t>
      </w:r>
      <w:r w:rsidRPr="00583EFC">
        <w:rPr>
          <w:lang w:bidi="th-TH"/>
        </w:rPr>
        <w:t>) investment on buildings and road infrastructure.</w:t>
      </w:r>
    </w:p>
    <w:p w14:paraId="388F6474" w14:textId="21068528" w:rsidR="007737D8" w:rsidRPr="00583EFC" w:rsidRDefault="007737D8" w:rsidP="00A817C6">
      <w:pPr>
        <w:pStyle w:val="BodyText"/>
        <w:numPr>
          <w:ilvl w:val="0"/>
          <w:numId w:val="25"/>
        </w:numPr>
        <w:rPr>
          <w:lang w:bidi="th-TH"/>
        </w:rPr>
      </w:pPr>
      <w:r w:rsidRPr="00583EFC">
        <w:rPr>
          <w:lang w:bidi="th-TH"/>
        </w:rPr>
        <w:t>15.9</w:t>
      </w:r>
      <w:r w:rsidR="006E48C1">
        <w:rPr>
          <w:lang w:bidi="th-TH"/>
        </w:rPr>
        <w:t xml:space="preserve"> percent</w:t>
      </w:r>
      <w:r w:rsidRPr="00583EFC">
        <w:rPr>
          <w:lang w:bidi="th-TH"/>
        </w:rPr>
        <w:t xml:space="preserve"> fall in public corporations led by reduced </w:t>
      </w:r>
      <w:r w:rsidR="00A817C6" w:rsidRPr="00583EFC">
        <w:rPr>
          <w:lang w:bidi="th-TH"/>
        </w:rPr>
        <w:t>ACT Government</w:t>
      </w:r>
      <w:r w:rsidRPr="00583EFC">
        <w:rPr>
          <w:lang w:bidi="th-TH"/>
        </w:rPr>
        <w:t xml:space="preserve"> (-19.0</w:t>
      </w:r>
      <w:r w:rsidR="006E48C1">
        <w:rPr>
          <w:lang w:bidi="th-TH"/>
        </w:rPr>
        <w:t xml:space="preserve"> percent</w:t>
      </w:r>
      <w:r w:rsidRPr="00583EFC">
        <w:rPr>
          <w:lang w:bidi="th-TH"/>
        </w:rPr>
        <w:t>) investment.</w:t>
      </w:r>
    </w:p>
    <w:p w14:paraId="20A912E4" w14:textId="4B188AD0" w:rsidR="00E03358" w:rsidRPr="00583EFC" w:rsidRDefault="00D42CE7" w:rsidP="001019A4">
      <w:r w:rsidRPr="00583EFC">
        <w:t>In the year to the end of March 2024, overall private investment</w:t>
      </w:r>
      <w:r w:rsidR="00750D3E" w:rsidRPr="00583EFC">
        <w:t xml:space="preserve"> in dwellings</w:t>
      </w:r>
      <w:r w:rsidRPr="00583EFC">
        <w:t xml:space="preserve"> </w:t>
      </w:r>
      <w:r w:rsidR="00A4712C" w:rsidRPr="00583EFC">
        <w:t>has fallen by 10.1</w:t>
      </w:r>
      <w:r w:rsidR="00384752">
        <w:t> </w:t>
      </w:r>
      <w:r w:rsidR="006E48C1">
        <w:t>percent</w:t>
      </w:r>
      <w:r w:rsidR="00A4712C" w:rsidRPr="00583EFC">
        <w:t>, with investment in new and used dwellings down by 8.6</w:t>
      </w:r>
      <w:r w:rsidR="006E48C1">
        <w:t xml:space="preserve"> percent</w:t>
      </w:r>
      <w:r w:rsidR="00A4712C" w:rsidRPr="00583EFC">
        <w:t xml:space="preserve"> and </w:t>
      </w:r>
      <w:r w:rsidR="00750D3E" w:rsidRPr="00583EFC">
        <w:t xml:space="preserve">investment in </w:t>
      </w:r>
      <w:r w:rsidR="003F07B5" w:rsidRPr="00583EFC">
        <w:t>dwelling alternations and additions down by 16.8</w:t>
      </w:r>
      <w:r w:rsidR="006E48C1">
        <w:t xml:space="preserve"> percent</w:t>
      </w:r>
      <w:r w:rsidR="003F07B5" w:rsidRPr="00583EFC">
        <w:t xml:space="preserve">. </w:t>
      </w:r>
      <w:r w:rsidR="00E03358" w:rsidRPr="00583EFC">
        <w:t xml:space="preserve">This suggests the tightening of monetary policy </w:t>
      </w:r>
      <w:r w:rsidR="005B3BEA" w:rsidRPr="00583EFC">
        <w:t>through</w:t>
      </w:r>
      <w:r w:rsidR="00E03358" w:rsidRPr="00583EFC">
        <w:t xml:space="preserve"> the raising of </w:t>
      </w:r>
      <w:r w:rsidR="005B3BEA" w:rsidRPr="00583EFC">
        <w:t xml:space="preserve">the </w:t>
      </w:r>
      <w:r w:rsidR="004F7485" w:rsidRPr="00583EFC">
        <w:t xml:space="preserve">official </w:t>
      </w:r>
      <w:r w:rsidR="005B3BEA" w:rsidRPr="00583EFC">
        <w:t xml:space="preserve">cash rate </w:t>
      </w:r>
      <w:r w:rsidR="00F41316" w:rsidRPr="00583EFC">
        <w:t>by the Reserve Bank of Australia</w:t>
      </w:r>
      <w:r w:rsidR="000A39E7" w:rsidRPr="00583EFC">
        <w:t xml:space="preserve"> (RBA)</w:t>
      </w:r>
      <w:r w:rsidR="00F41316" w:rsidRPr="00583EFC">
        <w:t xml:space="preserve"> </w:t>
      </w:r>
      <w:r w:rsidR="003F07B5" w:rsidRPr="00583EFC">
        <w:t>has had an adverse</w:t>
      </w:r>
      <w:r w:rsidR="00F41316" w:rsidRPr="00583EFC">
        <w:t xml:space="preserve"> impact on dwelling investment in the ACT.</w:t>
      </w:r>
      <w:r w:rsidR="00454C6D" w:rsidRPr="00583EFC">
        <w:t xml:space="preserve"> In relation to the national economy, </w:t>
      </w:r>
      <w:r w:rsidR="00E16E1F" w:rsidRPr="00583EFC">
        <w:t>overall private investment in dwellings has</w:t>
      </w:r>
      <w:r w:rsidR="00303BE8" w:rsidRPr="00583EFC">
        <w:t xml:space="preserve"> only</w:t>
      </w:r>
      <w:r w:rsidR="00E16E1F" w:rsidRPr="00583EFC">
        <w:t xml:space="preserve"> fallen by 3.4</w:t>
      </w:r>
      <w:r w:rsidR="006E48C1">
        <w:t xml:space="preserve"> percent</w:t>
      </w:r>
      <w:r w:rsidR="00E16E1F" w:rsidRPr="00583EFC">
        <w:t xml:space="preserve"> to the in the year to the end of March 2024, suggesting the tightening of monetary policy has had a </w:t>
      </w:r>
      <w:r w:rsidR="00303BE8" w:rsidRPr="00583EFC">
        <w:t>more significant</w:t>
      </w:r>
      <w:r w:rsidR="00FA1D84" w:rsidRPr="00583EFC">
        <w:t xml:space="preserve"> </w:t>
      </w:r>
      <w:r w:rsidR="00E16E1F" w:rsidRPr="00583EFC">
        <w:t xml:space="preserve">impact on overall dwelling investment in the ACT than it has had </w:t>
      </w:r>
      <w:r w:rsidR="008144BE" w:rsidRPr="00583EFC">
        <w:t>across</w:t>
      </w:r>
      <w:r w:rsidR="00E16E1F" w:rsidRPr="00583EFC">
        <w:t xml:space="preserve"> the national economy.</w:t>
      </w:r>
    </w:p>
    <w:p w14:paraId="5F446598" w14:textId="756FF2D5" w:rsidR="00FD3D21" w:rsidRPr="00583EFC" w:rsidRDefault="00325EE3" w:rsidP="00325EE3">
      <w:r w:rsidRPr="00583EFC">
        <w:t xml:space="preserve">Growth in final demand </w:t>
      </w:r>
      <w:r w:rsidR="00581DCC" w:rsidRPr="00583EFC">
        <w:t xml:space="preserve">(in year average terms) </w:t>
      </w:r>
      <w:r w:rsidRPr="00583EFC">
        <w:t>for the year ending March 202</w:t>
      </w:r>
      <w:r w:rsidR="002B4181" w:rsidRPr="00583EFC">
        <w:t>4</w:t>
      </w:r>
      <w:r w:rsidRPr="00583EFC">
        <w:t xml:space="preserve"> was </w:t>
      </w:r>
      <w:r w:rsidR="002B4181" w:rsidRPr="00583EFC">
        <w:t>2.4</w:t>
      </w:r>
      <w:r w:rsidR="00D92470">
        <w:t> </w:t>
      </w:r>
      <w:r w:rsidR="006E48C1">
        <w:t xml:space="preserve"> percent</w:t>
      </w:r>
      <w:r w:rsidRPr="00583EFC">
        <w:t xml:space="preserve">, which is </w:t>
      </w:r>
      <w:r w:rsidR="00123D56" w:rsidRPr="00583EFC">
        <w:t xml:space="preserve">just </w:t>
      </w:r>
      <w:r w:rsidR="009F77F2" w:rsidRPr="00583EFC">
        <w:t>a little</w:t>
      </w:r>
      <w:r w:rsidR="00AE6233" w:rsidRPr="00583EFC">
        <w:t xml:space="preserve"> higher than</w:t>
      </w:r>
      <w:r w:rsidRPr="00583EFC">
        <w:t xml:space="preserve"> the Budget estimate for an increase in ACT final demand of </w:t>
      </w:r>
      <w:r w:rsidR="00AE6233" w:rsidRPr="00583EFC">
        <w:t>2</w:t>
      </w:r>
      <w:r w:rsidR="008B580F" w:rsidRPr="00583EFC">
        <w:t>¼</w:t>
      </w:r>
      <w:r w:rsidR="006E48C1">
        <w:t xml:space="preserve"> percent</w:t>
      </w:r>
      <w:r w:rsidRPr="00583EFC">
        <w:t xml:space="preserve"> for 202</w:t>
      </w:r>
      <w:r w:rsidR="008B580F" w:rsidRPr="00583EFC">
        <w:t>3</w:t>
      </w:r>
      <w:r w:rsidRPr="00583EFC">
        <w:t>-2</w:t>
      </w:r>
      <w:r w:rsidR="008B580F" w:rsidRPr="00583EFC">
        <w:t>4</w:t>
      </w:r>
      <w:r w:rsidR="007C3F67" w:rsidRPr="00583EFC">
        <w:t>, although not inco</w:t>
      </w:r>
      <w:r w:rsidR="00374BE8" w:rsidRPr="00583EFC">
        <w:t>mpatible</w:t>
      </w:r>
      <w:r w:rsidR="00DC794F" w:rsidRPr="00583EFC">
        <w:t>.</w:t>
      </w:r>
      <w:r w:rsidR="00246702" w:rsidRPr="00583EFC">
        <w:t xml:space="preserve"> </w:t>
      </w:r>
      <w:r w:rsidR="000E7220" w:rsidRPr="00583EFC">
        <w:t xml:space="preserve">For 2024-25, growth in </w:t>
      </w:r>
      <w:r w:rsidR="006C2AC5" w:rsidRPr="00583EFC">
        <w:t xml:space="preserve">ACT </w:t>
      </w:r>
      <w:r w:rsidR="000E7220" w:rsidRPr="00583EFC">
        <w:t xml:space="preserve">final demand is forecast to rise by </w:t>
      </w:r>
      <w:r w:rsidR="00395034" w:rsidRPr="00583EFC">
        <w:t>2</w:t>
      </w:r>
      <w:r w:rsidR="006E48C1">
        <w:t xml:space="preserve"> percent</w:t>
      </w:r>
      <w:r w:rsidR="006C2AC5" w:rsidRPr="00583EFC">
        <w:t xml:space="preserve">, which is consistent with </w:t>
      </w:r>
      <w:r w:rsidR="00B610A0" w:rsidRPr="00583EFC">
        <w:t>the Commonwealth Government</w:t>
      </w:r>
      <w:r w:rsidR="009E3EED" w:rsidRPr="00583EFC">
        <w:t xml:space="preserve"> </w:t>
      </w:r>
      <w:sdt>
        <w:sdtPr>
          <w:id w:val="1265965973"/>
          <w:citation/>
        </w:sdtPr>
        <w:sdtContent>
          <w:r w:rsidR="009E3EED" w:rsidRPr="00583EFC">
            <w:fldChar w:fldCharType="begin"/>
          </w:r>
          <w:r w:rsidR="009E3EED" w:rsidRPr="00583EFC">
            <w:instrText xml:space="preserve">CITATION Com23a \p 53 \n  \t  \l 3081 </w:instrText>
          </w:r>
          <w:r w:rsidR="009E3EED" w:rsidRPr="00583EFC">
            <w:fldChar w:fldCharType="separate"/>
          </w:r>
          <w:r w:rsidR="00874F23" w:rsidRPr="00583EFC">
            <w:rPr>
              <w:noProof/>
            </w:rPr>
            <w:t>(2024a, p. 53)</w:t>
          </w:r>
          <w:r w:rsidR="009E3EED" w:rsidRPr="00583EFC">
            <w:fldChar w:fldCharType="end"/>
          </w:r>
        </w:sdtContent>
      </w:sdt>
      <w:r w:rsidR="00B610A0" w:rsidRPr="00583EFC">
        <w:t xml:space="preserve"> budget forecast of </w:t>
      </w:r>
      <w:r w:rsidR="00B56423" w:rsidRPr="00583EFC">
        <w:t xml:space="preserve">growth in national final </w:t>
      </w:r>
      <w:r w:rsidR="00A159B9" w:rsidRPr="00583EFC">
        <w:t>demand of 1¾</w:t>
      </w:r>
      <w:r w:rsidR="006E48C1">
        <w:t xml:space="preserve"> percent</w:t>
      </w:r>
      <w:r w:rsidR="00A159B9" w:rsidRPr="00583EFC">
        <w:t xml:space="preserve"> in 2024-25.</w:t>
      </w:r>
    </w:p>
    <w:p w14:paraId="2F81C123" w14:textId="2B7BBD68" w:rsidR="00937AEC" w:rsidRPr="00583EFC" w:rsidRDefault="00F01CD0" w:rsidP="00325EE3">
      <w:r w:rsidRPr="00583EFC">
        <w:t xml:space="preserve">According to the ACT Government </w:t>
      </w:r>
      <w:sdt>
        <w:sdtPr>
          <w:id w:val="1803576101"/>
          <w:citation/>
        </w:sdtPr>
        <w:sdtContent>
          <w:r w:rsidR="001105F9" w:rsidRPr="00583EFC">
            <w:fldChar w:fldCharType="begin"/>
          </w:r>
          <w:r w:rsidR="001105F9" w:rsidRPr="00583EFC">
            <w:instrText xml:space="preserve">CITATION ACT24 \p 345 \n  \t  \l 3081 </w:instrText>
          </w:r>
          <w:r w:rsidR="001105F9" w:rsidRPr="00583EFC">
            <w:fldChar w:fldCharType="separate"/>
          </w:r>
          <w:r w:rsidR="00874F23" w:rsidRPr="00583EFC">
            <w:rPr>
              <w:noProof/>
            </w:rPr>
            <w:t>(2024, p. 345)</w:t>
          </w:r>
          <w:r w:rsidR="001105F9" w:rsidRPr="00583EFC">
            <w:fldChar w:fldCharType="end"/>
          </w:r>
        </w:sdtContent>
      </w:sdt>
      <w:r w:rsidRPr="00583EFC">
        <w:t>,</w:t>
      </w:r>
      <w:r w:rsidR="00E55CEE" w:rsidRPr="00583EFC">
        <w:t>t</w:t>
      </w:r>
      <w:r w:rsidR="006906FA" w:rsidRPr="00583EFC">
        <w:t>he main risk</w:t>
      </w:r>
      <w:r w:rsidR="00246562" w:rsidRPr="00583EFC">
        <w:t xml:space="preserve"> to the economic outlook is </w:t>
      </w:r>
      <w:r w:rsidR="007A4CA5" w:rsidRPr="00583EFC">
        <w:t xml:space="preserve">the </w:t>
      </w:r>
      <w:r w:rsidR="00056765" w:rsidRPr="00583EFC">
        <w:t>broader national economy</w:t>
      </w:r>
      <w:r w:rsidR="00246562" w:rsidRPr="00583EFC">
        <w:t xml:space="preserve"> dragging </w:t>
      </w:r>
      <w:r w:rsidR="00937AEC" w:rsidRPr="00583EFC">
        <w:t xml:space="preserve">GSP growth and </w:t>
      </w:r>
      <w:r w:rsidR="00246562" w:rsidRPr="00583EFC">
        <w:t xml:space="preserve">final demand </w:t>
      </w:r>
      <w:r w:rsidR="000701D6" w:rsidRPr="00583EFC">
        <w:t xml:space="preserve">in the ACT </w:t>
      </w:r>
      <w:r w:rsidR="00246562" w:rsidRPr="00583EFC">
        <w:t>down with it</w:t>
      </w:r>
      <w:r w:rsidR="00937AEC" w:rsidRPr="00583EFC">
        <w:t xml:space="preserve">, </w:t>
      </w:r>
      <w:r w:rsidR="00B17BDB" w:rsidRPr="00583EFC">
        <w:t xml:space="preserve">with specific risks associated with higher inflation </w:t>
      </w:r>
      <w:r w:rsidR="00E55CEE" w:rsidRPr="00583EFC">
        <w:t>and</w:t>
      </w:r>
      <w:r w:rsidR="00B17BDB" w:rsidRPr="00583EFC">
        <w:t xml:space="preserve"> higher interest rates, </w:t>
      </w:r>
      <w:r w:rsidR="00E55CEE" w:rsidRPr="00583EFC">
        <w:t>as well as</w:t>
      </w:r>
      <w:r w:rsidR="00B17BDB" w:rsidRPr="00583EFC">
        <w:t xml:space="preserve"> ongoing </w:t>
      </w:r>
      <w:r w:rsidR="00E55CEE" w:rsidRPr="00583EFC">
        <w:t xml:space="preserve">international </w:t>
      </w:r>
      <w:r w:rsidR="00B17BDB" w:rsidRPr="00583EFC">
        <w:t>geopolitical tensions</w:t>
      </w:r>
      <w:r w:rsidR="00E55CEE" w:rsidRPr="00583EFC">
        <w:t xml:space="preserve"> (e.g. wars in the Ukraine and the Middle East)</w:t>
      </w:r>
      <w:r w:rsidR="001105F9" w:rsidRPr="00583EFC">
        <w:t>:</w:t>
      </w:r>
    </w:p>
    <w:p w14:paraId="2B0DFAC3" w14:textId="7C715928" w:rsidR="001105F9" w:rsidRPr="00583EFC" w:rsidRDefault="00D44868" w:rsidP="00D44868">
      <w:pPr>
        <w:pStyle w:val="Quote"/>
      </w:pPr>
      <w:r w:rsidRPr="00583EFC">
        <w:t>The ACT economy continues to be exposed to uncertainty and risk from the broader national economy, particularly from interest rates and inflation, compounded by international geopolitical tensions. A key downside risk is that high inflation and interest rates could dampen aggregate demand in the ACT and/or the national economy more than expected.</w:t>
      </w:r>
    </w:p>
    <w:p w14:paraId="1FE30A38" w14:textId="5D2937AF" w:rsidR="009665A6" w:rsidRPr="00583EFC" w:rsidRDefault="009665A6" w:rsidP="002223A7">
      <w:r w:rsidRPr="00583EFC">
        <w:t>The risks expressed by the ACT Government in relation to higher than expected inflation and inte</w:t>
      </w:r>
      <w:r w:rsidR="000A6FB0" w:rsidRPr="00583EFC">
        <w:t xml:space="preserve">rest rates would appear to be well founded given </w:t>
      </w:r>
      <w:r w:rsidR="00832BCE" w:rsidRPr="00583EFC">
        <w:t xml:space="preserve">concerns were expressed the RBA could raise </w:t>
      </w:r>
      <w:r w:rsidR="00CB497E" w:rsidRPr="00583EFC">
        <w:t xml:space="preserve">the official cash </w:t>
      </w:r>
      <w:r w:rsidR="00872CEA">
        <w:t xml:space="preserve">rate </w:t>
      </w:r>
      <w:r w:rsidR="00FA428E" w:rsidRPr="00583EFC">
        <w:t>that sets interest</w:t>
      </w:r>
      <w:r w:rsidR="00832BCE" w:rsidRPr="00583EFC">
        <w:t xml:space="preserve"> rates following </w:t>
      </w:r>
      <w:r w:rsidR="00D70270" w:rsidRPr="00583EFC">
        <w:t xml:space="preserve">a higher than expected </w:t>
      </w:r>
      <w:r w:rsidR="00EA34C1" w:rsidRPr="00583EFC">
        <w:t xml:space="preserve">rise in the </w:t>
      </w:r>
      <w:r w:rsidR="00946A30" w:rsidRPr="00583EFC">
        <w:t>national consumer price index</w:t>
      </w:r>
      <w:r w:rsidR="00704AC5" w:rsidRPr="00583EFC">
        <w:t xml:space="preserve"> of 4</w:t>
      </w:r>
      <w:r w:rsidR="006E48C1">
        <w:t xml:space="preserve"> percent</w:t>
      </w:r>
      <w:r w:rsidR="00946A30" w:rsidRPr="00583EFC">
        <w:t xml:space="preserve"> </w:t>
      </w:r>
      <w:r w:rsidR="008342D3" w:rsidRPr="00583EFC">
        <w:t xml:space="preserve">in the 12 months to </w:t>
      </w:r>
      <w:r w:rsidR="007A0C29" w:rsidRPr="00583EFC">
        <w:t>May 2024</w:t>
      </w:r>
      <w:r w:rsidR="00C67A85" w:rsidRPr="00583EFC">
        <w:t xml:space="preserve"> </w:t>
      </w:r>
      <w:sdt>
        <w:sdtPr>
          <w:id w:val="-1612040962"/>
          <w:citation/>
        </w:sdtPr>
        <w:sdtContent>
          <w:r w:rsidR="00047EDD" w:rsidRPr="00583EFC">
            <w:fldChar w:fldCharType="begin"/>
          </w:r>
          <w:r w:rsidR="001E7D0C" w:rsidRPr="00583EFC">
            <w:instrText xml:space="preserve">CITATION Aus4c \l 3081 </w:instrText>
          </w:r>
          <w:r w:rsidR="00047EDD" w:rsidRPr="00583EFC">
            <w:fldChar w:fldCharType="separate"/>
          </w:r>
          <w:r w:rsidR="00874F23" w:rsidRPr="00583EFC">
            <w:rPr>
              <w:noProof/>
            </w:rPr>
            <w:t>(Australian Bureau of Statistics, 2024d)</w:t>
          </w:r>
          <w:r w:rsidR="00047EDD" w:rsidRPr="00583EFC">
            <w:fldChar w:fldCharType="end"/>
          </w:r>
        </w:sdtContent>
      </w:sdt>
      <w:r w:rsidR="00C67A85" w:rsidRPr="00583EFC">
        <w:t>.</w:t>
      </w:r>
      <w:r w:rsidR="00551FB6" w:rsidRPr="00583EFC">
        <w:rPr>
          <w:rStyle w:val="FootnoteReference"/>
        </w:rPr>
        <w:footnoteReference w:id="2"/>
      </w:r>
    </w:p>
    <w:p w14:paraId="21AA9BE4" w14:textId="0CFB15E4" w:rsidR="0005285B" w:rsidRPr="00583EFC" w:rsidRDefault="0005285B" w:rsidP="002223A7">
      <w:r w:rsidRPr="00583EFC">
        <w:t xml:space="preserve">Pegasus has no reason to query the forecasts of ACT final demand of growth of </w:t>
      </w:r>
      <w:r w:rsidR="0029771D" w:rsidRPr="00583EFC">
        <w:t>2</w:t>
      </w:r>
      <w:r w:rsidR="006E48C1">
        <w:t xml:space="preserve"> percent</w:t>
      </w:r>
      <w:r w:rsidR="0039782F" w:rsidRPr="00583EFC">
        <w:t xml:space="preserve"> in 202</w:t>
      </w:r>
      <w:r w:rsidR="0029771D" w:rsidRPr="00583EFC">
        <w:t>4</w:t>
      </w:r>
      <w:r w:rsidR="0039782F" w:rsidRPr="00583EFC">
        <w:t>-2</w:t>
      </w:r>
      <w:r w:rsidR="0029771D" w:rsidRPr="00583EFC">
        <w:t>5</w:t>
      </w:r>
      <w:r w:rsidR="002C62E8" w:rsidRPr="00583EFC">
        <w:t xml:space="preserve"> and 2¾</w:t>
      </w:r>
      <w:r w:rsidR="006E48C1">
        <w:t xml:space="preserve"> percent</w:t>
      </w:r>
      <w:r w:rsidR="002C62E8" w:rsidRPr="00583EFC">
        <w:t xml:space="preserve"> in 2025-26</w:t>
      </w:r>
      <w:r w:rsidR="004645ED" w:rsidRPr="00583EFC">
        <w:t xml:space="preserve">, </w:t>
      </w:r>
      <w:r w:rsidR="001E34DD" w:rsidRPr="00583EFC">
        <w:t xml:space="preserve">and projections of </w:t>
      </w:r>
      <w:r w:rsidR="00C52FD0" w:rsidRPr="00583EFC">
        <w:t>3</w:t>
      </w:r>
      <w:r w:rsidR="006E48C1">
        <w:t xml:space="preserve"> percent</w:t>
      </w:r>
      <w:r w:rsidR="004645ED" w:rsidRPr="00583EFC">
        <w:t xml:space="preserve"> in</w:t>
      </w:r>
      <w:r w:rsidR="00944DB9" w:rsidRPr="00583EFC">
        <w:t xml:space="preserve"> 202</w:t>
      </w:r>
      <w:r w:rsidR="00C52FD0" w:rsidRPr="00583EFC">
        <w:t>6</w:t>
      </w:r>
      <w:r w:rsidR="00944DB9" w:rsidRPr="00583EFC">
        <w:t>-2</w:t>
      </w:r>
      <w:r w:rsidR="00C52FD0" w:rsidRPr="00583EFC">
        <w:t xml:space="preserve">7 and </w:t>
      </w:r>
      <w:r w:rsidR="001E34DD" w:rsidRPr="00583EFC">
        <w:t>202</w:t>
      </w:r>
      <w:r w:rsidR="00EC5C80" w:rsidRPr="00583EFC">
        <w:t>7</w:t>
      </w:r>
      <w:r w:rsidR="001E34DD" w:rsidRPr="00583EFC">
        <w:t>-2</w:t>
      </w:r>
      <w:r w:rsidR="00EC5C80" w:rsidRPr="00583EFC">
        <w:t>8</w:t>
      </w:r>
      <w:r w:rsidR="0039782F" w:rsidRPr="00583EFC">
        <w:t>.</w:t>
      </w:r>
      <w:r w:rsidR="004645ED" w:rsidRPr="00583EFC">
        <w:t xml:space="preserve"> Nor do we question </w:t>
      </w:r>
      <w:r w:rsidR="009536C9" w:rsidRPr="00583EFC">
        <w:t xml:space="preserve">the </w:t>
      </w:r>
      <w:r w:rsidR="004645ED" w:rsidRPr="00583EFC">
        <w:t>forecast</w:t>
      </w:r>
      <w:r w:rsidR="00E55CEE" w:rsidRPr="00583EFC">
        <w:t>s</w:t>
      </w:r>
      <w:r w:rsidR="009536C9" w:rsidRPr="00583EFC">
        <w:t xml:space="preserve"> for GSP in 202</w:t>
      </w:r>
      <w:r w:rsidR="00EC5C80" w:rsidRPr="00583EFC">
        <w:t>4</w:t>
      </w:r>
      <w:r w:rsidR="009536C9" w:rsidRPr="00583EFC">
        <w:t>-2</w:t>
      </w:r>
      <w:r w:rsidR="00EC5C80" w:rsidRPr="00583EFC">
        <w:t>5</w:t>
      </w:r>
      <w:r w:rsidR="009536C9" w:rsidRPr="00583EFC">
        <w:t xml:space="preserve"> </w:t>
      </w:r>
      <w:r w:rsidR="00E55CEE" w:rsidRPr="00583EFC">
        <w:t xml:space="preserve">and 2025-26 </w:t>
      </w:r>
      <w:r w:rsidR="009536C9" w:rsidRPr="00583EFC">
        <w:t xml:space="preserve">and the projections in </w:t>
      </w:r>
      <w:r w:rsidR="004645ED" w:rsidRPr="00583EFC">
        <w:t>the out-years.</w:t>
      </w:r>
    </w:p>
    <w:p w14:paraId="2FFFD718" w14:textId="193293A4" w:rsidR="000701D6" w:rsidRPr="00583EFC" w:rsidRDefault="007B122C" w:rsidP="002223A7">
      <w:r w:rsidRPr="00583EFC">
        <w:t xml:space="preserve">As the seat of the Commonwealth Government, the ACT is heavily dependent on the consumption and investment decisions of the Commonwealth Government. </w:t>
      </w:r>
      <w:r w:rsidR="00BA2056" w:rsidRPr="00583EFC">
        <w:t xml:space="preserve">This can be seen in </w:t>
      </w:r>
      <w:r w:rsidR="00576DB5">
        <w:fldChar w:fldCharType="begin"/>
      </w:r>
      <w:r w:rsidR="00576DB5">
        <w:instrText xml:space="preserve"> REF _Ref170907165 \h </w:instrText>
      </w:r>
      <w:r w:rsidR="00576DB5">
        <w:fldChar w:fldCharType="separate"/>
      </w:r>
      <w:r w:rsidR="000B62ED" w:rsidRPr="00583EFC">
        <w:t xml:space="preserve">Figure </w:t>
      </w:r>
      <w:r w:rsidR="000B62ED">
        <w:rPr>
          <w:noProof/>
        </w:rPr>
        <w:t>2</w:t>
      </w:r>
      <w:r w:rsidR="00576DB5">
        <w:fldChar w:fldCharType="end"/>
      </w:r>
      <w:r w:rsidR="00BA2056" w:rsidRPr="00583EFC">
        <w:t xml:space="preserve"> below</w:t>
      </w:r>
      <w:r w:rsidR="00AE1975" w:rsidRPr="00583EFC">
        <w:t>,</w:t>
      </w:r>
      <w:r w:rsidR="00BA2056" w:rsidRPr="00583EFC">
        <w:t xml:space="preserve"> </w:t>
      </w:r>
      <w:r w:rsidR="00AE1975" w:rsidRPr="00583EFC">
        <w:t>which</w:t>
      </w:r>
      <w:r w:rsidR="00BA2056" w:rsidRPr="00583EFC">
        <w:t xml:space="preserve"> </w:t>
      </w:r>
      <w:r w:rsidR="00AE1975" w:rsidRPr="00583EFC">
        <w:t xml:space="preserve">compares </w:t>
      </w:r>
      <w:r w:rsidR="00BA2056" w:rsidRPr="00583EFC">
        <w:t xml:space="preserve">the four main components of the New South Wales (NSW) </w:t>
      </w:r>
      <w:r w:rsidRPr="00583EFC">
        <w:t xml:space="preserve">and ACT </w:t>
      </w:r>
      <w:r w:rsidR="00BA2056" w:rsidRPr="00583EFC">
        <w:t>econom</w:t>
      </w:r>
      <w:r w:rsidRPr="00583EFC">
        <w:t>ies</w:t>
      </w:r>
      <w:r w:rsidR="00BA2056" w:rsidRPr="00583EFC">
        <w:t>.</w:t>
      </w:r>
    </w:p>
    <w:p w14:paraId="28EA602F" w14:textId="39339355" w:rsidR="00BA2056" w:rsidRPr="00583EFC" w:rsidRDefault="00BA2056" w:rsidP="008B2775">
      <w:pPr>
        <w:pStyle w:val="Caption"/>
        <w:keepNext/>
      </w:pPr>
      <w:bookmarkStart w:id="23" w:name="_Ref170907165"/>
      <w:bookmarkStart w:id="24" w:name="_Toc171949061"/>
      <w:r w:rsidRPr="00583EFC">
        <w:lastRenderedPageBreak/>
        <w:t xml:space="preserve">Figure </w:t>
      </w:r>
      <w:r w:rsidRPr="00583EFC">
        <w:fldChar w:fldCharType="begin"/>
      </w:r>
      <w:r w:rsidRPr="00583EFC">
        <w:instrText xml:space="preserve"> SEQ Figure \* ARABIC </w:instrText>
      </w:r>
      <w:r w:rsidRPr="00583EFC">
        <w:fldChar w:fldCharType="separate"/>
      </w:r>
      <w:r w:rsidR="000B62ED">
        <w:rPr>
          <w:noProof/>
        </w:rPr>
        <w:t>2</w:t>
      </w:r>
      <w:r w:rsidRPr="00583EFC">
        <w:rPr>
          <w:noProof/>
        </w:rPr>
        <w:fldChar w:fldCharType="end"/>
      </w:r>
      <w:bookmarkEnd w:id="23"/>
      <w:r w:rsidRPr="00583EFC">
        <w:t xml:space="preserve">: Components of Final Demand for the New South Wales </w:t>
      </w:r>
      <w:r w:rsidR="007B122C" w:rsidRPr="00583EFC">
        <w:t xml:space="preserve">and ACT </w:t>
      </w:r>
      <w:r w:rsidRPr="00583EFC">
        <w:t>econom</w:t>
      </w:r>
      <w:r w:rsidR="007B122C" w:rsidRPr="00583EFC">
        <w:t>ies</w:t>
      </w:r>
      <w:r w:rsidRPr="00583EFC">
        <w:t xml:space="preserve">, year ended </w:t>
      </w:r>
      <w:r w:rsidR="009C428C" w:rsidRPr="00583EFC">
        <w:t>March</w:t>
      </w:r>
      <w:r w:rsidRPr="00583EFC">
        <w:t xml:space="preserve"> 202</w:t>
      </w:r>
      <w:r w:rsidR="00616CAD" w:rsidRPr="00583EFC">
        <w:t>4</w:t>
      </w:r>
      <w:bookmarkEnd w:id="24"/>
    </w:p>
    <w:tbl>
      <w:tblPr>
        <w:tblStyle w:val="TableGrid"/>
        <w:tblW w:w="9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9"/>
        <w:gridCol w:w="4929"/>
      </w:tblGrid>
      <w:tr w:rsidR="00EE5FD3" w:rsidRPr="00583EFC" w14:paraId="42AECA4D" w14:textId="77777777" w:rsidTr="007A603D">
        <w:trPr>
          <w:trHeight w:val="402"/>
        </w:trPr>
        <w:tc>
          <w:tcPr>
            <w:tcW w:w="4603" w:type="dxa"/>
          </w:tcPr>
          <w:p w14:paraId="54D8B738" w14:textId="0E1DB036" w:rsidR="00D974D4" w:rsidRPr="00583EFC" w:rsidRDefault="00D974D4" w:rsidP="00010E68">
            <w:pPr>
              <w:pStyle w:val="ListParagraph"/>
              <w:keepNext/>
              <w:numPr>
                <w:ilvl w:val="0"/>
                <w:numId w:val="8"/>
              </w:numPr>
            </w:pPr>
            <w:r w:rsidRPr="00583EFC">
              <w:t xml:space="preserve"> New South Wales</w:t>
            </w:r>
          </w:p>
        </w:tc>
        <w:tc>
          <w:tcPr>
            <w:tcW w:w="4487" w:type="dxa"/>
          </w:tcPr>
          <w:p w14:paraId="18F9D00A" w14:textId="1E3AAE83" w:rsidR="00D974D4" w:rsidRPr="00583EFC" w:rsidRDefault="00D974D4" w:rsidP="00010E68">
            <w:pPr>
              <w:pStyle w:val="ListParagraph"/>
              <w:keepNext/>
              <w:numPr>
                <w:ilvl w:val="0"/>
                <w:numId w:val="8"/>
              </w:numPr>
            </w:pPr>
            <w:r w:rsidRPr="00583EFC">
              <w:t xml:space="preserve"> ACT</w:t>
            </w:r>
          </w:p>
        </w:tc>
      </w:tr>
      <w:tr w:rsidR="00EE5FD3" w:rsidRPr="00583EFC" w14:paraId="08B6FE9E" w14:textId="77777777" w:rsidTr="007A603D">
        <w:trPr>
          <w:trHeight w:val="4078"/>
        </w:trPr>
        <w:tc>
          <w:tcPr>
            <w:tcW w:w="4603" w:type="dxa"/>
          </w:tcPr>
          <w:p w14:paraId="4693CE6E" w14:textId="1611BDF4" w:rsidR="00D974D4" w:rsidRPr="00583EFC" w:rsidRDefault="00F82411" w:rsidP="00D974D4">
            <w:r w:rsidRPr="00583EFC">
              <w:rPr>
                <w:noProof/>
              </w:rPr>
              <w:drawing>
                <wp:inline distT="0" distB="0" distL="0" distR="0" wp14:anchorId="156BE758" wp14:editId="78363B13">
                  <wp:extent cx="3151505" cy="2586038"/>
                  <wp:effectExtent l="0" t="0" r="0" b="5080"/>
                  <wp:docPr id="27513595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70512" cy="2601635"/>
                          </a:xfrm>
                          <a:prstGeom prst="rect">
                            <a:avLst/>
                          </a:prstGeom>
                          <a:noFill/>
                        </pic:spPr>
                      </pic:pic>
                    </a:graphicData>
                  </a:graphic>
                </wp:inline>
              </w:drawing>
            </w:r>
          </w:p>
        </w:tc>
        <w:tc>
          <w:tcPr>
            <w:tcW w:w="4487" w:type="dxa"/>
          </w:tcPr>
          <w:p w14:paraId="2F631F5D" w14:textId="663A4B2B" w:rsidR="00D974D4" w:rsidRPr="00583EFC" w:rsidRDefault="00EE5FD3" w:rsidP="00D974D4">
            <w:r w:rsidRPr="00583EFC">
              <w:rPr>
                <w:noProof/>
              </w:rPr>
              <w:drawing>
                <wp:inline distT="0" distB="0" distL="0" distR="0" wp14:anchorId="0442EF9B" wp14:editId="7BB238C7">
                  <wp:extent cx="2992755" cy="2585720"/>
                  <wp:effectExtent l="0" t="0" r="0" b="5080"/>
                  <wp:docPr id="7224526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30706" cy="2618509"/>
                          </a:xfrm>
                          <a:prstGeom prst="rect">
                            <a:avLst/>
                          </a:prstGeom>
                          <a:noFill/>
                        </pic:spPr>
                      </pic:pic>
                    </a:graphicData>
                  </a:graphic>
                </wp:inline>
              </w:drawing>
            </w:r>
          </w:p>
        </w:tc>
      </w:tr>
    </w:tbl>
    <w:p w14:paraId="0939F337" w14:textId="2ED9DE10" w:rsidR="00BA2056" w:rsidRPr="00583EFC" w:rsidRDefault="00AB05D0" w:rsidP="00AB05D0">
      <w:pPr>
        <w:spacing w:before="0"/>
      </w:pPr>
      <w:r w:rsidRPr="00583EFC">
        <w:rPr>
          <w:sz w:val="20"/>
          <w:szCs w:val="20"/>
        </w:rPr>
        <w:t>Source: ABS</w:t>
      </w:r>
      <w:sdt>
        <w:sdtPr>
          <w:rPr>
            <w:sz w:val="20"/>
            <w:szCs w:val="20"/>
          </w:rPr>
          <w:id w:val="-33347974"/>
          <w:citation/>
        </w:sdtPr>
        <w:sdtContent>
          <w:r w:rsidR="003A5853" w:rsidRPr="00583EFC">
            <w:rPr>
              <w:sz w:val="20"/>
              <w:szCs w:val="20"/>
            </w:rPr>
            <w:fldChar w:fldCharType="begin"/>
          </w:r>
          <w:r w:rsidR="001E7D0C" w:rsidRPr="00583EFC">
            <w:rPr>
              <w:sz w:val="20"/>
              <w:szCs w:val="20"/>
            </w:rPr>
            <w:instrText xml:space="preserve">CITATION Aus229 \n  \t  \l 3081 </w:instrText>
          </w:r>
          <w:r w:rsidR="003A5853" w:rsidRPr="00583EFC">
            <w:rPr>
              <w:sz w:val="20"/>
              <w:szCs w:val="20"/>
            </w:rPr>
            <w:fldChar w:fldCharType="separate"/>
          </w:r>
          <w:r w:rsidR="00874F23" w:rsidRPr="00583EFC">
            <w:rPr>
              <w:noProof/>
              <w:sz w:val="20"/>
              <w:szCs w:val="20"/>
            </w:rPr>
            <w:t xml:space="preserve"> (2024)</w:t>
          </w:r>
          <w:r w:rsidR="003A5853" w:rsidRPr="00583EFC">
            <w:rPr>
              <w:sz w:val="20"/>
              <w:szCs w:val="20"/>
            </w:rPr>
            <w:fldChar w:fldCharType="end"/>
          </w:r>
        </w:sdtContent>
      </w:sdt>
      <w:r w:rsidRPr="00583EFC">
        <w:rPr>
          <w:sz w:val="20"/>
          <w:szCs w:val="20"/>
        </w:rPr>
        <w:t>.</w:t>
      </w:r>
    </w:p>
    <w:p w14:paraId="74A344AF" w14:textId="27AE95DD" w:rsidR="003A5853" w:rsidRPr="00583EFC" w:rsidRDefault="003A6702">
      <w:r w:rsidRPr="00583EFC">
        <w:t>I</w:t>
      </w:r>
      <w:r w:rsidR="001D15F1" w:rsidRPr="00583EFC">
        <w:t>n</w:t>
      </w:r>
      <w:r w:rsidR="00142EF4" w:rsidRPr="00583EFC">
        <w:t xml:space="preserve"> the year to the end of </w:t>
      </w:r>
      <w:r w:rsidR="003A5853" w:rsidRPr="00583EFC">
        <w:t>March</w:t>
      </w:r>
      <w:r w:rsidR="00142EF4" w:rsidRPr="00583EFC">
        <w:t xml:space="preserve"> 20</w:t>
      </w:r>
      <w:r w:rsidR="0017329E" w:rsidRPr="00583EFC">
        <w:t>2</w:t>
      </w:r>
      <w:r w:rsidR="0000012B" w:rsidRPr="00583EFC">
        <w:t>4</w:t>
      </w:r>
      <w:r w:rsidR="00142EF4" w:rsidRPr="00583EFC">
        <w:t>, the Commonwealth</w:t>
      </w:r>
      <w:r w:rsidR="001D15F1" w:rsidRPr="00583EFC">
        <w:t xml:space="preserve"> </w:t>
      </w:r>
      <w:r w:rsidR="00142EF4" w:rsidRPr="00583EFC">
        <w:t>represented</w:t>
      </w:r>
      <w:r w:rsidR="00D06BC4" w:rsidRPr="00583EFC">
        <w:t xml:space="preserve"> </w:t>
      </w:r>
      <w:r w:rsidR="00C12411" w:rsidRPr="00583EFC">
        <w:t>4</w:t>
      </w:r>
      <w:r w:rsidR="003A5853" w:rsidRPr="00583EFC">
        <w:t>5.</w:t>
      </w:r>
      <w:r w:rsidR="006845FC" w:rsidRPr="00583EFC">
        <w:t>5</w:t>
      </w:r>
      <w:r w:rsidR="006E48C1">
        <w:t xml:space="preserve"> percent</w:t>
      </w:r>
      <w:r w:rsidR="003A5853" w:rsidRPr="00583EFC">
        <w:t xml:space="preserve"> </w:t>
      </w:r>
      <w:r w:rsidR="00142EF4" w:rsidRPr="00583EFC">
        <w:t xml:space="preserve">of total demand in the ACT economy </w:t>
      </w:r>
      <w:r w:rsidR="00AE1975" w:rsidRPr="00583EFC">
        <w:t xml:space="preserve">while </w:t>
      </w:r>
      <w:r w:rsidR="00142EF4" w:rsidRPr="00583EFC">
        <w:t xml:space="preserve">household consumption </w:t>
      </w:r>
      <w:r w:rsidR="000E2793" w:rsidRPr="00583EFC">
        <w:t xml:space="preserve">represented </w:t>
      </w:r>
      <w:r w:rsidR="00C12411" w:rsidRPr="00583EFC">
        <w:t>3</w:t>
      </w:r>
      <w:r w:rsidR="00C1639B" w:rsidRPr="00583EFC">
        <w:t>4</w:t>
      </w:r>
      <w:r w:rsidR="00C12411" w:rsidRPr="00583EFC">
        <w:t>.</w:t>
      </w:r>
      <w:r w:rsidR="006845FC" w:rsidRPr="00583EFC">
        <w:t>4</w:t>
      </w:r>
      <w:r w:rsidR="006E48C1">
        <w:t xml:space="preserve"> percent</w:t>
      </w:r>
      <w:r w:rsidR="00142EF4" w:rsidRPr="00583EFC">
        <w:t xml:space="preserve">, </w:t>
      </w:r>
      <w:r w:rsidR="00137E13" w:rsidRPr="00583EFC">
        <w:t>private investment</w:t>
      </w:r>
      <w:r w:rsidR="00142EF4" w:rsidRPr="00583EFC">
        <w:t xml:space="preserve"> </w:t>
      </w:r>
      <w:r w:rsidR="00C1639B" w:rsidRPr="00583EFC">
        <w:t>9.</w:t>
      </w:r>
      <w:r w:rsidR="00CC6C9A" w:rsidRPr="00583EFC">
        <w:t>5</w:t>
      </w:r>
      <w:r w:rsidR="00D92470">
        <w:t> </w:t>
      </w:r>
      <w:r w:rsidR="006E48C1">
        <w:t>percent</w:t>
      </w:r>
      <w:r w:rsidR="00142EF4" w:rsidRPr="00583EFC">
        <w:t xml:space="preserve">, and </w:t>
      </w:r>
      <w:r w:rsidR="0017329E" w:rsidRPr="00583EFC">
        <w:t>10.</w:t>
      </w:r>
      <w:r w:rsidR="00CC6C9A" w:rsidRPr="00583EFC">
        <w:t>5</w:t>
      </w:r>
      <w:r w:rsidR="00D92470">
        <w:t> </w:t>
      </w:r>
      <w:r w:rsidR="006E48C1">
        <w:t>percent</w:t>
      </w:r>
      <w:r w:rsidR="00996AC1" w:rsidRPr="00583EFC">
        <w:t xml:space="preserve"> for the ACT Government</w:t>
      </w:r>
      <w:r w:rsidR="00AE1975" w:rsidRPr="00583EFC">
        <w:t>.</w:t>
      </w:r>
    </w:p>
    <w:p w14:paraId="49E70B1D" w14:textId="0382CC3C" w:rsidR="008B62B5" w:rsidRDefault="003A6702">
      <w:r w:rsidRPr="00583EFC">
        <w:t xml:space="preserve">The </w:t>
      </w:r>
      <w:r w:rsidR="00B148EA" w:rsidRPr="00583EFC">
        <w:t xml:space="preserve">historical relative shares of ACT </w:t>
      </w:r>
      <w:r w:rsidR="00F55A03" w:rsidRPr="00583EFC">
        <w:t>f</w:t>
      </w:r>
      <w:r w:rsidR="00B148EA" w:rsidRPr="00583EFC">
        <w:t xml:space="preserve">inal </w:t>
      </w:r>
      <w:r w:rsidR="00F55A03" w:rsidRPr="00583EFC">
        <w:t>d</w:t>
      </w:r>
      <w:r w:rsidR="00B148EA" w:rsidRPr="00583EFC">
        <w:t xml:space="preserve">emand are provided in </w:t>
      </w:r>
      <w:r w:rsidR="00576DB5" w:rsidRPr="005D6DBA">
        <w:fldChar w:fldCharType="begin"/>
      </w:r>
      <w:r w:rsidR="00576DB5" w:rsidRPr="005D6DBA">
        <w:instrText xml:space="preserve"> REF _Ref170907189 \h </w:instrText>
      </w:r>
      <w:r w:rsidR="005D6DBA">
        <w:instrText xml:space="preserve"> \* MERGEFORMAT </w:instrText>
      </w:r>
      <w:r w:rsidR="00576DB5" w:rsidRPr="005D6DBA">
        <w:fldChar w:fldCharType="separate"/>
      </w:r>
      <w:r w:rsidR="000B62ED" w:rsidRPr="005D6DBA">
        <w:t xml:space="preserve">Figure </w:t>
      </w:r>
      <w:r w:rsidR="000B62ED">
        <w:rPr>
          <w:noProof/>
        </w:rPr>
        <w:t>3</w:t>
      </w:r>
      <w:r w:rsidR="00576DB5" w:rsidRPr="005D6DBA">
        <w:fldChar w:fldCharType="end"/>
      </w:r>
      <w:r w:rsidR="00B148EA" w:rsidRPr="00583EFC">
        <w:t xml:space="preserve"> below.</w:t>
      </w:r>
    </w:p>
    <w:p w14:paraId="2D2C8555" w14:textId="5B44FC21" w:rsidR="00B148EA" w:rsidRDefault="009B3070" w:rsidP="00AF207D">
      <w:pPr>
        <w:pStyle w:val="Caption"/>
        <w:spacing w:before="0"/>
      </w:pPr>
      <w:bookmarkStart w:id="25" w:name="_Ref170907189"/>
      <w:bookmarkStart w:id="26" w:name="_Toc171949062"/>
      <w:r w:rsidRPr="005D6DBA">
        <w:t xml:space="preserve">Figure </w:t>
      </w:r>
      <w:r w:rsidR="001B4FE9" w:rsidRPr="005D6DBA">
        <w:rPr>
          <w:noProof/>
        </w:rPr>
        <w:fldChar w:fldCharType="begin"/>
      </w:r>
      <w:r w:rsidR="001B4FE9" w:rsidRPr="005D6DBA">
        <w:rPr>
          <w:noProof/>
        </w:rPr>
        <w:instrText xml:space="preserve"> SEQ Figure \* ARABIC </w:instrText>
      </w:r>
      <w:r w:rsidR="001B4FE9" w:rsidRPr="005D6DBA">
        <w:rPr>
          <w:noProof/>
        </w:rPr>
        <w:fldChar w:fldCharType="separate"/>
      </w:r>
      <w:r w:rsidR="000B62ED">
        <w:rPr>
          <w:noProof/>
        </w:rPr>
        <w:t>3</w:t>
      </w:r>
      <w:r w:rsidR="001B4FE9" w:rsidRPr="005D6DBA">
        <w:rPr>
          <w:noProof/>
        </w:rPr>
        <w:fldChar w:fldCharType="end"/>
      </w:r>
      <w:bookmarkEnd w:id="25"/>
      <w:r w:rsidRPr="005D6DBA">
        <w:t xml:space="preserve">: Relative shares of ACT </w:t>
      </w:r>
      <w:r w:rsidR="00C73A68" w:rsidRPr="005D6DBA">
        <w:t>F</w:t>
      </w:r>
      <w:r w:rsidRPr="005D6DBA">
        <w:t xml:space="preserve">inal </w:t>
      </w:r>
      <w:r w:rsidR="00C73A68" w:rsidRPr="005D6DBA">
        <w:t>D</w:t>
      </w:r>
      <w:r w:rsidRPr="005D6DBA">
        <w:t xml:space="preserve">emand – </w:t>
      </w:r>
      <w:r w:rsidR="00654D9D" w:rsidRPr="005D6DBA">
        <w:t>201</w:t>
      </w:r>
      <w:r w:rsidR="008B62B5" w:rsidRPr="005D6DBA">
        <w:t>3</w:t>
      </w:r>
      <w:r w:rsidRPr="005D6DBA">
        <w:t>-</w:t>
      </w:r>
      <w:r w:rsidR="00654D9D" w:rsidRPr="005D6DBA">
        <w:t>1</w:t>
      </w:r>
      <w:r w:rsidR="008B62B5" w:rsidRPr="005D6DBA">
        <w:t>4</w:t>
      </w:r>
      <w:r w:rsidRPr="005D6DBA">
        <w:t xml:space="preserve"> to 20</w:t>
      </w:r>
      <w:r w:rsidR="00654D9D" w:rsidRPr="005D6DBA">
        <w:t>2</w:t>
      </w:r>
      <w:r w:rsidR="008B62B5" w:rsidRPr="005D6DBA">
        <w:t>3</w:t>
      </w:r>
      <w:r w:rsidRPr="005D6DBA">
        <w:t>-</w:t>
      </w:r>
      <w:r w:rsidR="00E16313" w:rsidRPr="005D6DBA">
        <w:t>2</w:t>
      </w:r>
      <w:r w:rsidR="008B62B5" w:rsidRPr="005D6DBA">
        <w:t>4</w:t>
      </w:r>
      <w:r w:rsidR="00654D9D" w:rsidRPr="005D6DBA">
        <w:t>*</w:t>
      </w:r>
      <w:bookmarkEnd w:id="26"/>
    </w:p>
    <w:p w14:paraId="6B2CBAF6" w14:textId="50F26626" w:rsidR="00B34092" w:rsidRDefault="00603B6C" w:rsidP="00654D9D">
      <w:pPr>
        <w:spacing w:before="0"/>
        <w:rPr>
          <w:sz w:val="20"/>
          <w:szCs w:val="20"/>
        </w:rPr>
      </w:pPr>
      <w:r w:rsidRPr="00603B6C">
        <w:rPr>
          <w:noProof/>
        </w:rPr>
        <w:t xml:space="preserve"> </w:t>
      </w:r>
      <w:r>
        <w:rPr>
          <w:noProof/>
        </w:rPr>
        <w:drawing>
          <wp:inline distT="0" distB="0" distL="0" distR="0" wp14:anchorId="3B097010" wp14:editId="436FD967">
            <wp:extent cx="5731510" cy="3737610"/>
            <wp:effectExtent l="0" t="0" r="0" b="0"/>
            <wp:docPr id="1409504514" name="Picture 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504514" name="Picture 1" descr="A graph of a number of people&#10;&#10;Description automatically generated with medium confidence"/>
                    <pic:cNvPicPr/>
                  </pic:nvPicPr>
                  <pic:blipFill>
                    <a:blip r:embed="rId19"/>
                    <a:stretch>
                      <a:fillRect/>
                    </a:stretch>
                  </pic:blipFill>
                  <pic:spPr>
                    <a:xfrm>
                      <a:off x="0" y="0"/>
                      <a:ext cx="5731510" cy="3737610"/>
                    </a:xfrm>
                    <a:prstGeom prst="rect">
                      <a:avLst/>
                    </a:prstGeom>
                  </pic:spPr>
                </pic:pic>
              </a:graphicData>
            </a:graphic>
          </wp:inline>
        </w:drawing>
      </w:r>
      <w:r w:rsidR="007F7AEF">
        <w:br/>
      </w:r>
      <w:r w:rsidR="007F7AEF" w:rsidRPr="007F7AEF">
        <w:rPr>
          <w:sz w:val="20"/>
          <w:szCs w:val="20"/>
        </w:rPr>
        <w:t xml:space="preserve">Source: </w:t>
      </w:r>
      <w:r w:rsidR="007F7AEF" w:rsidRPr="00A00081">
        <w:rPr>
          <w:sz w:val="20"/>
          <w:szCs w:val="20"/>
        </w:rPr>
        <w:t xml:space="preserve">ABS </w:t>
      </w:r>
      <w:sdt>
        <w:sdtPr>
          <w:rPr>
            <w:sz w:val="20"/>
            <w:szCs w:val="20"/>
          </w:rPr>
          <w:id w:val="1496925293"/>
          <w:citation/>
        </w:sdtPr>
        <w:sdtContent>
          <w:r w:rsidR="00654D9D">
            <w:rPr>
              <w:sz w:val="20"/>
              <w:szCs w:val="20"/>
            </w:rPr>
            <w:fldChar w:fldCharType="begin"/>
          </w:r>
          <w:r w:rsidR="001E7D0C">
            <w:rPr>
              <w:sz w:val="20"/>
              <w:szCs w:val="20"/>
            </w:rPr>
            <w:instrText xml:space="preserve">CITATION Aus229 \n  \t  \l 3081 </w:instrText>
          </w:r>
          <w:r w:rsidR="00654D9D">
            <w:rPr>
              <w:sz w:val="20"/>
              <w:szCs w:val="20"/>
            </w:rPr>
            <w:fldChar w:fldCharType="separate"/>
          </w:r>
          <w:r w:rsidR="00874F23" w:rsidRPr="00874F23">
            <w:rPr>
              <w:noProof/>
              <w:sz w:val="20"/>
              <w:szCs w:val="20"/>
            </w:rPr>
            <w:t>(2024)</w:t>
          </w:r>
          <w:r w:rsidR="00654D9D">
            <w:rPr>
              <w:sz w:val="20"/>
              <w:szCs w:val="20"/>
            </w:rPr>
            <w:fldChar w:fldCharType="end"/>
          </w:r>
        </w:sdtContent>
      </w:sdt>
      <w:r w:rsidR="00654D9D">
        <w:rPr>
          <w:sz w:val="20"/>
          <w:szCs w:val="20"/>
        </w:rPr>
        <w:t>.</w:t>
      </w:r>
      <w:r w:rsidR="00F752CD">
        <w:rPr>
          <w:sz w:val="20"/>
          <w:szCs w:val="20"/>
        </w:rPr>
        <w:br/>
        <w:t>* 202</w:t>
      </w:r>
      <w:r w:rsidR="008B62B5">
        <w:rPr>
          <w:sz w:val="20"/>
          <w:szCs w:val="20"/>
        </w:rPr>
        <w:t>3</w:t>
      </w:r>
      <w:r w:rsidR="00F752CD">
        <w:rPr>
          <w:sz w:val="20"/>
          <w:szCs w:val="20"/>
        </w:rPr>
        <w:t>-2</w:t>
      </w:r>
      <w:r w:rsidR="008B62B5">
        <w:rPr>
          <w:sz w:val="20"/>
          <w:szCs w:val="20"/>
        </w:rPr>
        <w:t>4</w:t>
      </w:r>
      <w:r w:rsidR="00F752CD">
        <w:rPr>
          <w:sz w:val="20"/>
          <w:szCs w:val="20"/>
        </w:rPr>
        <w:t xml:space="preserve"> only includes the September and December quarters 202</w:t>
      </w:r>
      <w:r w:rsidR="003C1624">
        <w:rPr>
          <w:sz w:val="20"/>
          <w:szCs w:val="20"/>
        </w:rPr>
        <w:t>2</w:t>
      </w:r>
      <w:r w:rsidR="00F752CD">
        <w:rPr>
          <w:sz w:val="20"/>
          <w:szCs w:val="20"/>
        </w:rPr>
        <w:t>, and the March quarter 202</w:t>
      </w:r>
      <w:r w:rsidR="003C1624">
        <w:rPr>
          <w:sz w:val="20"/>
          <w:szCs w:val="20"/>
        </w:rPr>
        <w:t>3</w:t>
      </w:r>
      <w:r w:rsidR="00F752CD">
        <w:rPr>
          <w:sz w:val="20"/>
          <w:szCs w:val="20"/>
        </w:rPr>
        <w:t>.</w:t>
      </w:r>
    </w:p>
    <w:p w14:paraId="7FEBA72A" w14:textId="75DBA269" w:rsidR="008A0193" w:rsidRPr="00583EFC" w:rsidRDefault="00113086" w:rsidP="00B34092">
      <w:r w:rsidRPr="00583EFC">
        <w:lastRenderedPageBreak/>
        <w:t>Between 2019-20 and 20</w:t>
      </w:r>
      <w:r w:rsidR="00EA20C8" w:rsidRPr="00583EFC">
        <w:t xml:space="preserve">21-22 </w:t>
      </w:r>
      <w:r w:rsidR="00F252D4" w:rsidRPr="00583EFC">
        <w:t>with</w:t>
      </w:r>
      <w:r w:rsidR="00236DB2" w:rsidRPr="00583EFC">
        <w:t xml:space="preserve"> the onset of COVID-19</w:t>
      </w:r>
      <w:r w:rsidR="00394017" w:rsidRPr="00583EFC">
        <w:t xml:space="preserve"> pandemic</w:t>
      </w:r>
      <w:r w:rsidR="00F252D4" w:rsidRPr="00583EFC">
        <w:t>,</w:t>
      </w:r>
      <w:r w:rsidR="00236DB2" w:rsidRPr="00583EFC">
        <w:t xml:space="preserve"> there </w:t>
      </w:r>
      <w:r w:rsidR="00EA20C8" w:rsidRPr="00583EFC">
        <w:t>w</w:t>
      </w:r>
      <w:r w:rsidR="00236DB2" w:rsidRPr="00583EFC">
        <w:t xml:space="preserve">as </w:t>
      </w:r>
      <w:r w:rsidR="004F3881" w:rsidRPr="00583EFC">
        <w:t xml:space="preserve">a contraction in </w:t>
      </w:r>
      <w:r w:rsidR="005C183F" w:rsidRPr="00583EFC">
        <w:t xml:space="preserve">household consumption </w:t>
      </w:r>
      <w:r w:rsidR="00236DB2" w:rsidRPr="00583EFC">
        <w:t xml:space="preserve">that </w:t>
      </w:r>
      <w:r w:rsidR="00EA20C8" w:rsidRPr="00583EFC">
        <w:t>was largely</w:t>
      </w:r>
      <w:r w:rsidR="005C183F" w:rsidRPr="00583EFC">
        <w:t xml:space="preserve"> offset by an expansion in </w:t>
      </w:r>
      <w:r w:rsidR="009C1AC8" w:rsidRPr="00583EFC">
        <w:t xml:space="preserve">expenditure by the </w:t>
      </w:r>
      <w:r w:rsidR="005C183F" w:rsidRPr="00583EFC">
        <w:t xml:space="preserve">Commonwealth Government. </w:t>
      </w:r>
      <w:r w:rsidR="00B937DD" w:rsidRPr="00583EFC">
        <w:t>However, h</w:t>
      </w:r>
      <w:r w:rsidR="00265A31" w:rsidRPr="00583EFC">
        <w:t xml:space="preserve">ousehold consumption </w:t>
      </w:r>
      <w:r w:rsidR="007353B7" w:rsidRPr="00583EFC">
        <w:t>has not</w:t>
      </w:r>
      <w:r w:rsidR="00415728" w:rsidRPr="00583EFC">
        <w:t xml:space="preserve"> fully r</w:t>
      </w:r>
      <w:r w:rsidR="002402DB" w:rsidRPr="00583EFC">
        <w:t xml:space="preserve">ecovered </w:t>
      </w:r>
      <w:r w:rsidR="007353B7" w:rsidRPr="00583EFC">
        <w:t xml:space="preserve">back </w:t>
      </w:r>
      <w:r w:rsidR="002402DB" w:rsidRPr="00583EFC">
        <w:t>to its pre-COVID-19 pandemic level</w:t>
      </w:r>
      <w:r w:rsidR="00415728" w:rsidRPr="00583EFC">
        <w:t>s.</w:t>
      </w:r>
      <w:r w:rsidR="009B0679" w:rsidRPr="00583EFC">
        <w:t xml:space="preserve"> So far during 2023-24, there appears to be a substantial uptick in </w:t>
      </w:r>
      <w:r w:rsidR="008A0193" w:rsidRPr="00583EFC">
        <w:t>t</w:t>
      </w:r>
      <w:r w:rsidR="00B90E34" w:rsidRPr="00583EFC">
        <w:t xml:space="preserve">he </w:t>
      </w:r>
      <w:r w:rsidR="008A0193" w:rsidRPr="00583EFC">
        <w:t xml:space="preserve">relative </w:t>
      </w:r>
      <w:r w:rsidR="00B90E34" w:rsidRPr="00583EFC">
        <w:t xml:space="preserve">contribution of the </w:t>
      </w:r>
      <w:r w:rsidR="00FD7407" w:rsidRPr="00583EFC">
        <w:t>ACT Government</w:t>
      </w:r>
      <w:r w:rsidR="00D525D7" w:rsidRPr="00583EFC">
        <w:t xml:space="preserve"> to</w:t>
      </w:r>
      <w:r w:rsidR="00FD7407" w:rsidRPr="00583EFC">
        <w:t xml:space="preserve"> </w:t>
      </w:r>
      <w:r w:rsidR="009A598A" w:rsidRPr="00583EFC">
        <w:t>f</w:t>
      </w:r>
      <w:r w:rsidR="00EF533A" w:rsidRPr="00583EFC">
        <w:t xml:space="preserve">inal </w:t>
      </w:r>
      <w:r w:rsidR="009A598A" w:rsidRPr="00583EFC">
        <w:t>d</w:t>
      </w:r>
      <w:r w:rsidR="00EF533A" w:rsidRPr="00583EFC">
        <w:t>emand</w:t>
      </w:r>
      <w:r w:rsidR="000B733F" w:rsidRPr="00583EFC">
        <w:t>, rising from 13.7</w:t>
      </w:r>
      <w:r w:rsidR="006E48C1">
        <w:t xml:space="preserve"> percent</w:t>
      </w:r>
      <w:r w:rsidR="000B733F" w:rsidRPr="00583EFC">
        <w:t xml:space="preserve"> in 2022-23 to 14.6</w:t>
      </w:r>
      <w:r w:rsidR="006E48C1">
        <w:t xml:space="preserve"> percent</w:t>
      </w:r>
      <w:r w:rsidR="000B733F" w:rsidRPr="00583EFC">
        <w:t xml:space="preserve"> in the first three quarters of 2023-24 while business investment has contracted from </w:t>
      </w:r>
      <w:r w:rsidR="00E94AE9" w:rsidRPr="00583EFC">
        <w:t>9.8</w:t>
      </w:r>
      <w:r w:rsidR="006E48C1">
        <w:t xml:space="preserve"> percent</w:t>
      </w:r>
      <w:r w:rsidR="00E94AE9" w:rsidRPr="00583EFC">
        <w:t xml:space="preserve"> to 9.5</w:t>
      </w:r>
      <w:r w:rsidR="006E48C1">
        <w:t xml:space="preserve"> percent</w:t>
      </w:r>
      <w:r w:rsidR="00E94AE9" w:rsidRPr="00583EFC">
        <w:t xml:space="preserve"> over the same period.</w:t>
      </w:r>
    </w:p>
    <w:p w14:paraId="1E1644EF" w14:textId="3A9B2F30" w:rsidR="00F752CD" w:rsidRDefault="00F752CD" w:rsidP="00B34092">
      <w:r w:rsidRPr="00583EFC">
        <w:t xml:space="preserve">Since the onset of </w:t>
      </w:r>
      <w:r w:rsidR="009C1AC8" w:rsidRPr="00583EFC">
        <w:t xml:space="preserve">the </w:t>
      </w:r>
      <w:r w:rsidRPr="00583EFC">
        <w:t xml:space="preserve">economic disruption caused by the COVID-19 pandemic, the ACT economy has </w:t>
      </w:r>
      <w:r w:rsidR="00E627B4" w:rsidRPr="00583EFC">
        <w:t xml:space="preserve">generally </w:t>
      </w:r>
      <w:r w:rsidRPr="00583EFC">
        <w:t xml:space="preserve">become </w:t>
      </w:r>
      <w:r w:rsidR="006862CF" w:rsidRPr="00583EFC">
        <w:t xml:space="preserve">much </w:t>
      </w:r>
      <w:r w:rsidRPr="00583EFC">
        <w:t>less diverse and more dependent on the public sector</w:t>
      </w:r>
      <w:r w:rsidR="006B2CB5" w:rsidRPr="00583EFC">
        <w:t xml:space="preserve">, with the Commonwealth and ACT </w:t>
      </w:r>
      <w:r w:rsidR="00F252D4" w:rsidRPr="00583EFC">
        <w:t>g</w:t>
      </w:r>
      <w:r w:rsidR="006B2CB5" w:rsidRPr="00583EFC">
        <w:t xml:space="preserve">overnments’ </w:t>
      </w:r>
      <w:r w:rsidR="0008029C" w:rsidRPr="00583EFC">
        <w:t>now</w:t>
      </w:r>
      <w:r w:rsidR="006B2CB5" w:rsidRPr="00583EFC">
        <w:t xml:space="preserve"> </w:t>
      </w:r>
      <w:r w:rsidR="0008029C" w:rsidRPr="00583EFC">
        <w:t xml:space="preserve">accounting </w:t>
      </w:r>
      <w:r w:rsidR="00FA428E" w:rsidRPr="00583EFC">
        <w:t xml:space="preserve">for </w:t>
      </w:r>
      <w:r w:rsidR="000B5552" w:rsidRPr="00583EFC">
        <w:t>around</w:t>
      </w:r>
      <w:r w:rsidR="00581D02" w:rsidRPr="00583EFC">
        <w:t xml:space="preserve"> </w:t>
      </w:r>
      <w:r w:rsidR="006B2CB5" w:rsidRPr="00583EFC">
        <w:t>5</w:t>
      </w:r>
      <w:r w:rsidR="000B5552" w:rsidRPr="00583EFC">
        <w:t>6</w:t>
      </w:r>
      <w:r w:rsidR="006E48C1">
        <w:t xml:space="preserve"> percent</w:t>
      </w:r>
      <w:r w:rsidR="006B2CB5" w:rsidRPr="00583EFC">
        <w:t xml:space="preserve"> of final demand</w:t>
      </w:r>
      <w:r w:rsidR="004A2E9B" w:rsidRPr="00583EFC">
        <w:t>, as compared to 53</w:t>
      </w:r>
      <w:r w:rsidR="006E48C1">
        <w:t xml:space="preserve"> percent</w:t>
      </w:r>
      <w:r w:rsidR="004A2E9B" w:rsidRPr="00583EFC">
        <w:t xml:space="preserve"> pre-COVID. This is</w:t>
      </w:r>
      <w:r w:rsidR="00421956" w:rsidRPr="00583EFC">
        <w:t xml:space="preserve"> outlined in </w:t>
      </w:r>
      <w:r w:rsidR="00576DB5">
        <w:fldChar w:fldCharType="begin"/>
      </w:r>
      <w:r w:rsidR="00576DB5">
        <w:instrText xml:space="preserve"> REF _Ref170907217 \h </w:instrText>
      </w:r>
      <w:r w:rsidR="00576DB5">
        <w:fldChar w:fldCharType="separate"/>
      </w:r>
      <w:r w:rsidR="000B62ED">
        <w:t xml:space="preserve">Figure </w:t>
      </w:r>
      <w:r w:rsidR="000B62ED">
        <w:rPr>
          <w:noProof/>
        </w:rPr>
        <w:t>4</w:t>
      </w:r>
      <w:r w:rsidR="00576DB5">
        <w:fldChar w:fldCharType="end"/>
      </w:r>
      <w:r w:rsidR="00421956" w:rsidRPr="00583EFC">
        <w:t xml:space="preserve"> below.</w:t>
      </w:r>
    </w:p>
    <w:p w14:paraId="1550DDC3" w14:textId="0DA40A11" w:rsidR="00421956" w:rsidRDefault="00331967" w:rsidP="00331967">
      <w:pPr>
        <w:pStyle w:val="Caption"/>
      </w:pPr>
      <w:bookmarkStart w:id="27" w:name="_Ref170907217"/>
      <w:bookmarkStart w:id="28" w:name="_Toc171949063"/>
      <w:r>
        <w:t xml:space="preserve">Figure </w:t>
      </w:r>
      <w:r>
        <w:fldChar w:fldCharType="begin"/>
      </w:r>
      <w:r>
        <w:instrText xml:space="preserve"> SEQ Figure \* ARABIC </w:instrText>
      </w:r>
      <w:r>
        <w:fldChar w:fldCharType="separate"/>
      </w:r>
      <w:r w:rsidR="000B62ED">
        <w:rPr>
          <w:noProof/>
        </w:rPr>
        <w:t>4</w:t>
      </w:r>
      <w:r>
        <w:fldChar w:fldCharType="end"/>
      </w:r>
      <w:bookmarkEnd w:id="27"/>
      <w:r>
        <w:t>: Percentage of ACT Final Demand made up by the Public Sector (Commonwealth and ACT Government) – 2013-14 to 2023-24*</w:t>
      </w:r>
      <w:bookmarkEnd w:id="28"/>
    </w:p>
    <w:p w14:paraId="50AB8B89" w14:textId="34F616F0" w:rsidR="00421956" w:rsidRDefault="0086206A" w:rsidP="00331967">
      <w:pPr>
        <w:spacing w:before="0" w:after="0"/>
      </w:pPr>
      <w:r w:rsidRPr="0086206A">
        <w:rPr>
          <w:noProof/>
        </w:rPr>
        <w:t xml:space="preserve"> </w:t>
      </w:r>
      <w:r>
        <w:rPr>
          <w:noProof/>
        </w:rPr>
        <w:drawing>
          <wp:inline distT="0" distB="0" distL="0" distR="0" wp14:anchorId="0D759954" wp14:editId="2BBA6A70">
            <wp:extent cx="5731510" cy="3737610"/>
            <wp:effectExtent l="0" t="0" r="0" b="0"/>
            <wp:docPr id="1523241408" name="Picture 1" descr="A graph of a financial dema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241408" name="Picture 1" descr="A graph of a financial demand&#10;&#10;Description automatically generated with medium confidence"/>
                    <pic:cNvPicPr/>
                  </pic:nvPicPr>
                  <pic:blipFill>
                    <a:blip r:embed="rId20"/>
                    <a:stretch>
                      <a:fillRect/>
                    </a:stretch>
                  </pic:blipFill>
                  <pic:spPr>
                    <a:xfrm>
                      <a:off x="0" y="0"/>
                      <a:ext cx="5731510" cy="3737610"/>
                    </a:xfrm>
                    <a:prstGeom prst="rect">
                      <a:avLst/>
                    </a:prstGeom>
                  </pic:spPr>
                </pic:pic>
              </a:graphicData>
            </a:graphic>
          </wp:inline>
        </w:drawing>
      </w:r>
    </w:p>
    <w:p w14:paraId="062A29C5" w14:textId="0ACB33FB" w:rsidR="00331967" w:rsidRDefault="00331967" w:rsidP="008B3967">
      <w:pPr>
        <w:spacing w:before="0"/>
      </w:pPr>
      <w:r w:rsidRPr="007F7AEF">
        <w:rPr>
          <w:sz w:val="20"/>
          <w:szCs w:val="20"/>
        </w:rPr>
        <w:t xml:space="preserve">Source: </w:t>
      </w:r>
      <w:r w:rsidRPr="00A00081">
        <w:rPr>
          <w:sz w:val="20"/>
          <w:szCs w:val="20"/>
        </w:rPr>
        <w:t xml:space="preserve">ABS </w:t>
      </w:r>
      <w:sdt>
        <w:sdtPr>
          <w:rPr>
            <w:sz w:val="20"/>
            <w:szCs w:val="20"/>
          </w:rPr>
          <w:id w:val="1382906295"/>
          <w:citation/>
        </w:sdtPr>
        <w:sdtContent>
          <w:r>
            <w:rPr>
              <w:sz w:val="20"/>
              <w:szCs w:val="20"/>
            </w:rPr>
            <w:fldChar w:fldCharType="begin"/>
          </w:r>
          <w:r w:rsidR="001E7D0C">
            <w:rPr>
              <w:sz w:val="20"/>
              <w:szCs w:val="20"/>
            </w:rPr>
            <w:instrText xml:space="preserve">CITATION Aus229 \n  \t  \l 3081 </w:instrText>
          </w:r>
          <w:r>
            <w:rPr>
              <w:sz w:val="20"/>
              <w:szCs w:val="20"/>
            </w:rPr>
            <w:fldChar w:fldCharType="separate"/>
          </w:r>
          <w:r w:rsidR="00874F23" w:rsidRPr="00874F23">
            <w:rPr>
              <w:noProof/>
              <w:sz w:val="20"/>
              <w:szCs w:val="20"/>
            </w:rPr>
            <w:t>(2024)</w:t>
          </w:r>
          <w:r>
            <w:rPr>
              <w:sz w:val="20"/>
              <w:szCs w:val="20"/>
            </w:rPr>
            <w:fldChar w:fldCharType="end"/>
          </w:r>
        </w:sdtContent>
      </w:sdt>
      <w:r>
        <w:rPr>
          <w:sz w:val="20"/>
          <w:szCs w:val="20"/>
        </w:rPr>
        <w:t>.</w:t>
      </w:r>
      <w:r>
        <w:rPr>
          <w:sz w:val="20"/>
          <w:szCs w:val="20"/>
        </w:rPr>
        <w:br/>
        <w:t>* 2023-24 only includes the September and December quarters 2022, and the March quarter 2023.</w:t>
      </w:r>
    </w:p>
    <w:p w14:paraId="7D7CC7C8" w14:textId="47B8CE19" w:rsidR="00250366" w:rsidRPr="00250366" w:rsidRDefault="00250366" w:rsidP="002C6E1F">
      <w:pPr>
        <w:rPr>
          <w:i/>
          <w:iCs/>
          <w:color w:val="5B9BD5" w:themeColor="accent1"/>
        </w:rPr>
      </w:pPr>
      <w:r w:rsidRPr="00250366">
        <w:rPr>
          <w:i/>
          <w:iCs/>
          <w:color w:val="5B9BD5" w:themeColor="accent1"/>
        </w:rPr>
        <w:t>2.2.1.</w:t>
      </w:r>
      <w:r w:rsidRPr="00250366">
        <w:rPr>
          <w:i/>
          <w:iCs/>
          <w:color w:val="5B9BD5" w:themeColor="accent1"/>
        </w:rPr>
        <w:tab/>
        <w:t xml:space="preserve">Businesses in the ACT </w:t>
      </w:r>
    </w:p>
    <w:p w14:paraId="2153634E" w14:textId="0FB5C698" w:rsidR="00396D0E" w:rsidRDefault="00394017" w:rsidP="002C6E1F">
      <w:r w:rsidRPr="00583EFC">
        <w:t xml:space="preserve">Since coming out of the COVID-19 pandemic, </w:t>
      </w:r>
      <w:r w:rsidR="00A416AE" w:rsidRPr="00583EFC">
        <w:t xml:space="preserve">the ACT has enjoyed some of the strongest growth in new businesses in the country. </w:t>
      </w:r>
      <w:r w:rsidR="0004086A" w:rsidRPr="00583EFC">
        <w:t xml:space="preserve">In </w:t>
      </w:r>
      <w:r w:rsidR="00A3401D" w:rsidRPr="00583EFC">
        <w:t xml:space="preserve">2020-21 the number of new businesses operating in the ACT </w:t>
      </w:r>
      <w:r w:rsidR="00B7377B" w:rsidRPr="00583EFC">
        <w:t xml:space="preserve">grew by </w:t>
      </w:r>
      <w:r w:rsidR="009E6A21" w:rsidRPr="00583EFC">
        <w:t xml:space="preserve">1,732 </w:t>
      </w:r>
      <w:r w:rsidR="00B31C58" w:rsidRPr="00583EFC">
        <w:t xml:space="preserve">for a total of 31,499, </w:t>
      </w:r>
      <w:r w:rsidR="00C818C7" w:rsidRPr="00583EFC">
        <w:t>an increase of 5.8</w:t>
      </w:r>
      <w:r w:rsidR="006E48C1">
        <w:t xml:space="preserve"> percent</w:t>
      </w:r>
      <w:r w:rsidR="00EB199F" w:rsidRPr="00583EFC">
        <w:t xml:space="preserve"> which was</w:t>
      </w:r>
      <w:r w:rsidR="00C818C7" w:rsidRPr="00583EFC">
        <w:t xml:space="preserve"> </w:t>
      </w:r>
      <w:r w:rsidR="0004086A" w:rsidRPr="00583EFC">
        <w:t xml:space="preserve">the largest percentage growth in any state/territory. </w:t>
      </w:r>
      <w:r w:rsidR="00EB199F" w:rsidRPr="00583EFC">
        <w:t>In 2021-22 the number of new businesses operating in the ACT grew by</w:t>
      </w:r>
      <w:r w:rsidR="005A0928" w:rsidRPr="00583EFC">
        <w:t xml:space="preserve"> 2,</w:t>
      </w:r>
      <w:r w:rsidR="004D184D" w:rsidRPr="00583EFC">
        <w:t>276</w:t>
      </w:r>
      <w:r w:rsidR="005A0928" w:rsidRPr="00583EFC">
        <w:t> for a total of 33,</w:t>
      </w:r>
      <w:r w:rsidR="004D184D" w:rsidRPr="00583EFC">
        <w:t>775</w:t>
      </w:r>
      <w:r w:rsidR="005A0928" w:rsidRPr="00583EFC">
        <w:t>, an increase of 7.</w:t>
      </w:r>
      <w:r w:rsidR="004D184D" w:rsidRPr="00583EFC">
        <w:t>2</w:t>
      </w:r>
      <w:r w:rsidR="006E48C1">
        <w:t xml:space="preserve"> percent</w:t>
      </w:r>
      <w:r w:rsidR="006809A0" w:rsidRPr="00583EFC">
        <w:t xml:space="preserve"> which was the second largest percentage growth in any state/territory</w:t>
      </w:r>
      <w:r w:rsidR="004E66E9" w:rsidRPr="00583EFC">
        <w:t xml:space="preserve">. </w:t>
      </w:r>
      <w:r w:rsidR="004D184D" w:rsidRPr="00583EFC">
        <w:t xml:space="preserve">In 2022-23 the number of new businesses operating in the </w:t>
      </w:r>
      <w:r w:rsidR="0022079C" w:rsidRPr="00583EFC">
        <w:t>ACT grew by 1,311, the largest</w:t>
      </w:r>
      <w:r w:rsidR="00380E8A" w:rsidRPr="00583EFC">
        <w:t xml:space="preserve"> percentage growth in any state/territory</w:t>
      </w:r>
      <w:r w:rsidR="00DA62B3" w:rsidRPr="00583EFC">
        <w:t>. T</w:t>
      </w:r>
      <w:r w:rsidR="004E66E9" w:rsidRPr="00583EFC">
        <w:t xml:space="preserve">his is outlined in </w:t>
      </w:r>
      <w:r w:rsidR="00576DB5">
        <w:fldChar w:fldCharType="begin"/>
      </w:r>
      <w:r w:rsidR="00576DB5">
        <w:instrText xml:space="preserve"> REF _Ref170907243 \h </w:instrText>
      </w:r>
      <w:r w:rsidR="00576DB5">
        <w:fldChar w:fldCharType="separate"/>
      </w:r>
      <w:r w:rsidR="000B62ED">
        <w:t xml:space="preserve">Figure </w:t>
      </w:r>
      <w:r w:rsidR="000B62ED">
        <w:rPr>
          <w:noProof/>
        </w:rPr>
        <w:t>5</w:t>
      </w:r>
      <w:r w:rsidR="00576DB5">
        <w:fldChar w:fldCharType="end"/>
      </w:r>
      <w:r w:rsidR="004E66E9" w:rsidRPr="00583EFC">
        <w:t xml:space="preserve"> below.</w:t>
      </w:r>
    </w:p>
    <w:p w14:paraId="38A7CEB0" w14:textId="6A6BCB3C" w:rsidR="00A902AA" w:rsidRDefault="00A902AA" w:rsidP="008B2775">
      <w:pPr>
        <w:pStyle w:val="Caption"/>
        <w:keepNext/>
        <w:spacing w:before="0"/>
      </w:pPr>
      <w:bookmarkStart w:id="29" w:name="_Ref170907243"/>
      <w:bookmarkStart w:id="30" w:name="_Toc171949064"/>
      <w:r>
        <w:lastRenderedPageBreak/>
        <w:t xml:space="preserve">Figure </w:t>
      </w:r>
      <w:r>
        <w:fldChar w:fldCharType="begin"/>
      </w:r>
      <w:r>
        <w:instrText xml:space="preserve"> SEQ Figure \* ARABIC </w:instrText>
      </w:r>
      <w:r>
        <w:fldChar w:fldCharType="separate"/>
      </w:r>
      <w:r w:rsidR="000B62ED">
        <w:rPr>
          <w:noProof/>
        </w:rPr>
        <w:t>5</w:t>
      </w:r>
      <w:r>
        <w:rPr>
          <w:noProof/>
        </w:rPr>
        <w:fldChar w:fldCharType="end"/>
      </w:r>
      <w:bookmarkEnd w:id="29"/>
      <w:r>
        <w:t xml:space="preserve">: </w:t>
      </w:r>
      <w:r w:rsidR="00C04CFA">
        <w:t xml:space="preserve">Number of Businesses Operating in the ACT – </w:t>
      </w:r>
      <w:r w:rsidR="00795709">
        <w:t xml:space="preserve">June </w:t>
      </w:r>
      <w:r w:rsidR="00C04CFA">
        <w:t>2015</w:t>
      </w:r>
      <w:r w:rsidR="00795709">
        <w:t xml:space="preserve"> to June 202</w:t>
      </w:r>
      <w:r w:rsidR="0024632B">
        <w:t>3</w:t>
      </w:r>
      <w:bookmarkEnd w:id="30"/>
    </w:p>
    <w:p w14:paraId="7FB2FB2A" w14:textId="67658F57" w:rsidR="00A902AA" w:rsidRDefault="0086206A" w:rsidP="00070639">
      <w:pPr>
        <w:spacing w:before="0" w:after="0"/>
      </w:pPr>
      <w:r w:rsidRPr="0086206A">
        <w:rPr>
          <w:noProof/>
        </w:rPr>
        <w:t xml:space="preserve"> </w:t>
      </w:r>
      <w:r>
        <w:rPr>
          <w:noProof/>
        </w:rPr>
        <w:drawing>
          <wp:inline distT="0" distB="0" distL="0" distR="0" wp14:anchorId="59BA7419" wp14:editId="3709461A">
            <wp:extent cx="5731510" cy="3737610"/>
            <wp:effectExtent l="0" t="0" r="0" b="0"/>
            <wp:docPr id="249617600" name="Picture 1" descr="A graph of a ba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617600" name="Picture 1" descr="A graph of a bar chart&#10;&#10;Description automatically generated with medium confidence"/>
                    <pic:cNvPicPr/>
                  </pic:nvPicPr>
                  <pic:blipFill>
                    <a:blip r:embed="rId21"/>
                    <a:stretch>
                      <a:fillRect/>
                    </a:stretch>
                  </pic:blipFill>
                  <pic:spPr>
                    <a:xfrm>
                      <a:off x="0" y="0"/>
                      <a:ext cx="5731510" cy="3737610"/>
                    </a:xfrm>
                    <a:prstGeom prst="rect">
                      <a:avLst/>
                    </a:prstGeom>
                  </pic:spPr>
                </pic:pic>
              </a:graphicData>
            </a:graphic>
          </wp:inline>
        </w:drawing>
      </w:r>
    </w:p>
    <w:p w14:paraId="3FAAE762" w14:textId="071F91BE" w:rsidR="00A902AA" w:rsidRDefault="00795709" w:rsidP="00070639">
      <w:pPr>
        <w:spacing w:before="0"/>
      </w:pPr>
      <w:r w:rsidRPr="003567DA">
        <w:t xml:space="preserve">Source: ABS </w:t>
      </w:r>
      <w:sdt>
        <w:sdtPr>
          <w:id w:val="1809896815"/>
          <w:citation/>
        </w:sdtPr>
        <w:sdtContent>
          <w:r w:rsidR="004214F0" w:rsidRPr="003567DA">
            <w:fldChar w:fldCharType="begin"/>
          </w:r>
          <w:r w:rsidR="00BF7821">
            <w:instrText xml:space="preserve">CITATION Aus2220 \n  \t  \l 3081 </w:instrText>
          </w:r>
          <w:r w:rsidR="004214F0" w:rsidRPr="003567DA">
            <w:fldChar w:fldCharType="separate"/>
          </w:r>
          <w:r w:rsidR="00874F23">
            <w:rPr>
              <w:noProof/>
            </w:rPr>
            <w:t>(2023a)</w:t>
          </w:r>
          <w:r w:rsidR="004214F0" w:rsidRPr="003567DA">
            <w:fldChar w:fldCharType="end"/>
          </w:r>
        </w:sdtContent>
      </w:sdt>
      <w:r w:rsidR="00215DF5" w:rsidRPr="003567DA">
        <w:t>.</w:t>
      </w:r>
    </w:p>
    <w:p w14:paraId="4881AAD0" w14:textId="7555B925" w:rsidR="000701D6" w:rsidRDefault="00033EF4" w:rsidP="00033EF4">
      <w:bookmarkStart w:id="31" w:name="_Toc453495108"/>
      <w:bookmarkStart w:id="32" w:name="_Toc453516107"/>
      <w:r w:rsidRPr="00583EFC">
        <w:t xml:space="preserve">For all businesses </w:t>
      </w:r>
      <w:r w:rsidR="0064746D" w:rsidRPr="00583EFC">
        <w:t xml:space="preserve">that were </w:t>
      </w:r>
      <w:r w:rsidRPr="00583EFC">
        <w:t xml:space="preserve">operating </w:t>
      </w:r>
      <w:r w:rsidR="00197899" w:rsidRPr="00583EFC">
        <w:t xml:space="preserve">as </w:t>
      </w:r>
      <w:r w:rsidR="0064746D" w:rsidRPr="00583EFC">
        <w:t xml:space="preserve">at 30 June </w:t>
      </w:r>
      <w:r w:rsidRPr="00583EFC">
        <w:t>201</w:t>
      </w:r>
      <w:r w:rsidR="005B7374" w:rsidRPr="00583EFC">
        <w:t>9</w:t>
      </w:r>
      <w:r w:rsidRPr="00583EFC">
        <w:t xml:space="preserve">, the survival rate in the ACT is running slightly </w:t>
      </w:r>
      <w:r w:rsidR="005B7374" w:rsidRPr="00583EFC">
        <w:t>below</w:t>
      </w:r>
      <w:r w:rsidRPr="00583EFC">
        <w:t xml:space="preserve"> the national average. This is outlined in </w:t>
      </w:r>
      <w:r w:rsidR="00576DB5">
        <w:fldChar w:fldCharType="begin"/>
      </w:r>
      <w:r w:rsidR="00576DB5">
        <w:instrText xml:space="preserve"> REF _Ref170907262 \h </w:instrText>
      </w:r>
      <w:r w:rsidR="00576DB5">
        <w:fldChar w:fldCharType="separate"/>
      </w:r>
      <w:r w:rsidR="000B62ED" w:rsidRPr="0079222E">
        <w:t xml:space="preserve">Figure </w:t>
      </w:r>
      <w:r w:rsidR="000B62ED">
        <w:rPr>
          <w:noProof/>
        </w:rPr>
        <w:t>6</w:t>
      </w:r>
      <w:r w:rsidR="00576DB5">
        <w:fldChar w:fldCharType="end"/>
      </w:r>
      <w:r w:rsidRPr="00583EFC">
        <w:t xml:space="preserve"> below.</w:t>
      </w:r>
    </w:p>
    <w:p w14:paraId="72AF2242" w14:textId="4EEDFCF1" w:rsidR="00033EF4" w:rsidRDefault="00070639" w:rsidP="00070639">
      <w:pPr>
        <w:pStyle w:val="Caption"/>
      </w:pPr>
      <w:bookmarkStart w:id="33" w:name="_Ref170907262"/>
      <w:bookmarkStart w:id="34" w:name="_Toc171949065"/>
      <w:r w:rsidRPr="0079222E">
        <w:t xml:space="preserve">Figure </w:t>
      </w:r>
      <w:r w:rsidRPr="0079222E">
        <w:fldChar w:fldCharType="begin"/>
      </w:r>
      <w:r w:rsidRPr="0079222E">
        <w:instrText xml:space="preserve"> SEQ Figure \* ARABIC </w:instrText>
      </w:r>
      <w:r w:rsidRPr="0079222E">
        <w:fldChar w:fldCharType="separate"/>
      </w:r>
      <w:r w:rsidR="000B62ED">
        <w:rPr>
          <w:noProof/>
        </w:rPr>
        <w:t>6</w:t>
      </w:r>
      <w:r w:rsidRPr="0079222E">
        <w:rPr>
          <w:noProof/>
        </w:rPr>
        <w:fldChar w:fldCharType="end"/>
      </w:r>
      <w:bookmarkEnd w:id="33"/>
      <w:r w:rsidRPr="0079222E">
        <w:t xml:space="preserve">: </w:t>
      </w:r>
      <w:r w:rsidR="00D60B05" w:rsidRPr="0079222E">
        <w:t xml:space="preserve">Business Survival Rate for </w:t>
      </w:r>
      <w:r w:rsidR="00132A49" w:rsidRPr="0079222E">
        <w:t xml:space="preserve">All </w:t>
      </w:r>
      <w:r w:rsidR="00D60B05" w:rsidRPr="0079222E">
        <w:t xml:space="preserve">Businesses Operating </w:t>
      </w:r>
      <w:r w:rsidR="0064746D" w:rsidRPr="0079222E">
        <w:t>at 30 June</w:t>
      </w:r>
      <w:r w:rsidR="00D60B05" w:rsidRPr="0079222E">
        <w:t xml:space="preserve"> </w:t>
      </w:r>
      <w:r w:rsidR="00132A49" w:rsidRPr="0079222E">
        <w:t>201</w:t>
      </w:r>
      <w:r w:rsidR="005B7374" w:rsidRPr="0079222E">
        <w:t>9</w:t>
      </w:r>
      <w:bookmarkEnd w:id="34"/>
    </w:p>
    <w:p w14:paraId="5F6BD989" w14:textId="4EA8D608" w:rsidR="00033EF4" w:rsidRDefault="00E33052" w:rsidP="003D21A5">
      <w:pPr>
        <w:spacing w:before="0" w:after="0"/>
      </w:pPr>
      <w:r w:rsidRPr="00E33052">
        <w:rPr>
          <w:noProof/>
        </w:rPr>
        <w:t xml:space="preserve"> </w:t>
      </w:r>
      <w:r>
        <w:rPr>
          <w:noProof/>
        </w:rPr>
        <w:drawing>
          <wp:inline distT="0" distB="0" distL="0" distR="0" wp14:anchorId="3D8FADF8" wp14:editId="198A3DAA">
            <wp:extent cx="5730850" cy="3521765"/>
            <wp:effectExtent l="0" t="0" r="3810" b="2540"/>
            <wp:docPr id="11935955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95599" name=""/>
                    <pic:cNvPicPr/>
                  </pic:nvPicPr>
                  <pic:blipFill>
                    <a:blip r:embed="rId22"/>
                    <a:stretch>
                      <a:fillRect/>
                    </a:stretch>
                  </pic:blipFill>
                  <pic:spPr>
                    <a:xfrm>
                      <a:off x="0" y="0"/>
                      <a:ext cx="5739834" cy="3527286"/>
                    </a:xfrm>
                    <a:prstGeom prst="rect">
                      <a:avLst/>
                    </a:prstGeom>
                  </pic:spPr>
                </pic:pic>
              </a:graphicData>
            </a:graphic>
          </wp:inline>
        </w:drawing>
      </w:r>
    </w:p>
    <w:p w14:paraId="51AD335D" w14:textId="1830C72E" w:rsidR="00132A49" w:rsidRDefault="00132A49" w:rsidP="00132A49">
      <w:pPr>
        <w:spacing w:before="0"/>
      </w:pPr>
      <w:r w:rsidRPr="003567DA">
        <w:t xml:space="preserve">Source: ABS </w:t>
      </w:r>
      <w:sdt>
        <w:sdtPr>
          <w:id w:val="-1723677008"/>
          <w:citation/>
        </w:sdtPr>
        <w:sdtContent>
          <w:r w:rsidRPr="003567DA">
            <w:fldChar w:fldCharType="begin"/>
          </w:r>
          <w:r w:rsidR="00BF7821">
            <w:instrText xml:space="preserve">CITATION Aus2220 \n  \t  \l 3081 </w:instrText>
          </w:r>
          <w:r w:rsidRPr="003567DA">
            <w:fldChar w:fldCharType="separate"/>
          </w:r>
          <w:r w:rsidR="00874F23">
            <w:rPr>
              <w:noProof/>
            </w:rPr>
            <w:t>(2023a)</w:t>
          </w:r>
          <w:r w:rsidRPr="003567DA">
            <w:fldChar w:fldCharType="end"/>
          </w:r>
        </w:sdtContent>
      </w:sdt>
      <w:r w:rsidRPr="003567DA">
        <w:t>.</w:t>
      </w:r>
    </w:p>
    <w:p w14:paraId="4A6EB35A" w14:textId="57DF9A09" w:rsidR="002C13E7" w:rsidRDefault="0079222E" w:rsidP="00656F25">
      <w:r>
        <w:lastRenderedPageBreak/>
        <w:t>Similarly, t</w:t>
      </w:r>
      <w:r w:rsidR="00656F25">
        <w:t>he survival rate for new business start-ups in 2019</w:t>
      </w:r>
      <w:r w:rsidR="0031696B">
        <w:t>-20</w:t>
      </w:r>
      <w:r w:rsidR="00656F25">
        <w:t xml:space="preserve"> in the ACT is</w:t>
      </w:r>
      <w:r w:rsidR="006C7189">
        <w:t xml:space="preserve"> also</w:t>
      </w:r>
      <w:r w:rsidR="00656F25">
        <w:t xml:space="preserve"> running slightly </w:t>
      </w:r>
      <w:r w:rsidR="00CB4145">
        <w:t>below</w:t>
      </w:r>
      <w:r w:rsidR="00656F25">
        <w:t xml:space="preserve"> than the national average. This is outlined in </w:t>
      </w:r>
      <w:r w:rsidR="00576DB5">
        <w:fldChar w:fldCharType="begin"/>
      </w:r>
      <w:r w:rsidR="00576DB5">
        <w:instrText xml:space="preserve"> REF _Ref170907277 \h </w:instrText>
      </w:r>
      <w:r w:rsidR="00576DB5">
        <w:fldChar w:fldCharType="separate"/>
      </w:r>
      <w:r w:rsidR="000B62ED">
        <w:t xml:space="preserve">Figure </w:t>
      </w:r>
      <w:r w:rsidR="000B62ED">
        <w:rPr>
          <w:noProof/>
        </w:rPr>
        <w:t>7</w:t>
      </w:r>
      <w:r w:rsidR="00576DB5">
        <w:fldChar w:fldCharType="end"/>
      </w:r>
      <w:r w:rsidR="00656F25">
        <w:t xml:space="preserve"> below.</w:t>
      </w:r>
    </w:p>
    <w:p w14:paraId="54CCFC0B" w14:textId="4F3B865F" w:rsidR="00E53629" w:rsidRDefault="006C7189" w:rsidP="002A5201">
      <w:pPr>
        <w:pStyle w:val="Caption"/>
        <w:spacing w:before="0"/>
        <w:rPr>
          <w:highlight w:val="yellow"/>
        </w:rPr>
      </w:pPr>
      <w:bookmarkStart w:id="35" w:name="_Ref170907277"/>
      <w:bookmarkStart w:id="36" w:name="_Toc171949066"/>
      <w:r>
        <w:t xml:space="preserve">Figure </w:t>
      </w:r>
      <w:r>
        <w:fldChar w:fldCharType="begin"/>
      </w:r>
      <w:r>
        <w:instrText xml:space="preserve"> SEQ Figure \* ARABIC </w:instrText>
      </w:r>
      <w:r>
        <w:fldChar w:fldCharType="separate"/>
      </w:r>
      <w:r w:rsidR="000B62ED">
        <w:rPr>
          <w:noProof/>
        </w:rPr>
        <w:t>7</w:t>
      </w:r>
      <w:r>
        <w:fldChar w:fldCharType="end"/>
      </w:r>
      <w:bookmarkEnd w:id="35"/>
      <w:r w:rsidR="005375DB">
        <w:t>: Business Survival Rate for New Business Start-Ups in 20</w:t>
      </w:r>
      <w:r w:rsidR="0031696B">
        <w:t>20</w:t>
      </w:r>
      <w:bookmarkEnd w:id="36"/>
    </w:p>
    <w:p w14:paraId="055A21A4" w14:textId="38300018" w:rsidR="00E53629" w:rsidRDefault="00AA7374" w:rsidP="00CB4145">
      <w:pPr>
        <w:spacing w:before="0" w:after="0"/>
        <w:rPr>
          <w:highlight w:val="yellow"/>
        </w:rPr>
      </w:pPr>
      <w:r w:rsidRPr="00AA7374">
        <w:rPr>
          <w:noProof/>
        </w:rPr>
        <w:t xml:space="preserve"> </w:t>
      </w:r>
      <w:r>
        <w:rPr>
          <w:noProof/>
        </w:rPr>
        <w:drawing>
          <wp:inline distT="0" distB="0" distL="0" distR="0" wp14:anchorId="2F6564D1" wp14:editId="553C28C0">
            <wp:extent cx="5731510" cy="3737610"/>
            <wp:effectExtent l="0" t="0" r="0" b="0"/>
            <wp:docPr id="915208870" name="Picture 1" descr="A graph of a person with a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208870" name="Picture 1" descr="A graph of a person with a blue line&#10;&#10;Description automatically generated"/>
                    <pic:cNvPicPr/>
                  </pic:nvPicPr>
                  <pic:blipFill>
                    <a:blip r:embed="rId23"/>
                    <a:stretch>
                      <a:fillRect/>
                    </a:stretch>
                  </pic:blipFill>
                  <pic:spPr>
                    <a:xfrm>
                      <a:off x="0" y="0"/>
                      <a:ext cx="5731510" cy="3737610"/>
                    </a:xfrm>
                    <a:prstGeom prst="rect">
                      <a:avLst/>
                    </a:prstGeom>
                  </pic:spPr>
                </pic:pic>
              </a:graphicData>
            </a:graphic>
          </wp:inline>
        </w:drawing>
      </w:r>
    </w:p>
    <w:p w14:paraId="7585D126" w14:textId="034298F7" w:rsidR="002A5201" w:rsidRDefault="002A5201" w:rsidP="002A5201">
      <w:pPr>
        <w:spacing w:before="0"/>
      </w:pPr>
      <w:r w:rsidRPr="003567DA">
        <w:t xml:space="preserve">Source: ABS </w:t>
      </w:r>
      <w:sdt>
        <w:sdtPr>
          <w:id w:val="549883392"/>
          <w:citation/>
        </w:sdtPr>
        <w:sdtContent>
          <w:r w:rsidRPr="003567DA">
            <w:fldChar w:fldCharType="begin"/>
          </w:r>
          <w:r w:rsidR="00BF7821">
            <w:instrText xml:space="preserve">CITATION Aus2220 \n  \t  \l 3081 </w:instrText>
          </w:r>
          <w:r w:rsidRPr="003567DA">
            <w:fldChar w:fldCharType="separate"/>
          </w:r>
          <w:r w:rsidR="00874F23">
            <w:rPr>
              <w:noProof/>
            </w:rPr>
            <w:t>(2023a)</w:t>
          </w:r>
          <w:r w:rsidRPr="003567DA">
            <w:fldChar w:fldCharType="end"/>
          </w:r>
        </w:sdtContent>
      </w:sdt>
      <w:r w:rsidRPr="003567DA">
        <w:t>.</w:t>
      </w:r>
    </w:p>
    <w:p w14:paraId="28B0BCF0" w14:textId="56EE0C49" w:rsidR="00033EF4" w:rsidRPr="00583EFC" w:rsidRDefault="0009230D" w:rsidP="003D21A5">
      <w:r w:rsidRPr="00583EFC">
        <w:t xml:space="preserve">The available evidence suggests that conditions conducive for business survival in the ACT are similar to those </w:t>
      </w:r>
      <w:r w:rsidR="00096C5B" w:rsidRPr="00583EFC">
        <w:t xml:space="preserve">prevailing </w:t>
      </w:r>
      <w:r w:rsidR="00E976B9" w:rsidRPr="00583EFC">
        <w:t>across the</w:t>
      </w:r>
      <w:r w:rsidRPr="00583EFC">
        <w:t xml:space="preserve"> rest of the country.</w:t>
      </w:r>
    </w:p>
    <w:p w14:paraId="214AEEE9" w14:textId="6C1FAB5D" w:rsidR="00E94C73" w:rsidRPr="00583EFC" w:rsidRDefault="004733C7" w:rsidP="00326DE1">
      <w:pPr>
        <w:pStyle w:val="Heading2"/>
        <w:spacing w:after="240"/>
      </w:pPr>
      <w:bookmarkStart w:id="37" w:name="_Toc171948992"/>
      <w:r w:rsidRPr="00583EFC">
        <w:t>2</w:t>
      </w:r>
      <w:r w:rsidR="00F866EF" w:rsidRPr="00583EFC">
        <w:t>.</w:t>
      </w:r>
      <w:r w:rsidR="00F4156B" w:rsidRPr="00583EFC">
        <w:t>3</w:t>
      </w:r>
      <w:r w:rsidR="00F866EF" w:rsidRPr="00583EFC">
        <w:tab/>
        <w:t>Employment</w:t>
      </w:r>
      <w:bookmarkEnd w:id="31"/>
      <w:bookmarkEnd w:id="32"/>
      <w:bookmarkEnd w:id="37"/>
    </w:p>
    <w:p w14:paraId="0FCA352E" w14:textId="07B4FB2B" w:rsidR="005D3FE9" w:rsidRPr="00583EFC" w:rsidRDefault="00246C35" w:rsidP="00F866EF">
      <w:r w:rsidRPr="00583EFC">
        <w:t>E</w:t>
      </w:r>
      <w:r w:rsidR="00F866EF" w:rsidRPr="00583EFC">
        <w:t xml:space="preserve">mployment growth </w:t>
      </w:r>
      <w:r w:rsidRPr="00583EFC">
        <w:t xml:space="preserve">through the year </w:t>
      </w:r>
      <w:r w:rsidR="003132EF" w:rsidRPr="00583EFC">
        <w:t>to</w:t>
      </w:r>
      <w:r w:rsidR="00F42670" w:rsidRPr="00583EFC">
        <w:t xml:space="preserve"> </w:t>
      </w:r>
      <w:r w:rsidR="00F866EF" w:rsidRPr="00583EFC">
        <w:t xml:space="preserve">the </w:t>
      </w:r>
      <w:r w:rsidRPr="00583EFC">
        <w:t>end o</w:t>
      </w:r>
      <w:r w:rsidR="00F42670" w:rsidRPr="00583EFC">
        <w:t xml:space="preserve">f </w:t>
      </w:r>
      <w:r w:rsidR="003132EF" w:rsidRPr="00583EFC">
        <w:t>May</w:t>
      </w:r>
      <w:r w:rsidR="00F42670" w:rsidRPr="00583EFC">
        <w:t xml:space="preserve"> </w:t>
      </w:r>
      <w:r w:rsidR="009526B9" w:rsidRPr="00583EFC">
        <w:t>20</w:t>
      </w:r>
      <w:r w:rsidR="009D34FD" w:rsidRPr="00583EFC">
        <w:t>2</w:t>
      </w:r>
      <w:r w:rsidR="003132EF" w:rsidRPr="00583EFC">
        <w:t>3</w:t>
      </w:r>
      <w:r w:rsidR="00F866EF" w:rsidRPr="00583EFC">
        <w:t xml:space="preserve"> for the ACT was </w:t>
      </w:r>
      <w:r w:rsidR="009526B9" w:rsidRPr="00583EFC">
        <w:t>running at</w:t>
      </w:r>
      <w:r w:rsidR="004060A4" w:rsidRPr="00583EFC">
        <w:t xml:space="preserve"> </w:t>
      </w:r>
      <w:r w:rsidR="00BB2912" w:rsidRPr="00583EFC">
        <w:t>1.</w:t>
      </w:r>
      <w:r w:rsidR="003132EF" w:rsidRPr="00583EFC">
        <w:t>9</w:t>
      </w:r>
      <w:r w:rsidR="00D92470">
        <w:t> </w:t>
      </w:r>
      <w:r w:rsidR="006E48C1">
        <w:t>percent</w:t>
      </w:r>
      <w:r w:rsidR="00F42670" w:rsidRPr="00583EFC">
        <w:t xml:space="preserve"> in</w:t>
      </w:r>
      <w:r w:rsidR="009D34FD" w:rsidRPr="00583EFC">
        <w:t xml:space="preserve"> </w:t>
      </w:r>
      <w:r w:rsidR="003132EF" w:rsidRPr="00583EFC">
        <w:t xml:space="preserve">trend </w:t>
      </w:r>
      <w:r w:rsidR="009F62FF" w:rsidRPr="00583EFC">
        <w:t>terms</w:t>
      </w:r>
      <w:r w:rsidR="00A16BD0" w:rsidRPr="00583EFC">
        <w:t xml:space="preserve"> </w:t>
      </w:r>
      <w:sdt>
        <w:sdtPr>
          <w:id w:val="1109397622"/>
          <w:citation/>
        </w:sdtPr>
        <w:sdtContent>
          <w:r w:rsidR="00A16BD0" w:rsidRPr="00583EFC">
            <w:fldChar w:fldCharType="begin"/>
          </w:r>
          <w:r w:rsidR="001E7D0C" w:rsidRPr="00583EFC">
            <w:instrText xml:space="preserve">CITATION Aus2c \l 3081 </w:instrText>
          </w:r>
          <w:r w:rsidR="00A16BD0" w:rsidRPr="00583EFC">
            <w:fldChar w:fldCharType="separate"/>
          </w:r>
          <w:r w:rsidR="00874F23" w:rsidRPr="00583EFC">
            <w:rPr>
              <w:noProof/>
            </w:rPr>
            <w:t>(Australian Bureau of Statistics, 2024c)</w:t>
          </w:r>
          <w:r w:rsidR="00A16BD0" w:rsidRPr="00583EFC">
            <w:fldChar w:fldCharType="end"/>
          </w:r>
        </w:sdtContent>
      </w:sdt>
      <w:r w:rsidR="00F866EF" w:rsidRPr="00583EFC">
        <w:t xml:space="preserve">. </w:t>
      </w:r>
      <w:r w:rsidR="005D3FE9" w:rsidRPr="00583EFC">
        <w:t>In the year to the end of May 202</w:t>
      </w:r>
      <w:r w:rsidR="004D0B42" w:rsidRPr="00583EFC">
        <w:t>4</w:t>
      </w:r>
      <w:r w:rsidR="005D3FE9" w:rsidRPr="00583EFC">
        <w:t xml:space="preserve">, an additional </w:t>
      </w:r>
      <w:r w:rsidR="000F53A8" w:rsidRPr="00583EFC">
        <w:t>5,000</w:t>
      </w:r>
      <w:r w:rsidR="005D3FE9" w:rsidRPr="00583EFC">
        <w:t xml:space="preserve"> jobs ha</w:t>
      </w:r>
      <w:r w:rsidR="00FA428E" w:rsidRPr="00583EFC">
        <w:t>d</w:t>
      </w:r>
      <w:r w:rsidR="005D3FE9" w:rsidRPr="00583EFC">
        <w:t xml:space="preserve"> been added.</w:t>
      </w:r>
      <w:r w:rsidR="004F257F" w:rsidRPr="00583EFC">
        <w:t xml:space="preserve"> This is running slightly above the 2024-25 ACT Budget estimate for employment growth of 1¾</w:t>
      </w:r>
      <w:r w:rsidR="006E48C1">
        <w:t xml:space="preserve"> percent</w:t>
      </w:r>
      <w:r w:rsidR="004F257F" w:rsidRPr="00583EFC">
        <w:t xml:space="preserve"> in 2023-24</w:t>
      </w:r>
      <w:r w:rsidR="0023642E" w:rsidRPr="00583EFC">
        <w:t xml:space="preserve"> </w:t>
      </w:r>
      <w:sdt>
        <w:sdtPr>
          <w:id w:val="-785962038"/>
          <w:citation/>
        </w:sdtPr>
        <w:sdtContent>
          <w:r w:rsidR="0023642E" w:rsidRPr="00583EFC">
            <w:fldChar w:fldCharType="begin"/>
          </w:r>
          <w:r w:rsidR="0023642E" w:rsidRPr="00583EFC">
            <w:instrText xml:space="preserve"> CITATION ACT24 \l 3081 </w:instrText>
          </w:r>
          <w:r w:rsidR="0023642E" w:rsidRPr="00583EFC">
            <w:fldChar w:fldCharType="separate"/>
          </w:r>
          <w:r w:rsidR="00874F23" w:rsidRPr="00583EFC">
            <w:rPr>
              <w:noProof/>
            </w:rPr>
            <w:t>(ACT Government, 2024)</w:t>
          </w:r>
          <w:r w:rsidR="0023642E" w:rsidRPr="00583EFC">
            <w:fldChar w:fldCharType="end"/>
          </w:r>
        </w:sdtContent>
      </w:sdt>
      <w:r w:rsidR="004F257F" w:rsidRPr="00583EFC">
        <w:t>, although not incompatible with it.</w:t>
      </w:r>
    </w:p>
    <w:p w14:paraId="4C95AD7F" w14:textId="5570113A" w:rsidR="003241B8" w:rsidRPr="00583EFC" w:rsidRDefault="005655A9" w:rsidP="00F866EF">
      <w:r w:rsidRPr="00583EFC">
        <w:t>In the 20</w:t>
      </w:r>
      <w:r w:rsidR="009D34FD" w:rsidRPr="00583EFC">
        <w:t>2</w:t>
      </w:r>
      <w:r w:rsidR="006C3A65" w:rsidRPr="00583EFC">
        <w:t>4</w:t>
      </w:r>
      <w:r w:rsidRPr="00583EFC">
        <w:t>-2</w:t>
      </w:r>
      <w:r w:rsidR="006C3A65" w:rsidRPr="00583EFC">
        <w:t>5</w:t>
      </w:r>
      <w:r w:rsidR="00FB1DFD" w:rsidRPr="00583EFC">
        <w:t xml:space="preserve"> </w:t>
      </w:r>
      <w:r w:rsidRPr="00583EFC">
        <w:t>ACT Budget</w:t>
      </w:r>
      <w:r w:rsidR="000228A8" w:rsidRPr="00583EFC">
        <w:t>,</w:t>
      </w:r>
      <w:r w:rsidRPr="00583EFC">
        <w:t xml:space="preserve"> the ACT Government is </w:t>
      </w:r>
      <w:r w:rsidR="00437365" w:rsidRPr="00583EFC">
        <w:t xml:space="preserve">forecasting a slight rise </w:t>
      </w:r>
      <w:r w:rsidR="004F257F" w:rsidRPr="00583EFC">
        <w:t xml:space="preserve">in employment </w:t>
      </w:r>
      <w:r w:rsidR="00437365" w:rsidRPr="00583EFC">
        <w:t xml:space="preserve">to </w:t>
      </w:r>
      <w:r w:rsidR="00287494" w:rsidRPr="00583EFC">
        <w:t>2</w:t>
      </w:r>
      <w:r w:rsidR="00D92470">
        <w:t> </w:t>
      </w:r>
      <w:r w:rsidR="006E48C1">
        <w:t>percent</w:t>
      </w:r>
      <w:r w:rsidRPr="00583EFC">
        <w:t xml:space="preserve"> in 20</w:t>
      </w:r>
      <w:r w:rsidR="009D34FD" w:rsidRPr="00583EFC">
        <w:t>2</w:t>
      </w:r>
      <w:r w:rsidR="00437365" w:rsidRPr="00583EFC">
        <w:t>4</w:t>
      </w:r>
      <w:r w:rsidRPr="00583EFC">
        <w:t>-2</w:t>
      </w:r>
      <w:r w:rsidR="00437365" w:rsidRPr="00583EFC">
        <w:t>5 and a slight moderation in 2025-26 to 1¾</w:t>
      </w:r>
      <w:r w:rsidR="006E48C1">
        <w:t xml:space="preserve"> percent</w:t>
      </w:r>
      <w:r w:rsidR="00AD0821" w:rsidRPr="00583EFC">
        <w:t xml:space="preserve">, </w:t>
      </w:r>
      <w:r w:rsidR="00FB1DFD" w:rsidRPr="00583EFC">
        <w:t xml:space="preserve">with projections </w:t>
      </w:r>
      <w:r w:rsidR="00A16BD0" w:rsidRPr="00583EFC">
        <w:t>for growth</w:t>
      </w:r>
      <w:r w:rsidR="00287494" w:rsidRPr="00583EFC">
        <w:t xml:space="preserve"> </w:t>
      </w:r>
      <w:r w:rsidR="006A0C58" w:rsidRPr="00583EFC">
        <w:t xml:space="preserve">of </w:t>
      </w:r>
      <w:r w:rsidR="00AD0821" w:rsidRPr="00583EFC">
        <w:t>1¾</w:t>
      </w:r>
      <w:r w:rsidR="006E48C1">
        <w:t xml:space="preserve"> percent</w:t>
      </w:r>
      <w:r w:rsidR="00AD0821" w:rsidRPr="00583EFC">
        <w:t xml:space="preserve"> </w:t>
      </w:r>
      <w:r w:rsidR="00FB1DFD" w:rsidRPr="00583EFC">
        <w:t>in the out-years.</w:t>
      </w:r>
      <w:r w:rsidR="00DC5339" w:rsidRPr="00583EFC">
        <w:t xml:space="preserve"> </w:t>
      </w:r>
      <w:r w:rsidR="008B52FE" w:rsidRPr="00583EFC">
        <w:t>Given employment by the</w:t>
      </w:r>
      <w:r w:rsidR="003241B8" w:rsidRPr="00583EFC">
        <w:rPr>
          <w:lang w:val="en-NZ" w:eastAsia="en-NZ"/>
        </w:rPr>
        <w:t xml:space="preserve"> Commonwealth Government</w:t>
      </w:r>
      <w:r w:rsidR="009015BE" w:rsidRPr="00583EFC">
        <w:rPr>
          <w:lang w:val="en-NZ" w:eastAsia="en-NZ"/>
        </w:rPr>
        <w:t xml:space="preserve"> </w:t>
      </w:r>
      <w:sdt>
        <w:sdtPr>
          <w:id w:val="-375013088"/>
          <w:citation/>
        </w:sdtPr>
        <w:sdtContent>
          <w:r w:rsidR="009015BE" w:rsidRPr="00583EFC">
            <w:fldChar w:fldCharType="begin"/>
          </w:r>
          <w:r w:rsidR="00B87677" w:rsidRPr="00583EFC">
            <w:instrText xml:space="preserve">CITATION ComA23 \p 181 \n  \t  \l 3081 </w:instrText>
          </w:r>
          <w:r w:rsidR="009015BE" w:rsidRPr="00583EFC">
            <w:fldChar w:fldCharType="separate"/>
          </w:r>
          <w:r w:rsidR="00874F23" w:rsidRPr="00583EFC">
            <w:rPr>
              <w:noProof/>
            </w:rPr>
            <w:t>(2024, p. 181)</w:t>
          </w:r>
          <w:r w:rsidR="009015BE" w:rsidRPr="00583EFC">
            <w:fldChar w:fldCharType="end"/>
          </w:r>
        </w:sdtContent>
      </w:sdt>
      <w:r w:rsidR="003241B8" w:rsidRPr="00583EFC">
        <w:rPr>
          <w:lang w:val="en-NZ" w:eastAsia="en-NZ"/>
        </w:rPr>
        <w:t xml:space="preserve"> </w:t>
      </w:r>
      <w:r w:rsidR="008B52FE" w:rsidRPr="00583EFC">
        <w:rPr>
          <w:lang w:val="en-NZ" w:eastAsia="en-NZ"/>
        </w:rPr>
        <w:t xml:space="preserve">is </w:t>
      </w:r>
      <w:r w:rsidR="003241B8" w:rsidRPr="00583EFC">
        <w:rPr>
          <w:lang w:val="en-NZ" w:eastAsia="en-NZ"/>
        </w:rPr>
        <w:t>expected</w:t>
      </w:r>
      <w:r w:rsidR="008B52FE" w:rsidRPr="00583EFC">
        <w:rPr>
          <w:lang w:val="en-NZ" w:eastAsia="en-NZ"/>
        </w:rPr>
        <w:t xml:space="preserve"> to increase</w:t>
      </w:r>
      <w:r w:rsidR="003241B8" w:rsidRPr="00583EFC">
        <w:rPr>
          <w:lang w:val="en-NZ" w:eastAsia="en-NZ"/>
        </w:rPr>
        <w:t xml:space="preserve"> in 202</w:t>
      </w:r>
      <w:r w:rsidR="004219F7">
        <w:rPr>
          <w:lang w:val="en-NZ" w:eastAsia="en-NZ"/>
        </w:rPr>
        <w:t>4</w:t>
      </w:r>
      <w:r w:rsidR="003241B8" w:rsidRPr="00583EFC">
        <w:rPr>
          <w:lang w:val="en-NZ" w:eastAsia="en-NZ"/>
        </w:rPr>
        <w:t>-2</w:t>
      </w:r>
      <w:r w:rsidR="004219F7">
        <w:rPr>
          <w:lang w:val="en-NZ" w:eastAsia="en-NZ"/>
        </w:rPr>
        <w:t>5</w:t>
      </w:r>
      <w:r w:rsidR="009015BE" w:rsidRPr="00583EFC">
        <w:rPr>
          <w:lang w:val="en-NZ" w:eastAsia="en-NZ"/>
        </w:rPr>
        <w:t xml:space="preserve"> </w:t>
      </w:r>
      <w:r w:rsidR="008B52FE" w:rsidRPr="00583EFC">
        <w:rPr>
          <w:lang w:val="en-NZ" w:eastAsia="en-NZ"/>
        </w:rPr>
        <w:t xml:space="preserve">by </w:t>
      </w:r>
      <w:r w:rsidR="00C42EC1" w:rsidRPr="00583EFC">
        <w:rPr>
          <w:lang w:val="en-NZ" w:eastAsia="en-NZ"/>
        </w:rPr>
        <w:t>in excess of 1</w:t>
      </w:r>
      <w:r w:rsidR="00D60B5C" w:rsidRPr="00583EFC">
        <w:rPr>
          <w:lang w:val="en-NZ" w:eastAsia="en-NZ"/>
        </w:rPr>
        <w:t>7</w:t>
      </w:r>
      <w:r w:rsidR="00C42EC1" w:rsidRPr="00583EFC">
        <w:rPr>
          <w:lang w:val="en-NZ" w:eastAsia="en-NZ"/>
        </w:rPr>
        <w:t xml:space="preserve">,000, and </w:t>
      </w:r>
      <w:r w:rsidR="005A1976" w:rsidRPr="00583EFC">
        <w:rPr>
          <w:lang w:val="en-NZ" w:eastAsia="en-NZ"/>
        </w:rPr>
        <w:t>38.</w:t>
      </w:r>
      <w:r w:rsidR="00E71304" w:rsidRPr="00583EFC">
        <w:rPr>
          <w:lang w:val="en-NZ" w:eastAsia="en-NZ"/>
        </w:rPr>
        <w:t>1</w:t>
      </w:r>
      <w:r w:rsidR="006E48C1">
        <w:rPr>
          <w:lang w:val="en-NZ" w:eastAsia="en-NZ"/>
        </w:rPr>
        <w:t xml:space="preserve"> percent</w:t>
      </w:r>
      <w:r w:rsidR="005A1976" w:rsidRPr="00583EFC">
        <w:rPr>
          <w:lang w:val="en-NZ" w:eastAsia="en-NZ"/>
        </w:rPr>
        <w:t xml:space="preserve"> of all Commonwealth Government employees are lo</w:t>
      </w:r>
      <w:r w:rsidR="00B74EA9" w:rsidRPr="00583EFC">
        <w:rPr>
          <w:lang w:val="en-NZ" w:eastAsia="en-NZ"/>
        </w:rPr>
        <w:t xml:space="preserve">cated in the ACT </w:t>
      </w:r>
      <w:sdt>
        <w:sdtPr>
          <w:rPr>
            <w:lang w:val="en-NZ" w:eastAsia="en-NZ"/>
          </w:rPr>
          <w:id w:val="-1686897276"/>
          <w:citation/>
        </w:sdtPr>
        <w:sdtContent>
          <w:r w:rsidR="002D05D1" w:rsidRPr="00583EFC">
            <w:rPr>
              <w:lang w:val="en-NZ" w:eastAsia="en-NZ"/>
            </w:rPr>
            <w:fldChar w:fldCharType="begin"/>
          </w:r>
          <w:r w:rsidR="00E71304" w:rsidRPr="00583EFC">
            <w:rPr>
              <w:lang w:eastAsia="en-NZ"/>
            </w:rPr>
            <w:instrText xml:space="preserve">CITATION Aus2221 \p 32 \t  \l 3081 </w:instrText>
          </w:r>
          <w:r w:rsidR="002D05D1" w:rsidRPr="00583EFC">
            <w:rPr>
              <w:lang w:val="en-NZ" w:eastAsia="en-NZ"/>
            </w:rPr>
            <w:fldChar w:fldCharType="separate"/>
          </w:r>
          <w:r w:rsidR="00874F23" w:rsidRPr="00583EFC">
            <w:rPr>
              <w:noProof/>
              <w:lang w:val="en-NZ" w:eastAsia="en-NZ"/>
            </w:rPr>
            <w:t>(Australian Public Service Commission, 2023, p. 32)</w:t>
          </w:r>
          <w:r w:rsidR="002D05D1" w:rsidRPr="00583EFC">
            <w:rPr>
              <w:lang w:val="en-NZ" w:eastAsia="en-NZ"/>
            </w:rPr>
            <w:fldChar w:fldCharType="end"/>
          </w:r>
        </w:sdtContent>
      </w:sdt>
      <w:r w:rsidR="00B74EA9" w:rsidRPr="00583EFC">
        <w:rPr>
          <w:lang w:val="en-NZ" w:eastAsia="en-NZ"/>
        </w:rPr>
        <w:t xml:space="preserve">, </w:t>
      </w:r>
      <w:r w:rsidR="004F257F" w:rsidRPr="00583EFC">
        <w:rPr>
          <w:lang w:val="en-NZ" w:eastAsia="en-NZ"/>
        </w:rPr>
        <w:t xml:space="preserve">a modest uptick in </w:t>
      </w:r>
      <w:r w:rsidR="00B74EA9" w:rsidRPr="00583EFC">
        <w:rPr>
          <w:lang w:val="en-NZ" w:eastAsia="en-NZ"/>
        </w:rPr>
        <w:t xml:space="preserve">employment </w:t>
      </w:r>
      <w:r w:rsidR="004F257F" w:rsidRPr="00583EFC">
        <w:rPr>
          <w:lang w:val="en-NZ" w:eastAsia="en-NZ"/>
        </w:rPr>
        <w:t xml:space="preserve">growth </w:t>
      </w:r>
      <w:r w:rsidR="00B74EA9" w:rsidRPr="00583EFC">
        <w:rPr>
          <w:lang w:val="en-NZ" w:eastAsia="en-NZ"/>
        </w:rPr>
        <w:t xml:space="preserve">forecast </w:t>
      </w:r>
      <w:r w:rsidR="008B52FE" w:rsidRPr="00583EFC">
        <w:rPr>
          <w:lang w:val="en-NZ" w:eastAsia="en-NZ"/>
        </w:rPr>
        <w:t>for</w:t>
      </w:r>
      <w:r w:rsidR="00B74EA9" w:rsidRPr="00583EFC">
        <w:rPr>
          <w:lang w:val="en-NZ" w:eastAsia="en-NZ"/>
        </w:rPr>
        <w:t xml:space="preserve"> 202</w:t>
      </w:r>
      <w:r w:rsidR="004F257F" w:rsidRPr="00583EFC">
        <w:rPr>
          <w:lang w:val="en-NZ" w:eastAsia="en-NZ"/>
        </w:rPr>
        <w:t>4</w:t>
      </w:r>
      <w:r w:rsidR="00B74EA9" w:rsidRPr="00583EFC">
        <w:rPr>
          <w:lang w:val="en-NZ" w:eastAsia="en-NZ"/>
        </w:rPr>
        <w:t>-2</w:t>
      </w:r>
      <w:r w:rsidR="004F257F" w:rsidRPr="00583EFC">
        <w:rPr>
          <w:lang w:val="en-NZ" w:eastAsia="en-NZ"/>
        </w:rPr>
        <w:t>5</w:t>
      </w:r>
      <w:r w:rsidR="00B74EA9" w:rsidRPr="00583EFC">
        <w:rPr>
          <w:lang w:val="en-NZ" w:eastAsia="en-NZ"/>
        </w:rPr>
        <w:t xml:space="preserve"> looks </w:t>
      </w:r>
      <w:r w:rsidR="00F63526" w:rsidRPr="00583EFC">
        <w:rPr>
          <w:lang w:val="en-NZ" w:eastAsia="en-NZ"/>
        </w:rPr>
        <w:t>reasonable</w:t>
      </w:r>
      <w:r w:rsidR="00B74EA9" w:rsidRPr="00583EFC">
        <w:rPr>
          <w:lang w:val="en-NZ" w:eastAsia="en-NZ"/>
        </w:rPr>
        <w:t>.</w:t>
      </w:r>
    </w:p>
    <w:p w14:paraId="4A17D5CA" w14:textId="26F3F178" w:rsidR="00A53241" w:rsidRPr="00583EFC" w:rsidRDefault="004733C7" w:rsidP="00BB6383">
      <w:pPr>
        <w:pStyle w:val="Heading2"/>
        <w:spacing w:after="240"/>
      </w:pPr>
      <w:bookmarkStart w:id="38" w:name="_Toc453495109"/>
      <w:bookmarkStart w:id="39" w:name="_Toc453516108"/>
      <w:bookmarkStart w:id="40" w:name="_Toc171948993"/>
      <w:r w:rsidRPr="00583EFC">
        <w:t>2</w:t>
      </w:r>
      <w:r w:rsidR="00A53241" w:rsidRPr="00583EFC">
        <w:t>.</w:t>
      </w:r>
      <w:r w:rsidR="00F4156B" w:rsidRPr="00583EFC">
        <w:t>4</w:t>
      </w:r>
      <w:r w:rsidR="00A53241" w:rsidRPr="00583EFC">
        <w:tab/>
        <w:t>Wage price index</w:t>
      </w:r>
      <w:bookmarkEnd w:id="38"/>
      <w:bookmarkEnd w:id="39"/>
      <w:bookmarkEnd w:id="40"/>
    </w:p>
    <w:p w14:paraId="0F7192BB" w14:textId="47F24933" w:rsidR="00981635" w:rsidRDefault="004731D9">
      <w:r w:rsidRPr="00583EFC">
        <w:t>The W</w:t>
      </w:r>
      <w:r w:rsidR="005F60B8" w:rsidRPr="00583EFC">
        <w:t xml:space="preserve">age </w:t>
      </w:r>
      <w:r w:rsidRPr="00583EFC">
        <w:t>P</w:t>
      </w:r>
      <w:r w:rsidR="005F60B8" w:rsidRPr="00583EFC">
        <w:t xml:space="preserve">rice </w:t>
      </w:r>
      <w:r w:rsidRPr="00583EFC">
        <w:t>I</w:t>
      </w:r>
      <w:r w:rsidR="005F60B8" w:rsidRPr="00583EFC">
        <w:t>ndex</w:t>
      </w:r>
      <w:r w:rsidRPr="00583EFC">
        <w:t xml:space="preserve"> (WPI)</w:t>
      </w:r>
      <w:r w:rsidR="005F60B8" w:rsidRPr="00583EFC">
        <w:t xml:space="preserve"> is currently running at </w:t>
      </w:r>
      <w:r w:rsidR="00F565A5" w:rsidRPr="00583EFC">
        <w:t>3.</w:t>
      </w:r>
      <w:r w:rsidR="00D77D1E" w:rsidRPr="00583EFC">
        <w:t>2</w:t>
      </w:r>
      <w:r w:rsidR="006E48C1">
        <w:t xml:space="preserve"> percent</w:t>
      </w:r>
      <w:r w:rsidR="005F60B8" w:rsidRPr="00583EFC">
        <w:t xml:space="preserve"> </w:t>
      </w:r>
      <w:r w:rsidR="00246C35" w:rsidRPr="00583EFC">
        <w:t xml:space="preserve">through the year </w:t>
      </w:r>
      <w:r w:rsidR="005F60B8" w:rsidRPr="00583EFC">
        <w:t xml:space="preserve">to the end of the </w:t>
      </w:r>
      <w:r w:rsidR="00052762" w:rsidRPr="00583EFC">
        <w:t>March</w:t>
      </w:r>
      <w:r w:rsidR="005F60B8" w:rsidRPr="00583EFC">
        <w:t xml:space="preserve"> quarter 20</w:t>
      </w:r>
      <w:r w:rsidR="007C042E" w:rsidRPr="00583EFC">
        <w:t>2</w:t>
      </w:r>
      <w:r w:rsidR="00F565A5" w:rsidRPr="00583EFC">
        <w:t>3</w:t>
      </w:r>
      <w:r w:rsidR="00052762" w:rsidRPr="00583EFC">
        <w:t xml:space="preserve"> </w:t>
      </w:r>
      <w:sdt>
        <w:sdtPr>
          <w:id w:val="1608377812"/>
          <w:citation/>
        </w:sdtPr>
        <w:sdtContent>
          <w:r w:rsidR="003D30C7" w:rsidRPr="00583EFC">
            <w:fldChar w:fldCharType="begin"/>
          </w:r>
          <w:r w:rsidR="004F257F" w:rsidRPr="00583EFC">
            <w:instrText xml:space="preserve">CITATION Aus2e \l 3081 </w:instrText>
          </w:r>
          <w:r w:rsidR="003D30C7" w:rsidRPr="00583EFC">
            <w:fldChar w:fldCharType="separate"/>
          </w:r>
          <w:r w:rsidR="00874F23" w:rsidRPr="00583EFC">
            <w:rPr>
              <w:noProof/>
            </w:rPr>
            <w:t>(Australian Bureau of Statistics, 2024f)</w:t>
          </w:r>
          <w:r w:rsidR="003D30C7" w:rsidRPr="00583EFC">
            <w:fldChar w:fldCharType="end"/>
          </w:r>
        </w:sdtContent>
      </w:sdt>
      <w:r w:rsidR="005F60B8" w:rsidRPr="00583EFC">
        <w:t xml:space="preserve">, which is </w:t>
      </w:r>
      <w:r w:rsidR="00373F3E" w:rsidRPr="00583EFC">
        <w:t>significantly below</w:t>
      </w:r>
      <w:r w:rsidR="004F15D2" w:rsidRPr="00583EFC">
        <w:t xml:space="preserve"> </w:t>
      </w:r>
      <w:r w:rsidR="005F60B8" w:rsidRPr="00583EFC">
        <w:t xml:space="preserve">the ACT Budget estimate of </w:t>
      </w:r>
      <w:r w:rsidR="00F565A5" w:rsidRPr="00583EFC">
        <w:t>4</w:t>
      </w:r>
      <w:r w:rsidR="006E48C1">
        <w:t xml:space="preserve"> percent</w:t>
      </w:r>
      <w:r w:rsidR="005F60B8" w:rsidRPr="00583EFC">
        <w:t xml:space="preserve"> </w:t>
      </w:r>
      <w:r w:rsidR="000F6D17" w:rsidRPr="00583EFC">
        <w:t xml:space="preserve">growth </w:t>
      </w:r>
      <w:r w:rsidR="00255A92" w:rsidRPr="00583EFC">
        <w:t xml:space="preserve">in the WPI </w:t>
      </w:r>
      <w:r w:rsidR="005F60B8" w:rsidRPr="00583EFC">
        <w:t>for 20</w:t>
      </w:r>
      <w:r w:rsidR="007C042E" w:rsidRPr="00583EFC">
        <w:t>2</w:t>
      </w:r>
      <w:r w:rsidR="00F565A5" w:rsidRPr="00583EFC">
        <w:t>3</w:t>
      </w:r>
      <w:r w:rsidR="005F60B8" w:rsidRPr="00583EFC">
        <w:t>-</w:t>
      </w:r>
      <w:r w:rsidR="007C042E" w:rsidRPr="00583EFC">
        <w:t>2</w:t>
      </w:r>
      <w:r w:rsidR="00F565A5" w:rsidRPr="00583EFC">
        <w:t>4</w:t>
      </w:r>
      <w:r w:rsidR="00FD5AF7" w:rsidRPr="00583EFC">
        <w:t>.</w:t>
      </w:r>
      <w:r w:rsidR="00714DC7" w:rsidRPr="00583EFC">
        <w:t xml:space="preserve"> </w:t>
      </w:r>
      <w:r w:rsidR="007974AC" w:rsidRPr="00583EFC">
        <w:t xml:space="preserve">Given </w:t>
      </w:r>
      <w:r w:rsidR="007734BC" w:rsidRPr="00583EFC">
        <w:t>Commonwealth Government public service pay rises of around 4</w:t>
      </w:r>
      <w:r w:rsidR="006E48C1">
        <w:t xml:space="preserve"> percent</w:t>
      </w:r>
      <w:r w:rsidR="007734BC" w:rsidRPr="00583EFC">
        <w:t xml:space="preserve"> were due to take effect from around mid-March 2024, </w:t>
      </w:r>
      <w:r w:rsidR="007734BC" w:rsidRPr="00583EFC">
        <w:lastRenderedPageBreak/>
        <w:t xml:space="preserve">and the APS constitutes around one quarter of the ACT workforce </w:t>
      </w:r>
      <w:sdt>
        <w:sdtPr>
          <w:id w:val="-1912068588"/>
          <w:citation/>
        </w:sdtPr>
        <w:sdtContent>
          <w:r w:rsidR="007734BC" w:rsidRPr="00583EFC">
            <w:fldChar w:fldCharType="begin"/>
          </w:r>
          <w:r w:rsidR="001E7D0C" w:rsidRPr="00583EFC">
            <w:instrText xml:space="preserve">CITATION Aus2221 \p 32 \t  \m Aus2c \l 3081 </w:instrText>
          </w:r>
          <w:r w:rsidR="007734BC" w:rsidRPr="00583EFC">
            <w:fldChar w:fldCharType="separate"/>
          </w:r>
          <w:r w:rsidR="00874F23" w:rsidRPr="00583EFC">
            <w:rPr>
              <w:noProof/>
            </w:rPr>
            <w:t>(Australian Public Service Commission, 2023, p. 32; Australian Bureau of Statistics, 2024c)</w:t>
          </w:r>
          <w:r w:rsidR="007734BC" w:rsidRPr="00583EFC">
            <w:fldChar w:fldCharType="end"/>
          </w:r>
        </w:sdtContent>
      </w:sdt>
      <w:r w:rsidR="007D4AB7" w:rsidRPr="00583EFC">
        <w:t>, an uptick in the WPI for the ACT in the June quarter of 2024 is possible, and the estimate of 4</w:t>
      </w:r>
      <w:r w:rsidR="006E48C1">
        <w:t xml:space="preserve"> percent</w:t>
      </w:r>
      <w:r w:rsidR="007D4AB7" w:rsidRPr="00583EFC">
        <w:t xml:space="preserve"> in the WPI for 2023-24 not unreasonable.</w:t>
      </w:r>
    </w:p>
    <w:p w14:paraId="30A62793" w14:textId="109FDBEA" w:rsidR="003D30C7" w:rsidRPr="00583EFC" w:rsidRDefault="007446B8">
      <w:r w:rsidRPr="00583EFC">
        <w:t>T</w:t>
      </w:r>
      <w:r w:rsidR="002D7848" w:rsidRPr="00583EFC">
        <w:t>he ACT Government</w:t>
      </w:r>
      <w:r w:rsidRPr="00583EFC">
        <w:t xml:space="preserve"> </w:t>
      </w:r>
      <w:sdt>
        <w:sdtPr>
          <w:id w:val="-2142183203"/>
          <w:citation/>
        </w:sdtPr>
        <w:sdtContent>
          <w:r w:rsidR="00CC0AC3" w:rsidRPr="00583EFC">
            <w:fldChar w:fldCharType="begin"/>
          </w:r>
          <w:r w:rsidR="001105F9" w:rsidRPr="00583EFC">
            <w:instrText xml:space="preserve">CITATION ACT24 \n  \t  \l 3081 </w:instrText>
          </w:r>
          <w:r w:rsidR="00CC0AC3" w:rsidRPr="00583EFC">
            <w:fldChar w:fldCharType="separate"/>
          </w:r>
          <w:r w:rsidR="00874F23" w:rsidRPr="00583EFC">
            <w:rPr>
              <w:noProof/>
            </w:rPr>
            <w:t>(2024)</w:t>
          </w:r>
          <w:r w:rsidR="00CC0AC3" w:rsidRPr="00583EFC">
            <w:fldChar w:fldCharType="end"/>
          </w:r>
        </w:sdtContent>
      </w:sdt>
      <w:r w:rsidR="002D7848" w:rsidRPr="00583EFC">
        <w:t xml:space="preserve"> is </w:t>
      </w:r>
      <w:r w:rsidR="00892C67" w:rsidRPr="00583EFC">
        <w:t>forecasting</w:t>
      </w:r>
      <w:r w:rsidR="002D7848" w:rsidRPr="00583EFC">
        <w:t xml:space="preserve"> growth in the WPI of </w:t>
      </w:r>
      <w:r w:rsidR="00892C67" w:rsidRPr="00583EFC">
        <w:t>3</w:t>
      </w:r>
      <w:r w:rsidR="00E766EA" w:rsidRPr="00583EFC">
        <w:t>½</w:t>
      </w:r>
      <w:r w:rsidR="006E48C1">
        <w:t xml:space="preserve"> percent</w:t>
      </w:r>
      <w:r w:rsidR="002D7848" w:rsidRPr="00583EFC">
        <w:t xml:space="preserve"> </w:t>
      </w:r>
      <w:r w:rsidR="00E766EA" w:rsidRPr="00583EFC">
        <w:t>for both</w:t>
      </w:r>
      <w:r w:rsidR="002D7848" w:rsidRPr="00583EFC">
        <w:t xml:space="preserve"> 202</w:t>
      </w:r>
      <w:r w:rsidR="006A76A6" w:rsidRPr="00583EFC">
        <w:t>4</w:t>
      </w:r>
      <w:r w:rsidR="002D7848" w:rsidRPr="00583EFC">
        <w:t>-2</w:t>
      </w:r>
      <w:r w:rsidR="006A76A6" w:rsidRPr="00583EFC">
        <w:t xml:space="preserve">5 and </w:t>
      </w:r>
      <w:r w:rsidR="00E766EA" w:rsidRPr="00583EFC">
        <w:t>2025-26</w:t>
      </w:r>
      <w:r w:rsidR="002D7848" w:rsidRPr="00583EFC">
        <w:t xml:space="preserve">, with projections </w:t>
      </w:r>
      <w:r w:rsidR="00892C67" w:rsidRPr="00583EFC">
        <w:t xml:space="preserve">of growth </w:t>
      </w:r>
      <w:r w:rsidR="002D7848" w:rsidRPr="00583EFC">
        <w:t xml:space="preserve">for the out-years </w:t>
      </w:r>
      <w:r w:rsidR="00892C67" w:rsidRPr="00583EFC">
        <w:t>of</w:t>
      </w:r>
      <w:r w:rsidR="002D7848" w:rsidRPr="00583EFC">
        <w:t xml:space="preserve"> 3</w:t>
      </w:r>
      <w:r w:rsidR="00E766EA" w:rsidRPr="00583EFC">
        <w:t>¼</w:t>
      </w:r>
      <w:r w:rsidR="006E48C1">
        <w:t xml:space="preserve"> percent</w:t>
      </w:r>
      <w:r w:rsidR="002D7848" w:rsidRPr="00583EFC">
        <w:t>.</w:t>
      </w:r>
      <w:r w:rsidR="00770E8B" w:rsidRPr="00583EFC">
        <w:t xml:space="preserve"> The forecast for 202</w:t>
      </w:r>
      <w:r w:rsidR="00D10BEE" w:rsidRPr="00583EFC">
        <w:t>4</w:t>
      </w:r>
      <w:r w:rsidR="00770E8B" w:rsidRPr="00583EFC">
        <w:t>-2</w:t>
      </w:r>
      <w:r w:rsidR="006B32E4" w:rsidRPr="00583EFC">
        <w:t>5</w:t>
      </w:r>
      <w:r w:rsidR="00770E8B" w:rsidRPr="00583EFC">
        <w:t xml:space="preserve"> is consistent </w:t>
      </w:r>
      <w:r w:rsidR="008D3114" w:rsidRPr="00583EFC">
        <w:t>with</w:t>
      </w:r>
      <w:r w:rsidR="00770E8B" w:rsidRPr="00583EFC">
        <w:t xml:space="preserve"> the Commonwealth Government</w:t>
      </w:r>
      <w:r w:rsidR="008D3114" w:rsidRPr="00583EFC">
        <w:t xml:space="preserve"> </w:t>
      </w:r>
      <w:sdt>
        <w:sdtPr>
          <w:id w:val="-477067917"/>
          <w:citation/>
        </w:sdtPr>
        <w:sdtContent>
          <w:r w:rsidR="00C47570" w:rsidRPr="00583EFC">
            <w:fldChar w:fldCharType="begin"/>
          </w:r>
          <w:r w:rsidR="008825A0" w:rsidRPr="00583EFC">
            <w:instrText xml:space="preserve">CITATION Com23a \p 53 \n  \t  \l 3081 </w:instrText>
          </w:r>
          <w:r w:rsidR="00C47570" w:rsidRPr="00583EFC">
            <w:fldChar w:fldCharType="separate"/>
          </w:r>
          <w:r w:rsidR="00874F23" w:rsidRPr="00583EFC">
            <w:rPr>
              <w:noProof/>
            </w:rPr>
            <w:t>(2024a, p. 53)</w:t>
          </w:r>
          <w:r w:rsidR="00C47570" w:rsidRPr="00583EFC">
            <w:fldChar w:fldCharType="end"/>
          </w:r>
        </w:sdtContent>
      </w:sdt>
      <w:r w:rsidR="008D3114" w:rsidRPr="00583EFC">
        <w:t xml:space="preserve"> </w:t>
      </w:r>
      <w:r w:rsidR="00C47570" w:rsidRPr="00583EFC">
        <w:t xml:space="preserve">budget </w:t>
      </w:r>
      <w:r w:rsidR="008D3114" w:rsidRPr="00583EFC">
        <w:t>forecast</w:t>
      </w:r>
      <w:r w:rsidR="00770E8B" w:rsidRPr="00583EFC">
        <w:t xml:space="preserve"> </w:t>
      </w:r>
      <w:r w:rsidR="00C47570" w:rsidRPr="00583EFC">
        <w:t>of</w:t>
      </w:r>
      <w:r w:rsidR="00770E8B" w:rsidRPr="00583EFC">
        <w:t xml:space="preserve"> </w:t>
      </w:r>
      <w:r w:rsidR="00C47570" w:rsidRPr="00583EFC">
        <w:t xml:space="preserve">growth in </w:t>
      </w:r>
      <w:r w:rsidR="00770E8B" w:rsidRPr="00583EFC">
        <w:t xml:space="preserve">the WPI for the nation </w:t>
      </w:r>
      <w:r w:rsidR="00BB63C7" w:rsidRPr="00583EFC">
        <w:t xml:space="preserve">in </w:t>
      </w:r>
      <w:r w:rsidR="00460705" w:rsidRPr="00583EFC">
        <w:t xml:space="preserve">both </w:t>
      </w:r>
      <w:r w:rsidR="00BB63C7" w:rsidRPr="00583EFC">
        <w:t>202</w:t>
      </w:r>
      <w:r w:rsidR="00193770" w:rsidRPr="00583EFC">
        <w:t>4</w:t>
      </w:r>
      <w:r w:rsidR="00BB63C7" w:rsidRPr="00583EFC">
        <w:t>-2</w:t>
      </w:r>
      <w:r w:rsidR="00193770" w:rsidRPr="00583EFC">
        <w:t>5</w:t>
      </w:r>
      <w:r w:rsidR="00BB63C7" w:rsidRPr="00583EFC">
        <w:t xml:space="preserve"> </w:t>
      </w:r>
      <w:r w:rsidR="00460705" w:rsidRPr="00583EFC">
        <w:t xml:space="preserve">and 2025-26 </w:t>
      </w:r>
      <w:r w:rsidR="00C47570" w:rsidRPr="00583EFC">
        <w:t>o</w:t>
      </w:r>
      <w:r w:rsidR="00BB63C7" w:rsidRPr="00583EFC">
        <w:t xml:space="preserve">f </w:t>
      </w:r>
      <w:r w:rsidR="00193770" w:rsidRPr="00583EFC">
        <w:t>3¼</w:t>
      </w:r>
      <w:r w:rsidR="006E48C1">
        <w:t xml:space="preserve"> percent</w:t>
      </w:r>
      <w:r w:rsidR="00770E8B" w:rsidRPr="00583EFC">
        <w:t>.</w:t>
      </w:r>
      <w:r w:rsidR="0084509D" w:rsidRPr="00583EFC">
        <w:t xml:space="preserve"> It also consistent with </w:t>
      </w:r>
      <w:r w:rsidR="00AC6F48" w:rsidRPr="00583EFC">
        <w:t xml:space="preserve">the most recent enterprise bargaining pay offer </w:t>
      </w:r>
      <w:r w:rsidR="0040158A" w:rsidRPr="00583EFC">
        <w:t xml:space="preserve">by the Commonwealth Government </w:t>
      </w:r>
      <w:r w:rsidR="00AC6F48" w:rsidRPr="00583EFC">
        <w:t xml:space="preserve">across the </w:t>
      </w:r>
      <w:r w:rsidR="005E7A1F" w:rsidRPr="00583EFC">
        <w:t xml:space="preserve">entire </w:t>
      </w:r>
      <w:r w:rsidR="00AC6F48" w:rsidRPr="00583EFC">
        <w:t>Australian Public Service (APS)</w:t>
      </w:r>
      <w:r w:rsidR="0040158A" w:rsidRPr="00583EFC">
        <w:t xml:space="preserve"> of a </w:t>
      </w:r>
      <w:r w:rsidR="004F2E40" w:rsidRPr="00583EFC">
        <w:t>3.8</w:t>
      </w:r>
      <w:r w:rsidR="006E48C1">
        <w:t xml:space="preserve"> percent</w:t>
      </w:r>
      <w:r w:rsidR="0040158A" w:rsidRPr="00583EFC">
        <w:t xml:space="preserve"> pay increase </w:t>
      </w:r>
      <w:r w:rsidR="004F2E40" w:rsidRPr="00583EFC">
        <w:t>as from March 2025</w:t>
      </w:r>
      <w:r w:rsidR="0040158A" w:rsidRPr="00583EFC">
        <w:t xml:space="preserve">, </w:t>
      </w:r>
      <w:r w:rsidR="004F2E40" w:rsidRPr="00583EFC">
        <w:t xml:space="preserve">and </w:t>
      </w:r>
      <w:r w:rsidR="00D24982" w:rsidRPr="00583EFC">
        <w:t>3.</w:t>
      </w:r>
      <w:r w:rsidR="00EC2465" w:rsidRPr="00583EFC">
        <w:t>4</w:t>
      </w:r>
      <w:r w:rsidR="006E48C1">
        <w:t xml:space="preserve"> percent</w:t>
      </w:r>
      <w:r w:rsidR="00D24982" w:rsidRPr="00583EFC">
        <w:t xml:space="preserve"> pay increase </w:t>
      </w:r>
      <w:r w:rsidR="00EC2465" w:rsidRPr="00583EFC">
        <w:t xml:space="preserve">as </w:t>
      </w:r>
      <w:r w:rsidR="00B0740D" w:rsidRPr="00583EFC">
        <w:t>f</w:t>
      </w:r>
      <w:r w:rsidR="00EC2465" w:rsidRPr="00583EFC">
        <w:t xml:space="preserve">rom </w:t>
      </w:r>
      <w:r w:rsidR="00B0740D" w:rsidRPr="00583EFC">
        <w:t>March 2026</w:t>
      </w:r>
      <w:r w:rsidR="005E7A1F" w:rsidRPr="00583EFC">
        <w:t xml:space="preserve"> </w:t>
      </w:r>
      <w:sdt>
        <w:sdtPr>
          <w:id w:val="1497144214"/>
          <w:citation/>
        </w:sdtPr>
        <w:sdtContent>
          <w:r w:rsidR="005E7A1F" w:rsidRPr="00583EFC">
            <w:fldChar w:fldCharType="begin"/>
          </w:r>
          <w:r w:rsidR="00642784" w:rsidRPr="00583EFC">
            <w:instrText xml:space="preserve">CITATION Rio23 \l 3081 </w:instrText>
          </w:r>
          <w:r w:rsidR="005E7A1F" w:rsidRPr="00583EFC">
            <w:fldChar w:fldCharType="separate"/>
          </w:r>
          <w:r w:rsidR="00874F23" w:rsidRPr="00583EFC">
            <w:rPr>
              <w:noProof/>
            </w:rPr>
            <w:t>(Riordan, 2023)</w:t>
          </w:r>
          <w:r w:rsidR="005E7A1F" w:rsidRPr="00583EFC">
            <w:fldChar w:fldCharType="end"/>
          </w:r>
        </w:sdtContent>
      </w:sdt>
      <w:r w:rsidR="00B15591" w:rsidRPr="00583EFC">
        <w:t>.</w:t>
      </w:r>
    </w:p>
    <w:p w14:paraId="22ACF0AC" w14:textId="08C18D4D" w:rsidR="007846B1" w:rsidRPr="00583EFC" w:rsidRDefault="007846B1" w:rsidP="007846B1">
      <w:r w:rsidRPr="00583EFC">
        <w:t>On this basis, forecasts and projections for wages growth appear reasonable.</w:t>
      </w:r>
    </w:p>
    <w:p w14:paraId="523325B1" w14:textId="04D75FD9" w:rsidR="00345E9F" w:rsidRPr="00583EFC" w:rsidRDefault="004733C7" w:rsidP="00345E9F">
      <w:pPr>
        <w:pStyle w:val="Heading2"/>
        <w:spacing w:after="240"/>
      </w:pPr>
      <w:bookmarkStart w:id="41" w:name="_Toc453495110"/>
      <w:bookmarkStart w:id="42" w:name="_Toc453516109"/>
      <w:bookmarkStart w:id="43" w:name="_Toc453495111"/>
      <w:bookmarkStart w:id="44" w:name="_Toc453516110"/>
      <w:bookmarkStart w:id="45" w:name="_Toc171948994"/>
      <w:r w:rsidRPr="00583EFC">
        <w:t>2</w:t>
      </w:r>
      <w:r w:rsidR="00345E9F" w:rsidRPr="00583EFC">
        <w:t>.</w:t>
      </w:r>
      <w:r w:rsidR="00F4156B" w:rsidRPr="00583EFC">
        <w:t>5</w:t>
      </w:r>
      <w:r w:rsidR="00345E9F" w:rsidRPr="00583EFC">
        <w:tab/>
        <w:t>Consumer price index</w:t>
      </w:r>
      <w:bookmarkEnd w:id="41"/>
      <w:bookmarkEnd w:id="42"/>
      <w:bookmarkEnd w:id="45"/>
    </w:p>
    <w:p w14:paraId="49CBBF76" w14:textId="2E0BAC0C" w:rsidR="00B63EC3" w:rsidRPr="00583EFC" w:rsidRDefault="00B63EC3" w:rsidP="00B63EC3">
      <w:r w:rsidRPr="00583EFC">
        <w:t>The percentage change for in the Consumer Price Index (CPI) for Canberra through the year to the end of the March quarter 2023 was 3.3</w:t>
      </w:r>
      <w:r w:rsidR="006E48C1">
        <w:t xml:space="preserve"> percent</w:t>
      </w:r>
      <w:r w:rsidRPr="00583EFC">
        <w:t xml:space="preserve"> </w:t>
      </w:r>
      <w:sdt>
        <w:sdtPr>
          <w:id w:val="-1971662587"/>
          <w:citation/>
        </w:sdtPr>
        <w:sdtContent>
          <w:r w:rsidRPr="00583EFC">
            <w:fldChar w:fldCharType="begin"/>
          </w:r>
          <w:r w:rsidR="001E7D0C" w:rsidRPr="00583EFC">
            <w:instrText xml:space="preserve">CITATION Aus2a2 \l 3081 </w:instrText>
          </w:r>
          <w:r w:rsidRPr="00583EFC">
            <w:fldChar w:fldCharType="separate"/>
          </w:r>
          <w:r w:rsidR="00874F23" w:rsidRPr="00583EFC">
            <w:rPr>
              <w:noProof/>
            </w:rPr>
            <w:t>(Australian Bureau of Statistics, 2024b)</w:t>
          </w:r>
          <w:r w:rsidRPr="00583EFC">
            <w:fldChar w:fldCharType="end"/>
          </w:r>
        </w:sdtContent>
      </w:sdt>
      <w:r w:rsidRPr="00583EFC">
        <w:t xml:space="preserve">. This is consistent with the ACT Government </w:t>
      </w:r>
      <w:sdt>
        <w:sdtPr>
          <w:id w:val="-94866864"/>
          <w:citation/>
        </w:sdtPr>
        <w:sdtContent>
          <w:r w:rsidRPr="00583EFC">
            <w:fldChar w:fldCharType="begin"/>
          </w:r>
          <w:r w:rsidRPr="00583EFC">
            <w:instrText xml:space="preserve">CITATION ACT24 \n  \t  \l 3081 </w:instrText>
          </w:r>
          <w:r w:rsidRPr="00583EFC">
            <w:fldChar w:fldCharType="separate"/>
          </w:r>
          <w:r w:rsidR="00874F23" w:rsidRPr="00583EFC">
            <w:rPr>
              <w:noProof/>
            </w:rPr>
            <w:t>(2024)</w:t>
          </w:r>
          <w:r w:rsidRPr="00583EFC">
            <w:fldChar w:fldCharType="end"/>
          </w:r>
        </w:sdtContent>
      </w:sdt>
      <w:r w:rsidRPr="00583EFC">
        <w:t xml:space="preserve"> budget estimate for growth in the CPI of 3½</w:t>
      </w:r>
      <w:r w:rsidR="006E48C1">
        <w:t xml:space="preserve"> percent</w:t>
      </w:r>
      <w:r w:rsidRPr="00583EFC">
        <w:t xml:space="preserve"> in </w:t>
      </w:r>
      <w:r w:rsidR="00A24642" w:rsidRPr="00583EFC">
        <w:t>2023-24.</w:t>
      </w:r>
    </w:p>
    <w:p w14:paraId="1EFDA18F" w14:textId="3A47034F" w:rsidR="00614C41" w:rsidRPr="00583EFC" w:rsidRDefault="00345E9F" w:rsidP="00345E9F">
      <w:r w:rsidRPr="00583EFC">
        <w:t>The ACT Government</w:t>
      </w:r>
      <w:r w:rsidR="00CD3761" w:rsidRPr="00583EFC">
        <w:t xml:space="preserve"> </w:t>
      </w:r>
      <w:sdt>
        <w:sdtPr>
          <w:id w:val="-1283647117"/>
          <w:citation/>
        </w:sdtPr>
        <w:sdtContent>
          <w:r w:rsidR="00CD3761" w:rsidRPr="00583EFC">
            <w:fldChar w:fldCharType="begin"/>
          </w:r>
          <w:r w:rsidR="00CD3761" w:rsidRPr="00583EFC">
            <w:instrText xml:space="preserve">CITATION ACT24 \n  \t  \l 3081 </w:instrText>
          </w:r>
          <w:r w:rsidR="00CD3761" w:rsidRPr="00583EFC">
            <w:fldChar w:fldCharType="separate"/>
          </w:r>
          <w:r w:rsidR="00874F23" w:rsidRPr="00583EFC">
            <w:rPr>
              <w:noProof/>
            </w:rPr>
            <w:t>(2024)</w:t>
          </w:r>
          <w:r w:rsidR="00CD3761" w:rsidRPr="00583EFC">
            <w:fldChar w:fldCharType="end"/>
          </w:r>
        </w:sdtContent>
      </w:sdt>
      <w:r w:rsidRPr="00583EFC">
        <w:t xml:space="preserve"> is forecasting CPI </w:t>
      </w:r>
      <w:r w:rsidR="00840427" w:rsidRPr="00583EFC">
        <w:t xml:space="preserve">growth </w:t>
      </w:r>
      <w:r w:rsidR="00527A08" w:rsidRPr="00583EFC">
        <w:t xml:space="preserve">for Canberra </w:t>
      </w:r>
      <w:r w:rsidR="00840427" w:rsidRPr="00583EFC">
        <w:t xml:space="preserve">of </w:t>
      </w:r>
      <w:r w:rsidR="002A00B4" w:rsidRPr="00583EFC">
        <w:t>3</w:t>
      </w:r>
      <w:r w:rsidR="006E48C1">
        <w:t xml:space="preserve"> percent</w:t>
      </w:r>
      <w:r w:rsidR="00527A08" w:rsidRPr="00583EFC">
        <w:t xml:space="preserve"> </w:t>
      </w:r>
      <w:r w:rsidRPr="00583EFC">
        <w:t>through the year to the end of June 202</w:t>
      </w:r>
      <w:r w:rsidR="00CD3761" w:rsidRPr="00583EFC">
        <w:t>5</w:t>
      </w:r>
      <w:r w:rsidRPr="00583EFC">
        <w:t xml:space="preserve">, </w:t>
      </w:r>
      <w:r w:rsidR="00AB6C65" w:rsidRPr="00583EFC">
        <w:t xml:space="preserve">moderating to </w:t>
      </w:r>
      <w:r w:rsidR="00527A08" w:rsidRPr="00583EFC">
        <w:t xml:space="preserve">a </w:t>
      </w:r>
      <w:r w:rsidR="00CD3761" w:rsidRPr="00583EFC">
        <w:t xml:space="preserve">forecast </w:t>
      </w:r>
      <w:r w:rsidR="00527A08" w:rsidRPr="00583EFC">
        <w:t>increase of 2¾</w:t>
      </w:r>
      <w:r w:rsidR="006E48C1">
        <w:t xml:space="preserve"> percent</w:t>
      </w:r>
      <w:r w:rsidR="00BF6BCF" w:rsidRPr="00583EFC">
        <w:t xml:space="preserve"> in 202</w:t>
      </w:r>
      <w:r w:rsidR="00CD3761" w:rsidRPr="00583EFC">
        <w:t>5</w:t>
      </w:r>
      <w:r w:rsidR="00BF6BCF" w:rsidRPr="00583EFC">
        <w:t>-2</w:t>
      </w:r>
      <w:r w:rsidR="008D4038" w:rsidRPr="00583EFC">
        <w:t>6</w:t>
      </w:r>
      <w:r w:rsidR="00BF6BCF" w:rsidRPr="00583EFC">
        <w:t xml:space="preserve">, </w:t>
      </w:r>
      <w:r w:rsidR="00AB6C65" w:rsidRPr="00583EFC">
        <w:t>with projected growth of</w:t>
      </w:r>
      <w:r w:rsidR="00D97D34" w:rsidRPr="00583EFC">
        <w:t xml:space="preserve"> </w:t>
      </w:r>
      <w:r w:rsidR="00BF6BCF" w:rsidRPr="00583EFC">
        <w:t>2</w:t>
      </w:r>
      <w:r w:rsidR="00C04DE0" w:rsidRPr="00583EFC">
        <w:t>½</w:t>
      </w:r>
      <w:r w:rsidR="006E48C1">
        <w:t xml:space="preserve"> percent</w:t>
      </w:r>
      <w:r w:rsidRPr="00583EFC">
        <w:t xml:space="preserve"> in </w:t>
      </w:r>
      <w:r w:rsidR="00C04DE0" w:rsidRPr="00583EFC">
        <w:t xml:space="preserve">the </w:t>
      </w:r>
      <w:r w:rsidR="00B83B4C" w:rsidRPr="00583EFC">
        <w:t xml:space="preserve">further </w:t>
      </w:r>
      <w:r w:rsidR="00C04DE0" w:rsidRPr="00583EFC">
        <w:t>out-years</w:t>
      </w:r>
      <w:r w:rsidRPr="00583EFC">
        <w:t>.</w:t>
      </w:r>
      <w:r w:rsidR="00EB3FD9" w:rsidRPr="00583EFC">
        <w:t xml:space="preserve"> </w:t>
      </w:r>
      <w:r w:rsidR="00920313" w:rsidRPr="00583EFC">
        <w:t xml:space="preserve">The ACT Budget forecast is consistent with the Commonwealth Government </w:t>
      </w:r>
      <w:sdt>
        <w:sdtPr>
          <w:id w:val="-2041574448"/>
          <w:citation/>
        </w:sdtPr>
        <w:sdtContent>
          <w:r w:rsidR="00920313" w:rsidRPr="00583EFC">
            <w:fldChar w:fldCharType="begin"/>
          </w:r>
          <w:r w:rsidR="005B13B5" w:rsidRPr="00583EFC">
            <w:instrText xml:space="preserve">CITATION Com23a \p 53 \n  \t  \l 3081 </w:instrText>
          </w:r>
          <w:r w:rsidR="00920313" w:rsidRPr="00583EFC">
            <w:fldChar w:fldCharType="separate"/>
          </w:r>
          <w:r w:rsidR="00874F23" w:rsidRPr="00583EFC">
            <w:rPr>
              <w:noProof/>
            </w:rPr>
            <w:t>(2024a, p. 53)</w:t>
          </w:r>
          <w:r w:rsidR="00920313" w:rsidRPr="00583EFC">
            <w:fldChar w:fldCharType="end"/>
          </w:r>
        </w:sdtContent>
      </w:sdt>
      <w:r w:rsidR="00920313" w:rsidRPr="00583EFC">
        <w:t xml:space="preserve"> </w:t>
      </w:r>
      <w:r w:rsidR="003B0BF7" w:rsidRPr="00583EFC">
        <w:t xml:space="preserve">budget forecast for national CPI growth of </w:t>
      </w:r>
      <w:r w:rsidR="00F3332F" w:rsidRPr="00583EFC">
        <w:t>2¾</w:t>
      </w:r>
      <w:r w:rsidR="006E48C1">
        <w:t xml:space="preserve"> percent</w:t>
      </w:r>
      <w:r w:rsidR="003B0BF7" w:rsidRPr="00583EFC">
        <w:t xml:space="preserve"> in 20</w:t>
      </w:r>
      <w:r w:rsidR="00DE464A" w:rsidRPr="00583EFC">
        <w:t>2</w:t>
      </w:r>
      <w:r w:rsidR="00F3332F" w:rsidRPr="00583EFC">
        <w:t>4</w:t>
      </w:r>
      <w:r w:rsidR="00DE464A" w:rsidRPr="00583EFC">
        <w:t>-2</w:t>
      </w:r>
      <w:r w:rsidR="00F3332F" w:rsidRPr="00583EFC">
        <w:t>5</w:t>
      </w:r>
      <w:r w:rsidR="00DE464A" w:rsidRPr="00583EFC">
        <w:t>,</w:t>
      </w:r>
      <w:r w:rsidR="00847A23" w:rsidRPr="00583EFC">
        <w:t xml:space="preserve"> and 2025-26</w:t>
      </w:r>
      <w:r w:rsidR="00DE464A" w:rsidRPr="00583EFC">
        <w:t>.</w:t>
      </w:r>
      <w:r w:rsidR="00AB6C65" w:rsidRPr="00583EFC">
        <w:t xml:space="preserve"> </w:t>
      </w:r>
      <w:r w:rsidR="00614C41" w:rsidRPr="00583EFC">
        <w:t>The Reserve Bank of Australia</w:t>
      </w:r>
      <w:r w:rsidR="000A05A0" w:rsidRPr="00583EFC">
        <w:t xml:space="preserve"> (RBA)</w:t>
      </w:r>
      <w:r w:rsidR="005E69AD" w:rsidRPr="00583EFC">
        <w:t xml:space="preserve"> </w:t>
      </w:r>
      <w:sdt>
        <w:sdtPr>
          <w:id w:val="-871771353"/>
          <w:citation/>
        </w:sdtPr>
        <w:sdtContent>
          <w:r w:rsidR="005E69AD" w:rsidRPr="00583EFC">
            <w:fldChar w:fldCharType="begin"/>
          </w:r>
          <w:r w:rsidR="005E69AD" w:rsidRPr="00583EFC">
            <w:instrText xml:space="preserve">CITATION Res23 \n  \t  \l 3081 </w:instrText>
          </w:r>
          <w:r w:rsidR="005E69AD" w:rsidRPr="00583EFC">
            <w:fldChar w:fldCharType="separate"/>
          </w:r>
          <w:r w:rsidR="00874F23" w:rsidRPr="00583EFC">
            <w:rPr>
              <w:noProof/>
            </w:rPr>
            <w:t>(2024)</w:t>
          </w:r>
          <w:r w:rsidR="005E69AD" w:rsidRPr="00583EFC">
            <w:fldChar w:fldCharType="end"/>
          </w:r>
        </w:sdtContent>
      </w:sdt>
      <w:r w:rsidR="00614C41" w:rsidRPr="00583EFC">
        <w:t xml:space="preserve"> is less optimistic on the immediate outlook for inflation, forecasting national CPI growth </w:t>
      </w:r>
      <w:r w:rsidR="005E69AD" w:rsidRPr="00583EFC">
        <w:t>of 3.2</w:t>
      </w:r>
      <w:r w:rsidR="006E48C1">
        <w:t xml:space="preserve"> percent</w:t>
      </w:r>
      <w:r w:rsidR="005E69AD" w:rsidRPr="00583EFC">
        <w:t xml:space="preserve"> in 2024-25 before moderating to 2.6</w:t>
      </w:r>
      <w:r w:rsidR="006E48C1">
        <w:t xml:space="preserve"> percent</w:t>
      </w:r>
      <w:r w:rsidR="005E69AD" w:rsidRPr="00583EFC">
        <w:t xml:space="preserve"> in 2025-26.</w:t>
      </w:r>
      <w:r w:rsidR="007A6226" w:rsidRPr="00583EFC">
        <w:t xml:space="preserve"> In light of the higher than expected rise in the national consumer price index of 4</w:t>
      </w:r>
      <w:r w:rsidR="006E48C1">
        <w:t xml:space="preserve"> percent</w:t>
      </w:r>
      <w:r w:rsidR="007A6226" w:rsidRPr="00583EFC">
        <w:t xml:space="preserve"> in the 12 months to May 2024 </w:t>
      </w:r>
      <w:sdt>
        <w:sdtPr>
          <w:id w:val="2030371143"/>
          <w:citation/>
        </w:sdtPr>
        <w:sdtContent>
          <w:r w:rsidR="007A6226" w:rsidRPr="00583EFC">
            <w:fldChar w:fldCharType="begin"/>
          </w:r>
          <w:r w:rsidR="001E7D0C" w:rsidRPr="00583EFC">
            <w:instrText xml:space="preserve">CITATION Aus4c \l 3081 </w:instrText>
          </w:r>
          <w:r w:rsidR="007A6226" w:rsidRPr="00583EFC">
            <w:fldChar w:fldCharType="separate"/>
          </w:r>
          <w:r w:rsidR="00874F23" w:rsidRPr="00583EFC">
            <w:rPr>
              <w:noProof/>
            </w:rPr>
            <w:t>(Australian Bureau of Statistics, 2024d)</w:t>
          </w:r>
          <w:r w:rsidR="007A6226" w:rsidRPr="00583EFC">
            <w:fldChar w:fldCharType="end"/>
          </w:r>
        </w:sdtContent>
      </w:sdt>
      <w:r w:rsidR="006A5157" w:rsidRPr="00583EFC">
        <w:t xml:space="preserve">, inflationary pressures in Australia may be more persistent than the Commonwealth Government has forecast and the RBA may be closer to the mark. </w:t>
      </w:r>
      <w:r w:rsidR="001656A8" w:rsidRPr="00583EFC">
        <w:t xml:space="preserve">However, it should be noted the monthly CPI is a much less comprehensive measure </w:t>
      </w:r>
      <w:r w:rsidR="00FA428E" w:rsidRPr="00583EFC">
        <w:t xml:space="preserve">of consumer inflation </w:t>
      </w:r>
      <w:r w:rsidR="001656A8" w:rsidRPr="00583EFC">
        <w:t>than the quarterly CPI.</w:t>
      </w:r>
    </w:p>
    <w:p w14:paraId="6944A975" w14:textId="1D181556" w:rsidR="0088137B" w:rsidRDefault="007873B5" w:rsidP="00345E9F">
      <w:r w:rsidRPr="00583EFC">
        <w:t>On this basis, the ACT Budget forecast for CPI growth in Canberra in 202</w:t>
      </w:r>
      <w:r w:rsidR="00A35797" w:rsidRPr="00583EFC">
        <w:t>4</w:t>
      </w:r>
      <w:r w:rsidRPr="00583EFC">
        <w:t>-2</w:t>
      </w:r>
      <w:r w:rsidR="00A35797" w:rsidRPr="00583EFC">
        <w:t>5</w:t>
      </w:r>
      <w:r w:rsidRPr="00583EFC">
        <w:t xml:space="preserve"> </w:t>
      </w:r>
      <w:r w:rsidR="00A35797" w:rsidRPr="00583EFC">
        <w:t>and</w:t>
      </w:r>
      <w:r w:rsidRPr="00583EFC">
        <w:t xml:space="preserve"> 202</w:t>
      </w:r>
      <w:r w:rsidR="00A35797" w:rsidRPr="00583EFC">
        <w:t>5</w:t>
      </w:r>
      <w:r w:rsidRPr="00583EFC">
        <w:t>-2</w:t>
      </w:r>
      <w:r w:rsidR="00A35797" w:rsidRPr="00583EFC">
        <w:t>6</w:t>
      </w:r>
      <w:r w:rsidRPr="00583EFC">
        <w:t xml:space="preserve"> </w:t>
      </w:r>
      <w:r w:rsidR="000A05A0" w:rsidRPr="00583EFC">
        <w:t xml:space="preserve">are not unreasonable in light of the Commonwealth Government forecasts, but the forecast for 2024-25 may be on the low side </w:t>
      </w:r>
      <w:r w:rsidR="00FA428E" w:rsidRPr="00583EFC">
        <w:t>in light of</w:t>
      </w:r>
      <w:r w:rsidR="000A05A0" w:rsidRPr="00583EFC">
        <w:t xml:space="preserve"> the RBA forecast for 2024-25</w:t>
      </w:r>
      <w:r w:rsidRPr="00583EFC">
        <w:t>.</w:t>
      </w:r>
    </w:p>
    <w:p w14:paraId="20AAEE2B" w14:textId="3425B789" w:rsidR="00DD351E" w:rsidRPr="00A00081" w:rsidRDefault="004733C7" w:rsidP="00BB6383">
      <w:pPr>
        <w:pStyle w:val="Heading2"/>
        <w:spacing w:after="240"/>
      </w:pPr>
      <w:bookmarkStart w:id="46" w:name="_Toc171948995"/>
      <w:r w:rsidRPr="00F4156B">
        <w:t>2</w:t>
      </w:r>
      <w:r w:rsidR="00246C35" w:rsidRPr="00F4156B">
        <w:t>.</w:t>
      </w:r>
      <w:r w:rsidR="00394CF2">
        <w:t>6</w:t>
      </w:r>
      <w:r w:rsidR="00246C35" w:rsidRPr="00F4156B">
        <w:tab/>
        <w:t>Population growth</w:t>
      </w:r>
      <w:bookmarkEnd w:id="43"/>
      <w:bookmarkEnd w:id="44"/>
      <w:bookmarkEnd w:id="46"/>
    </w:p>
    <w:p w14:paraId="27DB646B" w14:textId="3679ABD8" w:rsidR="0088137B" w:rsidRPr="00583EFC" w:rsidRDefault="00100023" w:rsidP="001850C8">
      <w:r w:rsidRPr="00583EFC">
        <w:t xml:space="preserve">Population growth for the ACT is currently running at </w:t>
      </w:r>
      <w:r w:rsidR="000137BC" w:rsidRPr="00583EFC">
        <w:t>2.0</w:t>
      </w:r>
      <w:r w:rsidR="006E48C1">
        <w:t xml:space="preserve"> percent</w:t>
      </w:r>
      <w:r w:rsidRPr="00583EFC">
        <w:t xml:space="preserve"> through the year to the end of December 202</w:t>
      </w:r>
      <w:r w:rsidR="000137BC" w:rsidRPr="00583EFC">
        <w:t>3</w:t>
      </w:r>
      <w:r w:rsidRPr="00583EFC">
        <w:t xml:space="preserve"> </w:t>
      </w:r>
      <w:sdt>
        <w:sdtPr>
          <w:id w:val="-1807070532"/>
          <w:citation/>
        </w:sdtPr>
        <w:sdtContent>
          <w:r w:rsidRPr="00583EFC">
            <w:fldChar w:fldCharType="begin"/>
          </w:r>
          <w:r w:rsidR="000137BC" w:rsidRPr="00583EFC">
            <w:instrText xml:space="preserve">CITATION Aus2c1 \l 3081 </w:instrText>
          </w:r>
          <w:r w:rsidRPr="00583EFC">
            <w:fldChar w:fldCharType="separate"/>
          </w:r>
          <w:r w:rsidR="00874F23" w:rsidRPr="00583EFC">
            <w:rPr>
              <w:noProof/>
            </w:rPr>
            <w:t>(Australian Bureau of Statistics, 2024e)</w:t>
          </w:r>
          <w:r w:rsidRPr="00583EFC">
            <w:fldChar w:fldCharType="end"/>
          </w:r>
        </w:sdtContent>
      </w:sdt>
      <w:r w:rsidRPr="00583EFC">
        <w:t xml:space="preserve">, which is </w:t>
      </w:r>
      <w:r w:rsidR="00F55AC2" w:rsidRPr="00583EFC">
        <w:t>consistent with</w:t>
      </w:r>
      <w:r w:rsidRPr="00583EFC">
        <w:t xml:space="preserve"> the ACT Government </w:t>
      </w:r>
      <w:sdt>
        <w:sdtPr>
          <w:id w:val="-889033079"/>
          <w:citation/>
        </w:sdtPr>
        <w:sdtContent>
          <w:r w:rsidR="00F55AC2" w:rsidRPr="00583EFC">
            <w:fldChar w:fldCharType="begin"/>
          </w:r>
          <w:r w:rsidR="00F55AC2" w:rsidRPr="00583EFC">
            <w:instrText xml:space="preserve">CITATION ACT24 \n  \t  \l 3081 </w:instrText>
          </w:r>
          <w:r w:rsidR="00F55AC2" w:rsidRPr="00583EFC">
            <w:fldChar w:fldCharType="separate"/>
          </w:r>
          <w:r w:rsidR="00874F23" w:rsidRPr="00583EFC">
            <w:rPr>
              <w:noProof/>
            </w:rPr>
            <w:t>(2024)</w:t>
          </w:r>
          <w:r w:rsidR="00F55AC2" w:rsidRPr="00583EFC">
            <w:fldChar w:fldCharType="end"/>
          </w:r>
        </w:sdtContent>
      </w:sdt>
      <w:r w:rsidRPr="00583EFC">
        <w:t xml:space="preserve"> budget forecast of </w:t>
      </w:r>
      <w:r w:rsidR="00716A15" w:rsidRPr="00583EFC">
        <w:t xml:space="preserve">population growth of </w:t>
      </w:r>
      <w:r w:rsidR="005E2192" w:rsidRPr="00583EFC">
        <w:t>2</w:t>
      </w:r>
      <w:r w:rsidR="006E48C1">
        <w:t xml:space="preserve"> percent</w:t>
      </w:r>
      <w:r w:rsidRPr="00583EFC">
        <w:t xml:space="preserve"> in 202</w:t>
      </w:r>
      <w:r w:rsidR="00F55AC2" w:rsidRPr="00583EFC">
        <w:t>3</w:t>
      </w:r>
      <w:r w:rsidRPr="00583EFC">
        <w:t>-2</w:t>
      </w:r>
      <w:r w:rsidR="00F55AC2" w:rsidRPr="00583EFC">
        <w:t>4</w:t>
      </w:r>
      <w:r w:rsidRPr="00583EFC">
        <w:t>.</w:t>
      </w:r>
      <w:r w:rsidR="00716A15" w:rsidRPr="00583EFC">
        <w:t xml:space="preserve"> </w:t>
      </w:r>
      <w:r w:rsidR="00D61BF0" w:rsidRPr="00583EFC">
        <w:t>However,</w:t>
      </w:r>
      <w:r w:rsidR="00067D0E" w:rsidRPr="00583EFC">
        <w:t xml:space="preserve"> </w:t>
      </w:r>
      <w:r w:rsidR="00D61BF0" w:rsidRPr="00583EFC">
        <w:t>it is</w:t>
      </w:r>
      <w:r w:rsidR="00067D0E" w:rsidRPr="00583EFC">
        <w:t xml:space="preserve"> slightly above the latest Commonwealth Government population forecast of growth of </w:t>
      </w:r>
      <w:r w:rsidR="00CC0AC3" w:rsidRPr="00583EFC">
        <w:t>1.</w:t>
      </w:r>
      <w:r w:rsidR="00D30A2C" w:rsidRPr="00583EFC">
        <w:t>7</w:t>
      </w:r>
      <w:r w:rsidR="006E48C1">
        <w:t xml:space="preserve"> percent</w:t>
      </w:r>
      <w:r w:rsidR="00067D0E" w:rsidRPr="00583EFC">
        <w:t xml:space="preserve"> in the ACT during 202</w:t>
      </w:r>
      <w:r w:rsidR="00CC0AC3" w:rsidRPr="00583EFC">
        <w:t>3-24</w:t>
      </w:r>
      <w:r w:rsidR="00067D0E" w:rsidRPr="00583EFC">
        <w:t xml:space="preserve"> </w:t>
      </w:r>
      <w:sdt>
        <w:sdtPr>
          <w:id w:val="-1646651174"/>
          <w:citation/>
        </w:sdtPr>
        <w:sdtContent>
          <w:r w:rsidR="00067D0E" w:rsidRPr="00583EFC">
            <w:fldChar w:fldCharType="begin"/>
          </w:r>
          <w:r w:rsidR="00B61212" w:rsidRPr="00583EFC">
            <w:instrText xml:space="preserve">CITATION Cen23 \l 3081 </w:instrText>
          </w:r>
          <w:r w:rsidR="00067D0E" w:rsidRPr="00583EFC">
            <w:fldChar w:fldCharType="separate"/>
          </w:r>
          <w:r w:rsidR="00874F23" w:rsidRPr="00583EFC">
            <w:rPr>
              <w:noProof/>
            </w:rPr>
            <w:t>(Centre for Population, 2024)</w:t>
          </w:r>
          <w:r w:rsidR="00067D0E" w:rsidRPr="00583EFC">
            <w:fldChar w:fldCharType="end"/>
          </w:r>
        </w:sdtContent>
      </w:sdt>
      <w:r w:rsidR="00067D0E" w:rsidRPr="00583EFC">
        <w:t>.</w:t>
      </w:r>
    </w:p>
    <w:p w14:paraId="39693EBD" w14:textId="628362CC" w:rsidR="001C5C2E" w:rsidRDefault="00100023" w:rsidP="00DC3CC0">
      <w:pPr>
        <w:pStyle w:val="BodyText"/>
      </w:pPr>
      <w:r w:rsidRPr="00583EFC">
        <w:t>The ACT Government</w:t>
      </w:r>
      <w:r w:rsidR="00B74532" w:rsidRPr="00583EFC">
        <w:t xml:space="preserve"> </w:t>
      </w:r>
      <w:sdt>
        <w:sdtPr>
          <w:id w:val="-1688821176"/>
          <w:citation/>
        </w:sdtPr>
        <w:sdtContent>
          <w:r w:rsidR="00FD2E73" w:rsidRPr="00583EFC">
            <w:fldChar w:fldCharType="begin"/>
          </w:r>
          <w:r w:rsidR="001105F9" w:rsidRPr="00583EFC">
            <w:instrText xml:space="preserve">CITATION ACT24 \n  \t  \l 3081 </w:instrText>
          </w:r>
          <w:r w:rsidR="00FD2E73" w:rsidRPr="00583EFC">
            <w:fldChar w:fldCharType="separate"/>
          </w:r>
          <w:r w:rsidR="00874F23" w:rsidRPr="00583EFC">
            <w:rPr>
              <w:noProof/>
            </w:rPr>
            <w:t>(2024)</w:t>
          </w:r>
          <w:r w:rsidR="00FD2E73" w:rsidRPr="00583EFC">
            <w:fldChar w:fldCharType="end"/>
          </w:r>
        </w:sdtContent>
      </w:sdt>
      <w:r w:rsidRPr="00583EFC">
        <w:t xml:space="preserve"> is </w:t>
      </w:r>
      <w:r w:rsidR="00B74532" w:rsidRPr="00583EFC">
        <w:t>forecastin</w:t>
      </w:r>
      <w:r w:rsidR="007F653A" w:rsidRPr="00583EFC">
        <w:t xml:space="preserve">g </w:t>
      </w:r>
      <w:r w:rsidR="00B74532" w:rsidRPr="00583EFC">
        <w:t xml:space="preserve">the ACT </w:t>
      </w:r>
      <w:r w:rsidRPr="00583EFC">
        <w:t xml:space="preserve">population </w:t>
      </w:r>
      <w:r w:rsidR="00B74532" w:rsidRPr="00583EFC">
        <w:t>to continue to</w:t>
      </w:r>
      <w:r w:rsidR="007F653A" w:rsidRPr="00583EFC">
        <w:t xml:space="preserve"> grow</w:t>
      </w:r>
      <w:r w:rsidR="001C5C2E" w:rsidRPr="00583EFC">
        <w:t xml:space="preserve"> at </w:t>
      </w:r>
      <w:r w:rsidR="007630B9" w:rsidRPr="00583EFC">
        <w:t>1¾</w:t>
      </w:r>
      <w:r w:rsidR="006E48C1">
        <w:t xml:space="preserve"> percent</w:t>
      </w:r>
      <w:r w:rsidR="001C5C2E" w:rsidRPr="00583EFC">
        <w:t xml:space="preserve"> in </w:t>
      </w:r>
      <w:r w:rsidR="007630B9" w:rsidRPr="00583EFC">
        <w:t xml:space="preserve">both </w:t>
      </w:r>
      <w:r w:rsidR="001C5C2E" w:rsidRPr="00583EFC">
        <w:t>202</w:t>
      </w:r>
      <w:r w:rsidR="007630B9" w:rsidRPr="00583EFC">
        <w:t>4</w:t>
      </w:r>
      <w:r w:rsidR="001C5C2E" w:rsidRPr="00583EFC">
        <w:t>-2</w:t>
      </w:r>
      <w:r w:rsidR="007630B9" w:rsidRPr="00583EFC">
        <w:t>5 and 2025-26</w:t>
      </w:r>
      <w:r w:rsidR="001C5C2E" w:rsidRPr="00583EFC">
        <w:t xml:space="preserve">, </w:t>
      </w:r>
      <w:r w:rsidR="007630B9" w:rsidRPr="00583EFC">
        <w:t xml:space="preserve">with the projections for </w:t>
      </w:r>
      <w:r w:rsidR="00AA67C5" w:rsidRPr="00583EFC">
        <w:t xml:space="preserve">ACT population </w:t>
      </w:r>
      <w:r w:rsidR="007630B9" w:rsidRPr="00583EFC">
        <w:t>growth also running at 1¾</w:t>
      </w:r>
      <w:r w:rsidR="00E054F4">
        <w:t> </w:t>
      </w:r>
      <w:r w:rsidR="006E48C1">
        <w:t>percent</w:t>
      </w:r>
      <w:r w:rsidR="007630B9" w:rsidRPr="00583EFC">
        <w:t xml:space="preserve"> </w:t>
      </w:r>
      <w:r w:rsidR="00AA67C5" w:rsidRPr="00583EFC">
        <w:t>in the out-years.</w:t>
      </w:r>
    </w:p>
    <w:p w14:paraId="781D3D9E" w14:textId="2776A366" w:rsidR="008A441B" w:rsidRDefault="00FA04C5" w:rsidP="00DC3CC0">
      <w:pPr>
        <w:pStyle w:val="BodyText"/>
      </w:pPr>
      <w:r>
        <w:t>T</w:t>
      </w:r>
      <w:r w:rsidR="007F653A">
        <w:t xml:space="preserve">he outlook for population growth presented by the </w:t>
      </w:r>
      <w:r w:rsidR="00FB7F9B">
        <w:t>ACT Government</w:t>
      </w:r>
      <w:r w:rsidR="0016739C">
        <w:t xml:space="preserve"> </w:t>
      </w:r>
      <w:sdt>
        <w:sdtPr>
          <w:id w:val="267520824"/>
          <w:citation/>
        </w:sdtPr>
        <w:sdtContent>
          <w:r w:rsidR="0016739C">
            <w:fldChar w:fldCharType="begin"/>
          </w:r>
          <w:r w:rsidR="0016739C">
            <w:instrText xml:space="preserve">CITATION ACT24 \n  \t  \l 3081 </w:instrText>
          </w:r>
          <w:r w:rsidR="0016739C">
            <w:fldChar w:fldCharType="separate"/>
          </w:r>
          <w:r w:rsidR="00874F23">
            <w:rPr>
              <w:noProof/>
            </w:rPr>
            <w:t>(2024)</w:t>
          </w:r>
          <w:r w:rsidR="0016739C">
            <w:fldChar w:fldCharType="end"/>
          </w:r>
        </w:sdtContent>
      </w:sdt>
      <w:r w:rsidR="00FB7F9B">
        <w:t xml:space="preserve"> </w:t>
      </w:r>
      <w:r w:rsidR="00893C3A">
        <w:t xml:space="preserve">is </w:t>
      </w:r>
      <w:r>
        <w:t>generally</w:t>
      </w:r>
      <w:r w:rsidR="00BB2A13">
        <w:t xml:space="preserve"> </w:t>
      </w:r>
      <w:r>
        <w:t>slightly higher than those prepared for the Commonwealth Government</w:t>
      </w:r>
      <w:r w:rsidR="00FB7F9B">
        <w:t xml:space="preserve"> </w:t>
      </w:r>
      <w:r>
        <w:t>b</w:t>
      </w:r>
      <w:r w:rsidR="00297BBA">
        <w:t xml:space="preserve">y </w:t>
      </w:r>
      <w:r w:rsidR="00FB7F9B">
        <w:t>the Centre for Population</w:t>
      </w:r>
      <w:r w:rsidR="00D6149A">
        <w:t xml:space="preserve"> </w:t>
      </w:r>
      <w:sdt>
        <w:sdtPr>
          <w:id w:val="-1215044803"/>
          <w:citation/>
        </w:sdtPr>
        <w:sdtContent>
          <w:r w:rsidR="00D6149A">
            <w:fldChar w:fldCharType="begin"/>
          </w:r>
          <w:r w:rsidR="00B61212">
            <w:instrText xml:space="preserve">CITATION Cen23 \p 6 \n  \t  \l 3081 </w:instrText>
          </w:r>
          <w:r w:rsidR="00D6149A">
            <w:fldChar w:fldCharType="separate"/>
          </w:r>
          <w:r w:rsidR="00874F23">
            <w:rPr>
              <w:noProof/>
            </w:rPr>
            <w:t>(2024, p. 6)</w:t>
          </w:r>
          <w:r w:rsidR="00D6149A">
            <w:fldChar w:fldCharType="end"/>
          </w:r>
        </w:sdtContent>
      </w:sdt>
      <w:r w:rsidR="00FB7F9B">
        <w:t>.</w:t>
      </w:r>
      <w:r w:rsidR="00297BBA">
        <w:t xml:space="preserve"> </w:t>
      </w:r>
      <w:r w:rsidR="001C040F">
        <w:t xml:space="preserve">The difference between ACT Government and the Centre for Population ACT population growth forecasts </w:t>
      </w:r>
      <w:r w:rsidR="00297BBA">
        <w:t>is</w:t>
      </w:r>
      <w:r w:rsidR="001C040F">
        <w:t xml:space="preserve"> outlined in </w:t>
      </w:r>
      <w:r w:rsidR="00417784">
        <w:fldChar w:fldCharType="begin"/>
      </w:r>
      <w:r w:rsidR="00417784">
        <w:instrText xml:space="preserve"> REF _Ref170907307 \h </w:instrText>
      </w:r>
      <w:r w:rsidR="00417784">
        <w:fldChar w:fldCharType="separate"/>
      </w:r>
      <w:r w:rsidR="000B62ED">
        <w:t xml:space="preserve">Figure </w:t>
      </w:r>
      <w:r w:rsidR="000B62ED">
        <w:rPr>
          <w:noProof/>
        </w:rPr>
        <w:t>8</w:t>
      </w:r>
      <w:r w:rsidR="00417784">
        <w:fldChar w:fldCharType="end"/>
      </w:r>
      <w:r w:rsidR="001C040F">
        <w:t xml:space="preserve"> below.</w:t>
      </w:r>
    </w:p>
    <w:p w14:paraId="1119830C" w14:textId="6CAED34A" w:rsidR="00D6149A" w:rsidRDefault="00D6149A" w:rsidP="00297BBA">
      <w:pPr>
        <w:pStyle w:val="Caption"/>
        <w:spacing w:before="0"/>
      </w:pPr>
      <w:bookmarkStart w:id="47" w:name="_Ref170907307"/>
      <w:bookmarkStart w:id="48" w:name="_Toc171949067"/>
      <w:r>
        <w:lastRenderedPageBreak/>
        <w:t xml:space="preserve">Figure </w:t>
      </w:r>
      <w:r>
        <w:fldChar w:fldCharType="begin"/>
      </w:r>
      <w:r>
        <w:instrText xml:space="preserve"> SEQ Figure \* ARABIC </w:instrText>
      </w:r>
      <w:r>
        <w:fldChar w:fldCharType="separate"/>
      </w:r>
      <w:r w:rsidR="000B62ED">
        <w:rPr>
          <w:noProof/>
        </w:rPr>
        <w:t>8</w:t>
      </w:r>
      <w:r>
        <w:rPr>
          <w:noProof/>
        </w:rPr>
        <w:fldChar w:fldCharType="end"/>
      </w:r>
      <w:bookmarkEnd w:id="47"/>
      <w:r>
        <w:t xml:space="preserve">: </w:t>
      </w:r>
      <w:r w:rsidR="001C040F">
        <w:t xml:space="preserve">ACT Government and Centre for Population ACT Population </w:t>
      </w:r>
      <w:r w:rsidR="00297BBA">
        <w:t>Growth Forecasts: 202</w:t>
      </w:r>
      <w:r w:rsidR="00BC1A81">
        <w:t>3</w:t>
      </w:r>
      <w:r w:rsidR="00297BBA">
        <w:t>-2</w:t>
      </w:r>
      <w:r w:rsidR="00BC1A81">
        <w:t>4</w:t>
      </w:r>
      <w:r w:rsidR="00297BBA">
        <w:t xml:space="preserve"> to 202</w:t>
      </w:r>
      <w:r w:rsidR="00BC1A81">
        <w:t>7</w:t>
      </w:r>
      <w:r w:rsidR="00297BBA">
        <w:t>-2</w:t>
      </w:r>
      <w:r w:rsidR="00BC1A81">
        <w:t>8</w:t>
      </w:r>
      <w:bookmarkEnd w:id="48"/>
    </w:p>
    <w:p w14:paraId="31249035" w14:textId="4C0B4C76" w:rsidR="008A441B" w:rsidRDefault="00AA7374" w:rsidP="00297BBA">
      <w:pPr>
        <w:pStyle w:val="BodyText"/>
        <w:spacing w:before="0"/>
      </w:pPr>
      <w:r w:rsidRPr="00AA7374">
        <w:rPr>
          <w:noProof/>
        </w:rPr>
        <w:t xml:space="preserve"> </w:t>
      </w:r>
      <w:r>
        <w:rPr>
          <w:noProof/>
        </w:rPr>
        <w:drawing>
          <wp:inline distT="0" distB="0" distL="0" distR="0" wp14:anchorId="32FEE7F8" wp14:editId="236F86FE">
            <wp:extent cx="5731510" cy="3737610"/>
            <wp:effectExtent l="0" t="0" r="0" b="0"/>
            <wp:docPr id="1053011468" name="Picture 1" descr="A graph of growth in blue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011468" name="Picture 1" descr="A graph of growth in blue and white&#10;&#10;Description automatically generated"/>
                    <pic:cNvPicPr/>
                  </pic:nvPicPr>
                  <pic:blipFill>
                    <a:blip r:embed="rId24"/>
                    <a:stretch>
                      <a:fillRect/>
                    </a:stretch>
                  </pic:blipFill>
                  <pic:spPr>
                    <a:xfrm>
                      <a:off x="0" y="0"/>
                      <a:ext cx="5731510" cy="3737610"/>
                    </a:xfrm>
                    <a:prstGeom prst="rect">
                      <a:avLst/>
                    </a:prstGeom>
                  </pic:spPr>
                </pic:pic>
              </a:graphicData>
            </a:graphic>
          </wp:inline>
        </w:drawing>
      </w:r>
      <w:r w:rsidR="00297BBA">
        <w:br/>
        <w:t xml:space="preserve">Sources: ACT Government </w:t>
      </w:r>
      <w:sdt>
        <w:sdtPr>
          <w:id w:val="-1124921398"/>
          <w:citation/>
        </w:sdtPr>
        <w:sdtContent>
          <w:r w:rsidR="00613879">
            <w:fldChar w:fldCharType="begin"/>
          </w:r>
          <w:r w:rsidR="001105F9">
            <w:instrText xml:space="preserve">CITATION ACT24 \n  \t  \l 3081 </w:instrText>
          </w:r>
          <w:r w:rsidR="00613879">
            <w:fldChar w:fldCharType="separate"/>
          </w:r>
          <w:r w:rsidR="00874F23">
            <w:rPr>
              <w:noProof/>
            </w:rPr>
            <w:t>(2024)</w:t>
          </w:r>
          <w:r w:rsidR="00613879">
            <w:fldChar w:fldCharType="end"/>
          </w:r>
        </w:sdtContent>
      </w:sdt>
      <w:r w:rsidR="00297BBA">
        <w:t xml:space="preserve"> and Centre for Population </w:t>
      </w:r>
      <w:sdt>
        <w:sdtPr>
          <w:id w:val="792709659"/>
          <w:citation/>
        </w:sdtPr>
        <w:sdtContent>
          <w:r w:rsidR="00297BBA">
            <w:fldChar w:fldCharType="begin"/>
          </w:r>
          <w:r w:rsidR="00CC0AC3">
            <w:instrText xml:space="preserve">CITATION Cen23 \n  \t  \l 3081 </w:instrText>
          </w:r>
          <w:r w:rsidR="00297BBA">
            <w:fldChar w:fldCharType="separate"/>
          </w:r>
          <w:r w:rsidR="00874F23">
            <w:rPr>
              <w:noProof/>
            </w:rPr>
            <w:t>(2024)</w:t>
          </w:r>
          <w:r w:rsidR="00297BBA">
            <w:fldChar w:fldCharType="end"/>
          </w:r>
        </w:sdtContent>
      </w:sdt>
      <w:r w:rsidR="00297BBA">
        <w:t>.</w:t>
      </w:r>
    </w:p>
    <w:p w14:paraId="01928B37" w14:textId="47396673" w:rsidR="007576B5" w:rsidRDefault="00185275" w:rsidP="00297BBA">
      <w:pPr>
        <w:pStyle w:val="BodyText"/>
        <w:spacing w:before="0"/>
      </w:pPr>
      <w:r>
        <w:t xml:space="preserve">While the population forecasts presented by the ACT Government may not be unreasonable, they may be </w:t>
      </w:r>
      <w:r w:rsidR="008A1A6A">
        <w:t xml:space="preserve">on the </w:t>
      </w:r>
      <w:r w:rsidR="00ED2E8F">
        <w:t>high side based on forecasts by the Centre for Population.</w:t>
      </w:r>
    </w:p>
    <w:p w14:paraId="23DFBD27" w14:textId="77777777" w:rsidR="003E0409" w:rsidRDefault="003E0409">
      <w:pPr>
        <w:rPr>
          <w:rFonts w:asciiTheme="majorHAnsi" w:eastAsiaTheme="majorEastAsia" w:hAnsiTheme="majorHAnsi" w:cstheme="majorBidi"/>
          <w:color w:val="2E74B5" w:themeColor="accent1" w:themeShade="BF"/>
          <w:sz w:val="32"/>
          <w:szCs w:val="32"/>
        </w:rPr>
      </w:pPr>
      <w:r>
        <w:br w:type="page"/>
      </w:r>
    </w:p>
    <w:p w14:paraId="3B015EAB" w14:textId="30532F34" w:rsidR="005A0CF7" w:rsidRDefault="0073739D" w:rsidP="006E48C1">
      <w:pPr>
        <w:pStyle w:val="Heading1"/>
      </w:pPr>
      <w:bookmarkStart w:id="49" w:name="_Toc171948996"/>
      <w:r>
        <w:lastRenderedPageBreak/>
        <w:t>3</w:t>
      </w:r>
      <w:r w:rsidR="00786E80">
        <w:t>.</w:t>
      </w:r>
      <w:r w:rsidR="00786E80">
        <w:tab/>
      </w:r>
      <w:r w:rsidR="00786E80" w:rsidRPr="00416558">
        <w:t>Fiscal Position</w:t>
      </w:r>
      <w:bookmarkEnd w:id="49"/>
    </w:p>
    <w:p w14:paraId="07175616" w14:textId="77777777" w:rsidR="006E48C1" w:rsidRPr="0085008A" w:rsidRDefault="006E48C1" w:rsidP="006E48C1">
      <w:pPr>
        <w:rPr>
          <w:i/>
          <w:iCs/>
          <w:color w:val="5B9BD5"/>
          <w:sz w:val="24"/>
          <w:szCs w:val="24"/>
        </w:rPr>
      </w:pPr>
      <w:r w:rsidRPr="0085008A">
        <w:rPr>
          <w:i/>
          <w:iCs/>
          <w:color w:val="5B9BD5"/>
          <w:sz w:val="24"/>
          <w:szCs w:val="24"/>
        </w:rPr>
        <w:t xml:space="preserve">The Budget forecasts a headline net operating deficit of $642.1 million in 2024-25, moving over the forward years to a surplus of $179.5 million by 2027-28. </w:t>
      </w:r>
    </w:p>
    <w:p w14:paraId="254E4962" w14:textId="77777777" w:rsidR="006E48C1" w:rsidRPr="0085008A" w:rsidRDefault="006E48C1" w:rsidP="006E48C1">
      <w:pPr>
        <w:rPr>
          <w:i/>
          <w:iCs/>
          <w:color w:val="5B9BD5"/>
          <w:sz w:val="24"/>
          <w:szCs w:val="24"/>
        </w:rPr>
      </w:pPr>
      <w:r w:rsidRPr="0085008A">
        <w:rPr>
          <w:i/>
          <w:iCs/>
          <w:color w:val="5B9BD5"/>
          <w:sz w:val="24"/>
          <w:szCs w:val="24"/>
        </w:rPr>
        <w:t>The ACT has a strong balance sheet, but that position is deteriorating over time.  Despite the forecast return to surplus in 2026-27, net debt and net financial liabilities are continuing to grow through the forecast period while net worth is falling.</w:t>
      </w:r>
    </w:p>
    <w:p w14:paraId="476201B4" w14:textId="77777777" w:rsidR="006E48C1" w:rsidRDefault="006E48C1" w:rsidP="006E48C1">
      <w:pPr>
        <w:pStyle w:val="Heading2"/>
      </w:pPr>
      <w:bookmarkStart w:id="50" w:name="_Toc171948997"/>
      <w:r>
        <w:t>3.1</w:t>
      </w:r>
      <w:r>
        <w:tab/>
        <w:t>Operating Statement - Headline Operating Balance</w:t>
      </w:r>
      <w:bookmarkEnd w:id="50"/>
    </w:p>
    <w:p w14:paraId="15E82CB6" w14:textId="77777777" w:rsidR="006E48C1" w:rsidRDefault="006E48C1" w:rsidP="006E48C1">
      <w:pPr>
        <w:spacing w:before="200" w:after="200"/>
        <w:rPr>
          <w:rFonts w:cstheme="minorHAnsi"/>
        </w:rPr>
      </w:pPr>
      <w:r>
        <w:rPr>
          <w:rFonts w:cstheme="minorHAnsi"/>
        </w:rPr>
        <w:t xml:space="preserve">The Budget Papers present a headline net operating deficit of $624.1 million in 2024-25, improving over the forward years to a surplus of $179.5 million by 2026-27.  </w:t>
      </w:r>
    </w:p>
    <w:p w14:paraId="0707FF30" w14:textId="702AEBEE" w:rsidR="006E48C1" w:rsidRDefault="006E48C1" w:rsidP="006E48C1">
      <w:pPr>
        <w:pStyle w:val="Caption"/>
      </w:pPr>
      <w:bookmarkStart w:id="51" w:name="_Toc453669092"/>
      <w:bookmarkStart w:id="52" w:name="_Toc453516086"/>
      <w:bookmarkStart w:id="53" w:name="_Toc453495087"/>
      <w:bookmarkStart w:id="54" w:name="_Toc485647917"/>
      <w:bookmarkStart w:id="55" w:name="_Toc110939288"/>
      <w:bookmarkStart w:id="56" w:name="_Toc171949050"/>
      <w:r>
        <w:t xml:space="preserve">Table </w:t>
      </w:r>
      <w:r>
        <w:fldChar w:fldCharType="begin"/>
      </w:r>
      <w:r>
        <w:instrText xml:space="preserve"> SEQ Table \* ARABIC </w:instrText>
      </w:r>
      <w:r>
        <w:fldChar w:fldCharType="separate"/>
      </w:r>
      <w:r w:rsidR="000B62ED">
        <w:rPr>
          <w:noProof/>
        </w:rPr>
        <w:t>2</w:t>
      </w:r>
      <w:r>
        <w:rPr>
          <w:noProof/>
        </w:rPr>
        <w:fldChar w:fldCharType="end"/>
      </w:r>
      <w:r>
        <w:t>: General Government Sector Headline Net Operating Balance</w:t>
      </w:r>
      <w:bookmarkEnd w:id="51"/>
      <w:bookmarkEnd w:id="52"/>
      <w:bookmarkEnd w:id="53"/>
      <w:bookmarkEnd w:id="54"/>
      <w:bookmarkEnd w:id="55"/>
      <w:bookmarkEnd w:id="56"/>
    </w:p>
    <w:tbl>
      <w:tblPr>
        <w:tblW w:w="9225" w:type="dxa"/>
        <w:tblLayout w:type="fixed"/>
        <w:tblLook w:val="01E0" w:firstRow="1" w:lastRow="1" w:firstColumn="1" w:lastColumn="1" w:noHBand="0" w:noVBand="0"/>
      </w:tblPr>
      <w:tblGrid>
        <w:gridCol w:w="3139"/>
        <w:gridCol w:w="1218"/>
        <w:gridCol w:w="1217"/>
        <w:gridCol w:w="1217"/>
        <w:gridCol w:w="1217"/>
        <w:gridCol w:w="1217"/>
      </w:tblGrid>
      <w:tr w:rsidR="006E48C1" w14:paraId="407B421B" w14:textId="77777777" w:rsidTr="002A0BB3">
        <w:trPr>
          <w:cantSplit/>
          <w:trHeight w:val="169"/>
        </w:trPr>
        <w:tc>
          <w:tcPr>
            <w:tcW w:w="3139" w:type="dxa"/>
            <w:tcBorders>
              <w:top w:val="single" w:sz="4" w:space="0" w:color="auto"/>
              <w:left w:val="nil"/>
              <w:bottom w:val="nil"/>
              <w:right w:val="nil"/>
            </w:tcBorders>
            <w:hideMark/>
          </w:tcPr>
          <w:p w14:paraId="58D58956" w14:textId="77777777" w:rsidR="006E48C1" w:rsidRDefault="006E48C1" w:rsidP="002A0BB3">
            <w:pPr>
              <w:keepNext/>
              <w:jc w:val="right"/>
              <w:rPr>
                <w:rFonts w:ascii="Calibri" w:hAnsi="Calibri" w:cs="Calibri"/>
                <w:color w:val="FFFFFF"/>
                <w:sz w:val="12"/>
                <w:szCs w:val="20"/>
              </w:rPr>
            </w:pPr>
            <w:r>
              <w:rPr>
                <w:rFonts w:ascii="Calibri" w:hAnsi="Calibri" w:cs="Calibri"/>
                <w:color w:val="FFFFFF"/>
                <w:sz w:val="12"/>
                <w:szCs w:val="20"/>
              </w:rPr>
              <w:t>Empty Cell</w:t>
            </w:r>
          </w:p>
        </w:tc>
        <w:tc>
          <w:tcPr>
            <w:tcW w:w="1218" w:type="dxa"/>
            <w:tcBorders>
              <w:top w:val="single" w:sz="4" w:space="0" w:color="auto"/>
              <w:left w:val="nil"/>
              <w:bottom w:val="nil"/>
              <w:right w:val="nil"/>
            </w:tcBorders>
            <w:hideMark/>
          </w:tcPr>
          <w:p w14:paraId="13028B3A" w14:textId="77777777" w:rsidR="006E48C1" w:rsidRDefault="006E48C1" w:rsidP="002A0BB3">
            <w:pPr>
              <w:keepNext/>
              <w:framePr w:wrap="around" w:vAnchor="text" w:hAnchor="text" w:y="1"/>
              <w:jc w:val="right"/>
              <w:rPr>
                <w:rFonts w:ascii="Calibri" w:hAnsi="Calibri"/>
                <w:b/>
                <w:sz w:val="20"/>
                <w:szCs w:val="20"/>
              </w:rPr>
            </w:pPr>
            <w:r>
              <w:rPr>
                <w:rFonts w:ascii="Calibri" w:hAnsi="Calibri"/>
                <w:b/>
                <w:sz w:val="20"/>
                <w:szCs w:val="20"/>
              </w:rPr>
              <w:t>2023-24</w:t>
            </w:r>
          </w:p>
          <w:p w14:paraId="63A3E185" w14:textId="77777777" w:rsidR="006E48C1" w:rsidRDefault="006E48C1" w:rsidP="002A0BB3">
            <w:pPr>
              <w:keepNext/>
              <w:framePr w:wrap="around" w:vAnchor="text" w:hAnchor="text" w:y="1"/>
              <w:jc w:val="right"/>
              <w:rPr>
                <w:rFonts w:ascii="Calibri" w:hAnsi="Calibri"/>
                <w:b/>
                <w:sz w:val="20"/>
                <w:szCs w:val="20"/>
              </w:rPr>
            </w:pPr>
            <w:r>
              <w:rPr>
                <w:rFonts w:ascii="Calibri" w:hAnsi="Calibri"/>
                <w:b/>
                <w:sz w:val="20"/>
                <w:szCs w:val="20"/>
              </w:rPr>
              <w:t>Est. outcome</w:t>
            </w:r>
          </w:p>
        </w:tc>
        <w:tc>
          <w:tcPr>
            <w:tcW w:w="1217" w:type="dxa"/>
            <w:tcBorders>
              <w:top w:val="single" w:sz="4" w:space="0" w:color="auto"/>
              <w:left w:val="nil"/>
              <w:bottom w:val="nil"/>
              <w:right w:val="nil"/>
            </w:tcBorders>
            <w:hideMark/>
          </w:tcPr>
          <w:p w14:paraId="210FA706" w14:textId="77777777" w:rsidR="006E48C1" w:rsidRDefault="006E48C1" w:rsidP="002A0BB3">
            <w:pPr>
              <w:keepNext/>
              <w:framePr w:wrap="around" w:vAnchor="text" w:hAnchor="text" w:y="1"/>
              <w:jc w:val="right"/>
              <w:rPr>
                <w:rFonts w:ascii="Calibri" w:hAnsi="Calibri"/>
                <w:b/>
                <w:sz w:val="20"/>
                <w:szCs w:val="20"/>
              </w:rPr>
            </w:pPr>
            <w:r>
              <w:rPr>
                <w:rFonts w:ascii="Calibri" w:hAnsi="Calibri"/>
                <w:b/>
                <w:sz w:val="20"/>
                <w:szCs w:val="20"/>
              </w:rPr>
              <w:t>2024-25</w:t>
            </w:r>
          </w:p>
          <w:p w14:paraId="708766BF" w14:textId="77777777" w:rsidR="006E48C1" w:rsidRDefault="006E48C1" w:rsidP="002A0BB3">
            <w:pPr>
              <w:keepNext/>
              <w:framePr w:wrap="around" w:vAnchor="text" w:hAnchor="text" w:y="1"/>
              <w:jc w:val="right"/>
              <w:rPr>
                <w:rFonts w:ascii="Calibri" w:hAnsi="Calibri"/>
                <w:b/>
                <w:sz w:val="20"/>
                <w:szCs w:val="20"/>
              </w:rPr>
            </w:pPr>
            <w:r>
              <w:rPr>
                <w:rFonts w:ascii="Calibri" w:hAnsi="Calibri"/>
                <w:b/>
                <w:sz w:val="20"/>
                <w:szCs w:val="20"/>
              </w:rPr>
              <w:t>Budget</w:t>
            </w:r>
          </w:p>
        </w:tc>
        <w:tc>
          <w:tcPr>
            <w:tcW w:w="1217" w:type="dxa"/>
            <w:tcBorders>
              <w:top w:val="single" w:sz="4" w:space="0" w:color="auto"/>
              <w:left w:val="nil"/>
              <w:bottom w:val="nil"/>
              <w:right w:val="nil"/>
            </w:tcBorders>
            <w:hideMark/>
          </w:tcPr>
          <w:p w14:paraId="157D97DD" w14:textId="77777777" w:rsidR="006E48C1" w:rsidRDefault="006E48C1" w:rsidP="002A0BB3">
            <w:pPr>
              <w:keepNext/>
              <w:framePr w:wrap="around" w:vAnchor="text" w:hAnchor="text" w:y="1"/>
              <w:jc w:val="right"/>
              <w:rPr>
                <w:rFonts w:ascii="Calibri" w:hAnsi="Calibri"/>
                <w:b/>
                <w:sz w:val="20"/>
                <w:szCs w:val="20"/>
              </w:rPr>
            </w:pPr>
            <w:r>
              <w:rPr>
                <w:rFonts w:ascii="Calibri" w:hAnsi="Calibri"/>
                <w:b/>
                <w:sz w:val="20"/>
                <w:szCs w:val="20"/>
              </w:rPr>
              <w:t>2025-26</w:t>
            </w:r>
          </w:p>
          <w:p w14:paraId="0E37B11C" w14:textId="77777777" w:rsidR="006E48C1" w:rsidRDefault="006E48C1" w:rsidP="002A0BB3">
            <w:pPr>
              <w:keepNext/>
              <w:framePr w:wrap="around" w:vAnchor="text" w:hAnchor="text" w:y="1"/>
              <w:jc w:val="right"/>
              <w:rPr>
                <w:rFonts w:ascii="Calibri" w:hAnsi="Calibri"/>
                <w:b/>
                <w:sz w:val="20"/>
                <w:szCs w:val="20"/>
              </w:rPr>
            </w:pPr>
            <w:r>
              <w:rPr>
                <w:rFonts w:ascii="Calibri" w:hAnsi="Calibri"/>
                <w:b/>
                <w:sz w:val="20"/>
                <w:szCs w:val="20"/>
              </w:rPr>
              <w:t>Estimate</w:t>
            </w:r>
          </w:p>
        </w:tc>
        <w:tc>
          <w:tcPr>
            <w:tcW w:w="1217" w:type="dxa"/>
            <w:tcBorders>
              <w:top w:val="single" w:sz="4" w:space="0" w:color="auto"/>
              <w:left w:val="nil"/>
              <w:bottom w:val="nil"/>
              <w:right w:val="nil"/>
            </w:tcBorders>
            <w:hideMark/>
          </w:tcPr>
          <w:p w14:paraId="09923F04" w14:textId="77777777" w:rsidR="006E48C1" w:rsidRDefault="006E48C1" w:rsidP="002A0BB3">
            <w:pPr>
              <w:keepNext/>
              <w:framePr w:wrap="around" w:vAnchor="text" w:hAnchor="text" w:y="1"/>
              <w:jc w:val="right"/>
              <w:rPr>
                <w:rFonts w:ascii="Calibri" w:hAnsi="Calibri"/>
                <w:b/>
                <w:sz w:val="20"/>
                <w:szCs w:val="20"/>
              </w:rPr>
            </w:pPr>
            <w:r>
              <w:rPr>
                <w:rFonts w:ascii="Calibri" w:hAnsi="Calibri"/>
                <w:b/>
                <w:sz w:val="20"/>
                <w:szCs w:val="20"/>
              </w:rPr>
              <w:t>2026-27</w:t>
            </w:r>
          </w:p>
          <w:p w14:paraId="4A8826A3" w14:textId="77777777" w:rsidR="006E48C1" w:rsidRDefault="006E48C1" w:rsidP="002A0BB3">
            <w:pPr>
              <w:keepNext/>
              <w:framePr w:wrap="around" w:vAnchor="text" w:hAnchor="text" w:y="1"/>
              <w:jc w:val="right"/>
              <w:rPr>
                <w:rFonts w:ascii="Calibri" w:hAnsi="Calibri"/>
                <w:b/>
                <w:sz w:val="20"/>
                <w:szCs w:val="20"/>
              </w:rPr>
            </w:pPr>
            <w:r>
              <w:rPr>
                <w:rFonts w:ascii="Calibri" w:hAnsi="Calibri"/>
                <w:b/>
                <w:sz w:val="20"/>
                <w:szCs w:val="20"/>
              </w:rPr>
              <w:t>Estimate</w:t>
            </w:r>
          </w:p>
        </w:tc>
        <w:tc>
          <w:tcPr>
            <w:tcW w:w="1217" w:type="dxa"/>
            <w:tcBorders>
              <w:top w:val="single" w:sz="4" w:space="0" w:color="auto"/>
              <w:left w:val="nil"/>
              <w:bottom w:val="nil"/>
              <w:right w:val="nil"/>
            </w:tcBorders>
            <w:hideMark/>
          </w:tcPr>
          <w:p w14:paraId="643F1F2B" w14:textId="77777777" w:rsidR="006E48C1" w:rsidRDefault="006E48C1" w:rsidP="002A0BB3">
            <w:pPr>
              <w:keepNext/>
              <w:framePr w:wrap="around" w:vAnchor="text" w:hAnchor="text" w:y="1"/>
              <w:jc w:val="right"/>
              <w:rPr>
                <w:rFonts w:ascii="Calibri" w:hAnsi="Calibri"/>
                <w:b/>
                <w:sz w:val="20"/>
                <w:szCs w:val="20"/>
              </w:rPr>
            </w:pPr>
            <w:r>
              <w:rPr>
                <w:rFonts w:ascii="Calibri" w:hAnsi="Calibri"/>
                <w:b/>
                <w:sz w:val="20"/>
                <w:szCs w:val="20"/>
              </w:rPr>
              <w:t>2027-28</w:t>
            </w:r>
          </w:p>
          <w:p w14:paraId="649B9A4C" w14:textId="77777777" w:rsidR="006E48C1" w:rsidRDefault="006E48C1" w:rsidP="002A0BB3">
            <w:pPr>
              <w:keepNext/>
              <w:framePr w:wrap="around" w:vAnchor="text" w:hAnchor="text" w:y="1"/>
              <w:jc w:val="right"/>
              <w:rPr>
                <w:rFonts w:ascii="Calibri" w:hAnsi="Calibri"/>
                <w:b/>
                <w:sz w:val="20"/>
                <w:szCs w:val="20"/>
              </w:rPr>
            </w:pPr>
            <w:r>
              <w:rPr>
                <w:rFonts w:ascii="Calibri" w:hAnsi="Calibri"/>
                <w:b/>
                <w:sz w:val="20"/>
                <w:szCs w:val="20"/>
              </w:rPr>
              <w:t>Estimate</w:t>
            </w:r>
          </w:p>
        </w:tc>
      </w:tr>
      <w:tr w:rsidR="006E48C1" w14:paraId="4E6EC0B1" w14:textId="77777777" w:rsidTr="002A0BB3">
        <w:trPr>
          <w:cantSplit/>
          <w:trHeight w:val="169"/>
        </w:trPr>
        <w:tc>
          <w:tcPr>
            <w:tcW w:w="3139" w:type="dxa"/>
            <w:tcBorders>
              <w:top w:val="nil"/>
              <w:left w:val="nil"/>
              <w:bottom w:val="single" w:sz="4" w:space="0" w:color="auto"/>
              <w:right w:val="nil"/>
            </w:tcBorders>
            <w:hideMark/>
          </w:tcPr>
          <w:p w14:paraId="53A3E03F" w14:textId="77777777" w:rsidR="006E48C1" w:rsidRDefault="006E48C1" w:rsidP="002A0BB3">
            <w:pPr>
              <w:keepNext/>
              <w:jc w:val="right"/>
              <w:rPr>
                <w:rFonts w:ascii="Calibri" w:hAnsi="Calibri" w:cs="Calibri"/>
                <w:color w:val="FFFFFF"/>
                <w:sz w:val="12"/>
                <w:szCs w:val="20"/>
              </w:rPr>
            </w:pPr>
            <w:r>
              <w:rPr>
                <w:rFonts w:ascii="Calibri" w:hAnsi="Calibri" w:cs="Calibri"/>
                <w:color w:val="FFFFFF"/>
                <w:sz w:val="12"/>
                <w:szCs w:val="20"/>
              </w:rPr>
              <w:t>Empty Cell</w:t>
            </w:r>
          </w:p>
        </w:tc>
        <w:tc>
          <w:tcPr>
            <w:tcW w:w="1218" w:type="dxa"/>
            <w:tcBorders>
              <w:top w:val="nil"/>
              <w:left w:val="nil"/>
              <w:bottom w:val="single" w:sz="4" w:space="0" w:color="auto"/>
              <w:right w:val="nil"/>
            </w:tcBorders>
            <w:hideMark/>
          </w:tcPr>
          <w:p w14:paraId="50DEB3F1" w14:textId="77777777" w:rsidR="006E48C1" w:rsidRDefault="006E48C1" w:rsidP="002A0BB3">
            <w:pPr>
              <w:keepNext/>
              <w:jc w:val="right"/>
              <w:rPr>
                <w:rFonts w:ascii="Calibri" w:hAnsi="Calibri"/>
                <w:b/>
                <w:sz w:val="20"/>
                <w:szCs w:val="20"/>
              </w:rPr>
            </w:pPr>
            <w:r>
              <w:rPr>
                <w:rFonts w:ascii="Calibri" w:hAnsi="Calibri"/>
                <w:b/>
                <w:sz w:val="20"/>
                <w:szCs w:val="20"/>
              </w:rPr>
              <w:t>$m</w:t>
            </w:r>
          </w:p>
        </w:tc>
        <w:tc>
          <w:tcPr>
            <w:tcW w:w="1217" w:type="dxa"/>
            <w:tcBorders>
              <w:top w:val="nil"/>
              <w:left w:val="nil"/>
              <w:bottom w:val="single" w:sz="4" w:space="0" w:color="auto"/>
              <w:right w:val="nil"/>
            </w:tcBorders>
            <w:hideMark/>
          </w:tcPr>
          <w:p w14:paraId="0AAA0357" w14:textId="77777777" w:rsidR="006E48C1" w:rsidRDefault="006E48C1" w:rsidP="002A0BB3">
            <w:pPr>
              <w:keepNext/>
              <w:jc w:val="right"/>
              <w:rPr>
                <w:rFonts w:ascii="Calibri" w:hAnsi="Calibri" w:cs="Calibri"/>
                <w:b/>
                <w:sz w:val="20"/>
                <w:szCs w:val="20"/>
              </w:rPr>
            </w:pPr>
            <w:r>
              <w:rPr>
                <w:rFonts w:ascii="Calibri" w:hAnsi="Calibri" w:cs="Calibri"/>
                <w:b/>
                <w:sz w:val="20"/>
                <w:szCs w:val="20"/>
              </w:rPr>
              <w:t>$m</w:t>
            </w:r>
          </w:p>
        </w:tc>
        <w:tc>
          <w:tcPr>
            <w:tcW w:w="1217" w:type="dxa"/>
            <w:tcBorders>
              <w:top w:val="nil"/>
              <w:left w:val="nil"/>
              <w:bottom w:val="single" w:sz="4" w:space="0" w:color="auto"/>
              <w:right w:val="nil"/>
            </w:tcBorders>
            <w:hideMark/>
          </w:tcPr>
          <w:p w14:paraId="374ECB77" w14:textId="77777777" w:rsidR="006E48C1" w:rsidRDefault="006E48C1" w:rsidP="002A0BB3">
            <w:pPr>
              <w:keepNext/>
              <w:jc w:val="right"/>
              <w:rPr>
                <w:rFonts w:ascii="Calibri" w:hAnsi="Calibri" w:cs="Calibri"/>
                <w:b/>
                <w:sz w:val="20"/>
                <w:szCs w:val="20"/>
              </w:rPr>
            </w:pPr>
            <w:r>
              <w:rPr>
                <w:rFonts w:ascii="Calibri" w:hAnsi="Calibri" w:cs="Calibri"/>
                <w:b/>
                <w:sz w:val="20"/>
                <w:szCs w:val="20"/>
              </w:rPr>
              <w:t>$m</w:t>
            </w:r>
          </w:p>
        </w:tc>
        <w:tc>
          <w:tcPr>
            <w:tcW w:w="1217" w:type="dxa"/>
            <w:tcBorders>
              <w:top w:val="nil"/>
              <w:left w:val="nil"/>
              <w:bottom w:val="single" w:sz="4" w:space="0" w:color="auto"/>
              <w:right w:val="nil"/>
            </w:tcBorders>
            <w:hideMark/>
          </w:tcPr>
          <w:p w14:paraId="64E06A2C" w14:textId="77777777" w:rsidR="006E48C1" w:rsidRDefault="006E48C1" w:rsidP="002A0BB3">
            <w:pPr>
              <w:keepNext/>
              <w:jc w:val="right"/>
              <w:rPr>
                <w:rFonts w:ascii="Calibri" w:hAnsi="Calibri" w:cs="Calibri"/>
                <w:b/>
                <w:sz w:val="20"/>
                <w:szCs w:val="20"/>
              </w:rPr>
            </w:pPr>
            <w:r>
              <w:rPr>
                <w:rFonts w:ascii="Calibri" w:hAnsi="Calibri" w:cs="Calibri"/>
                <w:b/>
                <w:sz w:val="20"/>
                <w:szCs w:val="20"/>
              </w:rPr>
              <w:t>$m</w:t>
            </w:r>
          </w:p>
        </w:tc>
        <w:tc>
          <w:tcPr>
            <w:tcW w:w="1217" w:type="dxa"/>
            <w:tcBorders>
              <w:top w:val="nil"/>
              <w:left w:val="nil"/>
              <w:bottom w:val="single" w:sz="4" w:space="0" w:color="auto"/>
              <w:right w:val="nil"/>
            </w:tcBorders>
            <w:hideMark/>
          </w:tcPr>
          <w:p w14:paraId="105600F0" w14:textId="77777777" w:rsidR="006E48C1" w:rsidRDefault="006E48C1" w:rsidP="002A0BB3">
            <w:pPr>
              <w:keepNext/>
              <w:jc w:val="right"/>
              <w:rPr>
                <w:rFonts w:ascii="Calibri" w:hAnsi="Calibri" w:cs="Calibri"/>
                <w:b/>
                <w:sz w:val="20"/>
                <w:szCs w:val="20"/>
              </w:rPr>
            </w:pPr>
            <w:r>
              <w:rPr>
                <w:rFonts w:ascii="Calibri" w:hAnsi="Calibri" w:cs="Calibri"/>
                <w:b/>
                <w:sz w:val="20"/>
                <w:szCs w:val="20"/>
              </w:rPr>
              <w:t>$m</w:t>
            </w:r>
          </w:p>
        </w:tc>
      </w:tr>
      <w:tr w:rsidR="006E48C1" w14:paraId="32AF3ABF" w14:textId="77777777" w:rsidTr="002A0BB3">
        <w:trPr>
          <w:cantSplit/>
          <w:trHeight w:val="169"/>
        </w:trPr>
        <w:tc>
          <w:tcPr>
            <w:tcW w:w="3139" w:type="dxa"/>
            <w:hideMark/>
          </w:tcPr>
          <w:p w14:paraId="09E32769" w14:textId="77777777" w:rsidR="006E48C1" w:rsidRDefault="006E48C1" w:rsidP="002A0BB3">
            <w:pPr>
              <w:keepNext/>
              <w:ind w:left="227" w:hanging="227"/>
              <w:rPr>
                <w:rFonts w:ascii="Calibri" w:hAnsi="Calibri"/>
                <w:bCs/>
                <w:sz w:val="20"/>
                <w:lang w:eastAsia="en-AU"/>
              </w:rPr>
            </w:pPr>
            <w:r>
              <w:rPr>
                <w:rFonts w:ascii="Calibri" w:hAnsi="Calibri"/>
                <w:bCs/>
                <w:sz w:val="20"/>
                <w:lang w:eastAsia="en-AU"/>
              </w:rPr>
              <w:t>Revenue</w:t>
            </w:r>
          </w:p>
        </w:tc>
        <w:tc>
          <w:tcPr>
            <w:tcW w:w="1218" w:type="dxa"/>
            <w:hideMark/>
          </w:tcPr>
          <w:p w14:paraId="6A6BAA34" w14:textId="77777777" w:rsidR="006E48C1" w:rsidRDefault="006E48C1" w:rsidP="002A0BB3">
            <w:pPr>
              <w:keepNext/>
              <w:ind w:left="227" w:hanging="227"/>
              <w:jc w:val="right"/>
              <w:rPr>
                <w:rFonts w:ascii="Calibri" w:hAnsi="Calibri"/>
                <w:sz w:val="20"/>
                <w:lang w:eastAsia="en-AU"/>
              </w:rPr>
            </w:pPr>
            <w:r>
              <w:rPr>
                <w:rFonts w:ascii="Calibri" w:hAnsi="Calibri"/>
                <w:sz w:val="20"/>
                <w:lang w:eastAsia="en-AU"/>
              </w:rPr>
              <w:t>7,482.1</w:t>
            </w:r>
          </w:p>
        </w:tc>
        <w:tc>
          <w:tcPr>
            <w:tcW w:w="1217" w:type="dxa"/>
            <w:hideMark/>
          </w:tcPr>
          <w:p w14:paraId="3F6D7C89" w14:textId="77777777" w:rsidR="006E48C1" w:rsidRDefault="006E48C1" w:rsidP="002A0BB3">
            <w:pPr>
              <w:keepNext/>
              <w:ind w:left="227" w:hanging="227"/>
              <w:jc w:val="right"/>
              <w:rPr>
                <w:rFonts w:ascii="Calibri" w:hAnsi="Calibri"/>
                <w:sz w:val="20"/>
                <w:lang w:eastAsia="en-AU"/>
              </w:rPr>
            </w:pPr>
            <w:r>
              <w:rPr>
                <w:rFonts w:ascii="Calibri" w:hAnsi="Calibri"/>
                <w:sz w:val="20"/>
                <w:lang w:eastAsia="en-AU"/>
              </w:rPr>
              <w:t>8,145.8</w:t>
            </w:r>
          </w:p>
        </w:tc>
        <w:tc>
          <w:tcPr>
            <w:tcW w:w="1217" w:type="dxa"/>
            <w:hideMark/>
          </w:tcPr>
          <w:p w14:paraId="664F5FF8" w14:textId="77777777" w:rsidR="006E48C1" w:rsidRDefault="006E48C1" w:rsidP="002A0BB3">
            <w:pPr>
              <w:keepNext/>
              <w:ind w:left="227" w:hanging="227"/>
              <w:jc w:val="right"/>
              <w:rPr>
                <w:rFonts w:ascii="Calibri" w:hAnsi="Calibri"/>
                <w:sz w:val="20"/>
                <w:lang w:eastAsia="en-AU"/>
              </w:rPr>
            </w:pPr>
            <w:r>
              <w:rPr>
                <w:rFonts w:ascii="Calibri" w:hAnsi="Calibri"/>
                <w:sz w:val="20"/>
                <w:lang w:eastAsia="en-AU"/>
              </w:rPr>
              <w:t>8,742.1</w:t>
            </w:r>
          </w:p>
        </w:tc>
        <w:tc>
          <w:tcPr>
            <w:tcW w:w="1217" w:type="dxa"/>
            <w:hideMark/>
          </w:tcPr>
          <w:p w14:paraId="0E21A2E2" w14:textId="77777777" w:rsidR="006E48C1" w:rsidRDefault="006E48C1" w:rsidP="002A0BB3">
            <w:pPr>
              <w:keepNext/>
              <w:ind w:left="227" w:hanging="227"/>
              <w:jc w:val="right"/>
              <w:rPr>
                <w:rFonts w:ascii="Calibri" w:hAnsi="Calibri"/>
                <w:sz w:val="20"/>
                <w:lang w:eastAsia="en-AU"/>
              </w:rPr>
            </w:pPr>
            <w:r>
              <w:rPr>
                <w:rFonts w:ascii="Calibri" w:hAnsi="Calibri"/>
                <w:sz w:val="20"/>
                <w:lang w:eastAsia="en-AU"/>
              </w:rPr>
              <w:t>9,258.7</w:t>
            </w:r>
          </w:p>
        </w:tc>
        <w:tc>
          <w:tcPr>
            <w:tcW w:w="1217" w:type="dxa"/>
            <w:hideMark/>
          </w:tcPr>
          <w:p w14:paraId="3B728042" w14:textId="77777777" w:rsidR="006E48C1" w:rsidRDefault="006E48C1" w:rsidP="002A0BB3">
            <w:pPr>
              <w:keepNext/>
              <w:ind w:left="227" w:hanging="227"/>
              <w:jc w:val="right"/>
              <w:rPr>
                <w:rFonts w:ascii="Calibri" w:hAnsi="Calibri"/>
                <w:sz w:val="20"/>
                <w:lang w:eastAsia="en-AU"/>
              </w:rPr>
            </w:pPr>
            <w:r>
              <w:rPr>
                <w:rFonts w:ascii="Calibri" w:hAnsi="Calibri"/>
                <w:sz w:val="20"/>
                <w:lang w:eastAsia="en-AU"/>
              </w:rPr>
              <w:t>9,668.6</w:t>
            </w:r>
          </w:p>
        </w:tc>
      </w:tr>
      <w:tr w:rsidR="006E48C1" w14:paraId="4EEDE0A2" w14:textId="77777777" w:rsidTr="002A0BB3">
        <w:trPr>
          <w:cantSplit/>
          <w:trHeight w:val="169"/>
        </w:trPr>
        <w:tc>
          <w:tcPr>
            <w:tcW w:w="3139" w:type="dxa"/>
            <w:hideMark/>
          </w:tcPr>
          <w:p w14:paraId="076D71E7" w14:textId="77777777" w:rsidR="006E48C1" w:rsidRDefault="006E48C1" w:rsidP="002A0BB3">
            <w:pPr>
              <w:keepNext/>
              <w:ind w:left="227" w:hanging="227"/>
              <w:rPr>
                <w:rFonts w:ascii="Calibri" w:hAnsi="Calibri"/>
                <w:bCs/>
                <w:sz w:val="20"/>
                <w:lang w:eastAsia="en-AU"/>
              </w:rPr>
            </w:pPr>
            <w:r>
              <w:rPr>
                <w:rFonts w:ascii="Calibri" w:hAnsi="Calibri"/>
                <w:bCs/>
                <w:sz w:val="20"/>
                <w:lang w:eastAsia="en-AU"/>
              </w:rPr>
              <w:t>Expenses</w:t>
            </w:r>
          </w:p>
        </w:tc>
        <w:tc>
          <w:tcPr>
            <w:tcW w:w="1218" w:type="dxa"/>
            <w:hideMark/>
          </w:tcPr>
          <w:p w14:paraId="0CB76D75" w14:textId="77777777" w:rsidR="006E48C1" w:rsidRDefault="006E48C1" w:rsidP="002A0BB3">
            <w:pPr>
              <w:keepNext/>
              <w:ind w:left="227" w:hanging="227"/>
              <w:jc w:val="right"/>
              <w:rPr>
                <w:rFonts w:ascii="Calibri" w:hAnsi="Calibri"/>
                <w:sz w:val="20"/>
                <w:lang w:eastAsia="en-AU"/>
              </w:rPr>
            </w:pPr>
            <w:r>
              <w:rPr>
                <w:rFonts w:ascii="Calibri" w:hAnsi="Calibri"/>
                <w:sz w:val="20"/>
                <w:lang w:eastAsia="en-AU"/>
              </w:rPr>
              <w:t>8,562.2</w:t>
            </w:r>
          </w:p>
        </w:tc>
        <w:tc>
          <w:tcPr>
            <w:tcW w:w="1217" w:type="dxa"/>
            <w:hideMark/>
          </w:tcPr>
          <w:p w14:paraId="73EEE05E" w14:textId="77777777" w:rsidR="006E48C1" w:rsidRDefault="006E48C1" w:rsidP="002A0BB3">
            <w:pPr>
              <w:keepNext/>
              <w:ind w:left="227" w:hanging="227"/>
              <w:jc w:val="right"/>
              <w:rPr>
                <w:rFonts w:ascii="Calibri" w:hAnsi="Calibri"/>
                <w:sz w:val="20"/>
                <w:lang w:eastAsia="en-AU"/>
              </w:rPr>
            </w:pPr>
            <w:r>
              <w:rPr>
                <w:rFonts w:ascii="Calibri" w:hAnsi="Calibri"/>
                <w:sz w:val="20"/>
                <w:lang w:eastAsia="en-AU"/>
              </w:rPr>
              <w:t>9,000.8</w:t>
            </w:r>
          </w:p>
        </w:tc>
        <w:tc>
          <w:tcPr>
            <w:tcW w:w="1217" w:type="dxa"/>
            <w:hideMark/>
          </w:tcPr>
          <w:p w14:paraId="2E225F33" w14:textId="77777777" w:rsidR="006E48C1" w:rsidRDefault="006E48C1" w:rsidP="002A0BB3">
            <w:pPr>
              <w:keepNext/>
              <w:ind w:left="227" w:hanging="227"/>
              <w:jc w:val="right"/>
              <w:rPr>
                <w:rFonts w:ascii="Calibri" w:hAnsi="Calibri"/>
                <w:sz w:val="20"/>
                <w:lang w:eastAsia="en-AU"/>
              </w:rPr>
            </w:pPr>
            <w:r>
              <w:rPr>
                <w:rFonts w:ascii="Calibri" w:hAnsi="Calibri"/>
                <w:sz w:val="20"/>
                <w:lang w:eastAsia="en-AU"/>
              </w:rPr>
              <w:t>9,137.9</w:t>
            </w:r>
          </w:p>
        </w:tc>
        <w:tc>
          <w:tcPr>
            <w:tcW w:w="1217" w:type="dxa"/>
            <w:hideMark/>
          </w:tcPr>
          <w:p w14:paraId="77AAF47A" w14:textId="77777777" w:rsidR="006E48C1" w:rsidRDefault="006E48C1" w:rsidP="002A0BB3">
            <w:pPr>
              <w:keepNext/>
              <w:ind w:left="227" w:hanging="227"/>
              <w:jc w:val="right"/>
              <w:rPr>
                <w:rFonts w:ascii="Calibri" w:hAnsi="Calibri"/>
                <w:sz w:val="20"/>
                <w:lang w:eastAsia="en-AU"/>
              </w:rPr>
            </w:pPr>
            <w:r>
              <w:rPr>
                <w:rFonts w:ascii="Calibri" w:hAnsi="Calibri"/>
                <w:sz w:val="20"/>
                <w:lang w:eastAsia="en-AU"/>
              </w:rPr>
              <w:t>9,445.9</w:t>
            </w:r>
          </w:p>
        </w:tc>
        <w:tc>
          <w:tcPr>
            <w:tcW w:w="1217" w:type="dxa"/>
            <w:hideMark/>
          </w:tcPr>
          <w:p w14:paraId="7471DB10" w14:textId="77777777" w:rsidR="006E48C1" w:rsidRDefault="006E48C1" w:rsidP="002A0BB3">
            <w:pPr>
              <w:keepNext/>
              <w:ind w:left="227" w:hanging="227"/>
              <w:jc w:val="right"/>
              <w:rPr>
                <w:rFonts w:ascii="Calibri" w:hAnsi="Calibri"/>
                <w:sz w:val="20"/>
                <w:lang w:eastAsia="en-AU"/>
              </w:rPr>
            </w:pPr>
            <w:r>
              <w:rPr>
                <w:rFonts w:ascii="Calibri" w:hAnsi="Calibri"/>
                <w:sz w:val="20"/>
                <w:lang w:eastAsia="en-AU"/>
              </w:rPr>
              <w:t>9,776.1</w:t>
            </w:r>
          </w:p>
        </w:tc>
      </w:tr>
      <w:tr w:rsidR="006E48C1" w14:paraId="227E87CE" w14:textId="77777777" w:rsidTr="002A0BB3">
        <w:trPr>
          <w:cantSplit/>
          <w:trHeight w:val="169"/>
        </w:trPr>
        <w:tc>
          <w:tcPr>
            <w:tcW w:w="3139" w:type="dxa"/>
            <w:hideMark/>
          </w:tcPr>
          <w:p w14:paraId="16CF8F61" w14:textId="77777777" w:rsidR="006E48C1" w:rsidRDefault="006E48C1" w:rsidP="002A0BB3">
            <w:pPr>
              <w:keepNext/>
              <w:ind w:left="227" w:hanging="227"/>
              <w:rPr>
                <w:rFonts w:ascii="Calibri" w:hAnsi="Calibri"/>
                <w:bCs/>
                <w:sz w:val="20"/>
                <w:szCs w:val="18"/>
                <w:lang w:eastAsia="en-AU"/>
              </w:rPr>
            </w:pPr>
            <w:r>
              <w:rPr>
                <w:rFonts w:ascii="Calibri" w:hAnsi="Calibri"/>
                <w:bCs/>
                <w:sz w:val="20"/>
                <w:lang w:eastAsia="en-AU"/>
              </w:rPr>
              <w:t>Superannuation return adjustment</w:t>
            </w:r>
            <w:r>
              <w:rPr>
                <w:rFonts w:ascii="Calibri" w:hAnsi="Calibri"/>
                <w:bCs/>
                <w:sz w:val="20"/>
                <w:szCs w:val="18"/>
                <w:lang w:eastAsia="en-AU"/>
              </w:rPr>
              <w:t xml:space="preserve"> </w:t>
            </w:r>
          </w:p>
        </w:tc>
        <w:tc>
          <w:tcPr>
            <w:tcW w:w="1218" w:type="dxa"/>
            <w:hideMark/>
          </w:tcPr>
          <w:p w14:paraId="33BC3EA0" w14:textId="77777777" w:rsidR="006E48C1" w:rsidRDefault="006E48C1" w:rsidP="002A0BB3">
            <w:pPr>
              <w:keepNext/>
              <w:ind w:left="227" w:hanging="227"/>
              <w:jc w:val="right"/>
              <w:rPr>
                <w:rFonts w:ascii="Calibri" w:hAnsi="Calibri"/>
                <w:sz w:val="20"/>
                <w:lang w:eastAsia="en-AU"/>
              </w:rPr>
            </w:pPr>
            <w:r>
              <w:rPr>
                <w:rFonts w:ascii="Calibri" w:hAnsi="Calibri"/>
                <w:sz w:val="20"/>
                <w:lang w:eastAsia="en-AU"/>
              </w:rPr>
              <w:t>249.3</w:t>
            </w:r>
          </w:p>
        </w:tc>
        <w:tc>
          <w:tcPr>
            <w:tcW w:w="1217" w:type="dxa"/>
            <w:hideMark/>
          </w:tcPr>
          <w:p w14:paraId="57BB576A" w14:textId="77777777" w:rsidR="006E48C1" w:rsidRDefault="006E48C1" w:rsidP="002A0BB3">
            <w:pPr>
              <w:keepNext/>
              <w:ind w:left="227" w:hanging="227"/>
              <w:jc w:val="right"/>
              <w:rPr>
                <w:rFonts w:ascii="Calibri" w:hAnsi="Calibri"/>
                <w:sz w:val="20"/>
                <w:lang w:eastAsia="en-AU"/>
              </w:rPr>
            </w:pPr>
            <w:r>
              <w:rPr>
                <w:rFonts w:ascii="Calibri" w:hAnsi="Calibri"/>
                <w:sz w:val="20"/>
                <w:lang w:eastAsia="en-AU"/>
              </w:rPr>
              <w:t>230.9</w:t>
            </w:r>
          </w:p>
        </w:tc>
        <w:tc>
          <w:tcPr>
            <w:tcW w:w="1217" w:type="dxa"/>
            <w:hideMark/>
          </w:tcPr>
          <w:p w14:paraId="49156ECD" w14:textId="77777777" w:rsidR="006E48C1" w:rsidRDefault="006E48C1" w:rsidP="002A0BB3">
            <w:pPr>
              <w:keepNext/>
              <w:ind w:left="227" w:hanging="227"/>
              <w:jc w:val="right"/>
              <w:rPr>
                <w:rFonts w:ascii="Calibri" w:hAnsi="Calibri"/>
                <w:sz w:val="20"/>
                <w:lang w:eastAsia="en-AU"/>
              </w:rPr>
            </w:pPr>
            <w:r>
              <w:rPr>
                <w:rFonts w:ascii="Calibri" w:hAnsi="Calibri"/>
                <w:sz w:val="20"/>
                <w:lang w:eastAsia="en-AU"/>
              </w:rPr>
              <w:t>248.3</w:t>
            </w:r>
          </w:p>
        </w:tc>
        <w:tc>
          <w:tcPr>
            <w:tcW w:w="1217" w:type="dxa"/>
            <w:hideMark/>
          </w:tcPr>
          <w:p w14:paraId="56487A86" w14:textId="77777777" w:rsidR="006E48C1" w:rsidRDefault="006E48C1" w:rsidP="002A0BB3">
            <w:pPr>
              <w:keepNext/>
              <w:ind w:left="227" w:hanging="227"/>
              <w:jc w:val="right"/>
              <w:rPr>
                <w:rFonts w:ascii="Calibri" w:hAnsi="Calibri"/>
                <w:sz w:val="20"/>
                <w:lang w:eastAsia="en-AU"/>
              </w:rPr>
            </w:pPr>
            <w:r>
              <w:rPr>
                <w:rFonts w:ascii="Calibri" w:hAnsi="Calibri"/>
                <w:sz w:val="20"/>
                <w:lang w:eastAsia="en-AU"/>
              </w:rPr>
              <w:t>267.0</w:t>
            </w:r>
          </w:p>
        </w:tc>
        <w:tc>
          <w:tcPr>
            <w:tcW w:w="1217" w:type="dxa"/>
            <w:hideMark/>
          </w:tcPr>
          <w:p w14:paraId="35914E88" w14:textId="77777777" w:rsidR="006E48C1" w:rsidRDefault="006E48C1" w:rsidP="002A0BB3">
            <w:pPr>
              <w:keepNext/>
              <w:ind w:left="227" w:hanging="227"/>
              <w:jc w:val="right"/>
              <w:rPr>
                <w:rFonts w:ascii="Calibri" w:hAnsi="Calibri"/>
                <w:sz w:val="20"/>
                <w:lang w:eastAsia="en-AU"/>
              </w:rPr>
            </w:pPr>
            <w:r>
              <w:rPr>
                <w:rFonts w:ascii="Calibri" w:hAnsi="Calibri"/>
                <w:sz w:val="20"/>
                <w:lang w:eastAsia="en-AU"/>
              </w:rPr>
              <w:t>287.0</w:t>
            </w:r>
          </w:p>
        </w:tc>
      </w:tr>
      <w:tr w:rsidR="006E48C1" w14:paraId="651B1769" w14:textId="77777777" w:rsidTr="002A0BB3">
        <w:trPr>
          <w:cantSplit/>
          <w:trHeight w:val="169"/>
        </w:trPr>
        <w:tc>
          <w:tcPr>
            <w:tcW w:w="3139" w:type="dxa"/>
            <w:tcBorders>
              <w:top w:val="single" w:sz="4" w:space="0" w:color="auto"/>
              <w:left w:val="nil"/>
              <w:bottom w:val="single" w:sz="4" w:space="0" w:color="auto"/>
              <w:right w:val="nil"/>
            </w:tcBorders>
            <w:hideMark/>
          </w:tcPr>
          <w:p w14:paraId="6B2CBFDA" w14:textId="77777777" w:rsidR="006E48C1" w:rsidRDefault="006E48C1" w:rsidP="002A0BB3">
            <w:pPr>
              <w:keepNext/>
              <w:ind w:left="227" w:hanging="227"/>
              <w:rPr>
                <w:rFonts w:ascii="Calibri" w:hAnsi="Calibri"/>
                <w:b/>
                <w:bCs/>
                <w:sz w:val="20"/>
                <w:lang w:eastAsia="en-AU"/>
              </w:rPr>
            </w:pPr>
            <w:r>
              <w:rPr>
                <w:rFonts w:ascii="Calibri" w:hAnsi="Calibri"/>
                <w:b/>
                <w:bCs/>
                <w:sz w:val="20"/>
                <w:lang w:eastAsia="en-AU"/>
              </w:rPr>
              <w:t>HEADLINE NET OPERATING BALANCE</w:t>
            </w:r>
          </w:p>
        </w:tc>
        <w:tc>
          <w:tcPr>
            <w:tcW w:w="1218" w:type="dxa"/>
            <w:tcBorders>
              <w:top w:val="single" w:sz="4" w:space="0" w:color="auto"/>
              <w:left w:val="nil"/>
              <w:bottom w:val="single" w:sz="4" w:space="0" w:color="auto"/>
              <w:right w:val="nil"/>
            </w:tcBorders>
            <w:hideMark/>
          </w:tcPr>
          <w:p w14:paraId="2EC8FC1E" w14:textId="77777777" w:rsidR="006E48C1" w:rsidRDefault="006E48C1" w:rsidP="002A0BB3">
            <w:pPr>
              <w:keepNext/>
              <w:ind w:left="227" w:hanging="227"/>
              <w:jc w:val="right"/>
              <w:rPr>
                <w:rFonts w:ascii="Calibri" w:hAnsi="Calibri"/>
                <w:b/>
                <w:sz w:val="20"/>
                <w:lang w:eastAsia="en-AU"/>
              </w:rPr>
            </w:pPr>
            <w:r>
              <w:rPr>
                <w:rFonts w:ascii="Calibri" w:hAnsi="Calibri"/>
                <w:b/>
                <w:sz w:val="20"/>
                <w:lang w:eastAsia="en-AU"/>
              </w:rPr>
              <w:t>-830.8</w:t>
            </w:r>
          </w:p>
        </w:tc>
        <w:tc>
          <w:tcPr>
            <w:tcW w:w="1217" w:type="dxa"/>
            <w:tcBorders>
              <w:top w:val="single" w:sz="4" w:space="0" w:color="auto"/>
              <w:left w:val="nil"/>
              <w:bottom w:val="single" w:sz="4" w:space="0" w:color="auto"/>
              <w:right w:val="nil"/>
            </w:tcBorders>
            <w:hideMark/>
          </w:tcPr>
          <w:p w14:paraId="6F7CD05B" w14:textId="77777777" w:rsidR="006E48C1" w:rsidRDefault="006E48C1" w:rsidP="002A0BB3">
            <w:pPr>
              <w:keepNext/>
              <w:ind w:left="227" w:hanging="227"/>
              <w:jc w:val="right"/>
              <w:rPr>
                <w:rFonts w:ascii="Calibri" w:hAnsi="Calibri"/>
                <w:b/>
                <w:sz w:val="20"/>
                <w:lang w:eastAsia="en-AU"/>
              </w:rPr>
            </w:pPr>
            <w:r>
              <w:rPr>
                <w:rFonts w:ascii="Calibri" w:hAnsi="Calibri"/>
                <w:b/>
                <w:sz w:val="20"/>
                <w:lang w:eastAsia="en-AU"/>
              </w:rPr>
              <w:t>-624.1</w:t>
            </w:r>
          </w:p>
        </w:tc>
        <w:tc>
          <w:tcPr>
            <w:tcW w:w="1217" w:type="dxa"/>
            <w:tcBorders>
              <w:top w:val="single" w:sz="4" w:space="0" w:color="auto"/>
              <w:left w:val="nil"/>
              <w:bottom w:val="single" w:sz="4" w:space="0" w:color="auto"/>
              <w:right w:val="nil"/>
            </w:tcBorders>
            <w:hideMark/>
          </w:tcPr>
          <w:p w14:paraId="22521B83" w14:textId="77777777" w:rsidR="006E48C1" w:rsidRDefault="006E48C1" w:rsidP="002A0BB3">
            <w:pPr>
              <w:keepNext/>
              <w:ind w:left="227" w:hanging="227"/>
              <w:jc w:val="right"/>
              <w:rPr>
                <w:rFonts w:ascii="Calibri" w:hAnsi="Calibri"/>
                <w:b/>
                <w:sz w:val="20"/>
                <w:lang w:eastAsia="en-AU"/>
              </w:rPr>
            </w:pPr>
            <w:r>
              <w:rPr>
                <w:rFonts w:ascii="Calibri" w:hAnsi="Calibri"/>
                <w:b/>
                <w:sz w:val="20"/>
                <w:lang w:eastAsia="en-AU"/>
              </w:rPr>
              <w:t>-147.6</w:t>
            </w:r>
          </w:p>
        </w:tc>
        <w:tc>
          <w:tcPr>
            <w:tcW w:w="1217" w:type="dxa"/>
            <w:tcBorders>
              <w:top w:val="single" w:sz="4" w:space="0" w:color="auto"/>
              <w:left w:val="nil"/>
              <w:bottom w:val="single" w:sz="4" w:space="0" w:color="auto"/>
              <w:right w:val="nil"/>
            </w:tcBorders>
            <w:hideMark/>
          </w:tcPr>
          <w:p w14:paraId="42F62C28" w14:textId="77777777" w:rsidR="006E48C1" w:rsidRDefault="006E48C1" w:rsidP="002A0BB3">
            <w:pPr>
              <w:keepNext/>
              <w:ind w:left="227" w:hanging="227"/>
              <w:jc w:val="right"/>
              <w:rPr>
                <w:rFonts w:ascii="Calibri" w:hAnsi="Calibri"/>
                <w:b/>
                <w:sz w:val="20"/>
                <w:lang w:eastAsia="en-AU"/>
              </w:rPr>
            </w:pPr>
            <w:r>
              <w:rPr>
                <w:rFonts w:ascii="Calibri" w:hAnsi="Calibri"/>
                <w:b/>
                <w:sz w:val="20"/>
                <w:lang w:eastAsia="en-AU"/>
              </w:rPr>
              <w:t>79.7</w:t>
            </w:r>
          </w:p>
        </w:tc>
        <w:tc>
          <w:tcPr>
            <w:tcW w:w="1217" w:type="dxa"/>
            <w:tcBorders>
              <w:top w:val="single" w:sz="4" w:space="0" w:color="auto"/>
              <w:left w:val="nil"/>
              <w:bottom w:val="single" w:sz="4" w:space="0" w:color="auto"/>
              <w:right w:val="nil"/>
            </w:tcBorders>
            <w:hideMark/>
          </w:tcPr>
          <w:p w14:paraId="7908E3E1" w14:textId="77777777" w:rsidR="006E48C1" w:rsidRDefault="006E48C1" w:rsidP="002A0BB3">
            <w:pPr>
              <w:keepNext/>
              <w:ind w:left="227" w:hanging="227"/>
              <w:jc w:val="right"/>
              <w:rPr>
                <w:rFonts w:ascii="Calibri" w:hAnsi="Calibri"/>
                <w:b/>
                <w:sz w:val="20"/>
                <w:lang w:eastAsia="en-AU"/>
              </w:rPr>
            </w:pPr>
            <w:r>
              <w:rPr>
                <w:rFonts w:ascii="Calibri" w:hAnsi="Calibri"/>
                <w:b/>
                <w:sz w:val="20"/>
                <w:lang w:eastAsia="en-AU"/>
              </w:rPr>
              <w:t>179.5</w:t>
            </w:r>
          </w:p>
        </w:tc>
      </w:tr>
    </w:tbl>
    <w:p w14:paraId="5B5E0DE8" w14:textId="77777777" w:rsidR="006E48C1" w:rsidRDefault="006E48C1" w:rsidP="006E48C1">
      <w:pPr>
        <w:spacing w:before="0" w:after="200"/>
        <w:rPr>
          <w:noProof/>
          <w:sz w:val="20"/>
          <w:szCs w:val="20"/>
        </w:rPr>
      </w:pPr>
      <w:r>
        <w:rPr>
          <w:sz w:val="20"/>
          <w:szCs w:val="20"/>
        </w:rPr>
        <w:t xml:space="preserve">Source: ACT </w:t>
      </w:r>
      <w:r w:rsidRPr="005A0CF7">
        <w:rPr>
          <w:sz w:val="20"/>
          <w:szCs w:val="20"/>
        </w:rPr>
        <w:t xml:space="preserve">Government </w:t>
      </w:r>
      <w:r>
        <w:rPr>
          <w:sz w:val="20"/>
          <w:szCs w:val="20"/>
        </w:rPr>
        <w:t>Budget 2024, Table 1.1.2</w:t>
      </w:r>
    </w:p>
    <w:p w14:paraId="4248534D" w14:textId="77777777" w:rsidR="006E48C1" w:rsidRDefault="006E48C1" w:rsidP="006E48C1">
      <w:pPr>
        <w:spacing w:after="200"/>
        <w:rPr>
          <w:noProof/>
        </w:rPr>
      </w:pPr>
      <w:r>
        <w:rPr>
          <w:noProof/>
        </w:rPr>
        <w:t xml:space="preserve">The forecast Headline Net Operating Balance in this year’s Budget is worse for each of the Budget and forward years than forecast in the 2023-24 Budget, and the return to surplus is one year later than previously forecast. </w:t>
      </w:r>
    </w:p>
    <w:p w14:paraId="6BB07887" w14:textId="77777777" w:rsidR="006E48C1" w:rsidRDefault="006E48C1" w:rsidP="006E48C1">
      <w:pPr>
        <w:spacing w:after="200"/>
        <w:rPr>
          <w:rFonts w:cstheme="minorHAnsi"/>
        </w:rPr>
      </w:pPr>
      <w:r>
        <w:rPr>
          <w:rFonts w:cstheme="minorHAnsi"/>
        </w:rPr>
        <w:t xml:space="preserve">The ACT Government’s use of the Headline Net Operating Balance as a measure of the Government’s fiscal position is worth some consideration.  Heads of State, Territory and Commonwealth Treasuries have agreed a Uniform Presentation Framework for Budget reporting (ACT Government, 2021, p.6).  Financial statements consistent with these requirements are provided in Chapter 4 of the Budget Outlook under the heading GFS/GAAP Financial Statements. </w:t>
      </w:r>
    </w:p>
    <w:p w14:paraId="6C0CBECA" w14:textId="77777777" w:rsidR="006E48C1" w:rsidRDefault="006E48C1" w:rsidP="006E48C1">
      <w:pPr>
        <w:spacing w:after="200"/>
        <w:rPr>
          <w:noProof/>
        </w:rPr>
      </w:pPr>
      <w:r>
        <w:rPr>
          <w:noProof/>
        </w:rPr>
        <w:t xml:space="preserve">On a net operating balance basis, which is closer to the fiscal measure used by other States, the ACT deficit would be around $855 million in 2024-25 and would not return to surplus at any point over the Budget and forward estimates (Table 4.1.1 of the 2024 Budget Outlook).  </w:t>
      </w:r>
    </w:p>
    <w:p w14:paraId="40002D04" w14:textId="5D171715" w:rsidR="006E48C1" w:rsidRDefault="006E48C1" w:rsidP="006E48C1">
      <w:pPr>
        <w:spacing w:after="200"/>
        <w:rPr>
          <w:rFonts w:cstheme="minorHAnsi"/>
        </w:rPr>
      </w:pPr>
      <w:r>
        <w:rPr>
          <w:rFonts w:cstheme="minorHAnsi"/>
        </w:rPr>
        <w:t xml:space="preserve">The ACT is unique in reporting its fiscal position in terms of the Headline Net Operating Balance. This measure is derived by adjusting the UPF operating balance to include an estimate of expected returns from the Territory’s Superannuation Provision Account.  The impact of this adjustment on the reported Headline Operating Balance is shown in </w:t>
      </w:r>
      <w:r w:rsidR="00417784">
        <w:rPr>
          <w:rFonts w:cstheme="minorHAnsi"/>
        </w:rPr>
        <w:fldChar w:fldCharType="begin"/>
      </w:r>
      <w:r w:rsidR="00417784">
        <w:rPr>
          <w:rFonts w:cstheme="minorHAnsi"/>
        </w:rPr>
        <w:instrText xml:space="preserve"> REF _Ref170907353 \h </w:instrText>
      </w:r>
      <w:r w:rsidR="00417784">
        <w:rPr>
          <w:rFonts w:cstheme="minorHAnsi"/>
        </w:rPr>
      </w:r>
      <w:r w:rsidR="00417784">
        <w:rPr>
          <w:rFonts w:cstheme="minorHAnsi"/>
        </w:rPr>
        <w:fldChar w:fldCharType="separate"/>
      </w:r>
      <w:r w:rsidR="000B62ED" w:rsidRPr="00D665B9">
        <w:t xml:space="preserve">Figure </w:t>
      </w:r>
      <w:r w:rsidR="000B62ED">
        <w:rPr>
          <w:noProof/>
        </w:rPr>
        <w:t>9</w:t>
      </w:r>
      <w:r w:rsidR="00417784">
        <w:rPr>
          <w:rFonts w:cstheme="minorHAnsi"/>
        </w:rPr>
        <w:fldChar w:fldCharType="end"/>
      </w:r>
      <w:r>
        <w:rPr>
          <w:rFonts w:cstheme="minorHAnsi"/>
        </w:rPr>
        <w:t xml:space="preserve"> below. </w:t>
      </w:r>
    </w:p>
    <w:p w14:paraId="61CBC001" w14:textId="410ADCB8" w:rsidR="006E48C1" w:rsidRDefault="006E48C1" w:rsidP="00512473">
      <w:pPr>
        <w:pStyle w:val="Caption"/>
        <w:keepNext/>
        <w:spacing w:before="0"/>
        <w:rPr>
          <w:rFonts w:cstheme="minorHAnsi"/>
        </w:rPr>
      </w:pPr>
      <w:bookmarkStart w:id="57" w:name="_Ref170907353"/>
      <w:bookmarkStart w:id="58" w:name="_Toc110939305"/>
      <w:bookmarkStart w:id="59" w:name="_Toc171949068"/>
      <w:r w:rsidRPr="00D665B9">
        <w:lastRenderedPageBreak/>
        <w:t xml:space="preserve">Figure </w:t>
      </w:r>
      <w:r w:rsidRPr="00D665B9">
        <w:fldChar w:fldCharType="begin"/>
      </w:r>
      <w:r w:rsidRPr="00D665B9">
        <w:instrText xml:space="preserve"> SEQ Figure \* ARABIC </w:instrText>
      </w:r>
      <w:r w:rsidRPr="00D665B9">
        <w:fldChar w:fldCharType="separate"/>
      </w:r>
      <w:r w:rsidR="000B62ED">
        <w:rPr>
          <w:noProof/>
        </w:rPr>
        <w:t>9</w:t>
      </w:r>
      <w:r w:rsidRPr="00D665B9">
        <w:rPr>
          <w:noProof/>
        </w:rPr>
        <w:fldChar w:fldCharType="end"/>
      </w:r>
      <w:bookmarkEnd w:id="57"/>
      <w:r w:rsidRPr="00D665B9">
        <w:t>: Contribution of Superannuation Return Adjustment to Headline Net Operating Balance</w:t>
      </w:r>
      <w:bookmarkEnd w:id="58"/>
      <w:bookmarkEnd w:id="59"/>
    </w:p>
    <w:p w14:paraId="6091C020" w14:textId="77777777" w:rsidR="006E48C1" w:rsidRDefault="006E48C1" w:rsidP="006E48C1">
      <w:pPr>
        <w:spacing w:before="0" w:after="0"/>
      </w:pPr>
      <w:r>
        <w:rPr>
          <w:noProof/>
        </w:rPr>
        <w:drawing>
          <wp:inline distT="0" distB="0" distL="0" distR="0" wp14:anchorId="26831D38" wp14:editId="0F04BC52">
            <wp:extent cx="5727700" cy="3735070"/>
            <wp:effectExtent l="0" t="0" r="0" b="0"/>
            <wp:docPr id="214495361" name="Picture 214495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27700" cy="3735070"/>
                    </a:xfrm>
                    <a:prstGeom prst="rect">
                      <a:avLst/>
                    </a:prstGeom>
                  </pic:spPr>
                </pic:pic>
              </a:graphicData>
            </a:graphic>
          </wp:inline>
        </w:drawing>
      </w:r>
      <w:r>
        <w:rPr>
          <w:noProof/>
        </w:rPr>
        <w:br/>
      </w:r>
      <w:r w:rsidRPr="007C5F1B">
        <w:rPr>
          <w:noProof/>
          <w:sz w:val="20"/>
          <w:szCs w:val="20"/>
        </w:rPr>
        <w:t xml:space="preserve">Sources: </w:t>
      </w:r>
      <w:r w:rsidRPr="007C5F1B">
        <w:rPr>
          <w:sz w:val="20"/>
          <w:szCs w:val="20"/>
        </w:rPr>
        <w:t>ACT Government</w:t>
      </w:r>
      <w:r w:rsidRPr="007C5F1B">
        <w:rPr>
          <w:noProof/>
          <w:sz w:val="20"/>
          <w:szCs w:val="20"/>
        </w:rPr>
        <w:t xml:space="preserve"> Budget Papers</w:t>
      </w:r>
    </w:p>
    <w:p w14:paraId="52847CB1" w14:textId="77777777" w:rsidR="006E48C1" w:rsidRDefault="006E48C1" w:rsidP="006E48C1">
      <w:r>
        <w:t xml:space="preserve">The superannuation return adjustment reduces the reported headline net operating balance.  In the years between 2016-17 and 2019-20 the superannuation return adjustment had the effect of moving the reported deficit to balance or close to balance. The underlying deficits in the pandemic years were so large that the adjustment did not make a material difference to the reported balance.  However, as the Territory has improved its fiscal position, the superannuation return adjustment has had the effect of producing surpluses in the 2026-27 and 2027-28 years that under the agreed Uniform Presentation Framework would have been reported as deficits. </w:t>
      </w:r>
    </w:p>
    <w:p w14:paraId="3FB06FD0" w14:textId="22176007" w:rsidR="006E48C1" w:rsidRDefault="006E48C1" w:rsidP="006E48C1">
      <w:r>
        <w:t xml:space="preserve">The ACT Government provides a </w:t>
      </w:r>
      <w:r w:rsidR="00302CBF">
        <w:t xml:space="preserve">detailed </w:t>
      </w:r>
      <w:r>
        <w:t xml:space="preserve">justification for its use of the HNOB in Box 3.1.1 on page 43 of the 2024 Budget Outlook.  The Government points out that the NOB includes expenses associated with the Territory’s superannuation obligations, and the interest and dividend income associated with the financial assets set aside in the Superannuation Provision account but would exclude unrealised gains on those financial assets. </w:t>
      </w:r>
    </w:p>
    <w:p w14:paraId="6EBE4C69" w14:textId="75CBA436" w:rsidR="006E48C1" w:rsidRDefault="006E48C1" w:rsidP="006E48C1">
      <w:r>
        <w:t xml:space="preserve">If the superannuation return adjustment is to be included in the </w:t>
      </w:r>
      <w:r w:rsidR="00302CBF">
        <w:t xml:space="preserve">reported fiscal </w:t>
      </w:r>
      <w:r>
        <w:t xml:space="preserve">balance, we would argue that it should not lead to a bias in outcomes. This would mean calculating the adjustment on an assumption that the total return on the assets of the Superannuation Provision Account is identical to the long-term discount rate used in valuing the liability.  In the Budget year, this would imply a superannuation return adjustment of </w:t>
      </w:r>
      <w:r w:rsidRPr="00095EC6">
        <w:t>$83</w:t>
      </w:r>
      <w:r>
        <w:t xml:space="preserve"> million.  </w:t>
      </w:r>
    </w:p>
    <w:p w14:paraId="15864DC9" w14:textId="77777777" w:rsidR="006E48C1" w:rsidRDefault="006E48C1" w:rsidP="006E48C1">
      <w:r>
        <w:t>A more detailed discussion of accounting and classification issues in the Budget, including issues around the superannuation return adjustment, is provided at section 9 of this report.</w:t>
      </w:r>
    </w:p>
    <w:p w14:paraId="5C62D263" w14:textId="77777777" w:rsidR="006E48C1" w:rsidRDefault="006E48C1" w:rsidP="006E48C1">
      <w:pPr>
        <w:pStyle w:val="Heading2"/>
        <w:spacing w:after="240"/>
      </w:pPr>
      <w:bookmarkStart w:id="60" w:name="_Toc110939243"/>
      <w:bookmarkStart w:id="61" w:name="_Toc171948998"/>
      <w:r>
        <w:t>3.2</w:t>
      </w:r>
      <w:r>
        <w:tab/>
        <w:t>Medium term forecasts</w:t>
      </w:r>
      <w:bookmarkEnd w:id="60"/>
      <w:bookmarkEnd w:id="61"/>
    </w:p>
    <w:p w14:paraId="562E0CE9" w14:textId="36146E70" w:rsidR="006E48C1" w:rsidRDefault="006D662E" w:rsidP="006E48C1">
      <w:pPr>
        <w:rPr>
          <w:rFonts w:cstheme="minorHAnsi"/>
        </w:rPr>
      </w:pPr>
      <w:r>
        <w:rPr>
          <w:rFonts w:cstheme="minorHAnsi"/>
        </w:rPr>
        <w:t>After a period of improvement as the ACT recovered from the COVID-19 pandemic, t</w:t>
      </w:r>
      <w:r w:rsidR="006E48C1">
        <w:rPr>
          <w:rFonts w:cstheme="minorHAnsi"/>
        </w:rPr>
        <w:t>he medium-term outlook is worse than forecast in recent Budgets</w:t>
      </w:r>
      <w:r w:rsidR="0032020A">
        <w:rPr>
          <w:rFonts w:cstheme="minorHAnsi"/>
        </w:rPr>
        <w:t>.</w:t>
      </w:r>
    </w:p>
    <w:p w14:paraId="3FB22488" w14:textId="77777777" w:rsidR="006E48C1" w:rsidRDefault="006E48C1" w:rsidP="006E48C1">
      <w:pPr>
        <w:spacing w:after="240"/>
        <w:rPr>
          <w:rFonts w:cstheme="minorHAnsi"/>
        </w:rPr>
      </w:pPr>
      <w:r>
        <w:rPr>
          <w:rFonts w:cstheme="minorHAnsi"/>
        </w:rPr>
        <w:t>The long-term trend in the ACT has been for successive Budgets to promise improved fiscal positions in the forward years only to set out progressively worse forecasts in subsequent Budgets.  The post-</w:t>
      </w:r>
      <w:r>
        <w:rPr>
          <w:rFonts w:cstheme="minorHAnsi"/>
        </w:rPr>
        <w:lastRenderedPageBreak/>
        <w:t xml:space="preserve">pandemic Budgets in 2022 and 2023 were an exception to that trend but the 2024-25 Budget returns to the profiles forecast in earlier years, with forecasts in the Budget and forward years worse than previously estimated.  </w:t>
      </w:r>
    </w:p>
    <w:p w14:paraId="30303FBD" w14:textId="6B935CD5" w:rsidR="006E48C1" w:rsidRDefault="00417784" w:rsidP="006E48C1">
      <w:pPr>
        <w:spacing w:after="240"/>
        <w:rPr>
          <w:rFonts w:cstheme="minorHAnsi"/>
        </w:rPr>
      </w:pPr>
      <w:r>
        <w:rPr>
          <w:rFonts w:cstheme="minorHAnsi"/>
        </w:rPr>
        <w:fldChar w:fldCharType="begin"/>
      </w:r>
      <w:r>
        <w:rPr>
          <w:rFonts w:cstheme="minorHAnsi"/>
        </w:rPr>
        <w:instrText xml:space="preserve"> REF _Ref170907391 \h </w:instrText>
      </w:r>
      <w:r>
        <w:rPr>
          <w:rFonts w:cstheme="minorHAnsi"/>
        </w:rPr>
      </w:r>
      <w:r>
        <w:rPr>
          <w:rFonts w:cstheme="minorHAnsi"/>
        </w:rPr>
        <w:fldChar w:fldCharType="separate"/>
      </w:r>
      <w:r w:rsidR="000B62ED" w:rsidRPr="00CD6473">
        <w:t xml:space="preserve">Figure </w:t>
      </w:r>
      <w:r w:rsidR="000B62ED">
        <w:rPr>
          <w:noProof/>
        </w:rPr>
        <w:t>10</w:t>
      </w:r>
      <w:r>
        <w:rPr>
          <w:rFonts w:cstheme="minorHAnsi"/>
        </w:rPr>
        <w:fldChar w:fldCharType="end"/>
      </w:r>
      <w:r w:rsidR="006E48C1">
        <w:rPr>
          <w:rFonts w:cstheme="minorHAnsi"/>
        </w:rPr>
        <w:t xml:space="preserve"> below shows the Budget and forward estimates published in each year between 2012-13 and 2022-23.  As can be seen, promised improvements in the budget position over the forward years have rarely materialised. In almost all cases, the Budget estimate in any year is worse than had been forecast in previous years.</w:t>
      </w:r>
    </w:p>
    <w:p w14:paraId="4609F054" w14:textId="51EC8967" w:rsidR="006E48C1" w:rsidRDefault="006E48C1" w:rsidP="006E48C1">
      <w:pPr>
        <w:pStyle w:val="Caption"/>
        <w:spacing w:before="0"/>
        <w:rPr>
          <w:noProof/>
          <w:sz w:val="20"/>
          <w:szCs w:val="20"/>
        </w:rPr>
      </w:pPr>
      <w:bookmarkStart w:id="62" w:name="_Ref170907391"/>
      <w:bookmarkStart w:id="63" w:name="_Toc110939306"/>
      <w:bookmarkStart w:id="64" w:name="_Toc171949069"/>
      <w:r w:rsidRPr="00CD6473">
        <w:t xml:space="preserve">Figure </w:t>
      </w:r>
      <w:r w:rsidRPr="00CD6473">
        <w:rPr>
          <w:b w:val="0"/>
          <w:i w:val="0"/>
          <w:iCs w:val="0"/>
        </w:rPr>
        <w:fldChar w:fldCharType="begin"/>
      </w:r>
      <w:r w:rsidRPr="00CD6473">
        <w:rPr>
          <w:noProof/>
        </w:rPr>
        <w:instrText xml:space="preserve"> SEQ Figure \* ARABIC </w:instrText>
      </w:r>
      <w:r w:rsidRPr="00CD6473">
        <w:rPr>
          <w:b w:val="0"/>
          <w:i w:val="0"/>
          <w:iCs w:val="0"/>
        </w:rPr>
        <w:fldChar w:fldCharType="separate"/>
      </w:r>
      <w:r w:rsidR="000B62ED">
        <w:rPr>
          <w:noProof/>
        </w:rPr>
        <w:t>10</w:t>
      </w:r>
      <w:r w:rsidRPr="00CD6473">
        <w:rPr>
          <w:b w:val="0"/>
          <w:i w:val="0"/>
          <w:iCs w:val="0"/>
        </w:rPr>
        <w:fldChar w:fldCharType="end"/>
      </w:r>
      <w:bookmarkEnd w:id="62"/>
      <w:r w:rsidRPr="00CD6473">
        <w:t>: Forecast returns to surplus</w:t>
      </w:r>
      <w:bookmarkEnd w:id="63"/>
      <w:bookmarkEnd w:id="64"/>
      <w:r>
        <w:t xml:space="preserve"> </w:t>
      </w:r>
    </w:p>
    <w:p w14:paraId="0655A8FA" w14:textId="77777777" w:rsidR="006E48C1" w:rsidRPr="00CD6473" w:rsidRDefault="006E48C1" w:rsidP="006E48C1">
      <w:r>
        <w:rPr>
          <w:noProof/>
        </w:rPr>
        <w:drawing>
          <wp:inline distT="0" distB="0" distL="0" distR="0" wp14:anchorId="43B95A80" wp14:editId="38D1A9A1">
            <wp:extent cx="5727700" cy="37350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27700" cy="3735070"/>
                    </a:xfrm>
                    <a:prstGeom prst="rect">
                      <a:avLst/>
                    </a:prstGeom>
                  </pic:spPr>
                </pic:pic>
              </a:graphicData>
            </a:graphic>
          </wp:inline>
        </w:drawing>
      </w:r>
    </w:p>
    <w:p w14:paraId="1F4025DC" w14:textId="25C937C9" w:rsidR="006E48C1" w:rsidRPr="007C5F1B" w:rsidRDefault="006E48C1" w:rsidP="006E48C1">
      <w:pPr>
        <w:pStyle w:val="Caption"/>
        <w:spacing w:before="0"/>
        <w:rPr>
          <w:b w:val="0"/>
          <w:bCs/>
          <w:i w:val="0"/>
          <w:iCs w:val="0"/>
          <w:noProof/>
          <w:sz w:val="20"/>
          <w:szCs w:val="20"/>
        </w:rPr>
      </w:pPr>
      <w:r w:rsidRPr="007C5F1B">
        <w:rPr>
          <w:b w:val="0"/>
          <w:bCs/>
          <w:i w:val="0"/>
          <w:iCs w:val="0"/>
          <w:sz w:val="20"/>
          <w:szCs w:val="20"/>
        </w:rPr>
        <w:t xml:space="preserve">Sources: ACT </w:t>
      </w:r>
      <w:r w:rsidR="0074314C">
        <w:rPr>
          <w:b w:val="0"/>
          <w:bCs/>
          <w:i w:val="0"/>
          <w:iCs w:val="0"/>
          <w:sz w:val="20"/>
          <w:szCs w:val="20"/>
        </w:rPr>
        <w:t xml:space="preserve">Budget </w:t>
      </w:r>
      <w:r w:rsidRPr="007C5F1B">
        <w:rPr>
          <w:b w:val="0"/>
          <w:bCs/>
          <w:i w:val="0"/>
          <w:iCs w:val="0"/>
          <w:noProof/>
          <w:sz w:val="20"/>
          <w:szCs w:val="20"/>
        </w:rPr>
        <w:t>Papers</w:t>
      </w:r>
    </w:p>
    <w:p w14:paraId="7AF934BF" w14:textId="77777777" w:rsidR="006E48C1" w:rsidRDefault="006E48C1" w:rsidP="006E48C1">
      <w:pPr>
        <w:spacing w:before="240" w:after="240"/>
        <w:rPr>
          <w:rFonts w:cstheme="minorHAnsi"/>
        </w:rPr>
      </w:pPr>
      <w:r>
        <w:rPr>
          <w:rFonts w:cstheme="minorHAnsi"/>
        </w:rPr>
        <w:t>As the past few years have shown, Government Budgets are vulnerable to external events and unexpected shocks.  The ACT Budget is particularly dependent on Commonwealth funding and general population growth.  Past trends suggest that a return to surplus would require a shift in policy settings and a continuation of favourable economic circumstances.  A return to surplus in the medium term cannot be assumed.</w:t>
      </w:r>
    </w:p>
    <w:p w14:paraId="45697CB2" w14:textId="77777777" w:rsidR="006E48C1" w:rsidRDefault="006E48C1" w:rsidP="006E48C1">
      <w:pPr>
        <w:pStyle w:val="Heading2"/>
      </w:pPr>
      <w:bookmarkStart w:id="65" w:name="_Toc110939244"/>
      <w:bookmarkStart w:id="66" w:name="_Toc171948999"/>
      <w:r>
        <w:t>3.3</w:t>
      </w:r>
      <w:r>
        <w:tab/>
        <w:t>Measures of the ACT Government’s financial position</w:t>
      </w:r>
      <w:bookmarkEnd w:id="65"/>
      <w:bookmarkEnd w:id="66"/>
      <w:r>
        <w:t xml:space="preserve"> </w:t>
      </w:r>
    </w:p>
    <w:p w14:paraId="7AE1957F" w14:textId="77777777" w:rsidR="006E48C1" w:rsidRDefault="006E48C1" w:rsidP="006E48C1">
      <w:pPr>
        <w:spacing w:after="240"/>
        <w:rPr>
          <w:rFonts w:cstheme="minorHAnsi"/>
        </w:rPr>
      </w:pPr>
      <w:r>
        <w:rPr>
          <w:rFonts w:cstheme="minorHAnsi"/>
        </w:rPr>
        <w:t xml:space="preserve">The ACT has a strong balance sheet, but that position is deteriorating over time.  </w:t>
      </w:r>
    </w:p>
    <w:p w14:paraId="3B312B5D" w14:textId="77777777" w:rsidR="006E48C1" w:rsidRDefault="006E48C1" w:rsidP="006E48C1">
      <w:pPr>
        <w:spacing w:after="240"/>
        <w:rPr>
          <w:rFonts w:cstheme="minorHAnsi"/>
        </w:rPr>
      </w:pPr>
      <w:r>
        <w:rPr>
          <w:rFonts w:cstheme="minorHAnsi"/>
        </w:rPr>
        <w:t>The strength of the Government’s finances over the medium term can be assessed in terms of reported levels of net debt, net financial liabilities and net worth.</w:t>
      </w:r>
      <w:r>
        <w:rPr>
          <w:rStyle w:val="FootnoteReference"/>
          <w:rFonts w:cstheme="minorHAnsi"/>
        </w:rPr>
        <w:footnoteReference w:id="3"/>
      </w:r>
      <w:r>
        <w:rPr>
          <w:rFonts w:cstheme="minorHAnsi"/>
        </w:rPr>
        <w:t xml:space="preserve">  </w:t>
      </w:r>
    </w:p>
    <w:p w14:paraId="68595CEF" w14:textId="2C944AE3" w:rsidR="006E48C1" w:rsidRDefault="00417784" w:rsidP="006E48C1">
      <w:pPr>
        <w:spacing w:after="240"/>
        <w:rPr>
          <w:rFonts w:cstheme="minorHAnsi"/>
        </w:rPr>
      </w:pPr>
      <w:r>
        <w:rPr>
          <w:rFonts w:cstheme="minorHAnsi"/>
        </w:rPr>
        <w:lastRenderedPageBreak/>
        <w:fldChar w:fldCharType="begin"/>
      </w:r>
      <w:r>
        <w:rPr>
          <w:rFonts w:cstheme="minorHAnsi"/>
        </w:rPr>
        <w:instrText xml:space="preserve"> REF _Ref170907422 \h </w:instrText>
      </w:r>
      <w:r>
        <w:rPr>
          <w:rFonts w:cstheme="minorHAnsi"/>
        </w:rPr>
      </w:r>
      <w:r>
        <w:rPr>
          <w:rFonts w:cstheme="minorHAnsi"/>
        </w:rPr>
        <w:fldChar w:fldCharType="separate"/>
      </w:r>
      <w:r w:rsidR="000B62ED">
        <w:t xml:space="preserve">Table </w:t>
      </w:r>
      <w:r w:rsidR="000B62ED">
        <w:rPr>
          <w:noProof/>
        </w:rPr>
        <w:t>3</w:t>
      </w:r>
      <w:r>
        <w:rPr>
          <w:rFonts w:cstheme="minorHAnsi"/>
        </w:rPr>
        <w:fldChar w:fldCharType="end"/>
      </w:r>
      <w:r w:rsidR="006E48C1">
        <w:rPr>
          <w:rFonts w:cstheme="minorHAnsi"/>
        </w:rPr>
        <w:t xml:space="preserve"> below presents movements in these measures for the Budget and forward years.  All of these indicators are deteriorating over time and are worse than forecast for the same years in last year’s Budget.</w:t>
      </w:r>
    </w:p>
    <w:p w14:paraId="474F27F9" w14:textId="098A9407" w:rsidR="006E48C1" w:rsidRDefault="006E48C1" w:rsidP="006E48C1">
      <w:pPr>
        <w:pStyle w:val="Caption"/>
      </w:pPr>
      <w:bookmarkStart w:id="67" w:name="_Ref170907422"/>
      <w:bookmarkStart w:id="68" w:name="_Toc110939289"/>
      <w:bookmarkStart w:id="69" w:name="_Toc171949051"/>
      <w:r>
        <w:t xml:space="preserve">Table </w:t>
      </w:r>
      <w:r>
        <w:fldChar w:fldCharType="begin"/>
      </w:r>
      <w:r>
        <w:instrText xml:space="preserve"> SEQ Table \* ARABIC </w:instrText>
      </w:r>
      <w:r>
        <w:fldChar w:fldCharType="separate"/>
      </w:r>
      <w:r w:rsidR="000B62ED">
        <w:rPr>
          <w:noProof/>
        </w:rPr>
        <w:t>3</w:t>
      </w:r>
      <w:r>
        <w:rPr>
          <w:noProof/>
        </w:rPr>
        <w:fldChar w:fldCharType="end"/>
      </w:r>
      <w:bookmarkEnd w:id="67"/>
      <w:r>
        <w:t>: General Government Sector Key Balance Sheet Measures</w:t>
      </w:r>
      <w:bookmarkEnd w:id="68"/>
      <w:bookmarkEnd w:id="69"/>
    </w:p>
    <w:tbl>
      <w:tblPr>
        <w:tblW w:w="8105" w:type="dxa"/>
        <w:tblBorders>
          <w:top w:val="single" w:sz="4" w:space="0" w:color="auto"/>
          <w:bottom w:val="single" w:sz="4" w:space="0" w:color="auto"/>
        </w:tblBorders>
        <w:tblCellMar>
          <w:left w:w="28" w:type="dxa"/>
          <w:right w:w="28" w:type="dxa"/>
        </w:tblCellMar>
        <w:tblLook w:val="01E0" w:firstRow="1" w:lastRow="1" w:firstColumn="1" w:lastColumn="1" w:noHBand="0" w:noVBand="0"/>
      </w:tblPr>
      <w:tblGrid>
        <w:gridCol w:w="2485"/>
        <w:gridCol w:w="1343"/>
        <w:gridCol w:w="965"/>
        <w:gridCol w:w="1104"/>
        <w:gridCol w:w="1104"/>
        <w:gridCol w:w="1104"/>
      </w:tblGrid>
      <w:tr w:rsidR="006E48C1" w14:paraId="145E661E" w14:textId="77777777" w:rsidTr="002A0BB3">
        <w:trPr>
          <w:trHeight w:val="57"/>
        </w:trPr>
        <w:tc>
          <w:tcPr>
            <w:tcW w:w="2485" w:type="dxa"/>
            <w:tcBorders>
              <w:top w:val="single" w:sz="4" w:space="0" w:color="auto"/>
              <w:left w:val="nil"/>
              <w:bottom w:val="nil"/>
              <w:right w:val="nil"/>
            </w:tcBorders>
            <w:hideMark/>
          </w:tcPr>
          <w:p w14:paraId="42BD4B8E" w14:textId="77777777" w:rsidR="006E48C1" w:rsidRDefault="006E48C1" w:rsidP="002A0BB3"/>
        </w:tc>
        <w:tc>
          <w:tcPr>
            <w:tcW w:w="1343" w:type="dxa"/>
            <w:tcBorders>
              <w:top w:val="single" w:sz="4" w:space="0" w:color="auto"/>
              <w:left w:val="nil"/>
              <w:bottom w:val="nil"/>
              <w:right w:val="nil"/>
            </w:tcBorders>
            <w:hideMark/>
          </w:tcPr>
          <w:p w14:paraId="73086717" w14:textId="77777777" w:rsidR="006E48C1" w:rsidRDefault="006E48C1" w:rsidP="002A0BB3">
            <w:pPr>
              <w:framePr w:wrap="around" w:vAnchor="text" w:hAnchor="text" w:y="1"/>
              <w:spacing w:before="0" w:after="0"/>
              <w:jc w:val="right"/>
              <w:rPr>
                <w:rFonts w:ascii="Calibri" w:hAnsi="Calibri"/>
                <w:b/>
                <w:sz w:val="20"/>
                <w:szCs w:val="20"/>
              </w:rPr>
            </w:pPr>
            <w:r>
              <w:rPr>
                <w:rFonts w:ascii="Calibri" w:hAnsi="Calibri"/>
                <w:b/>
                <w:sz w:val="20"/>
                <w:szCs w:val="20"/>
              </w:rPr>
              <w:t>2023-24</w:t>
            </w:r>
          </w:p>
          <w:p w14:paraId="2467DBC3" w14:textId="77777777" w:rsidR="006E48C1" w:rsidRDefault="006E48C1" w:rsidP="002A0BB3">
            <w:pPr>
              <w:framePr w:wrap="around" w:vAnchor="text" w:hAnchor="text" w:y="1"/>
              <w:spacing w:before="0" w:after="0"/>
              <w:jc w:val="right"/>
              <w:rPr>
                <w:rFonts w:ascii="Calibri" w:hAnsi="Calibri"/>
                <w:b/>
                <w:sz w:val="20"/>
                <w:szCs w:val="20"/>
              </w:rPr>
            </w:pPr>
            <w:r>
              <w:rPr>
                <w:rFonts w:ascii="Calibri" w:hAnsi="Calibri"/>
                <w:b/>
                <w:sz w:val="20"/>
                <w:szCs w:val="20"/>
              </w:rPr>
              <w:t xml:space="preserve">Est. </w:t>
            </w:r>
          </w:p>
          <w:p w14:paraId="3F668BCD" w14:textId="77777777" w:rsidR="006E48C1" w:rsidRDefault="006E48C1" w:rsidP="002A0BB3">
            <w:pPr>
              <w:framePr w:wrap="around" w:vAnchor="text" w:hAnchor="text" w:y="1"/>
              <w:spacing w:before="0" w:after="0"/>
              <w:jc w:val="right"/>
              <w:rPr>
                <w:rFonts w:ascii="Calibri" w:hAnsi="Calibri"/>
                <w:b/>
                <w:sz w:val="20"/>
                <w:szCs w:val="20"/>
              </w:rPr>
            </w:pPr>
            <w:r>
              <w:rPr>
                <w:rFonts w:ascii="Calibri" w:hAnsi="Calibri"/>
                <w:b/>
                <w:sz w:val="20"/>
                <w:szCs w:val="20"/>
              </w:rPr>
              <w:t>outcome</w:t>
            </w:r>
          </w:p>
        </w:tc>
        <w:tc>
          <w:tcPr>
            <w:tcW w:w="965" w:type="dxa"/>
            <w:tcBorders>
              <w:top w:val="single" w:sz="4" w:space="0" w:color="auto"/>
              <w:left w:val="nil"/>
              <w:bottom w:val="nil"/>
              <w:right w:val="nil"/>
            </w:tcBorders>
            <w:hideMark/>
          </w:tcPr>
          <w:p w14:paraId="5C0E07A5" w14:textId="77777777" w:rsidR="006E48C1" w:rsidRDefault="006E48C1" w:rsidP="002A0BB3">
            <w:pPr>
              <w:framePr w:wrap="around" w:vAnchor="text" w:hAnchor="text" w:y="1"/>
              <w:spacing w:before="0" w:after="0"/>
              <w:jc w:val="right"/>
              <w:rPr>
                <w:rFonts w:ascii="Calibri" w:hAnsi="Calibri"/>
                <w:b/>
                <w:sz w:val="20"/>
                <w:szCs w:val="20"/>
              </w:rPr>
            </w:pPr>
            <w:r>
              <w:rPr>
                <w:rFonts w:ascii="Calibri" w:hAnsi="Calibri"/>
                <w:b/>
                <w:sz w:val="20"/>
                <w:szCs w:val="20"/>
              </w:rPr>
              <w:t>2024-25</w:t>
            </w:r>
          </w:p>
          <w:p w14:paraId="21482C6B" w14:textId="77777777" w:rsidR="006E48C1" w:rsidRDefault="006E48C1" w:rsidP="002A0BB3">
            <w:pPr>
              <w:framePr w:wrap="around" w:vAnchor="text" w:hAnchor="text" w:y="1"/>
              <w:spacing w:before="0" w:after="0"/>
              <w:jc w:val="right"/>
              <w:rPr>
                <w:rFonts w:ascii="Calibri" w:hAnsi="Calibri"/>
                <w:b/>
                <w:sz w:val="20"/>
                <w:szCs w:val="20"/>
              </w:rPr>
            </w:pPr>
            <w:r>
              <w:rPr>
                <w:rFonts w:ascii="Calibri" w:hAnsi="Calibri"/>
                <w:b/>
                <w:sz w:val="20"/>
                <w:szCs w:val="20"/>
              </w:rPr>
              <w:t>Budget</w:t>
            </w:r>
          </w:p>
        </w:tc>
        <w:tc>
          <w:tcPr>
            <w:tcW w:w="1104" w:type="dxa"/>
            <w:tcBorders>
              <w:top w:val="single" w:sz="4" w:space="0" w:color="auto"/>
              <w:left w:val="nil"/>
              <w:bottom w:val="nil"/>
              <w:right w:val="nil"/>
            </w:tcBorders>
            <w:hideMark/>
          </w:tcPr>
          <w:p w14:paraId="68DCD8CA" w14:textId="77777777" w:rsidR="006E48C1" w:rsidRDefault="006E48C1" w:rsidP="002A0BB3">
            <w:pPr>
              <w:framePr w:wrap="around" w:vAnchor="text" w:hAnchor="text" w:y="1"/>
              <w:spacing w:before="0" w:after="0"/>
              <w:jc w:val="right"/>
              <w:rPr>
                <w:rFonts w:ascii="Calibri" w:hAnsi="Calibri"/>
                <w:b/>
                <w:sz w:val="20"/>
                <w:szCs w:val="20"/>
              </w:rPr>
            </w:pPr>
            <w:r>
              <w:rPr>
                <w:rFonts w:ascii="Calibri" w:hAnsi="Calibri"/>
                <w:b/>
                <w:sz w:val="20"/>
                <w:szCs w:val="20"/>
              </w:rPr>
              <w:t>2025-26</w:t>
            </w:r>
          </w:p>
          <w:p w14:paraId="7B75A801" w14:textId="77777777" w:rsidR="006E48C1" w:rsidRDefault="006E48C1" w:rsidP="002A0BB3">
            <w:pPr>
              <w:framePr w:wrap="around" w:vAnchor="text" w:hAnchor="text" w:y="1"/>
              <w:spacing w:before="0" w:after="0"/>
              <w:jc w:val="right"/>
              <w:rPr>
                <w:rFonts w:ascii="Calibri" w:hAnsi="Calibri"/>
                <w:b/>
                <w:sz w:val="20"/>
                <w:szCs w:val="20"/>
              </w:rPr>
            </w:pPr>
            <w:r>
              <w:rPr>
                <w:rFonts w:ascii="Calibri" w:hAnsi="Calibri"/>
                <w:b/>
                <w:sz w:val="20"/>
                <w:szCs w:val="20"/>
              </w:rPr>
              <w:t>Estimate</w:t>
            </w:r>
          </w:p>
        </w:tc>
        <w:tc>
          <w:tcPr>
            <w:tcW w:w="1104" w:type="dxa"/>
            <w:tcBorders>
              <w:top w:val="single" w:sz="4" w:space="0" w:color="auto"/>
              <w:left w:val="nil"/>
              <w:bottom w:val="nil"/>
              <w:right w:val="nil"/>
            </w:tcBorders>
            <w:hideMark/>
          </w:tcPr>
          <w:p w14:paraId="6BBB1A68" w14:textId="77777777" w:rsidR="006E48C1" w:rsidRDefault="006E48C1" w:rsidP="002A0BB3">
            <w:pPr>
              <w:framePr w:wrap="around" w:vAnchor="text" w:hAnchor="text" w:y="1"/>
              <w:spacing w:before="0" w:after="0"/>
              <w:jc w:val="right"/>
              <w:rPr>
                <w:rFonts w:ascii="Calibri" w:hAnsi="Calibri"/>
                <w:b/>
                <w:sz w:val="20"/>
                <w:szCs w:val="20"/>
              </w:rPr>
            </w:pPr>
            <w:r>
              <w:rPr>
                <w:rFonts w:ascii="Calibri" w:hAnsi="Calibri"/>
                <w:b/>
                <w:sz w:val="20"/>
                <w:szCs w:val="20"/>
              </w:rPr>
              <w:t>2026-27</w:t>
            </w:r>
          </w:p>
          <w:p w14:paraId="03F1054A" w14:textId="77777777" w:rsidR="006E48C1" w:rsidRDefault="006E48C1" w:rsidP="002A0BB3">
            <w:pPr>
              <w:framePr w:wrap="around" w:vAnchor="text" w:hAnchor="text" w:y="1"/>
              <w:spacing w:before="0" w:after="0"/>
              <w:jc w:val="right"/>
              <w:rPr>
                <w:rFonts w:ascii="Calibri" w:hAnsi="Calibri"/>
                <w:b/>
                <w:sz w:val="20"/>
                <w:szCs w:val="20"/>
              </w:rPr>
            </w:pPr>
            <w:r>
              <w:rPr>
                <w:rFonts w:ascii="Calibri" w:hAnsi="Calibri"/>
                <w:b/>
                <w:sz w:val="20"/>
                <w:szCs w:val="20"/>
              </w:rPr>
              <w:t>Estimate</w:t>
            </w:r>
          </w:p>
        </w:tc>
        <w:tc>
          <w:tcPr>
            <w:tcW w:w="1104" w:type="dxa"/>
            <w:tcBorders>
              <w:top w:val="single" w:sz="4" w:space="0" w:color="auto"/>
              <w:left w:val="nil"/>
              <w:bottom w:val="nil"/>
              <w:right w:val="nil"/>
            </w:tcBorders>
            <w:hideMark/>
          </w:tcPr>
          <w:p w14:paraId="5064A4F3" w14:textId="77777777" w:rsidR="006E48C1" w:rsidRDefault="006E48C1" w:rsidP="002A0BB3">
            <w:pPr>
              <w:framePr w:wrap="around" w:vAnchor="text" w:hAnchor="text" w:y="1"/>
              <w:spacing w:before="0" w:after="0"/>
              <w:jc w:val="right"/>
              <w:rPr>
                <w:rFonts w:ascii="Calibri" w:hAnsi="Calibri"/>
                <w:b/>
                <w:sz w:val="20"/>
                <w:szCs w:val="20"/>
              </w:rPr>
            </w:pPr>
            <w:r>
              <w:rPr>
                <w:rFonts w:ascii="Calibri" w:hAnsi="Calibri"/>
                <w:b/>
                <w:sz w:val="20"/>
                <w:szCs w:val="20"/>
              </w:rPr>
              <w:t>2027-28</w:t>
            </w:r>
          </w:p>
          <w:p w14:paraId="4018D98A" w14:textId="77777777" w:rsidR="006E48C1" w:rsidRDefault="006E48C1" w:rsidP="002A0BB3">
            <w:pPr>
              <w:framePr w:wrap="around" w:vAnchor="text" w:hAnchor="text" w:y="1"/>
              <w:spacing w:before="0" w:after="0"/>
              <w:jc w:val="right"/>
              <w:rPr>
                <w:rFonts w:ascii="Calibri" w:hAnsi="Calibri"/>
                <w:b/>
                <w:sz w:val="20"/>
                <w:szCs w:val="20"/>
              </w:rPr>
            </w:pPr>
            <w:r>
              <w:rPr>
                <w:rFonts w:ascii="Calibri" w:hAnsi="Calibri"/>
                <w:b/>
                <w:sz w:val="20"/>
                <w:szCs w:val="20"/>
              </w:rPr>
              <w:t>Estimate</w:t>
            </w:r>
          </w:p>
        </w:tc>
      </w:tr>
      <w:tr w:rsidR="006E48C1" w14:paraId="47570D86" w14:textId="77777777" w:rsidTr="002A0BB3">
        <w:trPr>
          <w:trHeight w:val="57"/>
        </w:trPr>
        <w:tc>
          <w:tcPr>
            <w:tcW w:w="2485" w:type="dxa"/>
            <w:tcBorders>
              <w:top w:val="nil"/>
              <w:left w:val="nil"/>
              <w:bottom w:val="single" w:sz="4" w:space="0" w:color="auto"/>
              <w:right w:val="nil"/>
            </w:tcBorders>
            <w:hideMark/>
          </w:tcPr>
          <w:p w14:paraId="04803E5B" w14:textId="77777777" w:rsidR="006E48C1" w:rsidRDefault="006E48C1" w:rsidP="002A0BB3">
            <w:pPr>
              <w:spacing w:before="0" w:after="0"/>
              <w:jc w:val="right"/>
              <w:rPr>
                <w:rFonts w:ascii="Calibri" w:hAnsi="Calibri" w:cs="Calibri"/>
                <w:color w:val="FFFFFF"/>
                <w:sz w:val="12"/>
                <w:szCs w:val="20"/>
              </w:rPr>
            </w:pPr>
            <w:r>
              <w:rPr>
                <w:rFonts w:ascii="Calibri" w:hAnsi="Calibri" w:cs="Calibri"/>
                <w:color w:val="FFFFFF"/>
                <w:sz w:val="12"/>
                <w:szCs w:val="20"/>
              </w:rPr>
              <w:t xml:space="preserve"> </w:t>
            </w:r>
          </w:p>
        </w:tc>
        <w:tc>
          <w:tcPr>
            <w:tcW w:w="1343" w:type="dxa"/>
            <w:tcBorders>
              <w:top w:val="nil"/>
              <w:left w:val="nil"/>
              <w:bottom w:val="single" w:sz="4" w:space="0" w:color="auto"/>
              <w:right w:val="nil"/>
            </w:tcBorders>
            <w:hideMark/>
          </w:tcPr>
          <w:p w14:paraId="46E4D80A" w14:textId="77777777" w:rsidR="006E48C1" w:rsidRDefault="006E48C1" w:rsidP="002A0BB3">
            <w:pPr>
              <w:framePr w:wrap="around" w:vAnchor="text" w:hAnchor="text" w:y="1"/>
              <w:spacing w:before="0" w:after="0"/>
              <w:jc w:val="right"/>
              <w:rPr>
                <w:rFonts w:ascii="Calibri" w:hAnsi="Calibri"/>
                <w:b/>
                <w:sz w:val="20"/>
                <w:szCs w:val="20"/>
              </w:rPr>
            </w:pPr>
            <w:r>
              <w:rPr>
                <w:rFonts w:ascii="Calibri" w:hAnsi="Calibri"/>
                <w:b/>
                <w:sz w:val="20"/>
                <w:szCs w:val="20"/>
              </w:rPr>
              <w:t>$m</w:t>
            </w:r>
          </w:p>
        </w:tc>
        <w:tc>
          <w:tcPr>
            <w:tcW w:w="965" w:type="dxa"/>
            <w:tcBorders>
              <w:top w:val="nil"/>
              <w:left w:val="nil"/>
              <w:bottom w:val="single" w:sz="4" w:space="0" w:color="auto"/>
              <w:right w:val="nil"/>
            </w:tcBorders>
            <w:hideMark/>
          </w:tcPr>
          <w:p w14:paraId="5440CD33" w14:textId="77777777" w:rsidR="006E48C1" w:rsidRDefault="006E48C1" w:rsidP="002A0BB3">
            <w:pPr>
              <w:framePr w:wrap="around" w:vAnchor="text" w:hAnchor="text" w:y="1"/>
              <w:spacing w:before="0" w:after="0"/>
              <w:jc w:val="right"/>
              <w:rPr>
                <w:rFonts w:ascii="Calibri" w:hAnsi="Calibri"/>
                <w:b/>
                <w:sz w:val="20"/>
                <w:szCs w:val="20"/>
              </w:rPr>
            </w:pPr>
            <w:r>
              <w:rPr>
                <w:rFonts w:ascii="Calibri" w:hAnsi="Calibri"/>
                <w:b/>
                <w:sz w:val="20"/>
                <w:szCs w:val="20"/>
              </w:rPr>
              <w:t>$m</w:t>
            </w:r>
          </w:p>
        </w:tc>
        <w:tc>
          <w:tcPr>
            <w:tcW w:w="1104" w:type="dxa"/>
            <w:tcBorders>
              <w:top w:val="nil"/>
              <w:left w:val="nil"/>
              <w:bottom w:val="single" w:sz="4" w:space="0" w:color="auto"/>
              <w:right w:val="nil"/>
            </w:tcBorders>
            <w:hideMark/>
          </w:tcPr>
          <w:p w14:paraId="550D0800" w14:textId="77777777" w:rsidR="006E48C1" w:rsidRDefault="006E48C1" w:rsidP="002A0BB3">
            <w:pPr>
              <w:framePr w:wrap="around" w:vAnchor="text" w:hAnchor="text" w:y="1"/>
              <w:spacing w:before="0" w:after="0"/>
              <w:jc w:val="right"/>
              <w:rPr>
                <w:rFonts w:ascii="Calibri" w:hAnsi="Calibri"/>
                <w:b/>
                <w:sz w:val="20"/>
                <w:szCs w:val="20"/>
              </w:rPr>
            </w:pPr>
            <w:r>
              <w:rPr>
                <w:rFonts w:ascii="Calibri" w:hAnsi="Calibri"/>
                <w:b/>
                <w:sz w:val="20"/>
                <w:szCs w:val="20"/>
              </w:rPr>
              <w:t>$m</w:t>
            </w:r>
          </w:p>
        </w:tc>
        <w:tc>
          <w:tcPr>
            <w:tcW w:w="1104" w:type="dxa"/>
            <w:tcBorders>
              <w:top w:val="nil"/>
              <w:left w:val="nil"/>
              <w:bottom w:val="single" w:sz="4" w:space="0" w:color="auto"/>
              <w:right w:val="nil"/>
            </w:tcBorders>
            <w:hideMark/>
          </w:tcPr>
          <w:p w14:paraId="6FF8C61B" w14:textId="77777777" w:rsidR="006E48C1" w:rsidRDefault="006E48C1" w:rsidP="002A0BB3">
            <w:pPr>
              <w:framePr w:wrap="around" w:vAnchor="text" w:hAnchor="text" w:y="1"/>
              <w:spacing w:before="0" w:after="0"/>
              <w:jc w:val="right"/>
              <w:rPr>
                <w:rFonts w:ascii="Calibri" w:hAnsi="Calibri"/>
                <w:b/>
                <w:sz w:val="20"/>
                <w:szCs w:val="20"/>
              </w:rPr>
            </w:pPr>
            <w:r>
              <w:rPr>
                <w:rFonts w:ascii="Calibri" w:hAnsi="Calibri"/>
                <w:b/>
                <w:sz w:val="20"/>
                <w:szCs w:val="20"/>
              </w:rPr>
              <w:t>$m</w:t>
            </w:r>
          </w:p>
        </w:tc>
        <w:tc>
          <w:tcPr>
            <w:tcW w:w="1104" w:type="dxa"/>
            <w:tcBorders>
              <w:top w:val="nil"/>
              <w:left w:val="nil"/>
              <w:bottom w:val="single" w:sz="4" w:space="0" w:color="auto"/>
              <w:right w:val="nil"/>
            </w:tcBorders>
            <w:hideMark/>
          </w:tcPr>
          <w:p w14:paraId="35D4FF68" w14:textId="77777777" w:rsidR="006E48C1" w:rsidRDefault="006E48C1" w:rsidP="002A0BB3">
            <w:pPr>
              <w:framePr w:wrap="around" w:vAnchor="text" w:hAnchor="text" w:y="1"/>
              <w:spacing w:before="0" w:after="0"/>
              <w:jc w:val="right"/>
              <w:rPr>
                <w:rFonts w:ascii="Calibri" w:hAnsi="Calibri"/>
                <w:b/>
                <w:sz w:val="20"/>
                <w:szCs w:val="20"/>
              </w:rPr>
            </w:pPr>
            <w:r>
              <w:rPr>
                <w:rFonts w:ascii="Calibri" w:hAnsi="Calibri"/>
                <w:b/>
                <w:sz w:val="20"/>
                <w:szCs w:val="20"/>
              </w:rPr>
              <w:t>$m</w:t>
            </w:r>
          </w:p>
        </w:tc>
      </w:tr>
      <w:tr w:rsidR="006E48C1" w14:paraId="6FCAAE0B" w14:textId="77777777" w:rsidTr="002A0BB3">
        <w:trPr>
          <w:trHeight w:val="57"/>
        </w:trPr>
        <w:tc>
          <w:tcPr>
            <w:tcW w:w="2485" w:type="dxa"/>
            <w:tcBorders>
              <w:top w:val="single" w:sz="4" w:space="0" w:color="auto"/>
              <w:left w:val="nil"/>
              <w:bottom w:val="nil"/>
              <w:right w:val="nil"/>
            </w:tcBorders>
            <w:hideMark/>
          </w:tcPr>
          <w:p w14:paraId="71AEB83A" w14:textId="77777777" w:rsidR="006E48C1" w:rsidRDefault="006E48C1" w:rsidP="002A0BB3">
            <w:pPr>
              <w:spacing w:before="60" w:after="60"/>
              <w:ind w:left="227" w:hanging="227"/>
              <w:rPr>
                <w:rFonts w:ascii="Calibri" w:hAnsi="Calibri"/>
                <w:bCs/>
                <w:sz w:val="20"/>
                <w:szCs w:val="20"/>
                <w:lang w:val="x-none"/>
              </w:rPr>
            </w:pPr>
            <w:r>
              <w:rPr>
                <w:rFonts w:ascii="Calibri" w:hAnsi="Calibri"/>
                <w:bCs/>
                <w:sz w:val="20"/>
                <w:szCs w:val="20"/>
                <w:lang w:val="x-none"/>
              </w:rPr>
              <w:t xml:space="preserve">Net </w:t>
            </w:r>
            <w:r>
              <w:rPr>
                <w:rFonts w:ascii="Calibri" w:hAnsi="Calibri"/>
                <w:bCs/>
                <w:sz w:val="20"/>
                <w:szCs w:val="20"/>
              </w:rPr>
              <w:t>d</w:t>
            </w:r>
            <w:r>
              <w:rPr>
                <w:rFonts w:ascii="Calibri" w:hAnsi="Calibri"/>
                <w:bCs/>
                <w:sz w:val="20"/>
                <w:szCs w:val="20"/>
                <w:lang w:val="x-none"/>
              </w:rPr>
              <w:t>ebt (excluding super)</w:t>
            </w:r>
          </w:p>
        </w:tc>
        <w:tc>
          <w:tcPr>
            <w:tcW w:w="1343" w:type="dxa"/>
            <w:tcBorders>
              <w:top w:val="single" w:sz="4" w:space="0" w:color="auto"/>
              <w:left w:val="nil"/>
              <w:bottom w:val="nil"/>
              <w:right w:val="nil"/>
            </w:tcBorders>
            <w:hideMark/>
          </w:tcPr>
          <w:p w14:paraId="56DE6E26" w14:textId="77777777" w:rsidR="006E48C1" w:rsidRDefault="006E48C1" w:rsidP="002A0BB3">
            <w:pPr>
              <w:spacing w:before="60" w:after="60"/>
              <w:ind w:left="227" w:hanging="227"/>
              <w:jc w:val="right"/>
              <w:rPr>
                <w:rFonts w:ascii="Calibri" w:hAnsi="Calibri"/>
                <w:sz w:val="20"/>
                <w:szCs w:val="20"/>
                <w:lang w:eastAsia="en-AU"/>
              </w:rPr>
            </w:pPr>
            <w:r>
              <w:rPr>
                <w:rFonts w:ascii="Calibri" w:hAnsi="Calibri"/>
                <w:sz w:val="20"/>
                <w:szCs w:val="20"/>
                <w:lang w:eastAsia="en-AU"/>
              </w:rPr>
              <w:t xml:space="preserve">7,337.9 </w:t>
            </w:r>
          </w:p>
        </w:tc>
        <w:tc>
          <w:tcPr>
            <w:tcW w:w="965" w:type="dxa"/>
            <w:tcBorders>
              <w:top w:val="single" w:sz="4" w:space="0" w:color="auto"/>
              <w:left w:val="nil"/>
              <w:bottom w:val="nil"/>
              <w:right w:val="nil"/>
            </w:tcBorders>
            <w:hideMark/>
          </w:tcPr>
          <w:p w14:paraId="2E3482FE" w14:textId="77777777" w:rsidR="006E48C1" w:rsidRDefault="006E48C1" w:rsidP="002A0BB3">
            <w:pPr>
              <w:spacing w:before="60" w:after="60"/>
              <w:ind w:left="227" w:hanging="227"/>
              <w:jc w:val="right"/>
              <w:rPr>
                <w:rFonts w:ascii="Calibri" w:hAnsi="Calibri"/>
                <w:sz w:val="20"/>
                <w:szCs w:val="20"/>
                <w:lang w:eastAsia="en-AU"/>
              </w:rPr>
            </w:pPr>
            <w:r>
              <w:rPr>
                <w:rFonts w:ascii="Calibri" w:hAnsi="Calibri"/>
                <w:sz w:val="20"/>
                <w:szCs w:val="20"/>
                <w:lang w:eastAsia="en-AU"/>
              </w:rPr>
              <w:t>8,870.0</w:t>
            </w:r>
          </w:p>
        </w:tc>
        <w:tc>
          <w:tcPr>
            <w:tcW w:w="1104" w:type="dxa"/>
            <w:tcBorders>
              <w:top w:val="single" w:sz="4" w:space="0" w:color="auto"/>
              <w:left w:val="nil"/>
              <w:bottom w:val="nil"/>
              <w:right w:val="nil"/>
            </w:tcBorders>
            <w:hideMark/>
          </w:tcPr>
          <w:p w14:paraId="2F922649" w14:textId="77777777" w:rsidR="006E48C1" w:rsidRDefault="006E48C1" w:rsidP="002A0BB3">
            <w:pPr>
              <w:spacing w:before="60" w:after="60"/>
              <w:ind w:left="227" w:hanging="227"/>
              <w:jc w:val="center"/>
              <w:rPr>
                <w:rFonts w:ascii="Calibri" w:hAnsi="Calibri"/>
                <w:sz w:val="20"/>
                <w:szCs w:val="20"/>
                <w:lang w:eastAsia="en-AU"/>
              </w:rPr>
            </w:pPr>
            <w:r>
              <w:rPr>
                <w:rFonts w:ascii="Calibri" w:hAnsi="Calibri"/>
                <w:sz w:val="20"/>
                <w:szCs w:val="20"/>
                <w:lang w:eastAsia="en-AU"/>
              </w:rPr>
              <w:t xml:space="preserve">      10,427.2</w:t>
            </w:r>
          </w:p>
        </w:tc>
        <w:tc>
          <w:tcPr>
            <w:tcW w:w="1104" w:type="dxa"/>
            <w:tcBorders>
              <w:top w:val="single" w:sz="4" w:space="0" w:color="auto"/>
              <w:left w:val="nil"/>
              <w:bottom w:val="nil"/>
              <w:right w:val="nil"/>
            </w:tcBorders>
            <w:hideMark/>
          </w:tcPr>
          <w:p w14:paraId="14D39A76" w14:textId="77777777" w:rsidR="006E48C1" w:rsidRDefault="006E48C1" w:rsidP="002A0BB3">
            <w:pPr>
              <w:spacing w:before="60" w:after="60"/>
              <w:ind w:left="227" w:hanging="227"/>
              <w:jc w:val="center"/>
              <w:rPr>
                <w:rFonts w:ascii="Calibri" w:hAnsi="Calibri"/>
                <w:sz w:val="20"/>
                <w:szCs w:val="20"/>
                <w:lang w:eastAsia="en-AU"/>
              </w:rPr>
            </w:pPr>
            <w:r>
              <w:rPr>
                <w:rFonts w:ascii="Calibri" w:hAnsi="Calibri"/>
                <w:sz w:val="20"/>
                <w:szCs w:val="20"/>
                <w:lang w:eastAsia="en-AU"/>
              </w:rPr>
              <w:t xml:space="preserve">      11,748.5</w:t>
            </w:r>
          </w:p>
        </w:tc>
        <w:tc>
          <w:tcPr>
            <w:tcW w:w="1104" w:type="dxa"/>
            <w:tcBorders>
              <w:top w:val="single" w:sz="4" w:space="0" w:color="auto"/>
              <w:left w:val="nil"/>
              <w:bottom w:val="nil"/>
              <w:right w:val="nil"/>
            </w:tcBorders>
            <w:hideMark/>
          </w:tcPr>
          <w:p w14:paraId="14D94F7A" w14:textId="77777777" w:rsidR="006E48C1" w:rsidRDefault="006E48C1" w:rsidP="002A0BB3">
            <w:pPr>
              <w:spacing w:before="60" w:after="60"/>
              <w:ind w:left="227" w:hanging="227"/>
              <w:jc w:val="right"/>
              <w:rPr>
                <w:rFonts w:ascii="Calibri" w:hAnsi="Calibri"/>
                <w:sz w:val="20"/>
                <w:szCs w:val="20"/>
                <w:lang w:eastAsia="en-AU"/>
              </w:rPr>
            </w:pPr>
            <w:r>
              <w:rPr>
                <w:rFonts w:ascii="Calibri" w:hAnsi="Calibri"/>
                <w:sz w:val="20"/>
                <w:szCs w:val="20"/>
                <w:lang w:eastAsia="en-AU"/>
              </w:rPr>
              <w:t xml:space="preserve">12,470.1 </w:t>
            </w:r>
          </w:p>
        </w:tc>
      </w:tr>
      <w:tr w:rsidR="006E48C1" w14:paraId="34E4B6FC" w14:textId="77777777" w:rsidTr="002A0BB3">
        <w:trPr>
          <w:trHeight w:val="57"/>
        </w:trPr>
        <w:tc>
          <w:tcPr>
            <w:tcW w:w="2485" w:type="dxa"/>
            <w:tcBorders>
              <w:top w:val="nil"/>
              <w:left w:val="nil"/>
              <w:bottom w:val="nil"/>
              <w:right w:val="nil"/>
            </w:tcBorders>
            <w:hideMark/>
          </w:tcPr>
          <w:p w14:paraId="4D83DB13" w14:textId="77777777" w:rsidR="006E48C1" w:rsidRDefault="006E48C1" w:rsidP="002A0BB3">
            <w:pPr>
              <w:spacing w:before="60" w:after="60"/>
              <w:ind w:left="227" w:hanging="227"/>
              <w:rPr>
                <w:rFonts w:ascii="Calibri" w:hAnsi="Calibri"/>
                <w:bCs/>
                <w:sz w:val="20"/>
                <w:szCs w:val="20"/>
                <w:lang w:val="x-none"/>
              </w:rPr>
            </w:pPr>
            <w:r>
              <w:rPr>
                <w:rFonts w:ascii="Calibri" w:hAnsi="Calibri"/>
                <w:bCs/>
                <w:sz w:val="20"/>
                <w:szCs w:val="20"/>
                <w:lang w:val="x-none"/>
              </w:rPr>
              <w:t xml:space="preserve">Net </w:t>
            </w:r>
            <w:r>
              <w:rPr>
                <w:rFonts w:ascii="Calibri" w:hAnsi="Calibri"/>
                <w:bCs/>
                <w:sz w:val="20"/>
                <w:szCs w:val="20"/>
              </w:rPr>
              <w:t>f</w:t>
            </w:r>
            <w:r>
              <w:rPr>
                <w:rFonts w:ascii="Calibri" w:hAnsi="Calibri"/>
                <w:bCs/>
                <w:sz w:val="20"/>
                <w:szCs w:val="20"/>
                <w:lang w:val="x-none"/>
              </w:rPr>
              <w:t xml:space="preserve">inancial </w:t>
            </w:r>
            <w:r>
              <w:rPr>
                <w:rFonts w:ascii="Calibri" w:hAnsi="Calibri"/>
                <w:bCs/>
                <w:sz w:val="20"/>
                <w:szCs w:val="20"/>
              </w:rPr>
              <w:t>l</w:t>
            </w:r>
            <w:r>
              <w:rPr>
                <w:rFonts w:ascii="Calibri" w:hAnsi="Calibri"/>
                <w:bCs/>
                <w:sz w:val="20"/>
                <w:szCs w:val="20"/>
                <w:lang w:val="x-none"/>
              </w:rPr>
              <w:t>iabilities</w:t>
            </w:r>
          </w:p>
        </w:tc>
        <w:tc>
          <w:tcPr>
            <w:tcW w:w="1343" w:type="dxa"/>
            <w:tcBorders>
              <w:top w:val="nil"/>
              <w:left w:val="nil"/>
              <w:bottom w:val="nil"/>
              <w:right w:val="nil"/>
            </w:tcBorders>
            <w:hideMark/>
          </w:tcPr>
          <w:p w14:paraId="56784423" w14:textId="77777777" w:rsidR="006E48C1" w:rsidRDefault="006E48C1" w:rsidP="002A0BB3">
            <w:pPr>
              <w:spacing w:before="60" w:after="60"/>
              <w:ind w:left="227" w:hanging="227"/>
              <w:jc w:val="right"/>
              <w:rPr>
                <w:rFonts w:ascii="Calibri" w:hAnsi="Calibri"/>
                <w:sz w:val="20"/>
                <w:szCs w:val="20"/>
                <w:lang w:eastAsia="en-AU"/>
              </w:rPr>
            </w:pPr>
            <w:r>
              <w:rPr>
                <w:rFonts w:ascii="Calibri" w:hAnsi="Calibri"/>
                <w:sz w:val="20"/>
                <w:szCs w:val="20"/>
                <w:lang w:eastAsia="en-AU"/>
              </w:rPr>
              <w:t>13,104.7</w:t>
            </w:r>
          </w:p>
        </w:tc>
        <w:tc>
          <w:tcPr>
            <w:tcW w:w="965" w:type="dxa"/>
            <w:tcBorders>
              <w:top w:val="nil"/>
              <w:left w:val="nil"/>
              <w:bottom w:val="nil"/>
              <w:right w:val="nil"/>
            </w:tcBorders>
            <w:hideMark/>
          </w:tcPr>
          <w:p w14:paraId="5EDAE38E" w14:textId="77777777" w:rsidR="006E48C1" w:rsidRDefault="006E48C1" w:rsidP="002A0BB3">
            <w:pPr>
              <w:spacing w:before="60" w:after="60"/>
              <w:ind w:left="227" w:hanging="227"/>
              <w:jc w:val="right"/>
              <w:rPr>
                <w:rFonts w:ascii="Calibri" w:hAnsi="Calibri"/>
                <w:sz w:val="20"/>
                <w:szCs w:val="20"/>
                <w:lang w:eastAsia="en-AU"/>
              </w:rPr>
            </w:pPr>
            <w:r>
              <w:rPr>
                <w:rFonts w:ascii="Calibri" w:hAnsi="Calibri"/>
                <w:sz w:val="20"/>
                <w:szCs w:val="20"/>
                <w:lang w:eastAsia="en-AU"/>
              </w:rPr>
              <w:t>14,396.4</w:t>
            </w:r>
          </w:p>
        </w:tc>
        <w:tc>
          <w:tcPr>
            <w:tcW w:w="1104" w:type="dxa"/>
            <w:tcBorders>
              <w:top w:val="nil"/>
              <w:left w:val="nil"/>
              <w:bottom w:val="nil"/>
              <w:right w:val="nil"/>
            </w:tcBorders>
            <w:hideMark/>
          </w:tcPr>
          <w:p w14:paraId="0E58AD8F" w14:textId="77777777" w:rsidR="006E48C1" w:rsidRDefault="006E48C1" w:rsidP="002A0BB3">
            <w:pPr>
              <w:spacing w:before="60" w:after="60"/>
              <w:ind w:left="227" w:hanging="227"/>
              <w:jc w:val="right"/>
              <w:rPr>
                <w:rFonts w:ascii="Calibri" w:hAnsi="Calibri"/>
                <w:sz w:val="20"/>
                <w:szCs w:val="20"/>
                <w:lang w:eastAsia="en-AU"/>
              </w:rPr>
            </w:pPr>
            <w:r>
              <w:rPr>
                <w:rFonts w:ascii="Calibri" w:hAnsi="Calibri"/>
                <w:sz w:val="20"/>
                <w:szCs w:val="20"/>
                <w:lang w:eastAsia="en-AU"/>
              </w:rPr>
              <w:t>15,594.6</w:t>
            </w:r>
          </w:p>
        </w:tc>
        <w:tc>
          <w:tcPr>
            <w:tcW w:w="1104" w:type="dxa"/>
            <w:tcBorders>
              <w:top w:val="nil"/>
              <w:left w:val="nil"/>
              <w:bottom w:val="nil"/>
              <w:right w:val="nil"/>
            </w:tcBorders>
            <w:hideMark/>
          </w:tcPr>
          <w:p w14:paraId="7B06FACC" w14:textId="77777777" w:rsidR="006E48C1" w:rsidRDefault="006E48C1" w:rsidP="002A0BB3">
            <w:pPr>
              <w:spacing w:before="60" w:after="60"/>
              <w:ind w:left="227" w:hanging="227"/>
              <w:jc w:val="right"/>
              <w:rPr>
                <w:rFonts w:ascii="Calibri" w:hAnsi="Calibri"/>
                <w:sz w:val="20"/>
                <w:szCs w:val="20"/>
                <w:lang w:eastAsia="en-AU"/>
              </w:rPr>
            </w:pPr>
            <w:r>
              <w:rPr>
                <w:rFonts w:ascii="Calibri" w:hAnsi="Calibri"/>
                <w:sz w:val="20"/>
                <w:szCs w:val="20"/>
                <w:lang w:eastAsia="en-AU"/>
              </w:rPr>
              <w:t>16,547.8</w:t>
            </w:r>
          </w:p>
        </w:tc>
        <w:tc>
          <w:tcPr>
            <w:tcW w:w="1104" w:type="dxa"/>
            <w:tcBorders>
              <w:top w:val="nil"/>
              <w:left w:val="nil"/>
              <w:bottom w:val="nil"/>
              <w:right w:val="nil"/>
            </w:tcBorders>
            <w:hideMark/>
          </w:tcPr>
          <w:p w14:paraId="55D0589F" w14:textId="77777777" w:rsidR="006E48C1" w:rsidRDefault="006E48C1" w:rsidP="002A0BB3">
            <w:pPr>
              <w:spacing w:before="60" w:after="60"/>
              <w:ind w:left="227" w:hanging="227"/>
              <w:jc w:val="right"/>
              <w:rPr>
                <w:rFonts w:ascii="Calibri" w:hAnsi="Calibri"/>
                <w:sz w:val="20"/>
                <w:szCs w:val="20"/>
                <w:lang w:eastAsia="en-AU"/>
              </w:rPr>
            </w:pPr>
            <w:r>
              <w:rPr>
                <w:rFonts w:ascii="Calibri" w:hAnsi="Calibri"/>
                <w:sz w:val="20"/>
                <w:szCs w:val="20"/>
                <w:lang w:eastAsia="en-AU"/>
              </w:rPr>
              <w:t>17,028.2</w:t>
            </w:r>
          </w:p>
        </w:tc>
      </w:tr>
      <w:tr w:rsidR="006E48C1" w14:paraId="3D00FF33" w14:textId="77777777" w:rsidTr="002A0BB3">
        <w:trPr>
          <w:trHeight w:val="57"/>
        </w:trPr>
        <w:tc>
          <w:tcPr>
            <w:tcW w:w="2485" w:type="dxa"/>
            <w:tcBorders>
              <w:top w:val="nil"/>
              <w:left w:val="nil"/>
              <w:bottom w:val="single" w:sz="4" w:space="0" w:color="auto"/>
              <w:right w:val="nil"/>
            </w:tcBorders>
            <w:hideMark/>
          </w:tcPr>
          <w:p w14:paraId="454CB89D" w14:textId="77777777" w:rsidR="006E48C1" w:rsidRDefault="006E48C1" w:rsidP="002A0BB3">
            <w:pPr>
              <w:spacing w:before="60" w:after="60"/>
              <w:ind w:left="227" w:hanging="227"/>
              <w:rPr>
                <w:rFonts w:ascii="Calibri" w:hAnsi="Calibri"/>
                <w:bCs/>
                <w:sz w:val="20"/>
                <w:szCs w:val="20"/>
                <w:lang w:val="x-none"/>
              </w:rPr>
            </w:pPr>
            <w:r>
              <w:rPr>
                <w:rFonts w:ascii="Calibri" w:hAnsi="Calibri"/>
                <w:bCs/>
                <w:sz w:val="20"/>
                <w:szCs w:val="20"/>
                <w:lang w:val="x-none"/>
              </w:rPr>
              <w:t xml:space="preserve">Net </w:t>
            </w:r>
            <w:r>
              <w:rPr>
                <w:rFonts w:ascii="Calibri" w:hAnsi="Calibri"/>
                <w:bCs/>
                <w:sz w:val="20"/>
                <w:szCs w:val="20"/>
              </w:rPr>
              <w:t>w</w:t>
            </w:r>
            <w:r>
              <w:rPr>
                <w:rFonts w:ascii="Calibri" w:hAnsi="Calibri"/>
                <w:bCs/>
                <w:sz w:val="20"/>
                <w:szCs w:val="20"/>
                <w:lang w:val="x-none"/>
              </w:rPr>
              <w:t>orth</w:t>
            </w:r>
          </w:p>
        </w:tc>
        <w:tc>
          <w:tcPr>
            <w:tcW w:w="1343" w:type="dxa"/>
            <w:tcBorders>
              <w:top w:val="nil"/>
              <w:left w:val="nil"/>
              <w:bottom w:val="single" w:sz="4" w:space="0" w:color="auto"/>
              <w:right w:val="nil"/>
            </w:tcBorders>
            <w:hideMark/>
          </w:tcPr>
          <w:p w14:paraId="2B533B6C" w14:textId="77777777" w:rsidR="006E48C1" w:rsidRDefault="006E48C1" w:rsidP="002A0BB3">
            <w:pPr>
              <w:spacing w:before="60" w:after="60"/>
              <w:ind w:left="227" w:hanging="227"/>
              <w:jc w:val="right"/>
              <w:rPr>
                <w:rFonts w:ascii="Calibri" w:hAnsi="Calibri"/>
                <w:sz w:val="20"/>
                <w:szCs w:val="20"/>
                <w:lang w:eastAsia="en-AU"/>
              </w:rPr>
            </w:pPr>
            <w:r>
              <w:rPr>
                <w:rFonts w:ascii="Calibri" w:hAnsi="Calibri"/>
                <w:sz w:val="20"/>
                <w:szCs w:val="20"/>
                <w:lang w:eastAsia="en-AU"/>
              </w:rPr>
              <w:t>19,539.6</w:t>
            </w:r>
          </w:p>
        </w:tc>
        <w:tc>
          <w:tcPr>
            <w:tcW w:w="965" w:type="dxa"/>
            <w:tcBorders>
              <w:top w:val="nil"/>
              <w:left w:val="nil"/>
              <w:bottom w:val="single" w:sz="4" w:space="0" w:color="auto"/>
              <w:right w:val="nil"/>
            </w:tcBorders>
            <w:hideMark/>
          </w:tcPr>
          <w:p w14:paraId="331B76A7" w14:textId="77777777" w:rsidR="006E48C1" w:rsidRDefault="006E48C1" w:rsidP="002A0BB3">
            <w:pPr>
              <w:spacing w:before="60" w:after="60"/>
              <w:ind w:left="227" w:hanging="227"/>
              <w:jc w:val="right"/>
              <w:rPr>
                <w:rFonts w:ascii="Calibri" w:hAnsi="Calibri"/>
                <w:sz w:val="20"/>
                <w:szCs w:val="20"/>
                <w:lang w:eastAsia="en-AU"/>
              </w:rPr>
            </w:pPr>
            <w:r>
              <w:rPr>
                <w:rFonts w:ascii="Calibri" w:hAnsi="Calibri"/>
                <w:sz w:val="20"/>
                <w:szCs w:val="20"/>
                <w:lang w:eastAsia="en-AU"/>
              </w:rPr>
              <w:t>18,772.9</w:t>
            </w:r>
          </w:p>
        </w:tc>
        <w:tc>
          <w:tcPr>
            <w:tcW w:w="1104" w:type="dxa"/>
            <w:tcBorders>
              <w:top w:val="nil"/>
              <w:left w:val="nil"/>
              <w:bottom w:val="single" w:sz="4" w:space="0" w:color="auto"/>
              <w:right w:val="nil"/>
            </w:tcBorders>
            <w:hideMark/>
          </w:tcPr>
          <w:p w14:paraId="3FA3A508" w14:textId="77777777" w:rsidR="006E48C1" w:rsidRDefault="006E48C1" w:rsidP="002A0BB3">
            <w:pPr>
              <w:spacing w:before="60" w:after="60"/>
              <w:ind w:left="227" w:hanging="227"/>
              <w:jc w:val="right"/>
              <w:rPr>
                <w:rFonts w:ascii="Calibri" w:hAnsi="Calibri"/>
                <w:sz w:val="20"/>
                <w:szCs w:val="20"/>
                <w:lang w:eastAsia="en-AU"/>
              </w:rPr>
            </w:pPr>
            <w:r>
              <w:rPr>
                <w:rFonts w:ascii="Calibri" w:hAnsi="Calibri"/>
                <w:sz w:val="20"/>
                <w:szCs w:val="20"/>
                <w:lang w:eastAsia="en-AU"/>
              </w:rPr>
              <w:t xml:space="preserve">18,377.1 </w:t>
            </w:r>
          </w:p>
        </w:tc>
        <w:tc>
          <w:tcPr>
            <w:tcW w:w="1104" w:type="dxa"/>
            <w:tcBorders>
              <w:top w:val="nil"/>
              <w:left w:val="nil"/>
              <w:bottom w:val="single" w:sz="4" w:space="0" w:color="auto"/>
              <w:right w:val="nil"/>
            </w:tcBorders>
            <w:hideMark/>
          </w:tcPr>
          <w:p w14:paraId="03FEFEE0" w14:textId="77777777" w:rsidR="006E48C1" w:rsidRDefault="006E48C1" w:rsidP="002A0BB3">
            <w:pPr>
              <w:spacing w:before="60" w:after="60"/>
              <w:ind w:left="227" w:hanging="227"/>
              <w:jc w:val="right"/>
              <w:rPr>
                <w:rFonts w:ascii="Calibri" w:hAnsi="Calibri"/>
                <w:sz w:val="20"/>
                <w:szCs w:val="20"/>
                <w:lang w:eastAsia="en-AU"/>
              </w:rPr>
            </w:pPr>
            <w:r>
              <w:rPr>
                <w:rFonts w:ascii="Calibri" w:hAnsi="Calibri"/>
                <w:sz w:val="20"/>
                <w:szCs w:val="20"/>
                <w:lang w:eastAsia="en-AU"/>
              </w:rPr>
              <w:t>17,994.4</w:t>
            </w:r>
          </w:p>
        </w:tc>
        <w:tc>
          <w:tcPr>
            <w:tcW w:w="1104" w:type="dxa"/>
            <w:tcBorders>
              <w:top w:val="nil"/>
              <w:left w:val="nil"/>
              <w:bottom w:val="single" w:sz="4" w:space="0" w:color="auto"/>
              <w:right w:val="nil"/>
            </w:tcBorders>
            <w:hideMark/>
          </w:tcPr>
          <w:p w14:paraId="6884781E" w14:textId="77777777" w:rsidR="006E48C1" w:rsidRDefault="006E48C1" w:rsidP="002A0BB3">
            <w:pPr>
              <w:spacing w:before="60" w:after="60"/>
              <w:ind w:left="227" w:hanging="227"/>
              <w:jc w:val="right"/>
              <w:rPr>
                <w:rFonts w:ascii="Calibri" w:hAnsi="Calibri"/>
                <w:sz w:val="20"/>
                <w:szCs w:val="20"/>
                <w:lang w:eastAsia="en-AU"/>
              </w:rPr>
            </w:pPr>
            <w:r>
              <w:rPr>
                <w:rFonts w:ascii="Calibri" w:hAnsi="Calibri"/>
                <w:sz w:val="20"/>
                <w:szCs w:val="20"/>
                <w:lang w:eastAsia="en-AU"/>
              </w:rPr>
              <w:t xml:space="preserve">17,834.9 </w:t>
            </w:r>
          </w:p>
        </w:tc>
      </w:tr>
    </w:tbl>
    <w:p w14:paraId="6A4B1B5F" w14:textId="77777777" w:rsidR="006E48C1" w:rsidRDefault="006E48C1" w:rsidP="006E48C1">
      <w:pPr>
        <w:spacing w:before="0" w:after="240"/>
        <w:rPr>
          <w:noProof/>
          <w:sz w:val="20"/>
          <w:szCs w:val="20"/>
        </w:rPr>
      </w:pPr>
      <w:r>
        <w:rPr>
          <w:sz w:val="20"/>
          <w:szCs w:val="20"/>
        </w:rPr>
        <w:t xml:space="preserve">Source: </w:t>
      </w:r>
      <w:r w:rsidRPr="005A0CF7">
        <w:rPr>
          <w:noProof/>
          <w:sz w:val="20"/>
          <w:szCs w:val="20"/>
        </w:rPr>
        <w:t xml:space="preserve">ACT </w:t>
      </w:r>
      <w:r>
        <w:rPr>
          <w:noProof/>
          <w:sz w:val="20"/>
          <w:szCs w:val="20"/>
        </w:rPr>
        <w:t>Budget 2024, Table F.9</w:t>
      </w:r>
    </w:p>
    <w:p w14:paraId="5E65EF2A" w14:textId="43FB0BD4" w:rsidR="006E48C1" w:rsidRPr="008523CE" w:rsidRDefault="006E48C1" w:rsidP="006E48C1">
      <w:pPr>
        <w:pStyle w:val="Bbodytext"/>
        <w:spacing w:after="240"/>
        <w:rPr>
          <w:rFonts w:cstheme="minorHAnsi"/>
        </w:rPr>
      </w:pPr>
      <w:r w:rsidRPr="008523CE">
        <w:rPr>
          <w:rFonts w:cstheme="minorHAnsi"/>
        </w:rPr>
        <w:t>T</w:t>
      </w:r>
      <w:r>
        <w:rPr>
          <w:rFonts w:cstheme="minorHAnsi"/>
        </w:rPr>
        <w:t>he t</w:t>
      </w:r>
      <w:r w:rsidRPr="008523CE">
        <w:rPr>
          <w:rFonts w:cstheme="minorHAnsi"/>
        </w:rPr>
        <w:t xml:space="preserve">able shows that the Territory’s financial position is becoming more vulnerable over the Budget and forward years.  Net debt is forecast to increase by 70 percent over the Budget and forward years compared to the expected 2023-24 outcome.  After a period of </w:t>
      </w:r>
      <w:r>
        <w:rPr>
          <w:rFonts w:cstheme="minorHAnsi"/>
        </w:rPr>
        <w:t xml:space="preserve">measured </w:t>
      </w:r>
      <w:r w:rsidRPr="008523CE">
        <w:rPr>
          <w:rFonts w:cstheme="minorHAnsi"/>
        </w:rPr>
        <w:t>improvement between 2019-20 and 2022-23</w:t>
      </w:r>
      <w:r>
        <w:rPr>
          <w:rFonts w:cstheme="minorHAnsi"/>
        </w:rPr>
        <w:t xml:space="preserve"> due to valuation effects</w:t>
      </w:r>
      <w:r w:rsidRPr="008523CE">
        <w:rPr>
          <w:rFonts w:cstheme="minorHAnsi"/>
        </w:rPr>
        <w:t>, net financial liabilities are expected to grow over the Budget and forward years.</w:t>
      </w:r>
      <w:r w:rsidRPr="008523CE">
        <w:t xml:space="preserve">  </w:t>
      </w:r>
      <w:r w:rsidRPr="008523CE">
        <w:rPr>
          <w:rFonts w:cstheme="minorHAnsi"/>
        </w:rPr>
        <w:t xml:space="preserve">Net worth, which is the broadest measure of the Territory’s financial position, is now expected to decline over each year. </w:t>
      </w:r>
    </w:p>
    <w:p w14:paraId="07950E6E" w14:textId="39764C60" w:rsidR="006E48C1" w:rsidRPr="008523CE" w:rsidRDefault="006E48C1" w:rsidP="006E48C1">
      <w:pPr>
        <w:pStyle w:val="Bbodytext"/>
        <w:spacing w:after="240"/>
        <w:rPr>
          <w:rFonts w:cstheme="minorHAnsi"/>
        </w:rPr>
      </w:pPr>
      <w:r w:rsidRPr="008523CE">
        <w:rPr>
          <w:rFonts w:cstheme="minorHAnsi"/>
        </w:rPr>
        <w:t xml:space="preserve">While the key balance sheet measures can vary from year to year with changes in underlying assumptions, the long-term trend shows a continuing deterioration in the Territory’s indebtedness and financial obligations. This is illustrated in </w:t>
      </w:r>
      <w:r w:rsidR="00417784">
        <w:rPr>
          <w:rFonts w:cstheme="minorHAnsi"/>
        </w:rPr>
        <w:fldChar w:fldCharType="begin"/>
      </w:r>
      <w:r w:rsidR="00417784">
        <w:rPr>
          <w:rFonts w:cstheme="minorHAnsi"/>
        </w:rPr>
        <w:instrText xml:space="preserve"> REF _Ref170907456 \h </w:instrText>
      </w:r>
      <w:r w:rsidR="00417784">
        <w:rPr>
          <w:rFonts w:cstheme="minorHAnsi"/>
        </w:rPr>
      </w:r>
      <w:r w:rsidR="00417784">
        <w:rPr>
          <w:rFonts w:cstheme="minorHAnsi"/>
        </w:rPr>
        <w:fldChar w:fldCharType="separate"/>
      </w:r>
      <w:r w:rsidR="000B62ED">
        <w:t xml:space="preserve">Figure </w:t>
      </w:r>
      <w:r w:rsidR="000B62ED">
        <w:rPr>
          <w:noProof/>
        </w:rPr>
        <w:t>11</w:t>
      </w:r>
      <w:r w:rsidR="00417784">
        <w:rPr>
          <w:rFonts w:cstheme="minorHAnsi"/>
        </w:rPr>
        <w:fldChar w:fldCharType="end"/>
      </w:r>
      <w:r w:rsidRPr="008523CE">
        <w:rPr>
          <w:rFonts w:cstheme="minorHAnsi"/>
        </w:rPr>
        <w:t xml:space="preserve"> below. </w:t>
      </w:r>
    </w:p>
    <w:p w14:paraId="7C574236" w14:textId="18101547" w:rsidR="006E48C1" w:rsidRDefault="006E48C1" w:rsidP="00730903">
      <w:pPr>
        <w:pStyle w:val="Caption"/>
        <w:keepNext/>
        <w:spacing w:before="0"/>
      </w:pPr>
      <w:bookmarkStart w:id="70" w:name="_Ref170907456"/>
      <w:bookmarkStart w:id="71" w:name="_Toc110939307"/>
      <w:bookmarkStart w:id="72" w:name="_Toc171949070"/>
      <w:r>
        <w:lastRenderedPageBreak/>
        <w:t xml:space="preserve">Figure </w:t>
      </w:r>
      <w:r>
        <w:fldChar w:fldCharType="begin"/>
      </w:r>
      <w:r>
        <w:rPr>
          <w:noProof/>
        </w:rPr>
        <w:instrText xml:space="preserve"> SEQ Figure \* ARABIC </w:instrText>
      </w:r>
      <w:r>
        <w:fldChar w:fldCharType="separate"/>
      </w:r>
      <w:r w:rsidR="000B62ED">
        <w:rPr>
          <w:noProof/>
        </w:rPr>
        <w:t>11</w:t>
      </w:r>
      <w:r>
        <w:fldChar w:fldCharType="end"/>
      </w:r>
      <w:bookmarkEnd w:id="70"/>
      <w:r>
        <w:t>: Key balance sheet measures</w:t>
      </w:r>
      <w:bookmarkEnd w:id="72"/>
      <w:r>
        <w:t xml:space="preserve"> </w:t>
      </w:r>
      <w:bookmarkEnd w:id="71"/>
    </w:p>
    <w:p w14:paraId="3A9410EC" w14:textId="75A25213" w:rsidR="006E48C1" w:rsidRDefault="0065359B" w:rsidP="00730903">
      <w:pPr>
        <w:keepNext/>
      </w:pPr>
      <w:r w:rsidRPr="0065359B">
        <w:rPr>
          <w:noProof/>
        </w:rPr>
        <w:t xml:space="preserve"> </w:t>
      </w:r>
      <w:r>
        <w:rPr>
          <w:noProof/>
        </w:rPr>
        <w:drawing>
          <wp:inline distT="0" distB="0" distL="0" distR="0" wp14:anchorId="1CF2A7CC" wp14:editId="5A7C1362">
            <wp:extent cx="5731510" cy="3737610"/>
            <wp:effectExtent l="0" t="0" r="0" b="0"/>
            <wp:docPr id="7039638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963894" name=""/>
                    <pic:cNvPicPr/>
                  </pic:nvPicPr>
                  <pic:blipFill>
                    <a:blip r:embed="rId27"/>
                    <a:stretch>
                      <a:fillRect/>
                    </a:stretch>
                  </pic:blipFill>
                  <pic:spPr>
                    <a:xfrm>
                      <a:off x="0" y="0"/>
                      <a:ext cx="5731510" cy="3737610"/>
                    </a:xfrm>
                    <a:prstGeom prst="rect">
                      <a:avLst/>
                    </a:prstGeom>
                  </pic:spPr>
                </pic:pic>
              </a:graphicData>
            </a:graphic>
          </wp:inline>
        </w:drawing>
      </w:r>
    </w:p>
    <w:p w14:paraId="5D59F896" w14:textId="77777777" w:rsidR="006E48C1" w:rsidRDefault="006E48C1" w:rsidP="006E48C1">
      <w:pPr>
        <w:spacing w:before="0" w:after="240"/>
        <w:rPr>
          <w:i/>
          <w:iCs/>
          <w:sz w:val="18"/>
          <w:szCs w:val="18"/>
        </w:rPr>
      </w:pPr>
      <w:r>
        <w:rPr>
          <w:iCs/>
          <w:sz w:val="20"/>
          <w:szCs w:val="20"/>
        </w:rPr>
        <w:t xml:space="preserve">Source: </w:t>
      </w:r>
      <w:r>
        <w:rPr>
          <w:sz w:val="20"/>
          <w:szCs w:val="20"/>
        </w:rPr>
        <w:t>ACT Budget Papers 2013 to 2024.</w:t>
      </w:r>
      <w:r>
        <w:rPr>
          <w:noProof/>
          <w:sz w:val="20"/>
          <w:szCs w:val="20"/>
        </w:rPr>
        <w:t xml:space="preserve"> </w:t>
      </w:r>
      <w:r>
        <w:rPr>
          <w:noProof/>
          <w:sz w:val="20"/>
          <w:szCs w:val="20"/>
        </w:rPr>
        <w:br/>
      </w:r>
      <w:r>
        <w:rPr>
          <w:i/>
          <w:iCs/>
          <w:noProof/>
          <w:sz w:val="18"/>
          <w:szCs w:val="18"/>
        </w:rPr>
        <w:t xml:space="preserve">Note: From 2019-20, net debt includes the impact of accounting changes in relation to the treatment of leases.  The ACT Government has indicated that for this reason net debt from 2019-20 is not directrly comparable to prior years. </w:t>
      </w:r>
    </w:p>
    <w:p w14:paraId="5FA27DF0" w14:textId="4B27F78F" w:rsidR="006E48C1" w:rsidRPr="008523CE" w:rsidRDefault="00417784" w:rsidP="006E48C1">
      <w:pPr>
        <w:spacing w:after="240"/>
        <w:rPr>
          <w:rFonts w:cstheme="minorHAnsi"/>
        </w:rPr>
      </w:pPr>
      <w:r>
        <w:rPr>
          <w:rFonts w:cstheme="minorHAnsi"/>
        </w:rPr>
        <w:fldChar w:fldCharType="begin"/>
      </w:r>
      <w:r>
        <w:rPr>
          <w:rFonts w:cstheme="minorHAnsi"/>
        </w:rPr>
        <w:instrText xml:space="preserve"> REF _Ref170907456 \h </w:instrText>
      </w:r>
      <w:r>
        <w:rPr>
          <w:rFonts w:cstheme="minorHAnsi"/>
        </w:rPr>
      </w:r>
      <w:r>
        <w:rPr>
          <w:rFonts w:cstheme="minorHAnsi"/>
        </w:rPr>
        <w:fldChar w:fldCharType="separate"/>
      </w:r>
      <w:r w:rsidR="000B62ED">
        <w:t xml:space="preserve">Figure </w:t>
      </w:r>
      <w:r w:rsidR="000B62ED">
        <w:rPr>
          <w:noProof/>
        </w:rPr>
        <w:t>11</w:t>
      </w:r>
      <w:r>
        <w:rPr>
          <w:rFonts w:cstheme="minorHAnsi"/>
        </w:rPr>
        <w:fldChar w:fldCharType="end"/>
      </w:r>
      <w:r>
        <w:rPr>
          <w:rFonts w:cstheme="minorHAnsi"/>
        </w:rPr>
        <w:t xml:space="preserve"> </w:t>
      </w:r>
      <w:r w:rsidR="006E48C1" w:rsidRPr="008523CE">
        <w:rPr>
          <w:rFonts w:cstheme="minorHAnsi"/>
        </w:rPr>
        <w:t xml:space="preserve">shows that net financial liabilities </w:t>
      </w:r>
      <w:r w:rsidR="006E48C1">
        <w:rPr>
          <w:rFonts w:cstheme="minorHAnsi"/>
        </w:rPr>
        <w:t xml:space="preserve">will have more than tripled </w:t>
      </w:r>
      <w:r w:rsidR="006E48C1" w:rsidRPr="008523CE">
        <w:rPr>
          <w:rFonts w:cstheme="minorHAnsi"/>
        </w:rPr>
        <w:t xml:space="preserve">since 2013-14.  Over the same time, net debt will have grown from around $312 million in 2013-14 to </w:t>
      </w:r>
      <w:r w:rsidR="006E48C1">
        <w:rPr>
          <w:rFonts w:cstheme="minorHAnsi"/>
        </w:rPr>
        <w:t xml:space="preserve">almost </w:t>
      </w:r>
      <w:r w:rsidR="006E48C1" w:rsidRPr="008523CE">
        <w:rPr>
          <w:rFonts w:cstheme="minorHAnsi"/>
        </w:rPr>
        <w:t>$</w:t>
      </w:r>
      <w:r w:rsidR="006E48C1">
        <w:rPr>
          <w:rFonts w:cstheme="minorHAnsi"/>
        </w:rPr>
        <w:t>9</w:t>
      </w:r>
      <w:r w:rsidR="006E48C1" w:rsidRPr="008523CE">
        <w:rPr>
          <w:rFonts w:cstheme="minorHAnsi"/>
        </w:rPr>
        <w:t xml:space="preserve"> billion in 202</w:t>
      </w:r>
      <w:r w:rsidR="006E48C1">
        <w:rPr>
          <w:rFonts w:cstheme="minorHAnsi"/>
        </w:rPr>
        <w:t>4</w:t>
      </w:r>
      <w:r w:rsidR="006E48C1" w:rsidRPr="008523CE">
        <w:rPr>
          <w:rFonts w:cstheme="minorHAnsi"/>
        </w:rPr>
        <w:t>-2</w:t>
      </w:r>
      <w:r w:rsidR="006E48C1">
        <w:rPr>
          <w:rFonts w:cstheme="minorHAnsi"/>
        </w:rPr>
        <w:t>5</w:t>
      </w:r>
      <w:r w:rsidR="006E48C1" w:rsidRPr="008523CE">
        <w:rPr>
          <w:rFonts w:cstheme="minorHAnsi"/>
        </w:rPr>
        <w:t xml:space="preserve"> and over $1</w:t>
      </w:r>
      <w:r w:rsidR="006E48C1">
        <w:rPr>
          <w:rFonts w:cstheme="minorHAnsi"/>
        </w:rPr>
        <w:t>2</w:t>
      </w:r>
      <w:r w:rsidR="006E48C1" w:rsidRPr="008523CE">
        <w:rPr>
          <w:rFonts w:cstheme="minorHAnsi"/>
        </w:rPr>
        <w:t xml:space="preserve"> billion by the end of the forecast period. </w:t>
      </w:r>
      <w:r w:rsidR="006E48C1">
        <w:rPr>
          <w:rFonts w:cstheme="minorHAnsi"/>
        </w:rPr>
        <w:t xml:space="preserve"> The ACT Government was a net lender in 2011-12.  </w:t>
      </w:r>
      <w:r w:rsidR="006E48C1" w:rsidRPr="008523CE">
        <w:rPr>
          <w:rFonts w:cstheme="minorHAnsi"/>
        </w:rPr>
        <w:t xml:space="preserve">Net worth has grown </w:t>
      </w:r>
      <w:r w:rsidR="006E48C1">
        <w:rPr>
          <w:rFonts w:cstheme="minorHAnsi"/>
        </w:rPr>
        <w:t xml:space="preserve">since 2013-14 </w:t>
      </w:r>
      <w:r w:rsidR="006E48C1" w:rsidRPr="008523CE">
        <w:rPr>
          <w:rFonts w:cstheme="minorHAnsi"/>
        </w:rPr>
        <w:t xml:space="preserve">but </w:t>
      </w:r>
      <w:r w:rsidR="006E48C1">
        <w:rPr>
          <w:rFonts w:cstheme="minorHAnsi"/>
        </w:rPr>
        <w:t xml:space="preserve">is now forecast to decline over the forward years. </w:t>
      </w:r>
    </w:p>
    <w:p w14:paraId="77C64C28" w14:textId="0F99E032" w:rsidR="006E48C1" w:rsidRPr="008523CE" w:rsidRDefault="006E48C1" w:rsidP="006E48C1">
      <w:pPr>
        <w:spacing w:after="240"/>
        <w:rPr>
          <w:rFonts w:cstheme="minorHAnsi"/>
        </w:rPr>
      </w:pPr>
      <w:r w:rsidRPr="008523CE">
        <w:rPr>
          <w:rFonts w:cstheme="minorHAnsi"/>
        </w:rPr>
        <w:t xml:space="preserve">When expressed as a proportion of Gross State Product, all the Territory’s key balance sheet measures are expected to deteriorate over the Budget and forward estimates period, as shown in </w:t>
      </w:r>
      <w:r w:rsidR="00417784">
        <w:rPr>
          <w:rFonts w:cstheme="minorHAnsi"/>
        </w:rPr>
        <w:fldChar w:fldCharType="begin"/>
      </w:r>
      <w:r w:rsidR="00417784">
        <w:rPr>
          <w:rFonts w:cstheme="minorHAnsi"/>
        </w:rPr>
        <w:instrText xml:space="preserve"> REF _Ref170907494 \h </w:instrText>
      </w:r>
      <w:r w:rsidR="00417784">
        <w:rPr>
          <w:rFonts w:cstheme="minorHAnsi"/>
        </w:rPr>
      </w:r>
      <w:r w:rsidR="00417784">
        <w:rPr>
          <w:rFonts w:cstheme="minorHAnsi"/>
        </w:rPr>
        <w:fldChar w:fldCharType="separate"/>
      </w:r>
      <w:r w:rsidR="000B62ED">
        <w:t xml:space="preserve">Figure </w:t>
      </w:r>
      <w:r w:rsidR="000B62ED">
        <w:rPr>
          <w:noProof/>
        </w:rPr>
        <w:t>12</w:t>
      </w:r>
      <w:r w:rsidR="00417784">
        <w:rPr>
          <w:rFonts w:cstheme="minorHAnsi"/>
        </w:rPr>
        <w:fldChar w:fldCharType="end"/>
      </w:r>
      <w:r w:rsidRPr="008523CE">
        <w:rPr>
          <w:rFonts w:cstheme="minorHAnsi"/>
        </w:rPr>
        <w:t>.</w:t>
      </w:r>
    </w:p>
    <w:p w14:paraId="0D6490EC" w14:textId="22B2D23F" w:rsidR="006E48C1" w:rsidRDefault="006E48C1" w:rsidP="006E48C1">
      <w:pPr>
        <w:pStyle w:val="Caption"/>
        <w:keepNext/>
        <w:spacing w:before="0"/>
        <w:rPr>
          <w:rFonts w:cstheme="minorHAnsi"/>
        </w:rPr>
      </w:pPr>
      <w:bookmarkStart w:id="73" w:name="_Ref170907494"/>
      <w:bookmarkStart w:id="74" w:name="_Toc110939308"/>
      <w:bookmarkStart w:id="75" w:name="_Toc171949071"/>
      <w:r>
        <w:lastRenderedPageBreak/>
        <w:t xml:space="preserve">Figure </w:t>
      </w:r>
      <w:r>
        <w:fldChar w:fldCharType="begin"/>
      </w:r>
      <w:r>
        <w:instrText xml:space="preserve"> SEQ Figure \* ARABIC </w:instrText>
      </w:r>
      <w:r>
        <w:fldChar w:fldCharType="separate"/>
      </w:r>
      <w:r w:rsidR="000B62ED">
        <w:rPr>
          <w:noProof/>
        </w:rPr>
        <w:t>12</w:t>
      </w:r>
      <w:r>
        <w:rPr>
          <w:noProof/>
        </w:rPr>
        <w:fldChar w:fldCharType="end"/>
      </w:r>
      <w:bookmarkEnd w:id="73"/>
      <w:r>
        <w:t>: Key balance sheet measures as a proportion of Gross State Product</w:t>
      </w:r>
      <w:bookmarkEnd w:id="74"/>
      <w:bookmarkEnd w:id="75"/>
      <w:r>
        <w:t xml:space="preserve"> </w:t>
      </w:r>
    </w:p>
    <w:p w14:paraId="661860E9" w14:textId="77777777" w:rsidR="006E48C1" w:rsidRDefault="006E48C1" w:rsidP="006E48C1">
      <w:pPr>
        <w:spacing w:before="0" w:after="0"/>
      </w:pPr>
      <w:r>
        <w:rPr>
          <w:noProof/>
        </w:rPr>
        <w:drawing>
          <wp:inline distT="0" distB="0" distL="0" distR="0" wp14:anchorId="1614FA16" wp14:editId="3DCAD584">
            <wp:extent cx="5727700" cy="3735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27700" cy="3735070"/>
                    </a:xfrm>
                    <a:prstGeom prst="rect">
                      <a:avLst/>
                    </a:prstGeom>
                  </pic:spPr>
                </pic:pic>
              </a:graphicData>
            </a:graphic>
          </wp:inline>
        </w:drawing>
      </w:r>
    </w:p>
    <w:p w14:paraId="504AA6CE" w14:textId="77777777" w:rsidR="006E48C1" w:rsidRDefault="006E48C1" w:rsidP="006E48C1">
      <w:pPr>
        <w:spacing w:before="0" w:after="240"/>
      </w:pPr>
      <w:r>
        <w:rPr>
          <w:iCs/>
          <w:sz w:val="20"/>
          <w:szCs w:val="20"/>
        </w:rPr>
        <w:t>Source: ACT Budget Papers</w:t>
      </w:r>
    </w:p>
    <w:p w14:paraId="5AEE16B5" w14:textId="77777777" w:rsidR="006E48C1" w:rsidRDefault="006E48C1" w:rsidP="006E48C1">
      <w:pPr>
        <w:rPr>
          <w:rFonts w:cstheme="minorHAnsi"/>
        </w:rPr>
      </w:pPr>
      <w:r>
        <w:rPr>
          <w:rFonts w:cstheme="minorHAnsi"/>
        </w:rPr>
        <w:t xml:space="preserve">Movements in these measures </w:t>
      </w:r>
      <w:r w:rsidRPr="00B6359B">
        <w:rPr>
          <w:rFonts w:cstheme="minorHAnsi"/>
        </w:rPr>
        <w:t xml:space="preserve">show a weakening of the ACT Government’s balance sheet and fiscal position over time. </w:t>
      </w:r>
    </w:p>
    <w:p w14:paraId="75B6F3A1" w14:textId="5710E5D0" w:rsidR="00FF6FD5" w:rsidRPr="00573650" w:rsidRDefault="00573650" w:rsidP="00573650">
      <w:pPr>
        <w:pStyle w:val="Heading2"/>
      </w:pPr>
      <w:bookmarkStart w:id="76" w:name="_Toc171949000"/>
      <w:r>
        <w:t>3.4</w:t>
      </w:r>
      <w:r>
        <w:tab/>
      </w:r>
      <w:r w:rsidRPr="00FF6FD5">
        <w:t>Cash Flow Statement – General Government</w:t>
      </w:r>
      <w:bookmarkEnd w:id="76"/>
      <w:r>
        <w:t xml:space="preserve"> </w:t>
      </w:r>
    </w:p>
    <w:p w14:paraId="5449FFBF" w14:textId="4957180D" w:rsidR="00573650" w:rsidRPr="00573650" w:rsidRDefault="00573650" w:rsidP="00573650">
      <w:pPr>
        <w:rPr>
          <w:rFonts w:ascii="Calibri" w:hAnsi="Calibri" w:cs="Calibri"/>
        </w:rPr>
      </w:pPr>
      <w:r>
        <w:rPr>
          <w:rFonts w:ascii="Calibri" w:hAnsi="Calibri" w:cs="Calibri"/>
        </w:rPr>
        <w:t xml:space="preserve">In assessing the sustainability of the Government’s </w:t>
      </w:r>
      <w:r w:rsidR="00302CBF">
        <w:rPr>
          <w:rFonts w:ascii="Calibri" w:hAnsi="Calibri" w:cs="Calibri"/>
        </w:rPr>
        <w:t>fiscal stance</w:t>
      </w:r>
      <w:r>
        <w:rPr>
          <w:rFonts w:ascii="Calibri" w:hAnsi="Calibri" w:cs="Calibri"/>
        </w:rPr>
        <w:t xml:space="preserve">, it is relevant to </w:t>
      </w:r>
      <w:r w:rsidR="00302CBF">
        <w:rPr>
          <w:rFonts w:ascii="Calibri" w:hAnsi="Calibri" w:cs="Calibri"/>
        </w:rPr>
        <w:t xml:space="preserve">also </w:t>
      </w:r>
      <w:r>
        <w:rPr>
          <w:rFonts w:ascii="Calibri" w:hAnsi="Calibri" w:cs="Calibri"/>
        </w:rPr>
        <w:t xml:space="preserve">consider </w:t>
      </w:r>
      <w:r w:rsidR="00302CBF">
        <w:rPr>
          <w:rFonts w:ascii="Calibri" w:hAnsi="Calibri" w:cs="Calibri"/>
        </w:rPr>
        <w:t>the cash position</w:t>
      </w:r>
      <w:r>
        <w:rPr>
          <w:rFonts w:ascii="Calibri" w:hAnsi="Calibri" w:cs="Calibri"/>
        </w:rPr>
        <w:t>.</w:t>
      </w:r>
    </w:p>
    <w:p w14:paraId="06AD5FD4" w14:textId="3FDB7E20" w:rsidR="00FF6FD5" w:rsidRDefault="00FF6FD5" w:rsidP="00FF6FD5">
      <w:pPr>
        <w:rPr>
          <w:rFonts w:ascii="Calibri" w:hAnsi="Calibri" w:cs="Calibri"/>
        </w:rPr>
      </w:pPr>
      <w:r>
        <w:rPr>
          <w:rFonts w:ascii="Calibri" w:hAnsi="Calibri" w:cs="Calibri"/>
        </w:rPr>
        <w:t>A surplus of $24.2 million in t</w:t>
      </w:r>
      <w:r w:rsidRPr="006E72CF">
        <w:rPr>
          <w:rFonts w:ascii="Calibri" w:hAnsi="Calibri" w:cs="Calibri"/>
        </w:rPr>
        <w:t xml:space="preserve">he </w:t>
      </w:r>
      <w:r>
        <w:rPr>
          <w:rFonts w:ascii="Calibri" w:hAnsi="Calibri" w:cs="Calibri"/>
        </w:rPr>
        <w:t xml:space="preserve">Net Operating Cash Balance has been forecast for 2024-25.  </w:t>
      </w:r>
      <w:r w:rsidR="008378B0">
        <w:rPr>
          <w:rFonts w:ascii="Calibri" w:hAnsi="Calibri" w:cs="Calibri"/>
        </w:rPr>
        <w:t xml:space="preserve">This follows an estimated deficit in operating cash for 2023-24 of $193.7 million.  </w:t>
      </w:r>
      <w:r>
        <w:rPr>
          <w:rFonts w:ascii="Calibri" w:hAnsi="Calibri" w:cs="Calibri"/>
        </w:rPr>
        <w:t>Further increasing surpluses are forecast for each of the out years (</w:t>
      </w:r>
      <w:r w:rsidR="00B66A3B">
        <w:rPr>
          <w:rFonts w:ascii="Calibri" w:hAnsi="Calibri" w:cs="Calibri"/>
        </w:rPr>
        <w:t xml:space="preserve">Budget Outlook </w:t>
      </w:r>
      <w:r>
        <w:rPr>
          <w:rFonts w:ascii="Calibri" w:hAnsi="Calibri" w:cs="Calibri"/>
        </w:rPr>
        <w:t>2024, p. 46 and Table 3.1.4)</w:t>
      </w:r>
    </w:p>
    <w:p w14:paraId="00D88C2F" w14:textId="46FDB5F8" w:rsidR="008378B0" w:rsidRDefault="00302CBF" w:rsidP="0089493E">
      <w:pPr>
        <w:rPr>
          <w:rFonts w:ascii="Calibri" w:hAnsi="Calibri" w:cs="Calibri"/>
        </w:rPr>
      </w:pPr>
      <w:r>
        <w:rPr>
          <w:rFonts w:ascii="Calibri" w:hAnsi="Calibri" w:cs="Calibri"/>
        </w:rPr>
        <w:t>However</w:t>
      </w:r>
      <w:r w:rsidR="008378B0">
        <w:rPr>
          <w:rFonts w:ascii="Calibri" w:hAnsi="Calibri" w:cs="Calibri"/>
        </w:rPr>
        <w:t>, the overall cash position</w:t>
      </w:r>
      <w:r>
        <w:rPr>
          <w:rFonts w:ascii="Calibri" w:hAnsi="Calibri" w:cs="Calibri"/>
        </w:rPr>
        <w:t>, which include</w:t>
      </w:r>
      <w:r w:rsidR="0086645D">
        <w:rPr>
          <w:rFonts w:ascii="Calibri" w:hAnsi="Calibri" w:cs="Calibri"/>
        </w:rPr>
        <w:t>s</w:t>
      </w:r>
      <w:r>
        <w:rPr>
          <w:rFonts w:ascii="Calibri" w:hAnsi="Calibri" w:cs="Calibri"/>
        </w:rPr>
        <w:t xml:space="preserve"> cash investments in non-financial assets</w:t>
      </w:r>
      <w:r w:rsidR="0086645D">
        <w:rPr>
          <w:rFonts w:ascii="Calibri" w:hAnsi="Calibri" w:cs="Calibri"/>
        </w:rPr>
        <w:t xml:space="preserve"> such as </w:t>
      </w:r>
      <w:r>
        <w:rPr>
          <w:rFonts w:ascii="Calibri" w:hAnsi="Calibri" w:cs="Calibri"/>
        </w:rPr>
        <w:t>infrastructure and capital</w:t>
      </w:r>
      <w:r w:rsidR="0086645D">
        <w:rPr>
          <w:rFonts w:ascii="Calibri" w:hAnsi="Calibri" w:cs="Calibri"/>
        </w:rPr>
        <w:t xml:space="preserve">, is forecast to be in </w:t>
      </w:r>
      <w:r w:rsidR="008378B0">
        <w:rPr>
          <w:rFonts w:ascii="Calibri" w:hAnsi="Calibri" w:cs="Calibri"/>
        </w:rPr>
        <w:t>deficit</w:t>
      </w:r>
      <w:r w:rsidR="0086645D">
        <w:rPr>
          <w:rFonts w:ascii="Calibri" w:hAnsi="Calibri" w:cs="Calibri"/>
        </w:rPr>
        <w:t xml:space="preserve"> in</w:t>
      </w:r>
      <w:r w:rsidR="008378B0">
        <w:rPr>
          <w:rFonts w:ascii="Calibri" w:hAnsi="Calibri" w:cs="Calibri"/>
        </w:rPr>
        <w:t xml:space="preserve"> 2024-25 and each of the out years (</w:t>
      </w:r>
      <w:r w:rsidR="00B66A3B">
        <w:rPr>
          <w:rFonts w:ascii="Calibri" w:hAnsi="Calibri" w:cs="Calibri"/>
        </w:rPr>
        <w:t>Budget Outlook</w:t>
      </w:r>
      <w:r w:rsidR="008378B0">
        <w:rPr>
          <w:rFonts w:ascii="Calibri" w:hAnsi="Calibri" w:cs="Calibri"/>
        </w:rPr>
        <w:t xml:space="preserve"> 2024, General Government Sector Statement of Cashflows, pp. 278-280).  The </w:t>
      </w:r>
      <w:r w:rsidR="0086645D">
        <w:rPr>
          <w:rFonts w:ascii="Calibri" w:hAnsi="Calibri" w:cs="Calibri"/>
        </w:rPr>
        <w:t xml:space="preserve">estimated overall cash deficit for 2024-25 is </w:t>
      </w:r>
      <w:r w:rsidR="008378B0">
        <w:rPr>
          <w:rFonts w:ascii="Calibri" w:hAnsi="Calibri" w:cs="Calibri"/>
        </w:rPr>
        <w:t>$1.0 billion, with forecast deficits of $935</w:t>
      </w:r>
      <w:r w:rsidR="0089493E">
        <w:rPr>
          <w:rFonts w:ascii="Calibri" w:hAnsi="Calibri" w:cs="Calibri"/>
        </w:rPr>
        <w:t> </w:t>
      </w:r>
      <w:r w:rsidR="008378B0">
        <w:rPr>
          <w:rFonts w:ascii="Calibri" w:hAnsi="Calibri" w:cs="Calibri"/>
        </w:rPr>
        <w:t>million, $790 million and $382 million</w:t>
      </w:r>
      <w:r w:rsidR="0086645D" w:rsidRPr="0086645D">
        <w:rPr>
          <w:rFonts w:ascii="Calibri" w:hAnsi="Calibri" w:cs="Calibri"/>
        </w:rPr>
        <w:t xml:space="preserve"> </w:t>
      </w:r>
      <w:r w:rsidR="0086645D">
        <w:rPr>
          <w:rFonts w:ascii="Calibri" w:hAnsi="Calibri" w:cs="Calibri"/>
        </w:rPr>
        <w:t>in the out years</w:t>
      </w:r>
      <w:r w:rsidR="008378B0">
        <w:rPr>
          <w:rFonts w:ascii="Calibri" w:hAnsi="Calibri" w:cs="Calibri"/>
        </w:rPr>
        <w:t xml:space="preserve">. </w:t>
      </w:r>
    </w:p>
    <w:p w14:paraId="0532879E" w14:textId="4B30ACE8" w:rsidR="00573650" w:rsidRPr="00573650" w:rsidRDefault="00573650" w:rsidP="00573650">
      <w:pPr>
        <w:pStyle w:val="Heading2"/>
      </w:pPr>
      <w:bookmarkStart w:id="77" w:name="_Toc171949001"/>
      <w:r>
        <w:t>3.</w:t>
      </w:r>
      <w:r w:rsidR="00872CEA">
        <w:t>5</w:t>
      </w:r>
      <w:r>
        <w:tab/>
        <w:t>Comparisons with other States and Territories</w:t>
      </w:r>
      <w:bookmarkEnd w:id="77"/>
      <w:r>
        <w:t xml:space="preserve"> </w:t>
      </w:r>
    </w:p>
    <w:p w14:paraId="00950850" w14:textId="77777777" w:rsidR="006E48C1" w:rsidRDefault="006E48C1" w:rsidP="006E48C1">
      <w:pPr>
        <w:rPr>
          <w:rFonts w:cstheme="minorHAnsi"/>
        </w:rPr>
      </w:pPr>
      <w:r>
        <w:rPr>
          <w:rFonts w:cstheme="minorHAnsi"/>
        </w:rPr>
        <w:t xml:space="preserve">The ACT’s fiscal position has deteriorated, but still sits within the range reported by other States and Territories. </w:t>
      </w:r>
    </w:p>
    <w:p w14:paraId="706C9071" w14:textId="0C0A9FBF" w:rsidR="006E48C1" w:rsidRDefault="00417784" w:rsidP="006E48C1">
      <w:pPr>
        <w:rPr>
          <w:rFonts w:cstheme="minorHAnsi"/>
        </w:rPr>
      </w:pPr>
      <w:r>
        <w:rPr>
          <w:rFonts w:cstheme="minorHAnsi"/>
        </w:rPr>
        <w:fldChar w:fldCharType="begin"/>
      </w:r>
      <w:r>
        <w:rPr>
          <w:rFonts w:cstheme="minorHAnsi"/>
        </w:rPr>
        <w:instrText xml:space="preserve"> REF _Ref170907530 \h </w:instrText>
      </w:r>
      <w:r>
        <w:rPr>
          <w:rFonts w:cstheme="minorHAnsi"/>
        </w:rPr>
      </w:r>
      <w:r>
        <w:rPr>
          <w:rFonts w:cstheme="minorHAnsi"/>
        </w:rPr>
        <w:fldChar w:fldCharType="separate"/>
      </w:r>
      <w:r w:rsidR="000B62ED" w:rsidRPr="00352491">
        <w:t xml:space="preserve">Figure </w:t>
      </w:r>
      <w:r w:rsidR="000B62ED">
        <w:rPr>
          <w:noProof/>
        </w:rPr>
        <w:t>13</w:t>
      </w:r>
      <w:r>
        <w:rPr>
          <w:rFonts w:cstheme="minorHAnsi"/>
        </w:rPr>
        <w:fldChar w:fldCharType="end"/>
      </w:r>
      <w:r>
        <w:rPr>
          <w:rFonts w:cstheme="minorHAnsi"/>
        </w:rPr>
        <w:t xml:space="preserve"> </w:t>
      </w:r>
      <w:r w:rsidR="006E48C1">
        <w:rPr>
          <w:rFonts w:cstheme="minorHAnsi"/>
        </w:rPr>
        <w:t xml:space="preserve">shows a comparison of the three key balance sheet measures for the ACT in comparison with other States and Territories. </w:t>
      </w:r>
    </w:p>
    <w:p w14:paraId="0FEE45C7" w14:textId="616916FE" w:rsidR="006E48C1" w:rsidRDefault="006E48C1" w:rsidP="006E48C1">
      <w:pPr>
        <w:pStyle w:val="Caption"/>
        <w:keepNext/>
      </w:pPr>
      <w:bookmarkStart w:id="78" w:name="_Ref170907530"/>
      <w:bookmarkStart w:id="79" w:name="_Toc110939309"/>
      <w:bookmarkStart w:id="80" w:name="_Toc139368776"/>
      <w:bookmarkStart w:id="81" w:name="_Toc171949072"/>
      <w:r w:rsidRPr="00352491">
        <w:lastRenderedPageBreak/>
        <w:t xml:space="preserve">Figure </w:t>
      </w:r>
      <w:r w:rsidRPr="00352491">
        <w:fldChar w:fldCharType="begin"/>
      </w:r>
      <w:r w:rsidRPr="00352491">
        <w:instrText xml:space="preserve"> SEQ Figure \* ARABIC </w:instrText>
      </w:r>
      <w:r w:rsidRPr="00352491">
        <w:fldChar w:fldCharType="separate"/>
      </w:r>
      <w:r w:rsidR="000B62ED">
        <w:rPr>
          <w:noProof/>
        </w:rPr>
        <w:t>13</w:t>
      </w:r>
      <w:r w:rsidRPr="00352491">
        <w:rPr>
          <w:noProof/>
        </w:rPr>
        <w:fldChar w:fldCharType="end"/>
      </w:r>
      <w:bookmarkEnd w:id="78"/>
      <w:r w:rsidRPr="00352491">
        <w:t>: Net debt, net financial liabilities and net worth comparison across jurisdictions</w:t>
      </w:r>
      <w:bookmarkEnd w:id="81"/>
    </w:p>
    <w:bookmarkEnd w:id="79"/>
    <w:bookmarkEnd w:id="80"/>
    <w:p w14:paraId="42F79293" w14:textId="0BF357DF" w:rsidR="006E48C1" w:rsidRPr="00352491" w:rsidRDefault="006E48C1" w:rsidP="00A50D7F">
      <w:pPr>
        <w:pStyle w:val="Caption"/>
      </w:pPr>
      <w:r>
        <w:t xml:space="preserve"> </w:t>
      </w:r>
      <w:r w:rsidR="00DE49F8">
        <w:rPr>
          <w:noProof/>
        </w:rPr>
        <w:drawing>
          <wp:inline distT="0" distB="0" distL="0" distR="0" wp14:anchorId="169A0989" wp14:editId="14BD9B8A">
            <wp:extent cx="4124960" cy="2686296"/>
            <wp:effectExtent l="0" t="0" r="2540" b="6350"/>
            <wp:docPr id="628095168" name="Picture 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095168" name="Picture 1" descr="A graph of a number of people&#10;&#10;Description automatically generated with medium confidence"/>
                    <pic:cNvPicPr/>
                  </pic:nvPicPr>
                  <pic:blipFill>
                    <a:blip r:embed="rId29"/>
                    <a:stretch>
                      <a:fillRect/>
                    </a:stretch>
                  </pic:blipFill>
                  <pic:spPr>
                    <a:xfrm>
                      <a:off x="0" y="0"/>
                      <a:ext cx="4156007" cy="2706515"/>
                    </a:xfrm>
                    <a:prstGeom prst="rect">
                      <a:avLst/>
                    </a:prstGeom>
                  </pic:spPr>
                </pic:pic>
              </a:graphicData>
            </a:graphic>
          </wp:inline>
        </w:drawing>
      </w:r>
      <w:r w:rsidR="00DE49F8">
        <w:rPr>
          <w:noProof/>
        </w:rPr>
        <w:drawing>
          <wp:inline distT="0" distB="0" distL="0" distR="0" wp14:anchorId="70680E58" wp14:editId="5A7AB56D">
            <wp:extent cx="4216400" cy="2745845"/>
            <wp:effectExtent l="0" t="0" r="0" b="0"/>
            <wp:docPr id="1987338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338225" name=""/>
                    <pic:cNvPicPr/>
                  </pic:nvPicPr>
                  <pic:blipFill>
                    <a:blip r:embed="rId30"/>
                    <a:stretch>
                      <a:fillRect/>
                    </a:stretch>
                  </pic:blipFill>
                  <pic:spPr>
                    <a:xfrm>
                      <a:off x="0" y="0"/>
                      <a:ext cx="4288956" cy="2793096"/>
                    </a:xfrm>
                    <a:prstGeom prst="rect">
                      <a:avLst/>
                    </a:prstGeom>
                  </pic:spPr>
                </pic:pic>
              </a:graphicData>
            </a:graphic>
          </wp:inline>
        </w:drawing>
      </w:r>
      <w:r w:rsidR="00DE49F8">
        <w:rPr>
          <w:noProof/>
        </w:rPr>
        <w:drawing>
          <wp:inline distT="0" distB="0" distL="0" distR="0" wp14:anchorId="6AF4214C" wp14:editId="14133733">
            <wp:extent cx="4318000" cy="2812010"/>
            <wp:effectExtent l="0" t="0" r="0" b="0"/>
            <wp:docPr id="1151127662" name="Picture 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127662" name="Picture 1" descr="A graph of a number of people&#10;&#10;Description automatically generated with medium confidence"/>
                    <pic:cNvPicPr/>
                  </pic:nvPicPr>
                  <pic:blipFill>
                    <a:blip r:embed="rId31"/>
                    <a:stretch>
                      <a:fillRect/>
                    </a:stretch>
                  </pic:blipFill>
                  <pic:spPr>
                    <a:xfrm>
                      <a:off x="0" y="0"/>
                      <a:ext cx="4401701" cy="2866518"/>
                    </a:xfrm>
                    <a:prstGeom prst="rect">
                      <a:avLst/>
                    </a:prstGeom>
                  </pic:spPr>
                </pic:pic>
              </a:graphicData>
            </a:graphic>
          </wp:inline>
        </w:drawing>
      </w:r>
    </w:p>
    <w:p w14:paraId="2EBEDC7B" w14:textId="7E288951" w:rsidR="006E48C1" w:rsidRDefault="006E48C1" w:rsidP="00DE49F8">
      <w:pPr>
        <w:spacing w:before="0"/>
      </w:pPr>
      <w:r>
        <w:rPr>
          <w:iCs/>
          <w:sz w:val="20"/>
          <w:szCs w:val="20"/>
        </w:rPr>
        <w:t xml:space="preserve">Sources: </w:t>
      </w:r>
      <w:r w:rsidRPr="00051360">
        <w:rPr>
          <w:iCs/>
          <w:sz w:val="20"/>
          <w:szCs w:val="20"/>
        </w:rPr>
        <w:t>202</w:t>
      </w:r>
      <w:r>
        <w:rPr>
          <w:iCs/>
          <w:sz w:val="20"/>
          <w:szCs w:val="20"/>
        </w:rPr>
        <w:t>4</w:t>
      </w:r>
      <w:r w:rsidRPr="00051360">
        <w:rPr>
          <w:iCs/>
          <w:sz w:val="20"/>
          <w:szCs w:val="20"/>
        </w:rPr>
        <w:t>-2</w:t>
      </w:r>
      <w:r>
        <w:rPr>
          <w:iCs/>
          <w:sz w:val="20"/>
          <w:szCs w:val="20"/>
        </w:rPr>
        <w:t>5</w:t>
      </w:r>
      <w:r w:rsidRPr="00051360">
        <w:rPr>
          <w:iCs/>
          <w:sz w:val="20"/>
          <w:szCs w:val="20"/>
        </w:rPr>
        <w:t xml:space="preserve"> </w:t>
      </w:r>
      <w:r w:rsidRPr="00D665B9">
        <w:rPr>
          <w:iCs/>
          <w:sz w:val="20"/>
          <w:szCs w:val="20"/>
        </w:rPr>
        <w:t xml:space="preserve">State and Territory Budget </w:t>
      </w:r>
      <w:r w:rsidR="00253B39">
        <w:rPr>
          <w:iCs/>
          <w:sz w:val="20"/>
          <w:szCs w:val="20"/>
        </w:rPr>
        <w:t>P</w:t>
      </w:r>
      <w:r w:rsidRPr="00D665B9">
        <w:rPr>
          <w:iCs/>
          <w:sz w:val="20"/>
          <w:szCs w:val="20"/>
        </w:rPr>
        <w:t>apers,</w:t>
      </w:r>
      <w:r w:rsidRPr="00051360">
        <w:rPr>
          <w:iCs/>
          <w:sz w:val="20"/>
          <w:szCs w:val="20"/>
        </w:rPr>
        <w:t xml:space="preserve"> 202</w:t>
      </w:r>
      <w:r>
        <w:rPr>
          <w:iCs/>
          <w:sz w:val="20"/>
          <w:szCs w:val="20"/>
        </w:rPr>
        <w:t>3</w:t>
      </w:r>
      <w:r w:rsidRPr="00051360">
        <w:rPr>
          <w:iCs/>
          <w:sz w:val="20"/>
          <w:szCs w:val="20"/>
        </w:rPr>
        <w:t>-2</w:t>
      </w:r>
      <w:r>
        <w:rPr>
          <w:iCs/>
          <w:sz w:val="20"/>
          <w:szCs w:val="20"/>
        </w:rPr>
        <w:t>4</w:t>
      </w:r>
      <w:r w:rsidRPr="00051360">
        <w:rPr>
          <w:iCs/>
          <w:sz w:val="20"/>
          <w:szCs w:val="20"/>
        </w:rPr>
        <w:t xml:space="preserve"> </w:t>
      </w:r>
      <w:r>
        <w:rPr>
          <w:iCs/>
          <w:sz w:val="20"/>
          <w:szCs w:val="20"/>
        </w:rPr>
        <w:t xml:space="preserve">Tasmania </w:t>
      </w:r>
      <w:r w:rsidRPr="00051360">
        <w:rPr>
          <w:iCs/>
          <w:sz w:val="20"/>
          <w:szCs w:val="20"/>
        </w:rPr>
        <w:t xml:space="preserve">Budget </w:t>
      </w:r>
      <w:r w:rsidR="00253B39">
        <w:rPr>
          <w:iCs/>
          <w:sz w:val="20"/>
          <w:szCs w:val="20"/>
        </w:rPr>
        <w:t>P</w:t>
      </w:r>
      <w:r w:rsidRPr="00051360">
        <w:rPr>
          <w:iCs/>
          <w:sz w:val="20"/>
          <w:szCs w:val="20"/>
        </w:rPr>
        <w:t>apers.</w:t>
      </w:r>
    </w:p>
    <w:p w14:paraId="6B1D34AC" w14:textId="06678C6F" w:rsidR="006E48C1" w:rsidRDefault="00417784" w:rsidP="006E48C1">
      <w:pPr>
        <w:pStyle w:val="Bbodytext"/>
        <w:spacing w:after="240"/>
        <w:rPr>
          <w:rFonts w:cstheme="minorHAnsi"/>
        </w:rPr>
      </w:pPr>
      <w:r>
        <w:rPr>
          <w:rFonts w:cstheme="minorHAnsi"/>
        </w:rPr>
        <w:lastRenderedPageBreak/>
        <w:fldChar w:fldCharType="begin"/>
      </w:r>
      <w:r>
        <w:rPr>
          <w:rFonts w:cstheme="minorHAnsi"/>
        </w:rPr>
        <w:instrText xml:space="preserve"> REF _Ref170907530 \h </w:instrText>
      </w:r>
      <w:r>
        <w:rPr>
          <w:rFonts w:cstheme="minorHAnsi"/>
        </w:rPr>
      </w:r>
      <w:r>
        <w:rPr>
          <w:rFonts w:cstheme="minorHAnsi"/>
        </w:rPr>
        <w:fldChar w:fldCharType="separate"/>
      </w:r>
      <w:r w:rsidR="000B62ED" w:rsidRPr="00352491">
        <w:t xml:space="preserve">Figure </w:t>
      </w:r>
      <w:r w:rsidR="000B62ED">
        <w:rPr>
          <w:noProof/>
        </w:rPr>
        <w:t>13</w:t>
      </w:r>
      <w:r>
        <w:rPr>
          <w:rFonts w:cstheme="minorHAnsi"/>
        </w:rPr>
        <w:fldChar w:fldCharType="end"/>
      </w:r>
      <w:r w:rsidR="006E48C1">
        <w:rPr>
          <w:rFonts w:cstheme="minorHAnsi"/>
        </w:rPr>
        <w:t xml:space="preserve"> shows that the ACT’s level of net debt as a proportion of GSP is around the middle of the range reported by other State and Territory governments and that, like other States and Territories, growth in net debt as a proportion of GSP appears to be moderating slightly into the forward years. </w:t>
      </w:r>
    </w:p>
    <w:p w14:paraId="5A7A8A17" w14:textId="77777777" w:rsidR="006E48C1" w:rsidRDefault="006E48C1" w:rsidP="006E48C1">
      <w:pPr>
        <w:pStyle w:val="Bbodytext"/>
        <w:spacing w:after="240"/>
        <w:rPr>
          <w:rFonts w:cstheme="minorHAnsi"/>
        </w:rPr>
      </w:pPr>
      <w:r>
        <w:rPr>
          <w:rFonts w:cstheme="minorHAnsi"/>
        </w:rPr>
        <w:t>The ACT’s position on net financial liabilities is at the lower end of the range reported by other States and Territories and compares favourably with the larger States and the Northern Territory.  ACT net financial liabilities have been growing in recent years, but the growth is expected to reverse by the end of the forward estimates period.</w:t>
      </w:r>
    </w:p>
    <w:p w14:paraId="2A108BDE" w14:textId="77777777" w:rsidR="006E48C1" w:rsidRDefault="006E48C1" w:rsidP="006E48C1">
      <w:pPr>
        <w:pStyle w:val="Bbodytext"/>
        <w:spacing w:after="240"/>
        <w:rPr>
          <w:rFonts w:cstheme="minorHAnsi"/>
        </w:rPr>
      </w:pPr>
      <w:r>
        <w:rPr>
          <w:rFonts w:cstheme="minorHAnsi"/>
        </w:rPr>
        <w:t xml:space="preserve">While the ACT’s net worth as a proportion of GSP is also within the range reported by other States and Territories, ACT net worth as a proportion of GSP is declining faster than any other State or Territory, moving from third highest in 2022-23 to second lowest in 2026-27. </w:t>
      </w:r>
    </w:p>
    <w:p w14:paraId="57D2929F" w14:textId="1A047F7E" w:rsidR="006E48C1" w:rsidRDefault="006E48C1" w:rsidP="006E48C1">
      <w:pPr>
        <w:pStyle w:val="Bbodytext"/>
        <w:spacing w:after="240"/>
        <w:rPr>
          <w:rFonts w:cstheme="minorHAnsi"/>
        </w:rPr>
      </w:pPr>
      <w:r>
        <w:rPr>
          <w:rFonts w:cstheme="minorHAnsi"/>
        </w:rPr>
        <w:t xml:space="preserve">One consequence of the increase in debt and other liabilities over time is that an increasing share of the ACT Budget and indeed the ACT economy overall is devoted to meeting the cost of servicing government borrowings and other liabilities.  The following chart shows the growth in interest expense as a proportion of ACT </w:t>
      </w:r>
      <w:r w:rsidR="003D41D2">
        <w:rPr>
          <w:rFonts w:cstheme="minorHAnsi"/>
        </w:rPr>
        <w:t>G</w:t>
      </w:r>
      <w:r>
        <w:rPr>
          <w:rFonts w:cstheme="minorHAnsi"/>
        </w:rPr>
        <w:t>overnment revenue</w:t>
      </w:r>
      <w:r w:rsidR="0086645D">
        <w:rPr>
          <w:rFonts w:cstheme="minorHAnsi"/>
        </w:rPr>
        <w:t xml:space="preserve"> and Gross State Product</w:t>
      </w:r>
      <w:r>
        <w:rPr>
          <w:rFonts w:cstheme="minorHAnsi"/>
        </w:rPr>
        <w:t>.</w:t>
      </w:r>
    </w:p>
    <w:p w14:paraId="444FC8D6" w14:textId="4086C046" w:rsidR="006E48C1" w:rsidRPr="00FD6D28" w:rsidRDefault="0065359B" w:rsidP="006E48C1">
      <w:pPr>
        <w:pStyle w:val="Caption"/>
        <w:keepNext/>
        <w:spacing w:before="0"/>
      </w:pPr>
      <w:bookmarkStart w:id="82" w:name="_Toc171949073"/>
      <w:r>
        <w:t xml:space="preserve">Figure </w:t>
      </w:r>
      <w:r>
        <w:fldChar w:fldCharType="begin"/>
      </w:r>
      <w:r>
        <w:instrText xml:space="preserve"> SEQ Figure \* ARABIC </w:instrText>
      </w:r>
      <w:r>
        <w:fldChar w:fldCharType="separate"/>
      </w:r>
      <w:r w:rsidR="000B62ED">
        <w:rPr>
          <w:noProof/>
        </w:rPr>
        <w:t>14</w:t>
      </w:r>
      <w:r>
        <w:rPr>
          <w:noProof/>
        </w:rPr>
        <w:fldChar w:fldCharType="end"/>
      </w:r>
      <w:r w:rsidR="006E48C1">
        <w:t xml:space="preserve">: </w:t>
      </w:r>
      <w:r w:rsidR="006E48C1" w:rsidRPr="00FD6D28">
        <w:t>ACT interest expense as a proportion of ACT Government revenue and Gross State Product, 2014-15 (actual) to 2027-28 (forecast)</w:t>
      </w:r>
      <w:bookmarkEnd w:id="82"/>
    </w:p>
    <w:p w14:paraId="43D882DF" w14:textId="35E8E8D8" w:rsidR="006E48C1" w:rsidRDefault="0065359B" w:rsidP="006E48C1">
      <w:pPr>
        <w:pStyle w:val="Bbodytext"/>
        <w:spacing w:after="240"/>
        <w:rPr>
          <w:rFonts w:cstheme="minorHAnsi"/>
        </w:rPr>
      </w:pPr>
      <w:r w:rsidRPr="0065359B">
        <w:rPr>
          <w:noProof/>
        </w:rPr>
        <w:t xml:space="preserve"> </w:t>
      </w:r>
      <w:r>
        <w:rPr>
          <w:noProof/>
        </w:rPr>
        <w:drawing>
          <wp:inline distT="0" distB="0" distL="0" distR="0" wp14:anchorId="156D3ADE" wp14:editId="56DB74AC">
            <wp:extent cx="5731510" cy="3737610"/>
            <wp:effectExtent l="0" t="0" r="0" b="0"/>
            <wp:docPr id="213181993" name="Picture 1" descr="A graph showing the growth of a financial y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81993" name="Picture 1" descr="A graph showing the growth of a financial year&#10;&#10;Description automatically generated"/>
                    <pic:cNvPicPr/>
                  </pic:nvPicPr>
                  <pic:blipFill>
                    <a:blip r:embed="rId32"/>
                    <a:stretch>
                      <a:fillRect/>
                    </a:stretch>
                  </pic:blipFill>
                  <pic:spPr>
                    <a:xfrm>
                      <a:off x="0" y="0"/>
                      <a:ext cx="5731510" cy="3737610"/>
                    </a:xfrm>
                    <a:prstGeom prst="rect">
                      <a:avLst/>
                    </a:prstGeom>
                  </pic:spPr>
                </pic:pic>
              </a:graphicData>
            </a:graphic>
          </wp:inline>
        </w:drawing>
      </w:r>
    </w:p>
    <w:p w14:paraId="642189A3" w14:textId="77777777" w:rsidR="006E48C1" w:rsidRPr="00FD6D28" w:rsidRDefault="006E48C1" w:rsidP="006E48C1">
      <w:pPr>
        <w:spacing w:before="0"/>
        <w:rPr>
          <w:iCs/>
          <w:sz w:val="20"/>
          <w:szCs w:val="20"/>
        </w:rPr>
      </w:pPr>
      <w:r w:rsidRPr="00FD6D28">
        <w:rPr>
          <w:iCs/>
          <w:sz w:val="20"/>
          <w:szCs w:val="20"/>
        </w:rPr>
        <w:t>Source: ACT Consolidated Financial Statements, ACT Budget Outlook 2024</w:t>
      </w:r>
    </w:p>
    <w:p w14:paraId="75AA303E" w14:textId="77777777" w:rsidR="006E48C1" w:rsidRPr="00A72ACC" w:rsidRDefault="006E48C1" w:rsidP="006E48C1">
      <w:pPr>
        <w:pStyle w:val="Bbodytext"/>
        <w:spacing w:after="240"/>
        <w:rPr>
          <w:rFonts w:cstheme="minorHAnsi"/>
        </w:rPr>
      </w:pPr>
      <w:r w:rsidRPr="00A72ACC">
        <w:rPr>
          <w:rFonts w:cstheme="minorHAnsi"/>
        </w:rPr>
        <w:t>The credit rating of all State and Territory debt is assessed from time to time by independent ratings agencies.   A credit rating is a measure of how risky a borrower is in terms of the borrower’s expected willingness and capacity to repay any debt on time.  Higher credit ratings may lower the cost of borrowing and assist an entity in accessing financial markets. </w:t>
      </w:r>
    </w:p>
    <w:p w14:paraId="1D09A84C" w14:textId="5075399B" w:rsidR="006E48C1" w:rsidRDefault="006E48C1" w:rsidP="006E48C1">
      <w:pPr>
        <w:pStyle w:val="Bbodytext"/>
        <w:spacing w:after="240"/>
        <w:rPr>
          <w:rFonts w:cstheme="minorHAnsi"/>
        </w:rPr>
      </w:pPr>
      <w:r w:rsidRPr="00A72ACC">
        <w:rPr>
          <w:rFonts w:cstheme="minorHAnsi"/>
        </w:rPr>
        <w:lastRenderedPageBreak/>
        <w:t>The ACT's credit rating was downgraded during the 2023-24 financial year from AAA to AA+.  Standard and Poor</w:t>
      </w:r>
      <w:r w:rsidR="0017256D">
        <w:rPr>
          <w:rFonts w:cstheme="minorHAnsi"/>
        </w:rPr>
        <w:t>’</w:t>
      </w:r>
      <w:r w:rsidRPr="00A72ACC">
        <w:rPr>
          <w:rFonts w:cstheme="minorHAnsi"/>
        </w:rPr>
        <w:t xml:space="preserve">s indicated that the downgrade reflects the Territory's slower than expected fiscal recovery from the pandemic.  </w:t>
      </w:r>
    </w:p>
    <w:p w14:paraId="04C05E88" w14:textId="03BC2DFC" w:rsidR="00044DAC" w:rsidRDefault="006E48C1" w:rsidP="00044DAC">
      <w:r w:rsidRPr="00A72ACC">
        <w:rPr>
          <w:rFonts w:cstheme="minorHAnsi"/>
        </w:rPr>
        <w:t xml:space="preserve">The ratings agency </w:t>
      </w:r>
      <w:r w:rsidR="00D92470">
        <w:rPr>
          <w:rFonts w:cstheme="minorHAnsi"/>
        </w:rPr>
        <w:t xml:space="preserve">was reported as </w:t>
      </w:r>
      <w:r w:rsidR="00044DAC">
        <w:rPr>
          <w:rFonts w:cstheme="minorHAnsi"/>
        </w:rPr>
        <w:t>saying</w:t>
      </w:r>
      <w:r w:rsidRPr="00A72ACC">
        <w:rPr>
          <w:rFonts w:cstheme="minorHAnsi"/>
        </w:rPr>
        <w:t xml:space="preserve"> that </w:t>
      </w:r>
      <w:r w:rsidR="00D92470">
        <w:rPr>
          <w:rFonts w:cstheme="minorHAnsi"/>
        </w:rPr>
        <w:t xml:space="preserve">the </w:t>
      </w:r>
      <w:r w:rsidR="00D92470" w:rsidRPr="00E203C9">
        <w:rPr>
          <w:rFonts w:cstheme="minorHAnsi"/>
        </w:rPr>
        <w:t>ACT's total tax-supported debt</w:t>
      </w:r>
      <w:r w:rsidR="00D92470" w:rsidRPr="007C17AD">
        <w:rPr>
          <w:rFonts w:cstheme="minorHAnsi"/>
        </w:rPr>
        <w:t xml:space="preserve"> </w:t>
      </w:r>
      <w:r w:rsidR="00D92470" w:rsidRPr="00E203C9">
        <w:rPr>
          <w:rFonts w:cstheme="minorHAnsi"/>
        </w:rPr>
        <w:t>as a proportion of operating revenues</w:t>
      </w:r>
      <w:r w:rsidR="00D92470">
        <w:rPr>
          <w:rFonts w:cstheme="minorHAnsi"/>
        </w:rPr>
        <w:t xml:space="preserve"> </w:t>
      </w:r>
      <w:r w:rsidR="00044DAC">
        <w:rPr>
          <w:rFonts w:cstheme="minorHAnsi"/>
        </w:rPr>
        <w:t>has</w:t>
      </w:r>
      <w:r w:rsidR="00044DAC" w:rsidRPr="00E203C9">
        <w:rPr>
          <w:rFonts w:cstheme="minorHAnsi"/>
        </w:rPr>
        <w:t xml:space="preserve"> grown significantly </w:t>
      </w:r>
      <w:r w:rsidR="00D92470">
        <w:rPr>
          <w:rFonts w:cstheme="minorHAnsi"/>
        </w:rPr>
        <w:t xml:space="preserve">and </w:t>
      </w:r>
      <w:r w:rsidRPr="00A72ACC">
        <w:rPr>
          <w:rFonts w:cstheme="minorHAnsi"/>
        </w:rPr>
        <w:t xml:space="preserve">is </w:t>
      </w:r>
      <w:r w:rsidR="00044DAC">
        <w:rPr>
          <w:rFonts w:cstheme="minorHAnsi"/>
        </w:rPr>
        <w:t xml:space="preserve">now </w:t>
      </w:r>
      <w:r w:rsidRPr="00A72ACC">
        <w:rPr>
          <w:rFonts w:cstheme="minorHAnsi"/>
        </w:rPr>
        <w:t>much higher than for other 'AAA' rated jurisdictions</w:t>
      </w:r>
      <w:r w:rsidR="00044DAC">
        <w:rPr>
          <w:rFonts w:cstheme="minorHAnsi"/>
        </w:rPr>
        <w:t>.  Standard and Poor</w:t>
      </w:r>
      <w:r w:rsidR="0017256D">
        <w:rPr>
          <w:rFonts w:cstheme="minorHAnsi"/>
        </w:rPr>
        <w:t>’</w:t>
      </w:r>
      <w:r w:rsidR="00044DAC">
        <w:rPr>
          <w:rFonts w:cstheme="minorHAnsi"/>
        </w:rPr>
        <w:t xml:space="preserve">s noted that this ratio is similar to that of New South Wales and South Australia and higher than Queensland and Tasmania </w:t>
      </w:r>
      <w:sdt>
        <w:sdtPr>
          <w:id w:val="1348682429"/>
          <w:citation/>
        </w:sdtPr>
        <w:sdtContent>
          <w:r w:rsidR="00044DAC">
            <w:fldChar w:fldCharType="begin"/>
          </w:r>
          <w:r w:rsidR="00044DAC">
            <w:instrText xml:space="preserve"> CITATION Lin23 \l 3081 </w:instrText>
          </w:r>
          <w:r w:rsidR="00044DAC">
            <w:fldChar w:fldCharType="separate"/>
          </w:r>
          <w:r w:rsidR="00044DAC">
            <w:rPr>
              <w:noProof/>
            </w:rPr>
            <w:t>(Lindell, 2023)</w:t>
          </w:r>
          <w:r w:rsidR="00044DAC">
            <w:fldChar w:fldCharType="end"/>
          </w:r>
        </w:sdtContent>
      </w:sdt>
      <w:r w:rsidR="00044DAC">
        <w:t>.</w:t>
      </w:r>
    </w:p>
    <w:p w14:paraId="4C7299AE" w14:textId="77777777" w:rsidR="006E48C1" w:rsidRPr="00A72ACC" w:rsidRDefault="006E48C1" w:rsidP="006E48C1">
      <w:pPr>
        <w:pStyle w:val="Bbodytext"/>
        <w:spacing w:after="240"/>
        <w:rPr>
          <w:rFonts w:cstheme="minorHAnsi"/>
        </w:rPr>
      </w:pPr>
      <w:r w:rsidRPr="00A72ACC">
        <w:rPr>
          <w:rFonts w:cstheme="minorHAnsi"/>
        </w:rPr>
        <w:t>The ACT still has a strong capacity to meet its long and short-term financial commitments, but the downgrade could be expected to slightly increase the ACT’s cost of borrowing.</w:t>
      </w:r>
    </w:p>
    <w:p w14:paraId="637E893E" w14:textId="1397D960" w:rsidR="006E48C1" w:rsidRDefault="00417784" w:rsidP="006E48C1">
      <w:pPr>
        <w:spacing w:after="240"/>
        <w:rPr>
          <w:rFonts w:cstheme="minorHAnsi"/>
        </w:rPr>
      </w:pPr>
      <w:r>
        <w:rPr>
          <w:rFonts w:cstheme="minorHAnsi"/>
        </w:rPr>
        <w:fldChar w:fldCharType="begin"/>
      </w:r>
      <w:r>
        <w:rPr>
          <w:rFonts w:cstheme="minorHAnsi"/>
        </w:rPr>
        <w:instrText xml:space="preserve"> REF _Ref170907611 \h </w:instrText>
      </w:r>
      <w:r>
        <w:rPr>
          <w:rFonts w:cstheme="minorHAnsi"/>
        </w:rPr>
      </w:r>
      <w:r>
        <w:rPr>
          <w:rFonts w:cstheme="minorHAnsi"/>
        </w:rPr>
        <w:fldChar w:fldCharType="separate"/>
      </w:r>
      <w:r w:rsidR="000B62ED">
        <w:t xml:space="preserve">Table </w:t>
      </w:r>
      <w:r w:rsidR="000B62ED">
        <w:rPr>
          <w:noProof/>
        </w:rPr>
        <w:t>4</w:t>
      </w:r>
      <w:r>
        <w:rPr>
          <w:rFonts w:cstheme="minorHAnsi"/>
        </w:rPr>
        <w:fldChar w:fldCharType="end"/>
      </w:r>
      <w:r w:rsidR="006E48C1">
        <w:rPr>
          <w:rFonts w:cstheme="minorHAnsi"/>
        </w:rPr>
        <w:t xml:space="preserve"> below sets out the credit ratings on long-term debt for all States and Territories. The table shows that the ACT now has a level of creditworthiness that is at about the level of other States.  It is better than Victoria’s but not as strong as WA’s rating.</w:t>
      </w:r>
    </w:p>
    <w:p w14:paraId="0863F1FC" w14:textId="1019232D" w:rsidR="006E48C1" w:rsidRDefault="006E48C1" w:rsidP="002F13A8">
      <w:pPr>
        <w:pStyle w:val="Caption"/>
        <w:keepNext/>
        <w:rPr>
          <w:rFonts w:cstheme="minorHAnsi"/>
        </w:rPr>
      </w:pPr>
      <w:bookmarkStart w:id="83" w:name="_Ref170907611"/>
      <w:bookmarkStart w:id="84" w:name="_Toc139368759"/>
      <w:bookmarkStart w:id="85" w:name="_Toc171949052"/>
      <w:r>
        <w:t xml:space="preserve">Table </w:t>
      </w:r>
      <w:r>
        <w:fldChar w:fldCharType="begin"/>
      </w:r>
      <w:r>
        <w:instrText xml:space="preserve"> SEQ Table \* ARABIC </w:instrText>
      </w:r>
      <w:r>
        <w:fldChar w:fldCharType="separate"/>
      </w:r>
      <w:r w:rsidR="000B62ED">
        <w:rPr>
          <w:noProof/>
        </w:rPr>
        <w:t>4</w:t>
      </w:r>
      <w:r>
        <w:rPr>
          <w:noProof/>
        </w:rPr>
        <w:fldChar w:fldCharType="end"/>
      </w:r>
      <w:bookmarkStart w:id="86" w:name="_Toc110939291"/>
      <w:bookmarkEnd w:id="83"/>
      <w:r>
        <w:t>: Long-term credit rating as reported by States and Territories, 2023-24</w:t>
      </w:r>
      <w:bookmarkEnd w:id="84"/>
      <w:bookmarkEnd w:id="85"/>
      <w:bookmarkEnd w:id="86"/>
    </w:p>
    <w:tbl>
      <w:tblPr>
        <w:tblStyle w:val="TableGridLight1"/>
        <w:tblW w:w="9016" w:type="dxa"/>
        <w:tblInd w:w="0" w:type="dxa"/>
        <w:tblLook w:val="04A0" w:firstRow="1" w:lastRow="0" w:firstColumn="1" w:lastColumn="0" w:noHBand="0" w:noVBand="1"/>
      </w:tblPr>
      <w:tblGrid>
        <w:gridCol w:w="2254"/>
        <w:gridCol w:w="2254"/>
        <w:gridCol w:w="2254"/>
        <w:gridCol w:w="2254"/>
      </w:tblGrid>
      <w:tr w:rsidR="006E48C1" w14:paraId="41615A58" w14:textId="77777777" w:rsidTr="002A0BB3">
        <w:tc>
          <w:tcPr>
            <w:tcW w:w="22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DD6EE" w:themeFill="accent1" w:themeFillTint="66"/>
            <w:hideMark/>
          </w:tcPr>
          <w:p w14:paraId="7D46F795" w14:textId="77777777" w:rsidR="006E48C1" w:rsidRDefault="006E48C1" w:rsidP="002F13A8">
            <w:pPr>
              <w:keepNext/>
              <w:rPr>
                <w:rFonts w:cstheme="minorHAnsi"/>
                <w:b/>
                <w:bCs/>
              </w:rPr>
            </w:pPr>
            <w:r>
              <w:rPr>
                <w:rFonts w:cstheme="minorHAnsi"/>
                <w:b/>
                <w:bCs/>
              </w:rPr>
              <w:t>Jurisdiction</w:t>
            </w:r>
          </w:p>
        </w:tc>
        <w:tc>
          <w:tcPr>
            <w:tcW w:w="22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DD6EE" w:themeFill="accent1" w:themeFillTint="66"/>
            <w:hideMark/>
          </w:tcPr>
          <w:p w14:paraId="26950152" w14:textId="77777777" w:rsidR="006E48C1" w:rsidRDefault="006E48C1" w:rsidP="002F13A8">
            <w:pPr>
              <w:keepNext/>
              <w:rPr>
                <w:rFonts w:cstheme="minorHAnsi"/>
                <w:b/>
                <w:bCs/>
              </w:rPr>
            </w:pPr>
            <w:r>
              <w:rPr>
                <w:rFonts w:cstheme="minorHAnsi"/>
                <w:b/>
                <w:bCs/>
              </w:rPr>
              <w:t>S&amp;P</w:t>
            </w:r>
          </w:p>
        </w:tc>
        <w:tc>
          <w:tcPr>
            <w:tcW w:w="22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DD6EE" w:themeFill="accent1" w:themeFillTint="66"/>
            <w:hideMark/>
          </w:tcPr>
          <w:p w14:paraId="3D6079BC" w14:textId="77777777" w:rsidR="006E48C1" w:rsidRDefault="006E48C1" w:rsidP="002F13A8">
            <w:pPr>
              <w:keepNext/>
              <w:rPr>
                <w:rFonts w:cstheme="minorHAnsi"/>
                <w:b/>
                <w:bCs/>
              </w:rPr>
            </w:pPr>
            <w:r>
              <w:rPr>
                <w:rFonts w:cstheme="minorHAnsi"/>
                <w:b/>
                <w:bCs/>
              </w:rPr>
              <w:t>Moody’s</w:t>
            </w:r>
          </w:p>
        </w:tc>
        <w:tc>
          <w:tcPr>
            <w:tcW w:w="22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DD6EE" w:themeFill="accent1" w:themeFillTint="66"/>
            <w:hideMark/>
          </w:tcPr>
          <w:p w14:paraId="392AFE0F" w14:textId="77777777" w:rsidR="006E48C1" w:rsidRDefault="006E48C1" w:rsidP="002F13A8">
            <w:pPr>
              <w:keepNext/>
              <w:rPr>
                <w:rFonts w:cstheme="minorHAnsi"/>
                <w:b/>
                <w:bCs/>
              </w:rPr>
            </w:pPr>
            <w:r>
              <w:rPr>
                <w:rFonts w:cstheme="minorHAnsi"/>
                <w:b/>
                <w:bCs/>
              </w:rPr>
              <w:t>Fitch</w:t>
            </w:r>
          </w:p>
        </w:tc>
      </w:tr>
      <w:tr w:rsidR="006E48C1" w14:paraId="4A6A44B0" w14:textId="77777777" w:rsidTr="002A0BB3">
        <w:tc>
          <w:tcPr>
            <w:tcW w:w="22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ED3B417" w14:textId="77777777" w:rsidR="006E48C1" w:rsidRDefault="006E48C1" w:rsidP="002F13A8">
            <w:pPr>
              <w:keepNext/>
              <w:rPr>
                <w:rFonts w:cstheme="minorHAnsi"/>
              </w:rPr>
            </w:pPr>
            <w:r>
              <w:rPr>
                <w:rFonts w:cstheme="minorHAnsi"/>
                <w:b/>
                <w:bCs/>
              </w:rPr>
              <w:t>ACT</w:t>
            </w:r>
          </w:p>
        </w:tc>
        <w:tc>
          <w:tcPr>
            <w:tcW w:w="22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AB0B331" w14:textId="77777777" w:rsidR="006E48C1" w:rsidRDefault="006E48C1" w:rsidP="002F13A8">
            <w:pPr>
              <w:keepNext/>
              <w:rPr>
                <w:rFonts w:cstheme="minorHAnsi"/>
              </w:rPr>
            </w:pPr>
            <w:r w:rsidRPr="00D665B9">
              <w:rPr>
                <w:rFonts w:cstheme="minorHAnsi"/>
              </w:rPr>
              <w:t xml:space="preserve">AA+ </w:t>
            </w:r>
          </w:p>
        </w:tc>
        <w:tc>
          <w:tcPr>
            <w:tcW w:w="22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7D73AA9" w14:textId="610C7555" w:rsidR="006E48C1" w:rsidRDefault="006E48C1" w:rsidP="002F13A8">
            <w:pPr>
              <w:keepNext/>
              <w:rPr>
                <w:rFonts w:cstheme="minorHAnsi"/>
              </w:rPr>
            </w:pPr>
            <w:r>
              <w:rPr>
                <w:rFonts w:cstheme="minorHAnsi"/>
              </w:rPr>
              <w:t>n</w:t>
            </w:r>
            <w:r w:rsidR="00DD567F">
              <w:rPr>
                <w:rFonts w:cstheme="minorHAnsi"/>
              </w:rPr>
              <w:t>.</w:t>
            </w:r>
            <w:r>
              <w:rPr>
                <w:rFonts w:cstheme="minorHAnsi"/>
              </w:rPr>
              <w:t>a</w:t>
            </w:r>
            <w:r w:rsidR="00DD567F">
              <w:rPr>
                <w:rFonts w:cstheme="minorHAnsi"/>
              </w:rPr>
              <w:t>.</w:t>
            </w:r>
          </w:p>
        </w:tc>
        <w:tc>
          <w:tcPr>
            <w:tcW w:w="22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6F259C1" w14:textId="7375B642" w:rsidR="006E48C1" w:rsidRDefault="006E48C1" w:rsidP="002F13A8">
            <w:pPr>
              <w:keepNext/>
              <w:rPr>
                <w:rFonts w:cstheme="minorHAnsi"/>
              </w:rPr>
            </w:pPr>
            <w:r>
              <w:rPr>
                <w:rFonts w:cstheme="minorHAnsi"/>
              </w:rPr>
              <w:t>n</w:t>
            </w:r>
            <w:r w:rsidR="00DD567F">
              <w:rPr>
                <w:rFonts w:cstheme="minorHAnsi"/>
              </w:rPr>
              <w:t>.</w:t>
            </w:r>
            <w:r>
              <w:rPr>
                <w:rFonts w:cstheme="minorHAnsi"/>
              </w:rPr>
              <w:t>a</w:t>
            </w:r>
            <w:r w:rsidR="00DD567F">
              <w:rPr>
                <w:rFonts w:cstheme="minorHAnsi"/>
              </w:rPr>
              <w:t>.</w:t>
            </w:r>
          </w:p>
        </w:tc>
      </w:tr>
      <w:tr w:rsidR="006E48C1" w14:paraId="79B9ABC8" w14:textId="77777777" w:rsidTr="002A0BB3">
        <w:tc>
          <w:tcPr>
            <w:tcW w:w="22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9D9EC47" w14:textId="77777777" w:rsidR="006E48C1" w:rsidRDefault="006E48C1" w:rsidP="002A0BB3">
            <w:pPr>
              <w:rPr>
                <w:rFonts w:cstheme="minorHAnsi"/>
              </w:rPr>
            </w:pPr>
            <w:r>
              <w:rPr>
                <w:rFonts w:cstheme="minorHAnsi"/>
              </w:rPr>
              <w:t>NSW</w:t>
            </w:r>
          </w:p>
        </w:tc>
        <w:tc>
          <w:tcPr>
            <w:tcW w:w="22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84A3F8D" w14:textId="77777777" w:rsidR="006E48C1" w:rsidRDefault="006E48C1" w:rsidP="002A0BB3">
            <w:pPr>
              <w:rPr>
                <w:rFonts w:cstheme="minorHAnsi"/>
              </w:rPr>
            </w:pPr>
            <w:r>
              <w:rPr>
                <w:rFonts w:cstheme="minorHAnsi"/>
              </w:rPr>
              <w:t xml:space="preserve">AA+ </w:t>
            </w:r>
          </w:p>
        </w:tc>
        <w:tc>
          <w:tcPr>
            <w:tcW w:w="22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374E350" w14:textId="77777777" w:rsidR="006E48C1" w:rsidRDefault="006E48C1" w:rsidP="002A0BB3">
            <w:pPr>
              <w:rPr>
                <w:rFonts w:cstheme="minorHAnsi"/>
              </w:rPr>
            </w:pPr>
            <w:r>
              <w:rPr>
                <w:rFonts w:cstheme="minorHAnsi"/>
              </w:rPr>
              <w:t>Aaa</w:t>
            </w:r>
          </w:p>
        </w:tc>
        <w:tc>
          <w:tcPr>
            <w:tcW w:w="22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641146F" w14:textId="77777777" w:rsidR="006E48C1" w:rsidRDefault="006E48C1" w:rsidP="002A0BB3">
            <w:pPr>
              <w:rPr>
                <w:rFonts w:cstheme="minorHAnsi"/>
              </w:rPr>
            </w:pPr>
            <w:r>
              <w:rPr>
                <w:rFonts w:cstheme="minorHAnsi"/>
              </w:rPr>
              <w:t>AAA</w:t>
            </w:r>
          </w:p>
        </w:tc>
      </w:tr>
      <w:tr w:rsidR="006E48C1" w14:paraId="57EF3DBD" w14:textId="77777777" w:rsidTr="002A0BB3">
        <w:tc>
          <w:tcPr>
            <w:tcW w:w="22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300001B" w14:textId="77777777" w:rsidR="006E48C1" w:rsidRDefault="006E48C1" w:rsidP="002A0BB3">
            <w:pPr>
              <w:rPr>
                <w:rFonts w:cstheme="minorHAnsi"/>
              </w:rPr>
            </w:pPr>
            <w:r>
              <w:rPr>
                <w:rFonts w:cstheme="minorHAnsi"/>
              </w:rPr>
              <w:t>Vic</w:t>
            </w:r>
          </w:p>
        </w:tc>
        <w:tc>
          <w:tcPr>
            <w:tcW w:w="22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210EDBE" w14:textId="77777777" w:rsidR="006E48C1" w:rsidRPr="005E49A7" w:rsidRDefault="006E48C1" w:rsidP="002A0BB3">
            <w:pPr>
              <w:rPr>
                <w:rFonts w:cstheme="minorHAnsi"/>
              </w:rPr>
            </w:pPr>
            <w:r w:rsidRPr="005E49A7">
              <w:rPr>
                <w:rFonts w:cstheme="minorHAnsi"/>
              </w:rPr>
              <w:t>AA (Stable)</w:t>
            </w:r>
          </w:p>
        </w:tc>
        <w:tc>
          <w:tcPr>
            <w:tcW w:w="22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E7D5503" w14:textId="77777777" w:rsidR="006E48C1" w:rsidRPr="005E49A7" w:rsidRDefault="006E48C1" w:rsidP="002A0BB3">
            <w:pPr>
              <w:rPr>
                <w:rFonts w:cstheme="minorHAnsi"/>
              </w:rPr>
            </w:pPr>
            <w:r w:rsidRPr="005E49A7">
              <w:rPr>
                <w:rFonts w:cstheme="minorHAnsi"/>
              </w:rPr>
              <w:t>Aa2 (Stable)</w:t>
            </w:r>
          </w:p>
        </w:tc>
        <w:tc>
          <w:tcPr>
            <w:tcW w:w="22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9331667" w14:textId="0DA261F9" w:rsidR="006E48C1" w:rsidRDefault="00DD567F" w:rsidP="002A0BB3">
            <w:pPr>
              <w:rPr>
                <w:rFonts w:cstheme="minorHAnsi"/>
              </w:rPr>
            </w:pPr>
            <w:r>
              <w:rPr>
                <w:rFonts w:cstheme="minorHAnsi"/>
              </w:rPr>
              <w:t>n.</w:t>
            </w:r>
            <w:r w:rsidR="006E48C1">
              <w:rPr>
                <w:rFonts w:cstheme="minorHAnsi"/>
              </w:rPr>
              <w:t>a</w:t>
            </w:r>
            <w:r>
              <w:rPr>
                <w:rFonts w:cstheme="minorHAnsi"/>
              </w:rPr>
              <w:t>.</w:t>
            </w:r>
          </w:p>
        </w:tc>
      </w:tr>
      <w:tr w:rsidR="006E48C1" w14:paraId="445633FD" w14:textId="77777777" w:rsidTr="002A0BB3">
        <w:tc>
          <w:tcPr>
            <w:tcW w:w="22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0207113" w14:textId="77777777" w:rsidR="006E48C1" w:rsidRDefault="006E48C1" w:rsidP="002A0BB3">
            <w:pPr>
              <w:rPr>
                <w:rFonts w:cstheme="minorHAnsi"/>
              </w:rPr>
            </w:pPr>
            <w:r>
              <w:rPr>
                <w:rFonts w:cstheme="minorHAnsi"/>
              </w:rPr>
              <w:t>Qld</w:t>
            </w:r>
          </w:p>
        </w:tc>
        <w:tc>
          <w:tcPr>
            <w:tcW w:w="22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79EB194" w14:textId="77777777" w:rsidR="006E48C1" w:rsidRDefault="006E48C1" w:rsidP="002A0BB3">
            <w:pPr>
              <w:rPr>
                <w:rFonts w:cstheme="minorHAnsi"/>
              </w:rPr>
            </w:pPr>
            <w:r>
              <w:rPr>
                <w:rFonts w:cstheme="minorHAnsi"/>
              </w:rPr>
              <w:t>AA+ (Stable)</w:t>
            </w:r>
          </w:p>
        </w:tc>
        <w:tc>
          <w:tcPr>
            <w:tcW w:w="22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E0F6624" w14:textId="77777777" w:rsidR="006E48C1" w:rsidRDefault="006E48C1" w:rsidP="002A0BB3">
            <w:pPr>
              <w:rPr>
                <w:rFonts w:cstheme="minorHAnsi"/>
              </w:rPr>
            </w:pPr>
            <w:r>
              <w:rPr>
                <w:rFonts w:cstheme="minorHAnsi"/>
              </w:rPr>
              <w:t>Aa1 (Stable)</w:t>
            </w:r>
          </w:p>
        </w:tc>
        <w:tc>
          <w:tcPr>
            <w:tcW w:w="22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FCE31B8" w14:textId="77777777" w:rsidR="006E48C1" w:rsidRDefault="006E48C1" w:rsidP="002A0BB3">
            <w:pPr>
              <w:rPr>
                <w:rFonts w:cstheme="minorHAnsi"/>
              </w:rPr>
            </w:pPr>
            <w:r>
              <w:rPr>
                <w:rFonts w:cstheme="minorHAnsi"/>
              </w:rPr>
              <w:t>AA+</w:t>
            </w:r>
          </w:p>
        </w:tc>
      </w:tr>
      <w:tr w:rsidR="006E48C1" w14:paraId="19220321" w14:textId="77777777" w:rsidTr="002A0BB3">
        <w:tc>
          <w:tcPr>
            <w:tcW w:w="22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A154A13" w14:textId="77777777" w:rsidR="006E48C1" w:rsidRDefault="006E48C1" w:rsidP="002A0BB3">
            <w:pPr>
              <w:rPr>
                <w:rFonts w:cstheme="minorHAnsi"/>
              </w:rPr>
            </w:pPr>
            <w:r>
              <w:rPr>
                <w:rFonts w:cstheme="minorHAnsi"/>
              </w:rPr>
              <w:t>SA</w:t>
            </w:r>
          </w:p>
        </w:tc>
        <w:tc>
          <w:tcPr>
            <w:tcW w:w="22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DC79A96" w14:textId="77777777" w:rsidR="006E48C1" w:rsidRDefault="006E48C1" w:rsidP="002A0BB3">
            <w:pPr>
              <w:rPr>
                <w:rFonts w:cstheme="minorHAnsi"/>
              </w:rPr>
            </w:pPr>
            <w:r>
              <w:rPr>
                <w:rFonts w:cstheme="minorHAnsi"/>
              </w:rPr>
              <w:t>AA+ (Stable)</w:t>
            </w:r>
          </w:p>
        </w:tc>
        <w:tc>
          <w:tcPr>
            <w:tcW w:w="22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D82449B" w14:textId="77777777" w:rsidR="006E48C1" w:rsidRDefault="006E48C1" w:rsidP="002A0BB3">
            <w:pPr>
              <w:rPr>
                <w:rFonts w:cstheme="minorHAnsi"/>
              </w:rPr>
            </w:pPr>
            <w:r>
              <w:rPr>
                <w:rFonts w:cstheme="minorHAnsi"/>
              </w:rPr>
              <w:t xml:space="preserve">Aa1 </w:t>
            </w:r>
          </w:p>
        </w:tc>
        <w:tc>
          <w:tcPr>
            <w:tcW w:w="22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98EDF87" w14:textId="77777777" w:rsidR="006E48C1" w:rsidRDefault="006E48C1" w:rsidP="002A0BB3">
            <w:pPr>
              <w:rPr>
                <w:rFonts w:cstheme="minorHAnsi"/>
              </w:rPr>
            </w:pPr>
            <w:r>
              <w:rPr>
                <w:rFonts w:cstheme="minorHAnsi"/>
              </w:rPr>
              <w:t>AA+ (Stable)</w:t>
            </w:r>
          </w:p>
        </w:tc>
      </w:tr>
      <w:tr w:rsidR="006E48C1" w14:paraId="726BA425" w14:textId="77777777" w:rsidTr="002A0BB3">
        <w:tc>
          <w:tcPr>
            <w:tcW w:w="22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8DECE99" w14:textId="77777777" w:rsidR="006E48C1" w:rsidRDefault="006E48C1" w:rsidP="002A0BB3">
            <w:pPr>
              <w:rPr>
                <w:rFonts w:cstheme="minorHAnsi"/>
              </w:rPr>
            </w:pPr>
            <w:r>
              <w:rPr>
                <w:rFonts w:cstheme="minorHAnsi"/>
              </w:rPr>
              <w:t>WA</w:t>
            </w:r>
          </w:p>
        </w:tc>
        <w:tc>
          <w:tcPr>
            <w:tcW w:w="22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6A8939B" w14:textId="77777777" w:rsidR="006E48C1" w:rsidRDefault="006E48C1" w:rsidP="002A0BB3">
            <w:pPr>
              <w:rPr>
                <w:rFonts w:cstheme="minorHAnsi"/>
              </w:rPr>
            </w:pPr>
            <w:r>
              <w:rPr>
                <w:rFonts w:cstheme="minorHAnsi"/>
              </w:rPr>
              <w:t>AAA (Stable)</w:t>
            </w:r>
          </w:p>
        </w:tc>
        <w:tc>
          <w:tcPr>
            <w:tcW w:w="22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C337AD9" w14:textId="77777777" w:rsidR="006E48C1" w:rsidRDefault="006E48C1" w:rsidP="002A0BB3">
            <w:pPr>
              <w:rPr>
                <w:rFonts w:cstheme="minorHAnsi"/>
              </w:rPr>
            </w:pPr>
            <w:r>
              <w:rPr>
                <w:rFonts w:cstheme="minorHAnsi"/>
              </w:rPr>
              <w:t xml:space="preserve">Aaa (Stable) </w:t>
            </w:r>
          </w:p>
        </w:tc>
        <w:tc>
          <w:tcPr>
            <w:tcW w:w="22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DFCB2FE" w14:textId="2FED7E51" w:rsidR="006E48C1" w:rsidRDefault="006E48C1" w:rsidP="002A0BB3">
            <w:pPr>
              <w:rPr>
                <w:rFonts w:cstheme="minorHAnsi"/>
              </w:rPr>
            </w:pPr>
            <w:r>
              <w:rPr>
                <w:rFonts w:cstheme="minorHAnsi"/>
              </w:rPr>
              <w:t>n</w:t>
            </w:r>
            <w:r w:rsidR="00DD567F">
              <w:rPr>
                <w:rFonts w:cstheme="minorHAnsi"/>
              </w:rPr>
              <w:t>.</w:t>
            </w:r>
            <w:r>
              <w:rPr>
                <w:rFonts w:cstheme="minorHAnsi"/>
              </w:rPr>
              <w:t>a</w:t>
            </w:r>
            <w:r w:rsidR="00DD567F">
              <w:rPr>
                <w:rFonts w:cstheme="minorHAnsi"/>
              </w:rPr>
              <w:t>.</w:t>
            </w:r>
          </w:p>
        </w:tc>
      </w:tr>
      <w:tr w:rsidR="006E48C1" w14:paraId="59EB4DD4" w14:textId="77777777" w:rsidTr="002A0BB3">
        <w:tc>
          <w:tcPr>
            <w:tcW w:w="22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6851288" w14:textId="77777777" w:rsidR="006E48C1" w:rsidRDefault="006E48C1" w:rsidP="002A0BB3">
            <w:pPr>
              <w:rPr>
                <w:rFonts w:cstheme="minorHAnsi"/>
              </w:rPr>
            </w:pPr>
            <w:r>
              <w:rPr>
                <w:rFonts w:cstheme="minorHAnsi"/>
              </w:rPr>
              <w:t>Tas</w:t>
            </w:r>
          </w:p>
        </w:tc>
        <w:tc>
          <w:tcPr>
            <w:tcW w:w="22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A24C53E" w14:textId="77777777" w:rsidR="006E48C1" w:rsidRDefault="006E48C1" w:rsidP="002A0BB3">
            <w:pPr>
              <w:rPr>
                <w:rFonts w:cstheme="minorHAnsi"/>
              </w:rPr>
            </w:pPr>
            <w:r>
              <w:rPr>
                <w:rFonts w:cstheme="minorHAnsi"/>
              </w:rPr>
              <w:t>AA+ (Stable)</w:t>
            </w:r>
          </w:p>
        </w:tc>
        <w:tc>
          <w:tcPr>
            <w:tcW w:w="22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FAFD38F" w14:textId="77777777" w:rsidR="006E48C1" w:rsidRDefault="006E48C1" w:rsidP="002A0BB3">
            <w:pPr>
              <w:rPr>
                <w:rFonts w:cstheme="minorHAnsi"/>
              </w:rPr>
            </w:pPr>
            <w:r>
              <w:rPr>
                <w:rFonts w:cstheme="minorHAnsi"/>
              </w:rPr>
              <w:t>Aa2 (Stable)</w:t>
            </w:r>
          </w:p>
        </w:tc>
        <w:tc>
          <w:tcPr>
            <w:tcW w:w="22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753EE57" w14:textId="3E85D948" w:rsidR="006E48C1" w:rsidRDefault="006E48C1" w:rsidP="002A0BB3">
            <w:pPr>
              <w:rPr>
                <w:rFonts w:cstheme="minorHAnsi"/>
              </w:rPr>
            </w:pPr>
            <w:r>
              <w:rPr>
                <w:rFonts w:cstheme="minorHAnsi"/>
              </w:rPr>
              <w:t>n</w:t>
            </w:r>
            <w:r w:rsidR="00DD567F">
              <w:rPr>
                <w:rFonts w:cstheme="minorHAnsi"/>
              </w:rPr>
              <w:t>.</w:t>
            </w:r>
            <w:r>
              <w:rPr>
                <w:rFonts w:cstheme="minorHAnsi"/>
              </w:rPr>
              <w:t>a</w:t>
            </w:r>
            <w:r w:rsidR="00DD567F">
              <w:rPr>
                <w:rFonts w:cstheme="minorHAnsi"/>
              </w:rPr>
              <w:t>.</w:t>
            </w:r>
          </w:p>
        </w:tc>
      </w:tr>
      <w:tr w:rsidR="006E48C1" w14:paraId="597EF90B" w14:textId="77777777" w:rsidTr="002A0BB3">
        <w:tc>
          <w:tcPr>
            <w:tcW w:w="22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315B022" w14:textId="77777777" w:rsidR="006E48C1" w:rsidRDefault="006E48C1" w:rsidP="002A0BB3">
            <w:pPr>
              <w:rPr>
                <w:rFonts w:cstheme="minorHAnsi"/>
              </w:rPr>
            </w:pPr>
            <w:r>
              <w:rPr>
                <w:rFonts w:cstheme="minorHAnsi"/>
              </w:rPr>
              <w:t>NT</w:t>
            </w:r>
          </w:p>
        </w:tc>
        <w:tc>
          <w:tcPr>
            <w:tcW w:w="22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212D454" w14:textId="77777777" w:rsidR="006E48C1" w:rsidRDefault="006E48C1" w:rsidP="002A0BB3">
            <w:pPr>
              <w:rPr>
                <w:rFonts w:cstheme="minorHAnsi"/>
              </w:rPr>
            </w:pPr>
            <w:r>
              <w:rPr>
                <w:rFonts w:cstheme="minorHAnsi"/>
              </w:rPr>
              <w:t>Na</w:t>
            </w:r>
          </w:p>
        </w:tc>
        <w:tc>
          <w:tcPr>
            <w:tcW w:w="22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7687B67" w14:textId="77777777" w:rsidR="006E48C1" w:rsidRDefault="006E48C1" w:rsidP="002A0BB3">
            <w:pPr>
              <w:rPr>
                <w:rFonts w:cstheme="minorHAnsi"/>
              </w:rPr>
            </w:pPr>
            <w:r>
              <w:rPr>
                <w:rFonts w:cstheme="minorHAnsi"/>
              </w:rPr>
              <w:t>Aa3 (Stable)</w:t>
            </w:r>
          </w:p>
        </w:tc>
        <w:tc>
          <w:tcPr>
            <w:tcW w:w="22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E52CC93" w14:textId="461F6C2D" w:rsidR="006E48C1" w:rsidRDefault="006E48C1" w:rsidP="002A0BB3">
            <w:pPr>
              <w:rPr>
                <w:rFonts w:cstheme="minorHAnsi"/>
              </w:rPr>
            </w:pPr>
            <w:r>
              <w:rPr>
                <w:rFonts w:cstheme="minorHAnsi"/>
              </w:rPr>
              <w:t>n</w:t>
            </w:r>
            <w:r w:rsidR="00DD567F">
              <w:rPr>
                <w:rFonts w:cstheme="minorHAnsi"/>
              </w:rPr>
              <w:t>.</w:t>
            </w:r>
            <w:r>
              <w:rPr>
                <w:rFonts w:cstheme="minorHAnsi"/>
              </w:rPr>
              <w:t>a</w:t>
            </w:r>
            <w:r w:rsidR="00DD567F">
              <w:rPr>
                <w:rFonts w:cstheme="minorHAnsi"/>
              </w:rPr>
              <w:t>.</w:t>
            </w:r>
          </w:p>
        </w:tc>
      </w:tr>
    </w:tbl>
    <w:p w14:paraId="77250C6F" w14:textId="77777777" w:rsidR="006E48C1" w:rsidRDefault="006E48C1" w:rsidP="006E48C1">
      <w:pPr>
        <w:spacing w:before="0" w:after="240"/>
      </w:pPr>
      <w:r>
        <w:rPr>
          <w:iCs/>
          <w:sz w:val="20"/>
          <w:szCs w:val="20"/>
        </w:rPr>
        <w:t xml:space="preserve">Source: </w:t>
      </w:r>
      <w:r w:rsidRPr="00051360">
        <w:rPr>
          <w:iCs/>
          <w:sz w:val="20"/>
          <w:szCs w:val="20"/>
        </w:rPr>
        <w:t>State Budget Papers</w:t>
      </w:r>
      <w:r>
        <w:rPr>
          <w:iCs/>
          <w:sz w:val="20"/>
          <w:szCs w:val="20"/>
        </w:rPr>
        <w:t xml:space="preserve">, </w:t>
      </w:r>
      <w:r w:rsidRPr="00051360">
        <w:rPr>
          <w:iCs/>
          <w:sz w:val="20"/>
          <w:szCs w:val="20"/>
        </w:rPr>
        <w:t xml:space="preserve">State treasury </w:t>
      </w:r>
      <w:r>
        <w:rPr>
          <w:iCs/>
          <w:sz w:val="20"/>
          <w:szCs w:val="20"/>
        </w:rPr>
        <w:t xml:space="preserve">and audit office </w:t>
      </w:r>
      <w:r w:rsidRPr="00051360">
        <w:rPr>
          <w:iCs/>
          <w:sz w:val="20"/>
          <w:szCs w:val="20"/>
        </w:rPr>
        <w:t>websites.</w:t>
      </w:r>
    </w:p>
    <w:p w14:paraId="6C78C385" w14:textId="77777777" w:rsidR="006E48C1" w:rsidRDefault="006E48C1" w:rsidP="006E48C1">
      <w:pPr>
        <w:spacing w:after="240"/>
        <w:rPr>
          <w:rFonts w:cstheme="minorHAnsi"/>
        </w:rPr>
      </w:pPr>
      <w:r>
        <w:rPr>
          <w:rFonts w:cstheme="minorHAnsi"/>
        </w:rPr>
        <w:t xml:space="preserve">Overall, the ACT’s financial position is within the range reported by other States and Territories. </w:t>
      </w:r>
    </w:p>
    <w:p w14:paraId="6FF1B688" w14:textId="6F88E004" w:rsidR="006E48C1" w:rsidRDefault="006E48C1" w:rsidP="006E48C1">
      <w:pPr>
        <w:pStyle w:val="Heading2"/>
        <w:spacing w:after="240"/>
      </w:pPr>
      <w:bookmarkStart w:id="87" w:name="_Toc64529034"/>
      <w:bookmarkStart w:id="88" w:name="_Toc171949002"/>
      <w:r>
        <w:t>3.</w:t>
      </w:r>
      <w:r w:rsidR="00872CEA">
        <w:t>6</w:t>
      </w:r>
      <w:r>
        <w:tab/>
        <w:t>Other measures of sustainability</w:t>
      </w:r>
      <w:bookmarkEnd w:id="88"/>
    </w:p>
    <w:p w14:paraId="09B6F91E" w14:textId="4513B720" w:rsidR="006E48C1" w:rsidRDefault="006E48C1" w:rsidP="00DD567F">
      <w:r>
        <w:t>Additional measures of the Territory’s financial position are also available. In financial audits, the ACT Auditor-General has employed measures such as:</w:t>
      </w:r>
    </w:p>
    <w:p w14:paraId="4B7FA068" w14:textId="77777777" w:rsidR="006E48C1" w:rsidRDefault="006E48C1" w:rsidP="006E48C1">
      <w:pPr>
        <w:pStyle w:val="ListParagraph"/>
        <w:numPr>
          <w:ilvl w:val="0"/>
          <w:numId w:val="10"/>
        </w:numPr>
        <w:spacing w:before="0" w:after="160" w:line="252" w:lineRule="auto"/>
      </w:pPr>
      <w:r>
        <w:t>Assets to liabilities coverage;</w:t>
      </w:r>
    </w:p>
    <w:p w14:paraId="7A398B92" w14:textId="77777777" w:rsidR="006E48C1" w:rsidRDefault="006E48C1" w:rsidP="006E48C1">
      <w:pPr>
        <w:pStyle w:val="ListParagraph"/>
        <w:numPr>
          <w:ilvl w:val="0"/>
          <w:numId w:val="10"/>
        </w:numPr>
        <w:spacing w:before="0" w:after="160" w:line="252" w:lineRule="auto"/>
      </w:pPr>
      <w:r>
        <w:t>Short term assets to short term liabilities coverage; and</w:t>
      </w:r>
    </w:p>
    <w:p w14:paraId="0CAC5F6C" w14:textId="77777777" w:rsidR="006E48C1" w:rsidRDefault="006E48C1" w:rsidP="006E48C1">
      <w:pPr>
        <w:pStyle w:val="ListParagraph"/>
        <w:numPr>
          <w:ilvl w:val="0"/>
          <w:numId w:val="10"/>
        </w:numPr>
        <w:spacing w:before="0" w:after="160" w:line="252" w:lineRule="auto"/>
      </w:pPr>
      <w:r>
        <w:t xml:space="preserve">Financial assets to liabilities coverage. </w:t>
      </w:r>
    </w:p>
    <w:p w14:paraId="4BD55D9E" w14:textId="77777777" w:rsidR="006E48C1" w:rsidRDefault="006E48C1" w:rsidP="006E48C1">
      <w:pPr>
        <w:pStyle w:val="BodyText"/>
      </w:pPr>
      <w:r>
        <w:t xml:space="preserve">The benefit of these measures is that they provide an indication of the Territory’s capacity to meet its obligations over the short and medium-term.  </w:t>
      </w:r>
    </w:p>
    <w:p w14:paraId="578E1A94" w14:textId="77777777" w:rsidR="006E48C1" w:rsidRDefault="006E48C1" w:rsidP="006E48C1">
      <w:pPr>
        <w:pStyle w:val="BodyText"/>
      </w:pPr>
      <w:r>
        <w:t>The coverage of total assets to total liabilities falls over the Budget and forward years from about 1.69 times in 2024-25 to about 1.54 times in 2027-28.</w:t>
      </w:r>
    </w:p>
    <w:p w14:paraId="019E9243" w14:textId="77777777" w:rsidR="006E48C1" w:rsidRDefault="006E48C1" w:rsidP="006E48C1">
      <w:pPr>
        <w:pStyle w:val="BodyText"/>
      </w:pPr>
      <w:r>
        <w:t>The ratio of short-term assets to short term liabilities also deteriorates over the Budget and forward years.</w:t>
      </w:r>
    </w:p>
    <w:p w14:paraId="3B5DB66F" w14:textId="77777777" w:rsidR="006E48C1" w:rsidRDefault="006E48C1" w:rsidP="006E48C1">
      <w:pPr>
        <w:pStyle w:val="BodyText"/>
      </w:pPr>
      <w:r>
        <w:t>Financial assets are forecast to exceed net financial liabilities by approximately 1.65 times in 2024-25 to approximately 1.43 times in 2027-28.</w:t>
      </w:r>
    </w:p>
    <w:p w14:paraId="152C8C9B" w14:textId="77777777" w:rsidR="006E48C1" w:rsidRDefault="006E48C1" w:rsidP="006E48C1">
      <w:pPr>
        <w:pStyle w:val="BodyText"/>
      </w:pPr>
      <w:r>
        <w:t>This analysis reinforces the suggestion that the ACT Government’s financial position is deteriorating over the medium term.</w:t>
      </w:r>
    </w:p>
    <w:p w14:paraId="691AD1CD" w14:textId="77777777" w:rsidR="006E48C1" w:rsidRDefault="006E48C1" w:rsidP="006E48C1">
      <w:pPr>
        <w:pStyle w:val="BodyText"/>
      </w:pPr>
      <w:r>
        <w:lastRenderedPageBreak/>
        <w:t xml:space="preserve">Net cash flows from operating activities are forecast to be positive for the Budget year and increase significantly across the forward years, primarily due to forecast increases in receipts from taxes, sales of goods and services, grants and contributions, dividends, and other receipts. </w:t>
      </w:r>
    </w:p>
    <w:p w14:paraId="44EF87DB" w14:textId="77777777" w:rsidR="006E48C1" w:rsidRDefault="006E48C1" w:rsidP="006E48C1">
      <w:pPr>
        <w:pStyle w:val="BodyText"/>
      </w:pPr>
      <w:r>
        <w:t xml:space="preserve">However, net cash flows from investments for policy purposes are forecast to be negative across the Budget and forward years. </w:t>
      </w:r>
    </w:p>
    <w:p w14:paraId="343BA2FE" w14:textId="77777777" w:rsidR="006E48C1" w:rsidRDefault="006E48C1" w:rsidP="006E48C1">
      <w:pPr>
        <w:pStyle w:val="BodyText"/>
      </w:pPr>
      <w:r>
        <w:t xml:space="preserve">An overall General Government cash deficit of $1 billion, and negative net cash from operations of $24.2 million, have been forecast for 2024-25.  </w:t>
      </w:r>
    </w:p>
    <w:p w14:paraId="6EE8BA38" w14:textId="77777777" w:rsidR="006E48C1" w:rsidRDefault="006E48C1" w:rsidP="006E48C1">
      <w:pPr>
        <w:pStyle w:val="BodyText"/>
      </w:pPr>
      <w:r>
        <w:t xml:space="preserve">These positions are forecast to improve over the forward years. </w:t>
      </w:r>
    </w:p>
    <w:p w14:paraId="4718F862" w14:textId="463E2454" w:rsidR="001C5FEC" w:rsidRDefault="006E48C1" w:rsidP="00DD567F">
      <w:pPr>
        <w:pStyle w:val="BodyText"/>
      </w:pPr>
      <w:r>
        <w:t>The ACT Government will be able to meet its immediate obligations over the Budget and forward estimates period</w:t>
      </w:r>
      <w:r w:rsidR="0086645D">
        <w:t xml:space="preserve">, </w:t>
      </w:r>
      <w:r>
        <w:t>but the current fiscal trajectory is not sustainable over the long-ter</w:t>
      </w:r>
      <w:bookmarkEnd w:id="87"/>
      <w:r w:rsidR="00DD567F">
        <w:t>m.</w:t>
      </w:r>
      <w:r w:rsidR="001C5FEC">
        <w:br w:type="page"/>
      </w:r>
    </w:p>
    <w:p w14:paraId="1C6C893B" w14:textId="328C7A10" w:rsidR="00DD567F" w:rsidRPr="00DD567F" w:rsidRDefault="0073739D" w:rsidP="00DD567F">
      <w:pPr>
        <w:pStyle w:val="Heading1"/>
      </w:pPr>
      <w:bookmarkStart w:id="89" w:name="_Toc453495118"/>
      <w:bookmarkStart w:id="90" w:name="_Toc453516117"/>
      <w:bookmarkStart w:id="91" w:name="_Toc171949003"/>
      <w:r>
        <w:lastRenderedPageBreak/>
        <w:t>4</w:t>
      </w:r>
      <w:r w:rsidR="00F917F6">
        <w:t>.</w:t>
      </w:r>
      <w:r w:rsidR="001C5FEC">
        <w:tab/>
      </w:r>
      <w:r w:rsidR="00DF3E69" w:rsidRPr="00416558">
        <w:t>Revenue</w:t>
      </w:r>
      <w:bookmarkStart w:id="92" w:name="_Toc453495119"/>
      <w:bookmarkStart w:id="93" w:name="_Toc453516118"/>
      <w:bookmarkEnd w:id="89"/>
      <w:bookmarkEnd w:id="90"/>
      <w:bookmarkEnd w:id="91"/>
    </w:p>
    <w:p w14:paraId="7EFB6506" w14:textId="3EBAC069" w:rsidR="00AA7B2D" w:rsidRPr="0085008A" w:rsidRDefault="00AA7B2D" w:rsidP="00DD567F">
      <w:pPr>
        <w:rPr>
          <w:i/>
          <w:iCs/>
          <w:color w:val="1B7FE1"/>
          <w:sz w:val="24"/>
          <w:szCs w:val="24"/>
        </w:rPr>
      </w:pPr>
      <w:r w:rsidRPr="0085008A">
        <w:rPr>
          <w:i/>
          <w:iCs/>
          <w:color w:val="1B7FE1"/>
          <w:sz w:val="24"/>
          <w:szCs w:val="24"/>
        </w:rPr>
        <w:t xml:space="preserve">Revenue is forecast to be $8,145 </w:t>
      </w:r>
      <w:r w:rsidR="004F0B2E">
        <w:rPr>
          <w:i/>
          <w:iCs/>
          <w:color w:val="1B7FE1"/>
          <w:sz w:val="24"/>
          <w:szCs w:val="24"/>
        </w:rPr>
        <w:t>m</w:t>
      </w:r>
      <w:r w:rsidRPr="0085008A">
        <w:rPr>
          <w:i/>
          <w:iCs/>
          <w:color w:val="1B7FE1"/>
          <w:sz w:val="24"/>
          <w:szCs w:val="24"/>
        </w:rPr>
        <w:t xml:space="preserve">illion in 2024-25, </w:t>
      </w:r>
      <w:r w:rsidR="0085008A">
        <w:rPr>
          <w:i/>
          <w:iCs/>
          <w:color w:val="1B7FE1"/>
          <w:sz w:val="24"/>
          <w:szCs w:val="24"/>
        </w:rPr>
        <w:t xml:space="preserve">some </w:t>
      </w:r>
      <w:r w:rsidR="0085008A" w:rsidRPr="0085008A">
        <w:rPr>
          <w:i/>
          <w:iCs/>
          <w:color w:val="1B7FE1"/>
          <w:sz w:val="24"/>
          <w:szCs w:val="24"/>
        </w:rPr>
        <w:t>$664 million higher than the expected outcome for 2023-24.</w:t>
      </w:r>
      <w:r w:rsidR="0085008A">
        <w:rPr>
          <w:i/>
          <w:iCs/>
          <w:color w:val="1B7FE1"/>
          <w:sz w:val="24"/>
          <w:szCs w:val="24"/>
        </w:rPr>
        <w:t xml:space="preserve">  Revenue rises over the forward years to </w:t>
      </w:r>
      <w:r w:rsidRPr="0085008A">
        <w:rPr>
          <w:i/>
          <w:iCs/>
          <w:color w:val="1B7FE1"/>
          <w:sz w:val="24"/>
          <w:szCs w:val="24"/>
        </w:rPr>
        <w:t xml:space="preserve">$9,669 </w:t>
      </w:r>
      <w:r w:rsidR="004F0B2E">
        <w:rPr>
          <w:i/>
          <w:iCs/>
          <w:color w:val="1B7FE1"/>
          <w:sz w:val="24"/>
          <w:szCs w:val="24"/>
        </w:rPr>
        <w:t>m</w:t>
      </w:r>
      <w:r w:rsidRPr="0085008A">
        <w:rPr>
          <w:i/>
          <w:iCs/>
          <w:color w:val="1B7FE1"/>
          <w:sz w:val="24"/>
          <w:szCs w:val="24"/>
        </w:rPr>
        <w:t xml:space="preserve">illion by 2027-28.  </w:t>
      </w:r>
    </w:p>
    <w:p w14:paraId="6C3D727F" w14:textId="775A9018" w:rsidR="00DD567F" w:rsidRPr="0085008A" w:rsidRDefault="0085008A" w:rsidP="00DD567F">
      <w:pPr>
        <w:rPr>
          <w:i/>
          <w:iCs/>
          <w:color w:val="1B7FE1"/>
          <w:sz w:val="24"/>
          <w:szCs w:val="24"/>
        </w:rPr>
      </w:pPr>
      <w:r w:rsidRPr="0085008A">
        <w:rPr>
          <w:i/>
          <w:iCs/>
          <w:color w:val="1B7FE1"/>
          <w:sz w:val="24"/>
          <w:szCs w:val="24"/>
        </w:rPr>
        <w:t xml:space="preserve">The forecasts are </w:t>
      </w:r>
      <w:r w:rsidR="00DD567F" w:rsidRPr="0085008A">
        <w:rPr>
          <w:i/>
          <w:iCs/>
          <w:color w:val="1B7FE1"/>
          <w:sz w:val="24"/>
          <w:szCs w:val="24"/>
        </w:rPr>
        <w:t xml:space="preserve">$209 million lower in 2023-24 and $16 million </w:t>
      </w:r>
      <w:r w:rsidR="00AA7B2D" w:rsidRPr="0085008A">
        <w:rPr>
          <w:i/>
          <w:iCs/>
          <w:color w:val="1B7FE1"/>
          <w:sz w:val="24"/>
          <w:szCs w:val="24"/>
        </w:rPr>
        <w:t xml:space="preserve">lower </w:t>
      </w:r>
      <w:r w:rsidR="00DD567F" w:rsidRPr="0085008A">
        <w:rPr>
          <w:i/>
          <w:iCs/>
          <w:color w:val="1B7FE1"/>
          <w:sz w:val="24"/>
          <w:szCs w:val="24"/>
        </w:rPr>
        <w:t xml:space="preserve">in 2024-25 than previously estimated in the 2023-24 Budget. </w:t>
      </w:r>
      <w:r w:rsidR="00AA7B2D" w:rsidRPr="0085008A">
        <w:rPr>
          <w:i/>
          <w:iCs/>
          <w:color w:val="1B7FE1"/>
          <w:sz w:val="24"/>
          <w:szCs w:val="24"/>
        </w:rPr>
        <w:t xml:space="preserve"> </w:t>
      </w:r>
      <w:r w:rsidR="00DD567F" w:rsidRPr="0085008A">
        <w:rPr>
          <w:i/>
          <w:iCs/>
          <w:color w:val="1B7FE1"/>
          <w:sz w:val="24"/>
          <w:szCs w:val="24"/>
        </w:rPr>
        <w:t>However, revenue is now estimated to be higher in the out-years</w:t>
      </w:r>
      <w:r w:rsidRPr="0085008A">
        <w:rPr>
          <w:i/>
          <w:iCs/>
          <w:color w:val="1B7FE1"/>
          <w:sz w:val="24"/>
          <w:szCs w:val="24"/>
        </w:rPr>
        <w:t xml:space="preserve"> than previously forecast</w:t>
      </w:r>
      <w:r w:rsidR="00DD567F" w:rsidRPr="0085008A">
        <w:rPr>
          <w:i/>
          <w:iCs/>
          <w:color w:val="1B7FE1"/>
          <w:sz w:val="24"/>
          <w:szCs w:val="24"/>
        </w:rPr>
        <w:t>.</w:t>
      </w:r>
    </w:p>
    <w:p w14:paraId="1AF40C5B" w14:textId="77777777" w:rsidR="00DD567F" w:rsidRPr="00DD567F" w:rsidRDefault="00DD567F" w:rsidP="00DD567F">
      <w:pPr>
        <w:rPr>
          <w:i/>
          <w:iCs/>
          <w:color w:val="1B7FE1"/>
          <w:sz w:val="24"/>
          <w:szCs w:val="24"/>
        </w:rPr>
      </w:pPr>
      <w:r w:rsidRPr="00DD567F">
        <w:rPr>
          <w:i/>
          <w:iCs/>
          <w:color w:val="1B7FE1"/>
          <w:sz w:val="24"/>
          <w:szCs w:val="24"/>
        </w:rPr>
        <w:t>In the 2012-13 Budget, the ACT Government committed itself to rebalancing its tax base by reducing and eventually eliminating stamp duty over a 20-year period and replacing the shortfall through an increase in the general rates system.</w:t>
      </w:r>
    </w:p>
    <w:p w14:paraId="2AE0F60D" w14:textId="4B180D39" w:rsidR="00DD567F" w:rsidRPr="00DD567F" w:rsidRDefault="00DD567F" w:rsidP="00DD567F">
      <w:pPr>
        <w:rPr>
          <w:i/>
          <w:iCs/>
          <w:color w:val="1B7FE1"/>
          <w:sz w:val="24"/>
          <w:szCs w:val="24"/>
        </w:rPr>
      </w:pPr>
      <w:r w:rsidRPr="00DD567F">
        <w:rPr>
          <w:i/>
          <w:iCs/>
          <w:color w:val="1B7FE1"/>
          <w:sz w:val="24"/>
          <w:szCs w:val="24"/>
        </w:rPr>
        <w:t>Notwithstanding the Government’s commitment to phasing out stamp duties and the phasing in of the new general rates system over the course of 20 years, it appears that the reduction in revenue from commercial and residential conveyances will far exceed the increase in general rates as an overall percentage of ACT Government own-source taxation revenue going out to 2027-28, which now includes the first two years of stage 4 of tax reform.</w:t>
      </w:r>
    </w:p>
    <w:p w14:paraId="4624ADE1" w14:textId="3907EEDD" w:rsidR="00DD567F" w:rsidRPr="0085008A" w:rsidRDefault="00DD567F" w:rsidP="0085008A">
      <w:pPr>
        <w:rPr>
          <w:i/>
          <w:iCs/>
          <w:color w:val="1B7FE1"/>
          <w:sz w:val="24"/>
          <w:szCs w:val="24"/>
          <w:highlight w:val="yellow"/>
        </w:rPr>
      </w:pPr>
      <w:r w:rsidRPr="00DD567F">
        <w:rPr>
          <w:i/>
          <w:iCs/>
          <w:color w:val="1B7FE1"/>
          <w:sz w:val="24"/>
          <w:szCs w:val="24"/>
        </w:rPr>
        <w:t xml:space="preserve">Revenue from payroll tax is now forecast to increase from 29.0 percent of ACT Government own-source taxation revenue in 2023-24 to 33.4 percent by 2027-28 – an overall increase of 4.4 percentage points. This is in marked contrast to the percentage of ACT Government own-source taxation revenue expected to be collected from general rates over the same period that declines slightly by 0.1 percentage points. </w:t>
      </w:r>
    </w:p>
    <w:p w14:paraId="553E112D" w14:textId="1E707865" w:rsidR="00AC7747" w:rsidRDefault="0073739D" w:rsidP="00D43372">
      <w:pPr>
        <w:pStyle w:val="Heading2"/>
        <w:spacing w:after="240"/>
      </w:pPr>
      <w:bookmarkStart w:id="94" w:name="_Toc171949004"/>
      <w:r w:rsidRPr="0085008A">
        <w:t>4</w:t>
      </w:r>
      <w:r w:rsidR="005C314F" w:rsidRPr="0085008A">
        <w:t>.1</w:t>
      </w:r>
      <w:r w:rsidR="005C314F" w:rsidRPr="0085008A">
        <w:tab/>
      </w:r>
      <w:r w:rsidR="00AC7747" w:rsidRPr="0085008A">
        <w:t>Overview</w:t>
      </w:r>
      <w:bookmarkEnd w:id="92"/>
      <w:bookmarkEnd w:id="93"/>
      <w:bookmarkEnd w:id="94"/>
    </w:p>
    <w:p w14:paraId="00A89351" w14:textId="09E18475" w:rsidR="00446543" w:rsidRPr="00C80B39" w:rsidRDefault="00452A00" w:rsidP="00DB6613">
      <w:r w:rsidRPr="00C80B39">
        <w:t>ACT revenue is forecast to be some $</w:t>
      </w:r>
      <w:r w:rsidR="00F40518" w:rsidRPr="00C80B39">
        <w:t>2</w:t>
      </w:r>
      <w:r w:rsidR="001C3767" w:rsidRPr="00C80B39">
        <w:t>09</w:t>
      </w:r>
      <w:r w:rsidRPr="00C80B39">
        <w:t xml:space="preserve"> million </w:t>
      </w:r>
      <w:r w:rsidR="001C3767" w:rsidRPr="00C80B39">
        <w:t>lower</w:t>
      </w:r>
      <w:r w:rsidRPr="00C80B39">
        <w:t xml:space="preserve"> in 202</w:t>
      </w:r>
      <w:r w:rsidR="001C3767" w:rsidRPr="00C80B39">
        <w:t>3</w:t>
      </w:r>
      <w:r w:rsidRPr="00C80B39">
        <w:t>-2</w:t>
      </w:r>
      <w:r w:rsidR="001C3767" w:rsidRPr="00C80B39">
        <w:t>4</w:t>
      </w:r>
      <w:r w:rsidRPr="00C80B39">
        <w:t xml:space="preserve"> than </w:t>
      </w:r>
      <w:r w:rsidR="002003E4" w:rsidRPr="00C80B39">
        <w:t xml:space="preserve">previously forecast </w:t>
      </w:r>
      <w:r w:rsidRPr="00C80B39">
        <w:t>in the 202</w:t>
      </w:r>
      <w:r w:rsidR="001C3767" w:rsidRPr="00C80B39">
        <w:t>3</w:t>
      </w:r>
      <w:r w:rsidRPr="00C80B39">
        <w:t>-2</w:t>
      </w:r>
      <w:r w:rsidR="001C3767" w:rsidRPr="00C80B39">
        <w:t>4</w:t>
      </w:r>
      <w:r w:rsidRPr="00C80B39">
        <w:t xml:space="preserve"> Budget</w:t>
      </w:r>
      <w:r w:rsidR="001C3767" w:rsidRPr="00C80B39">
        <w:t xml:space="preserve"> </w:t>
      </w:r>
      <w:sdt>
        <w:sdtPr>
          <w:id w:val="1145243309"/>
          <w:citation/>
        </w:sdtPr>
        <w:sdtContent>
          <w:r w:rsidR="001C3767" w:rsidRPr="00C80B39">
            <w:fldChar w:fldCharType="begin"/>
          </w:r>
          <w:r w:rsidR="007F2C34" w:rsidRPr="00C80B39">
            <w:instrText xml:space="preserve">CITATION ACT24 \p 203 \t  \l 3081 </w:instrText>
          </w:r>
          <w:r w:rsidR="001C3767" w:rsidRPr="00C80B39">
            <w:fldChar w:fldCharType="separate"/>
          </w:r>
          <w:r w:rsidR="00874F23" w:rsidRPr="00C80B39">
            <w:rPr>
              <w:noProof/>
            </w:rPr>
            <w:t>(ACT Government, 2024, p. 203)</w:t>
          </w:r>
          <w:r w:rsidR="001C3767" w:rsidRPr="00C80B39">
            <w:fldChar w:fldCharType="end"/>
          </w:r>
        </w:sdtContent>
      </w:sdt>
      <w:r w:rsidRPr="00C80B39">
        <w:t xml:space="preserve">. </w:t>
      </w:r>
      <w:r w:rsidR="00137EC0" w:rsidRPr="00C80B39">
        <w:t xml:space="preserve">The largest contributions to the </w:t>
      </w:r>
      <w:r w:rsidR="007F2C34" w:rsidRPr="00C80B39">
        <w:t>fall</w:t>
      </w:r>
      <w:r w:rsidR="00137EC0" w:rsidRPr="00C80B39">
        <w:t xml:space="preserve"> in ACT revenue</w:t>
      </w:r>
      <w:r w:rsidR="00DE0747" w:rsidRPr="00C80B39">
        <w:t xml:space="preserve"> in 202</w:t>
      </w:r>
      <w:r w:rsidR="007F2C34" w:rsidRPr="00C80B39">
        <w:t>3</w:t>
      </w:r>
      <w:r w:rsidR="00DE0747" w:rsidRPr="00C80B39">
        <w:t>-2</w:t>
      </w:r>
      <w:r w:rsidR="007F2C34" w:rsidRPr="00C80B39">
        <w:t>4</w:t>
      </w:r>
      <w:r w:rsidR="00137EC0" w:rsidRPr="00C80B39">
        <w:t xml:space="preserve"> over the 202</w:t>
      </w:r>
      <w:r w:rsidR="00386D82" w:rsidRPr="00C80B39">
        <w:t>3</w:t>
      </w:r>
      <w:r w:rsidR="00137EC0" w:rsidRPr="00C80B39">
        <w:t>-2</w:t>
      </w:r>
      <w:r w:rsidR="00386D82" w:rsidRPr="00C80B39">
        <w:t>4</w:t>
      </w:r>
      <w:r w:rsidR="00137EC0" w:rsidRPr="00C80B39">
        <w:t xml:space="preserve"> Budget forecasts have </w:t>
      </w:r>
      <w:r w:rsidR="00D32EC0" w:rsidRPr="00C80B39">
        <w:t>come from</w:t>
      </w:r>
      <w:r w:rsidR="00137EC0" w:rsidRPr="00C80B39">
        <w:t>:</w:t>
      </w:r>
    </w:p>
    <w:p w14:paraId="0B0FC444" w14:textId="3DFF8158" w:rsidR="008356EE" w:rsidRPr="00C80B39" w:rsidRDefault="008356EE" w:rsidP="00AF3437">
      <w:pPr>
        <w:pStyle w:val="ListParagraph"/>
        <w:numPr>
          <w:ilvl w:val="0"/>
          <w:numId w:val="9"/>
        </w:numPr>
      </w:pPr>
      <w:r w:rsidRPr="00C80B39">
        <w:t>$62 million dec</w:t>
      </w:r>
      <w:r w:rsidR="00386FA1" w:rsidRPr="00C80B39">
        <w:t>r</w:t>
      </w:r>
      <w:r w:rsidRPr="00C80B39">
        <w:t xml:space="preserve">ease in </w:t>
      </w:r>
      <w:r w:rsidR="00386FA1" w:rsidRPr="00C80B39">
        <w:t>investment revenue</w:t>
      </w:r>
    </w:p>
    <w:p w14:paraId="2DB43F30" w14:textId="2D64B20F" w:rsidR="00C9124B" w:rsidRPr="00C80B39" w:rsidRDefault="008A3D4A" w:rsidP="00AF3437">
      <w:pPr>
        <w:pStyle w:val="ListParagraph"/>
        <w:numPr>
          <w:ilvl w:val="0"/>
          <w:numId w:val="9"/>
        </w:numPr>
      </w:pPr>
      <w:r w:rsidRPr="00C80B39">
        <w:t>$62 million decrease in gains from contributed assets</w:t>
      </w:r>
    </w:p>
    <w:p w14:paraId="163127A4" w14:textId="3338B424" w:rsidR="008A3D4A" w:rsidRPr="00C80B39" w:rsidRDefault="0051044B" w:rsidP="00AF3437">
      <w:pPr>
        <w:pStyle w:val="ListParagraph"/>
        <w:numPr>
          <w:ilvl w:val="0"/>
          <w:numId w:val="9"/>
        </w:numPr>
      </w:pPr>
      <w:r w:rsidRPr="00C80B39">
        <w:t>$46 million decrease in own-source revenue</w:t>
      </w:r>
    </w:p>
    <w:p w14:paraId="18B4C316" w14:textId="2CBAF857" w:rsidR="005F4919" w:rsidRPr="00C80B39" w:rsidRDefault="005F4919" w:rsidP="00AF3437">
      <w:pPr>
        <w:pStyle w:val="ListParagraph"/>
        <w:numPr>
          <w:ilvl w:val="0"/>
          <w:numId w:val="9"/>
        </w:numPr>
      </w:pPr>
      <w:r w:rsidRPr="00C80B39">
        <w:t xml:space="preserve">$38 million decrease in </w:t>
      </w:r>
      <w:r w:rsidR="001325EE" w:rsidRPr="00C80B39">
        <w:t>dividend and income tax equivalent income</w:t>
      </w:r>
    </w:p>
    <w:p w14:paraId="79364BF0" w14:textId="1DE2163F" w:rsidR="001325EE" w:rsidRPr="00C80B39" w:rsidRDefault="005F19CB" w:rsidP="00AF3437">
      <w:pPr>
        <w:pStyle w:val="ListParagraph"/>
        <w:numPr>
          <w:ilvl w:val="0"/>
          <w:numId w:val="9"/>
        </w:numPr>
      </w:pPr>
      <w:r w:rsidRPr="00C80B39">
        <w:t>$26 million decrease in Commonwealth Government grants</w:t>
      </w:r>
    </w:p>
    <w:p w14:paraId="05798E0A" w14:textId="24055195" w:rsidR="0051044B" w:rsidRPr="00C80B39" w:rsidRDefault="00DD15D7" w:rsidP="005F4919">
      <w:r w:rsidRPr="00C80B39">
        <w:t xml:space="preserve">These decreases have been partially offset by a $50 million increase in </w:t>
      </w:r>
      <w:r w:rsidR="00A72FEC" w:rsidRPr="00C80B39">
        <w:t xml:space="preserve">the amount </w:t>
      </w:r>
      <w:r w:rsidR="00F15D99" w:rsidRPr="00C80B39">
        <w:t xml:space="preserve">expected to be </w:t>
      </w:r>
      <w:r w:rsidR="00A72FEC" w:rsidRPr="00C80B39">
        <w:t xml:space="preserve">received from </w:t>
      </w:r>
      <w:r w:rsidR="000E168F" w:rsidRPr="00C80B39">
        <w:t xml:space="preserve">interest revenue </w:t>
      </w:r>
      <w:r w:rsidR="00F15D99" w:rsidRPr="00C80B39">
        <w:t>in 2023-24 over the 2023-24 Budget forecast.</w:t>
      </w:r>
    </w:p>
    <w:p w14:paraId="4EBD9153" w14:textId="08D9931C" w:rsidR="00CF6727" w:rsidRDefault="00E334ED" w:rsidP="00DB6613">
      <w:r w:rsidRPr="00C80B39">
        <w:t>ACT Budget revenue</w:t>
      </w:r>
      <w:r w:rsidR="000C3CD7" w:rsidRPr="00C80B39">
        <w:t xml:space="preserve"> is now </w:t>
      </w:r>
      <w:r w:rsidR="00F76D26" w:rsidRPr="00C80B39">
        <w:t>estimated</w:t>
      </w:r>
      <w:r w:rsidR="000C3CD7" w:rsidRPr="00C80B39">
        <w:t xml:space="preserve"> to be slightly lower in 2024-25 </w:t>
      </w:r>
      <w:r w:rsidR="00B9602E" w:rsidRPr="00C80B39">
        <w:t xml:space="preserve">by $16 million than </w:t>
      </w:r>
      <w:r w:rsidR="00720609" w:rsidRPr="00C80B39">
        <w:t xml:space="preserve">previously </w:t>
      </w:r>
      <w:r w:rsidR="00F76D26" w:rsidRPr="00C80B39">
        <w:t xml:space="preserve">estimated </w:t>
      </w:r>
      <w:r w:rsidR="00720609" w:rsidRPr="00C80B39">
        <w:t>in the 2023-24 Budget</w:t>
      </w:r>
      <w:r w:rsidR="004C7303" w:rsidRPr="00C80B39">
        <w:t xml:space="preserve">. However, </w:t>
      </w:r>
      <w:r w:rsidR="00416E23" w:rsidRPr="00C80B39">
        <w:t xml:space="preserve">ACT Budget revenue is now </w:t>
      </w:r>
      <w:r w:rsidR="00F76D26" w:rsidRPr="00C80B39">
        <w:t>estimated</w:t>
      </w:r>
      <w:r w:rsidR="00416E23" w:rsidRPr="00C80B39">
        <w:t xml:space="preserve"> to be higher in the out-years </w:t>
      </w:r>
      <w:r w:rsidR="00E71D74" w:rsidRPr="00C80B39">
        <w:t xml:space="preserve">– by $111 million in 2025-26 and by </w:t>
      </w:r>
      <w:r w:rsidR="00CD7C4C" w:rsidRPr="00C80B39">
        <w:t>$29</w:t>
      </w:r>
      <w:r w:rsidR="00CF6727" w:rsidRPr="00C80B39">
        <w:t>8</w:t>
      </w:r>
      <w:r w:rsidR="00CD7C4C" w:rsidRPr="00C80B39">
        <w:t xml:space="preserve"> million in </w:t>
      </w:r>
      <w:r w:rsidR="00CF6727" w:rsidRPr="00C80B39">
        <w:t xml:space="preserve">2026-27. </w:t>
      </w:r>
      <w:r w:rsidR="00E467FF" w:rsidRPr="00C80B39">
        <w:t xml:space="preserve">This is </w:t>
      </w:r>
      <w:r w:rsidR="008B2D71" w:rsidRPr="00C80B39">
        <w:t xml:space="preserve">shown </w:t>
      </w:r>
      <w:r w:rsidR="00E467FF" w:rsidRPr="00C80B39">
        <w:t xml:space="preserve">in </w:t>
      </w:r>
      <w:r w:rsidR="00417784">
        <w:fldChar w:fldCharType="begin"/>
      </w:r>
      <w:r w:rsidR="00417784">
        <w:instrText xml:space="preserve"> REF _Ref170907673 \h </w:instrText>
      </w:r>
      <w:r w:rsidR="00417784">
        <w:fldChar w:fldCharType="separate"/>
      </w:r>
      <w:r w:rsidR="000B62ED">
        <w:t xml:space="preserve">Figure </w:t>
      </w:r>
      <w:r w:rsidR="000B62ED">
        <w:rPr>
          <w:noProof/>
        </w:rPr>
        <w:t>15</w:t>
      </w:r>
      <w:r w:rsidR="00417784">
        <w:fldChar w:fldCharType="end"/>
      </w:r>
      <w:r w:rsidR="003C4F34">
        <w:t xml:space="preserve"> </w:t>
      </w:r>
      <w:r w:rsidR="00E467FF" w:rsidRPr="00C80B39">
        <w:t>below.</w:t>
      </w:r>
    </w:p>
    <w:p w14:paraId="03D62535" w14:textId="5D2AF3BC" w:rsidR="0072741C" w:rsidRDefault="0072741C" w:rsidP="002F13A8">
      <w:pPr>
        <w:pStyle w:val="Caption"/>
        <w:keepNext/>
      </w:pPr>
      <w:bookmarkStart w:id="95" w:name="_Ref170907673"/>
      <w:bookmarkStart w:id="96" w:name="_Toc171949074"/>
      <w:r>
        <w:lastRenderedPageBreak/>
        <w:t xml:space="preserve">Figure </w:t>
      </w:r>
      <w:r>
        <w:fldChar w:fldCharType="begin"/>
      </w:r>
      <w:r>
        <w:instrText xml:space="preserve"> SEQ Figure \* ARABIC </w:instrText>
      </w:r>
      <w:r>
        <w:fldChar w:fldCharType="separate"/>
      </w:r>
      <w:r w:rsidR="000B62ED">
        <w:rPr>
          <w:noProof/>
        </w:rPr>
        <w:t>15</w:t>
      </w:r>
      <w:r>
        <w:rPr>
          <w:noProof/>
        </w:rPr>
        <w:fldChar w:fldCharType="end"/>
      </w:r>
      <w:bookmarkEnd w:id="95"/>
      <w:r>
        <w:t xml:space="preserve">: </w:t>
      </w:r>
      <w:r w:rsidR="00D92470">
        <w:t xml:space="preserve">Estimated </w:t>
      </w:r>
      <w:r>
        <w:t>ACT Budget Revenue in the 20</w:t>
      </w:r>
      <w:r w:rsidR="00E467FF">
        <w:t>2</w:t>
      </w:r>
      <w:r w:rsidR="00E4756D">
        <w:t>3</w:t>
      </w:r>
      <w:r>
        <w:t>-2</w:t>
      </w:r>
      <w:r w:rsidR="00E4756D">
        <w:t>4</w:t>
      </w:r>
      <w:r>
        <w:t xml:space="preserve"> and 202</w:t>
      </w:r>
      <w:r w:rsidR="00E4756D">
        <w:t>4</w:t>
      </w:r>
      <w:r>
        <w:t>-2</w:t>
      </w:r>
      <w:r w:rsidR="00E4756D">
        <w:t>5</w:t>
      </w:r>
      <w:r>
        <w:t xml:space="preserve"> ACT Budget</w:t>
      </w:r>
      <w:r w:rsidR="00D92470">
        <w:t>s</w:t>
      </w:r>
      <w:bookmarkEnd w:id="96"/>
      <w:r>
        <w:t xml:space="preserve">  </w:t>
      </w:r>
    </w:p>
    <w:p w14:paraId="368BFA1A" w14:textId="13257249" w:rsidR="0072741C" w:rsidRPr="00C85E3C" w:rsidRDefault="00F83F29" w:rsidP="0072741C">
      <w:pPr>
        <w:spacing w:before="0"/>
      </w:pPr>
      <w:r>
        <w:rPr>
          <w:noProof/>
        </w:rPr>
        <w:drawing>
          <wp:inline distT="0" distB="0" distL="0" distR="0" wp14:anchorId="70039515" wp14:editId="00EF6A0E">
            <wp:extent cx="5731033" cy="3742332"/>
            <wp:effectExtent l="0" t="0" r="3175" b="0"/>
            <wp:docPr id="24588667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6914" cy="3759232"/>
                    </a:xfrm>
                    <a:prstGeom prst="rect">
                      <a:avLst/>
                    </a:prstGeom>
                    <a:noFill/>
                  </pic:spPr>
                </pic:pic>
              </a:graphicData>
            </a:graphic>
          </wp:inline>
        </w:drawing>
      </w:r>
      <w:r w:rsidR="0072741C">
        <w:rPr>
          <w:sz w:val="23"/>
          <w:szCs w:val="23"/>
        </w:rPr>
        <w:br/>
      </w:r>
      <w:r w:rsidR="0072741C" w:rsidRPr="00452A00">
        <w:t>Source: ACT Government</w:t>
      </w:r>
      <w:r w:rsidR="00452A00">
        <w:rPr>
          <w:sz w:val="20"/>
          <w:szCs w:val="20"/>
        </w:rPr>
        <w:t xml:space="preserve"> </w:t>
      </w:r>
      <w:sdt>
        <w:sdtPr>
          <w:id w:val="791717461"/>
          <w:citation/>
        </w:sdtPr>
        <w:sdtContent>
          <w:r w:rsidR="00BC0E2A">
            <w:fldChar w:fldCharType="begin"/>
          </w:r>
          <w:r w:rsidR="000A1C42">
            <w:instrText xml:space="preserve">CITATION ACT23 \p 222 \n  \t  \m ACT24 \p 203 \n  \t  \l 3081 </w:instrText>
          </w:r>
          <w:r w:rsidR="00BC0E2A">
            <w:fldChar w:fldCharType="separate"/>
          </w:r>
          <w:r w:rsidR="00874F23">
            <w:rPr>
              <w:noProof/>
            </w:rPr>
            <w:t>(2023, p. 222; 2024, p. 203)</w:t>
          </w:r>
          <w:r w:rsidR="00BC0E2A">
            <w:fldChar w:fldCharType="end"/>
          </w:r>
        </w:sdtContent>
      </w:sdt>
      <w:r w:rsidR="00BC0E2A">
        <w:t>.</w:t>
      </w:r>
    </w:p>
    <w:p w14:paraId="29EBC7EA" w14:textId="486B4374" w:rsidR="00890720" w:rsidRPr="00C80B39" w:rsidRDefault="00890720" w:rsidP="00890720">
      <w:r w:rsidRPr="00C80B39">
        <w:t>In 2024-25, revenue is expected to increase by $</w:t>
      </w:r>
      <w:r w:rsidR="00E13B2C" w:rsidRPr="00C80B39">
        <w:t>664</w:t>
      </w:r>
      <w:r w:rsidRPr="00C80B39">
        <w:t xml:space="preserve"> million over the expected outcome for 202</w:t>
      </w:r>
      <w:r w:rsidR="00E13B2C" w:rsidRPr="00C80B39">
        <w:t>3</w:t>
      </w:r>
      <w:r w:rsidRPr="00C80B39">
        <w:t>-2</w:t>
      </w:r>
      <w:r w:rsidR="00E13B2C" w:rsidRPr="00C80B39">
        <w:t>4</w:t>
      </w:r>
      <w:r w:rsidRPr="00C80B39">
        <w:t xml:space="preserve"> </w:t>
      </w:r>
      <w:sdt>
        <w:sdtPr>
          <w:id w:val="1069313175"/>
          <w:citation/>
        </w:sdtPr>
        <w:sdtContent>
          <w:r w:rsidR="00E13B2C" w:rsidRPr="00C80B39">
            <w:fldChar w:fldCharType="begin"/>
          </w:r>
          <w:r w:rsidR="00E13B2C" w:rsidRPr="00C80B39">
            <w:instrText xml:space="preserve">CITATION ACT24 \p 203 \t  \l 3081 </w:instrText>
          </w:r>
          <w:r w:rsidR="00E13B2C" w:rsidRPr="00C80B39">
            <w:fldChar w:fldCharType="separate"/>
          </w:r>
          <w:r w:rsidR="00874F23" w:rsidRPr="00C80B39">
            <w:rPr>
              <w:noProof/>
            </w:rPr>
            <w:t>(ACT Government, 2024, p. 203)</w:t>
          </w:r>
          <w:r w:rsidR="00E13B2C" w:rsidRPr="00C80B39">
            <w:fldChar w:fldCharType="end"/>
          </w:r>
        </w:sdtContent>
      </w:sdt>
      <w:r w:rsidR="006B5AFA">
        <w:t>.</w:t>
      </w:r>
      <w:r w:rsidRPr="00C80B39">
        <w:t xml:space="preserve"> The largest contributors to the increase in revenue over the expected outcome in 202</w:t>
      </w:r>
      <w:r w:rsidR="00E13B2C" w:rsidRPr="00C80B39">
        <w:t>3</w:t>
      </w:r>
      <w:r w:rsidRPr="00C80B39">
        <w:t>-2</w:t>
      </w:r>
      <w:r w:rsidR="00E13B2C" w:rsidRPr="00C80B39">
        <w:t>4</w:t>
      </w:r>
      <w:r w:rsidRPr="00C80B39">
        <w:t xml:space="preserve"> will come from:</w:t>
      </w:r>
    </w:p>
    <w:p w14:paraId="0F3CDC97" w14:textId="66DBAE41" w:rsidR="00913AC4" w:rsidRPr="00C80B39" w:rsidRDefault="00913AC4" w:rsidP="00890720">
      <w:pPr>
        <w:pStyle w:val="ListParagraph"/>
        <w:numPr>
          <w:ilvl w:val="0"/>
          <w:numId w:val="27"/>
        </w:numPr>
      </w:pPr>
      <w:r w:rsidRPr="00C80B39">
        <w:t>a $249 million increase in Commonwealth Government grants</w:t>
      </w:r>
    </w:p>
    <w:p w14:paraId="15CD71D8" w14:textId="3A3AC1A9" w:rsidR="00913AC4" w:rsidRPr="00C80B39" w:rsidRDefault="00D15729" w:rsidP="00890720">
      <w:pPr>
        <w:pStyle w:val="ListParagraph"/>
        <w:numPr>
          <w:ilvl w:val="0"/>
          <w:numId w:val="27"/>
        </w:numPr>
      </w:pPr>
      <w:r w:rsidRPr="00C80B39">
        <w:t>a $168 million increase in own-source revenue</w:t>
      </w:r>
    </w:p>
    <w:p w14:paraId="65E7950C" w14:textId="0A654A20" w:rsidR="0038161B" w:rsidRPr="00C80B39" w:rsidRDefault="0038161B" w:rsidP="00890720">
      <w:pPr>
        <w:pStyle w:val="ListParagraph"/>
        <w:numPr>
          <w:ilvl w:val="0"/>
          <w:numId w:val="27"/>
        </w:numPr>
      </w:pPr>
      <w:r w:rsidRPr="00C80B39">
        <w:t>a $69 million increase in GST revenue</w:t>
      </w:r>
    </w:p>
    <w:p w14:paraId="302CD718" w14:textId="0A0ADFFB" w:rsidR="0038161B" w:rsidRPr="00C80B39" w:rsidRDefault="0038161B" w:rsidP="00890720">
      <w:pPr>
        <w:pStyle w:val="ListParagraph"/>
        <w:numPr>
          <w:ilvl w:val="0"/>
          <w:numId w:val="27"/>
        </w:numPr>
      </w:pPr>
      <w:r w:rsidRPr="00C80B39">
        <w:t>a $58 million increase in investment revenue</w:t>
      </w:r>
    </w:p>
    <w:p w14:paraId="3F98BF22" w14:textId="5760C75D" w:rsidR="0038161B" w:rsidRPr="00C80B39" w:rsidRDefault="00C70877" w:rsidP="00890720">
      <w:pPr>
        <w:pStyle w:val="ListParagraph"/>
        <w:numPr>
          <w:ilvl w:val="0"/>
          <w:numId w:val="27"/>
        </w:numPr>
      </w:pPr>
      <w:r w:rsidRPr="00C80B39">
        <w:t>a $42 million increase in other revenue</w:t>
      </w:r>
    </w:p>
    <w:p w14:paraId="078719AC" w14:textId="552B4A3D" w:rsidR="00893F68" w:rsidRPr="00C80B39" w:rsidRDefault="00893F68" w:rsidP="00890720">
      <w:pPr>
        <w:pStyle w:val="ListParagraph"/>
        <w:numPr>
          <w:ilvl w:val="0"/>
          <w:numId w:val="27"/>
        </w:numPr>
      </w:pPr>
      <w:r w:rsidRPr="00C80B39">
        <w:t>a $27 million increase in dividend and income tax equivalents income</w:t>
      </w:r>
    </w:p>
    <w:p w14:paraId="4642792E" w14:textId="0CEA80B0" w:rsidR="0062581B" w:rsidRPr="00C80B39" w:rsidRDefault="0062581B" w:rsidP="00890720">
      <w:pPr>
        <w:pStyle w:val="ListParagraph"/>
        <w:numPr>
          <w:ilvl w:val="0"/>
          <w:numId w:val="27"/>
        </w:numPr>
      </w:pPr>
      <w:r w:rsidRPr="00C80B39">
        <w:t>a $20 million increase in gains from contributed assets</w:t>
      </w:r>
    </w:p>
    <w:p w14:paraId="5FBDE7D9" w14:textId="468F2B8A" w:rsidR="00890720" w:rsidRDefault="00890720" w:rsidP="00890720">
      <w:r w:rsidRPr="00C80B39">
        <w:t xml:space="preserve">A comparison of the revenue </w:t>
      </w:r>
      <w:r w:rsidR="00AF1099" w:rsidRPr="00C80B39">
        <w:t>estimated</w:t>
      </w:r>
      <w:r w:rsidRPr="00C80B39">
        <w:t xml:space="preserve"> outcome for 202</w:t>
      </w:r>
      <w:r w:rsidR="004E6237" w:rsidRPr="00C80B39">
        <w:t>3</w:t>
      </w:r>
      <w:r w:rsidRPr="00C80B39">
        <w:t>-2</w:t>
      </w:r>
      <w:r w:rsidR="004E6237" w:rsidRPr="00C80B39">
        <w:t>4</w:t>
      </w:r>
      <w:r w:rsidRPr="00C80B39">
        <w:t xml:space="preserve"> and the revenue </w:t>
      </w:r>
      <w:r w:rsidR="00AF1099" w:rsidRPr="00C80B39">
        <w:t>estimate</w:t>
      </w:r>
      <w:r w:rsidRPr="00C80B39">
        <w:t xml:space="preserve"> for 202</w:t>
      </w:r>
      <w:r w:rsidR="004E6237" w:rsidRPr="00C80B39">
        <w:t>4</w:t>
      </w:r>
      <w:r w:rsidRPr="00C80B39">
        <w:t>-2</w:t>
      </w:r>
      <w:r w:rsidR="004E6237" w:rsidRPr="00C80B39">
        <w:t>5</w:t>
      </w:r>
      <w:r w:rsidRPr="00C80B39">
        <w:t xml:space="preserve"> is provided in </w:t>
      </w:r>
      <w:r w:rsidR="00417784">
        <w:fldChar w:fldCharType="begin"/>
      </w:r>
      <w:r w:rsidR="00417784">
        <w:instrText xml:space="preserve"> REF _Ref170907706 \h </w:instrText>
      </w:r>
      <w:r w:rsidR="00417784">
        <w:fldChar w:fldCharType="separate"/>
      </w:r>
      <w:r w:rsidR="000B62ED">
        <w:t xml:space="preserve">Figure </w:t>
      </w:r>
      <w:r w:rsidR="000B62ED">
        <w:rPr>
          <w:noProof/>
        </w:rPr>
        <w:t>16</w:t>
      </w:r>
      <w:r w:rsidR="00417784">
        <w:fldChar w:fldCharType="end"/>
      </w:r>
      <w:r w:rsidRPr="00C80B39">
        <w:t xml:space="preserve"> below.</w:t>
      </w:r>
    </w:p>
    <w:p w14:paraId="68C351EE" w14:textId="06F05BCD" w:rsidR="00C85E3C" w:rsidRDefault="00C85E3C" w:rsidP="004D6CA6">
      <w:pPr>
        <w:pStyle w:val="Caption"/>
        <w:keepNext/>
      </w:pPr>
      <w:bookmarkStart w:id="97" w:name="_Ref170907706"/>
      <w:bookmarkStart w:id="98" w:name="_Toc171949075"/>
      <w:r>
        <w:lastRenderedPageBreak/>
        <w:t xml:space="preserve">Figure </w:t>
      </w:r>
      <w:r>
        <w:fldChar w:fldCharType="begin"/>
      </w:r>
      <w:r>
        <w:instrText xml:space="preserve"> SEQ Figure \* ARABIC </w:instrText>
      </w:r>
      <w:r>
        <w:fldChar w:fldCharType="separate"/>
      </w:r>
      <w:r w:rsidR="000B62ED">
        <w:rPr>
          <w:noProof/>
        </w:rPr>
        <w:t>16</w:t>
      </w:r>
      <w:r>
        <w:rPr>
          <w:noProof/>
        </w:rPr>
        <w:fldChar w:fldCharType="end"/>
      </w:r>
      <w:bookmarkEnd w:id="97"/>
      <w:r>
        <w:t xml:space="preserve">: </w:t>
      </w:r>
      <w:r w:rsidR="00476692">
        <w:t xml:space="preserve">Revenue </w:t>
      </w:r>
      <w:r w:rsidR="00D92470">
        <w:t xml:space="preserve">Estimated </w:t>
      </w:r>
      <w:r w:rsidR="00476692">
        <w:t xml:space="preserve">Outcome </w:t>
      </w:r>
      <w:r>
        <w:t>202</w:t>
      </w:r>
      <w:r w:rsidR="00BF4961">
        <w:t>3</w:t>
      </w:r>
      <w:r>
        <w:t>-2</w:t>
      </w:r>
      <w:r w:rsidR="00BF4961">
        <w:t>4</w:t>
      </w:r>
      <w:r>
        <w:t xml:space="preserve"> and </w:t>
      </w:r>
      <w:r w:rsidR="00476692">
        <w:t>Forecast 202</w:t>
      </w:r>
      <w:r w:rsidR="00BF4961">
        <w:t>4</w:t>
      </w:r>
      <w:r w:rsidR="00476692">
        <w:t>-2</w:t>
      </w:r>
      <w:r w:rsidR="00BF4961">
        <w:t>5</w:t>
      </w:r>
      <w:bookmarkEnd w:id="98"/>
      <w:r>
        <w:t xml:space="preserve"> </w:t>
      </w:r>
    </w:p>
    <w:p w14:paraId="22DB4C07" w14:textId="0B371A62" w:rsidR="00476692" w:rsidRDefault="00703EE1" w:rsidP="00476692">
      <w:pPr>
        <w:spacing w:before="0" w:after="0"/>
      </w:pPr>
      <w:r>
        <w:rPr>
          <w:noProof/>
        </w:rPr>
        <w:drawing>
          <wp:inline distT="0" distB="0" distL="0" distR="0" wp14:anchorId="25388C6F" wp14:editId="1FB0DE31">
            <wp:extent cx="5755005" cy="3757985"/>
            <wp:effectExtent l="0" t="0" r="0" b="0"/>
            <wp:docPr id="102325244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73777" cy="3770243"/>
                    </a:xfrm>
                    <a:prstGeom prst="rect">
                      <a:avLst/>
                    </a:prstGeom>
                    <a:noFill/>
                  </pic:spPr>
                </pic:pic>
              </a:graphicData>
            </a:graphic>
          </wp:inline>
        </w:drawing>
      </w:r>
    </w:p>
    <w:p w14:paraId="46A1A1EC" w14:textId="22521CF9" w:rsidR="00C85E3C" w:rsidRPr="00C80B39" w:rsidRDefault="00C85E3C" w:rsidP="00C85E3C">
      <w:pPr>
        <w:spacing w:before="0"/>
      </w:pPr>
      <w:r w:rsidRPr="00C80B39">
        <w:t>Source: ACT Government</w:t>
      </w:r>
      <w:r w:rsidR="003E7A5F" w:rsidRPr="00C80B39">
        <w:t xml:space="preserve"> </w:t>
      </w:r>
      <w:sdt>
        <w:sdtPr>
          <w:id w:val="-1706478006"/>
          <w:citation/>
        </w:sdtPr>
        <w:sdtContent>
          <w:r w:rsidR="003E7A5F" w:rsidRPr="00C80B39">
            <w:fldChar w:fldCharType="begin"/>
          </w:r>
          <w:r w:rsidR="003E7A5F" w:rsidRPr="00C80B39">
            <w:instrText xml:space="preserve">CITATION ACT23 \p 222 \n  \t  \l 3081 </w:instrText>
          </w:r>
          <w:r w:rsidR="003E7A5F" w:rsidRPr="00C80B39">
            <w:fldChar w:fldCharType="separate"/>
          </w:r>
          <w:r w:rsidR="00874F23" w:rsidRPr="00C80B39">
            <w:rPr>
              <w:noProof/>
            </w:rPr>
            <w:t>(2023, p. 222)</w:t>
          </w:r>
          <w:r w:rsidR="003E7A5F" w:rsidRPr="00C80B39">
            <w:fldChar w:fldCharType="end"/>
          </w:r>
        </w:sdtContent>
      </w:sdt>
      <w:r w:rsidR="00476692" w:rsidRPr="00C80B39">
        <w:t>.</w:t>
      </w:r>
    </w:p>
    <w:p w14:paraId="4D991ACA" w14:textId="11E33C64" w:rsidR="00526853" w:rsidRPr="00C80B39" w:rsidRDefault="00526853" w:rsidP="00C85E3C">
      <w:pPr>
        <w:spacing w:before="0"/>
      </w:pPr>
      <w:r w:rsidRPr="00C80B39">
        <w:t xml:space="preserve">One item of revenue growth that has </w:t>
      </w:r>
      <w:r w:rsidR="00C62154" w:rsidRPr="00C80B39">
        <w:t>caught</w:t>
      </w:r>
      <w:r w:rsidRPr="00C80B39">
        <w:t xml:space="preserve"> </w:t>
      </w:r>
      <w:r w:rsidR="00C62154" w:rsidRPr="00C80B39">
        <w:t>our attention</w:t>
      </w:r>
      <w:r w:rsidRPr="00C80B39">
        <w:t xml:space="preserve"> is the category of fines </w:t>
      </w:r>
      <w:r w:rsidR="00A86BDF" w:rsidRPr="00C80B39">
        <w:t xml:space="preserve">within the category of ‘Other Revenue’. According to the Budget Papers, </w:t>
      </w:r>
      <w:r w:rsidR="003B0BCB" w:rsidRPr="00C80B39">
        <w:t xml:space="preserve">revenue from fines is expected to increase from an estimated </w:t>
      </w:r>
      <w:r w:rsidR="00C221A6" w:rsidRPr="00C80B39">
        <w:t xml:space="preserve">$52 million in 2023-24, to an estimated </w:t>
      </w:r>
      <w:r w:rsidR="002722D4" w:rsidRPr="00C80B39">
        <w:t xml:space="preserve">$108 million by 2027-28 </w:t>
      </w:r>
      <w:sdt>
        <w:sdtPr>
          <w:id w:val="-936987020"/>
          <w:citation/>
        </w:sdtPr>
        <w:sdtContent>
          <w:r w:rsidR="002722D4" w:rsidRPr="00C80B39">
            <w:fldChar w:fldCharType="begin"/>
          </w:r>
          <w:r w:rsidR="002722D4" w:rsidRPr="00C80B39">
            <w:instrText xml:space="preserve">CITATION ACT24 \p 217 \t  \l 3081 </w:instrText>
          </w:r>
          <w:r w:rsidR="002722D4" w:rsidRPr="00C80B39">
            <w:fldChar w:fldCharType="separate"/>
          </w:r>
          <w:r w:rsidR="00874F23" w:rsidRPr="00C80B39">
            <w:rPr>
              <w:noProof/>
            </w:rPr>
            <w:t>(ACT Government, 2024, p. 217)</w:t>
          </w:r>
          <w:r w:rsidR="002722D4" w:rsidRPr="00C80B39">
            <w:fldChar w:fldCharType="end"/>
          </w:r>
        </w:sdtContent>
      </w:sdt>
      <w:r w:rsidR="00C62154" w:rsidRPr="00C80B39">
        <w:t xml:space="preserve">. </w:t>
      </w:r>
      <w:r w:rsidR="007A6800" w:rsidRPr="00C80B39">
        <w:t>This is an increase in excess of 109</w:t>
      </w:r>
      <w:r w:rsidR="006E48C1">
        <w:t xml:space="preserve"> percent</w:t>
      </w:r>
      <w:r w:rsidR="007A6800" w:rsidRPr="00C80B39">
        <w:t xml:space="preserve"> across the forward estimates. </w:t>
      </w:r>
      <w:r w:rsidR="00C62154" w:rsidRPr="00C80B39">
        <w:t xml:space="preserve">Fines includes </w:t>
      </w:r>
      <w:r w:rsidR="009A6E60" w:rsidRPr="00C80B39">
        <w:t xml:space="preserve">monies collected from </w:t>
      </w:r>
      <w:r w:rsidR="007A6800" w:rsidRPr="00C80B39">
        <w:t>traffic offences arising from mobile detection cameras.</w:t>
      </w:r>
    </w:p>
    <w:p w14:paraId="25255E33" w14:textId="77777777" w:rsidR="0073739D" w:rsidRPr="00C80B39" w:rsidRDefault="0073739D" w:rsidP="0073739D">
      <w:pPr>
        <w:pStyle w:val="Heading2"/>
        <w:spacing w:after="240"/>
      </w:pPr>
      <w:bookmarkStart w:id="99" w:name="_Toc453495121"/>
      <w:bookmarkStart w:id="100" w:name="_Toc453516120"/>
      <w:bookmarkStart w:id="101" w:name="_Toc171949005"/>
      <w:r w:rsidRPr="0085008A">
        <w:t>4.2</w:t>
      </w:r>
      <w:r w:rsidRPr="0085008A">
        <w:tab/>
        <w:t>Tax reform</w:t>
      </w:r>
      <w:bookmarkEnd w:id="99"/>
      <w:bookmarkEnd w:id="100"/>
      <w:r w:rsidRPr="0085008A">
        <w:t xml:space="preserve"> and Own Source Revenue</w:t>
      </w:r>
      <w:bookmarkEnd w:id="101"/>
    </w:p>
    <w:p w14:paraId="259B91A3" w14:textId="78E119B9" w:rsidR="0073739D" w:rsidRPr="00C80B39" w:rsidRDefault="0073739D" w:rsidP="0073739D">
      <w:pPr>
        <w:spacing w:before="240"/>
      </w:pPr>
      <w:r w:rsidRPr="00C80B39">
        <w:t xml:space="preserve">In the 2012-13 Budget, the ACT Government committed itself to rebalancing its tax base through a process of gradually reducing and eventually eliminating various taxes on conveyances (sometimes referred to as stamp duty on the sale of land for residential and commercial purposes) over a 20-year period and replacing the shortfall through an increase in the general rates system. In relation to Conveyance Duty the ACT Government </w:t>
      </w:r>
      <w:sdt>
        <w:sdtPr>
          <w:id w:val="66468215"/>
          <w:citation/>
        </w:sdtPr>
        <w:sdtContent>
          <w:r w:rsidRPr="00C80B39">
            <w:fldChar w:fldCharType="begin"/>
          </w:r>
          <w:r w:rsidRPr="00C80B39">
            <w:instrText xml:space="preserve">CITATION ACT12 \p 46 \n  \t  \l 3081 </w:instrText>
          </w:r>
          <w:r w:rsidRPr="00C80B39">
            <w:fldChar w:fldCharType="separate"/>
          </w:r>
          <w:r w:rsidR="00874F23" w:rsidRPr="00C80B39">
            <w:rPr>
              <w:noProof/>
            </w:rPr>
            <w:t>(2012, p. 46)</w:t>
          </w:r>
          <w:r w:rsidRPr="00C80B39">
            <w:fldChar w:fldCharType="end"/>
          </w:r>
        </w:sdtContent>
      </w:sdt>
      <w:r w:rsidRPr="00C80B39">
        <w:t xml:space="preserve"> commented at the time:</w:t>
      </w:r>
    </w:p>
    <w:p w14:paraId="5C2EDC26" w14:textId="77777777" w:rsidR="0073739D" w:rsidRPr="00C80B39" w:rsidRDefault="0073739D" w:rsidP="0073739D">
      <w:pPr>
        <w:pStyle w:val="Style1"/>
      </w:pPr>
      <w:r w:rsidRPr="00C80B39">
        <w:t xml:space="preserve">The Government will abolish Conveyance Duty over a 20-year period. Over the next five years, tax rates will be progressively reduced to phase out Conveyance Duty in the longer term. </w:t>
      </w:r>
    </w:p>
    <w:p w14:paraId="0CC09804" w14:textId="77777777" w:rsidR="0073739D" w:rsidRPr="00C80B39" w:rsidRDefault="0073739D" w:rsidP="0073739D">
      <w:pPr>
        <w:pStyle w:val="Style1"/>
      </w:pPr>
      <w:r w:rsidRPr="00C80B39">
        <w:t>The reduction in the marginal tax rate will focus on the lower tax brackets. …</w:t>
      </w:r>
    </w:p>
    <w:p w14:paraId="53948EBE" w14:textId="77777777" w:rsidR="0073739D" w:rsidRPr="00C80B39" w:rsidRDefault="0073739D" w:rsidP="0073739D">
      <w:pPr>
        <w:pStyle w:val="Style1"/>
      </w:pPr>
      <w:r w:rsidRPr="00C80B39">
        <w:t>The tax brackets and reduced tax rates will be applicable to both residential and commercial sector transactions.</w:t>
      </w:r>
    </w:p>
    <w:p w14:paraId="0534FF32" w14:textId="1FB10026" w:rsidR="0073739D" w:rsidRPr="00C80B39" w:rsidRDefault="0073739D" w:rsidP="0073739D">
      <w:r w:rsidRPr="00C80B39">
        <w:t xml:space="preserve">In relation to general rates, the ACT Government </w:t>
      </w:r>
      <w:sdt>
        <w:sdtPr>
          <w:id w:val="1523049368"/>
          <w:citation/>
        </w:sdtPr>
        <w:sdtContent>
          <w:r w:rsidRPr="00C80B39">
            <w:fldChar w:fldCharType="begin"/>
          </w:r>
          <w:r w:rsidRPr="00C80B39">
            <w:instrText xml:space="preserve">CITATION ACT12 \p 47 \n  \t  \l 3081 </w:instrText>
          </w:r>
          <w:r w:rsidRPr="00C80B39">
            <w:fldChar w:fldCharType="separate"/>
          </w:r>
          <w:r w:rsidR="00874F23" w:rsidRPr="00C80B39">
            <w:rPr>
              <w:noProof/>
            </w:rPr>
            <w:t>(2012, p. 47)</w:t>
          </w:r>
          <w:r w:rsidRPr="00C80B39">
            <w:fldChar w:fldCharType="end"/>
          </w:r>
        </w:sdtContent>
      </w:sdt>
      <w:r w:rsidRPr="00C80B39">
        <w:t xml:space="preserve"> commented at the time:</w:t>
      </w:r>
    </w:p>
    <w:p w14:paraId="5D2ED16B" w14:textId="77777777" w:rsidR="0073739D" w:rsidRPr="00C80B39" w:rsidRDefault="0073739D" w:rsidP="0073739D">
      <w:pPr>
        <w:pStyle w:val="Style1"/>
      </w:pPr>
      <w:r w:rsidRPr="00C80B39">
        <w:t>The Government will improve the progressivity of the General Rates system with the introduction of a number of tax brackets and increasing marginal tax rates.</w:t>
      </w:r>
    </w:p>
    <w:p w14:paraId="6824CECF" w14:textId="1746E275" w:rsidR="0073739D" w:rsidRPr="00C80B39" w:rsidRDefault="0073739D" w:rsidP="0073739D">
      <w:pPr>
        <w:pStyle w:val="BodyText"/>
      </w:pPr>
      <w:r w:rsidRPr="00C80B39">
        <w:lastRenderedPageBreak/>
        <w:t xml:space="preserve">The phasing out of stamp duties and the phasing in of the new general rates system over the course of 20 years is being implemented in four stages to avoid a shock to the property market and to enable the change to be revenue neutral </w:t>
      </w:r>
      <w:sdt>
        <w:sdtPr>
          <w:id w:val="-1112820726"/>
          <w:citation/>
        </w:sdtPr>
        <w:sdtContent>
          <w:r w:rsidRPr="00C80B39">
            <w:fldChar w:fldCharType="begin"/>
          </w:r>
          <w:r w:rsidRPr="00C80B39">
            <w:instrText xml:space="preserve">CITATION Rea18 \p 4 \t  \l 3081 </w:instrText>
          </w:r>
          <w:r w:rsidRPr="00C80B39">
            <w:fldChar w:fldCharType="separate"/>
          </w:r>
          <w:r w:rsidR="00874F23" w:rsidRPr="00C80B39">
            <w:rPr>
              <w:noProof/>
            </w:rPr>
            <w:t>(Reardon &amp; Hopkins, 2018, p. 4)</w:t>
          </w:r>
          <w:r w:rsidRPr="00C80B39">
            <w:fldChar w:fldCharType="end"/>
          </w:r>
        </w:sdtContent>
      </w:sdt>
      <w:r w:rsidRPr="00C80B39">
        <w:t>. Under stage 3, which commenced in 2021-22 and will run until 2025-26, rates are expected to increase on average by 3.75</w:t>
      </w:r>
      <w:r w:rsidR="00AE32FD">
        <w:t> </w:t>
      </w:r>
      <w:r w:rsidR="006E48C1">
        <w:t>percent</w:t>
      </w:r>
      <w:r w:rsidRPr="00C80B39">
        <w:t xml:space="preserve"> per annum </w:t>
      </w:r>
      <w:sdt>
        <w:sdtPr>
          <w:id w:val="-1579825662"/>
          <w:citation/>
        </w:sdtPr>
        <w:sdtContent>
          <w:r w:rsidRPr="00C80B39">
            <w:fldChar w:fldCharType="begin"/>
          </w:r>
          <w:r w:rsidRPr="00C80B39">
            <w:instrText xml:space="preserve">CITATION ACT21 \p 141 \t  \l 3081 </w:instrText>
          </w:r>
          <w:r w:rsidRPr="00C80B39">
            <w:fldChar w:fldCharType="separate"/>
          </w:r>
          <w:r w:rsidR="00874F23" w:rsidRPr="00C80B39">
            <w:rPr>
              <w:noProof/>
            </w:rPr>
            <w:t>(ACT Government, 2021, p. 141)</w:t>
          </w:r>
          <w:r w:rsidRPr="00C80B39">
            <w:fldChar w:fldCharType="end"/>
          </w:r>
        </w:sdtContent>
      </w:sdt>
      <w:r w:rsidRPr="00C80B39">
        <w:t>.</w:t>
      </w:r>
    </w:p>
    <w:p w14:paraId="4E514401" w14:textId="6A5318D4" w:rsidR="00EB7B85" w:rsidRPr="00C80B39" w:rsidRDefault="0073739D" w:rsidP="0073739D">
      <w:pPr>
        <w:pStyle w:val="BodyText"/>
      </w:pPr>
      <w:r w:rsidRPr="00C80B39">
        <w:t xml:space="preserve">Consistent with the objectives of the tax reform, the Budget shows own-source taxation revenue from general rates increasing over future years while revenue from commercial and residential conveyances is contracting. In nominal dollars, the increase in rates exceeds the decline in stamp duties. </w:t>
      </w:r>
      <w:r w:rsidR="0064767D" w:rsidRPr="00C80B39">
        <w:t xml:space="preserve">If you compare the estimates for 2023-24 as </w:t>
      </w:r>
      <w:r w:rsidR="0080715C" w:rsidRPr="00C80B39">
        <w:t>against</w:t>
      </w:r>
      <w:r w:rsidR="0064767D" w:rsidRPr="00C80B39">
        <w:t xml:space="preserve"> 20</w:t>
      </w:r>
      <w:r w:rsidR="004C7C06" w:rsidRPr="00C80B39">
        <w:t>27-28 (the last out-year of the forward estimates</w:t>
      </w:r>
      <w:r w:rsidR="0080715C" w:rsidRPr="00C80B39">
        <w:t>)</w:t>
      </w:r>
      <w:r w:rsidR="004C7C06" w:rsidRPr="00C80B39">
        <w:t xml:space="preserve">, </w:t>
      </w:r>
      <w:r w:rsidR="00073BBF" w:rsidRPr="00C80B39">
        <w:t>while revenue from commercial and residential conveyances</w:t>
      </w:r>
      <w:r w:rsidR="0080715C" w:rsidRPr="00C80B39">
        <w:t xml:space="preserve"> will fall by </w:t>
      </w:r>
      <w:r w:rsidR="00D71258" w:rsidRPr="00C80B39">
        <w:t>around $92</w:t>
      </w:r>
      <w:r w:rsidR="00AF27A8">
        <w:t> </w:t>
      </w:r>
      <w:r w:rsidR="00D71258" w:rsidRPr="00C80B39">
        <w:t xml:space="preserve">million, revenue from </w:t>
      </w:r>
      <w:r w:rsidR="00F87D35" w:rsidRPr="00C80B39">
        <w:t xml:space="preserve">general rates will increase by $167 million </w:t>
      </w:r>
      <w:sdt>
        <w:sdtPr>
          <w:id w:val="-919711283"/>
          <w:citation/>
        </w:sdtPr>
        <w:sdtContent>
          <w:r w:rsidR="00F87D35" w:rsidRPr="00C80B39">
            <w:fldChar w:fldCharType="begin"/>
          </w:r>
          <w:r w:rsidR="00FB1C64" w:rsidRPr="00C80B39">
            <w:instrText xml:space="preserve">CITATION ACT24 \p 204 \t  \l 3081 </w:instrText>
          </w:r>
          <w:r w:rsidR="00F87D35" w:rsidRPr="00C80B39">
            <w:fldChar w:fldCharType="separate"/>
          </w:r>
          <w:r w:rsidR="00874F23" w:rsidRPr="00C80B39">
            <w:rPr>
              <w:noProof/>
            </w:rPr>
            <w:t>(ACT Government, 2024, p. 204)</w:t>
          </w:r>
          <w:r w:rsidR="00F87D35" w:rsidRPr="00C80B39">
            <w:fldChar w:fldCharType="end"/>
          </w:r>
        </w:sdtContent>
      </w:sdt>
      <w:r w:rsidR="00F87D35" w:rsidRPr="00C80B39">
        <w:t>.</w:t>
      </w:r>
    </w:p>
    <w:p w14:paraId="671ECC57" w14:textId="1622CE89" w:rsidR="0073739D" w:rsidRPr="00C80B39" w:rsidRDefault="0073739D" w:rsidP="0073739D">
      <w:pPr>
        <w:pStyle w:val="BodyText"/>
      </w:pPr>
      <w:r w:rsidRPr="00C80B39">
        <w:t xml:space="preserve">However, </w:t>
      </w:r>
      <w:r w:rsidR="00FB1C64" w:rsidRPr="00C80B39">
        <w:t>these changes in nominal amounts</w:t>
      </w:r>
      <w:r w:rsidRPr="00C80B39">
        <w:t xml:space="preserve"> ignores the growth that could have been expected in both revenue sources over the period without the change in policy. Total own-source revenue is projected to grow by </w:t>
      </w:r>
      <w:r w:rsidR="000E286F" w:rsidRPr="00C80B39">
        <w:t>6</w:t>
      </w:r>
      <w:r w:rsidR="00D80301" w:rsidRPr="00C80B39">
        <w:t>.</w:t>
      </w:r>
      <w:r w:rsidR="000E286F" w:rsidRPr="00C80B39">
        <w:t>6</w:t>
      </w:r>
      <w:r w:rsidR="006E48C1">
        <w:t xml:space="preserve"> percent</w:t>
      </w:r>
      <w:r w:rsidRPr="00C80B39">
        <w:t xml:space="preserve"> per annum over the three forward years and were this rate of increase to apply to revenue from rates they would grow to </w:t>
      </w:r>
      <w:r w:rsidR="00660AB0" w:rsidRPr="00C80B39">
        <w:t xml:space="preserve">around </w:t>
      </w:r>
      <w:r w:rsidRPr="00C80B39">
        <w:t>$</w:t>
      </w:r>
      <w:r w:rsidR="00B960C9" w:rsidRPr="00C80B39">
        <w:t>98</w:t>
      </w:r>
      <w:r w:rsidR="00660AB0" w:rsidRPr="00C80B39">
        <w:t>0</w:t>
      </w:r>
      <w:r w:rsidRPr="00C80B39">
        <w:t xml:space="preserve"> million in 202</w:t>
      </w:r>
      <w:r w:rsidR="00621C42" w:rsidRPr="00C80B39">
        <w:t>7</w:t>
      </w:r>
      <w:r w:rsidRPr="00C80B39">
        <w:t>-2</w:t>
      </w:r>
      <w:r w:rsidR="00621C42" w:rsidRPr="00C80B39">
        <w:t>8</w:t>
      </w:r>
      <w:r w:rsidRPr="00C80B39">
        <w:t xml:space="preserve">, </w:t>
      </w:r>
      <w:r w:rsidR="007E4F0E" w:rsidRPr="00C80B39">
        <w:t xml:space="preserve">which is only around $3 million less when compared to the Budget forecast. </w:t>
      </w:r>
      <w:r w:rsidRPr="00C80B39">
        <w:t xml:space="preserve">Conversely, stamp duties would have been expected to grow to </w:t>
      </w:r>
      <w:r w:rsidR="00A92369" w:rsidRPr="00C80B39">
        <w:t>a</w:t>
      </w:r>
      <w:r w:rsidR="00F361C1" w:rsidRPr="00C80B39">
        <w:t>round</w:t>
      </w:r>
      <w:r w:rsidR="00A92369" w:rsidRPr="00C80B39">
        <w:t xml:space="preserve"> </w:t>
      </w:r>
      <w:r w:rsidRPr="00C80B39">
        <w:t>$3</w:t>
      </w:r>
      <w:r w:rsidR="00F361C1" w:rsidRPr="00C80B39">
        <w:t>66</w:t>
      </w:r>
      <w:r w:rsidRPr="00C80B39">
        <w:t xml:space="preserve"> million in 202</w:t>
      </w:r>
      <w:r w:rsidR="00CD0E3E" w:rsidRPr="00C80B39">
        <w:t>7</w:t>
      </w:r>
      <w:r w:rsidRPr="00C80B39">
        <w:t>-2</w:t>
      </w:r>
      <w:r w:rsidR="00CD0E3E" w:rsidRPr="00C80B39">
        <w:t>8</w:t>
      </w:r>
      <w:r w:rsidRPr="00C80B39">
        <w:t>, so the projected outcome would represent a decline of only around $6</w:t>
      </w:r>
      <w:r w:rsidR="00324637" w:rsidRPr="00C80B39">
        <w:t xml:space="preserve">3 </w:t>
      </w:r>
      <w:r w:rsidRPr="00C80B39">
        <w:t>million once expected growth is taken into account.</w:t>
      </w:r>
    </w:p>
    <w:p w14:paraId="23920A16" w14:textId="0B02440D" w:rsidR="0073739D" w:rsidRPr="00C80B39" w:rsidRDefault="0073739D" w:rsidP="0073739D">
      <w:pPr>
        <w:pStyle w:val="BodyText"/>
      </w:pPr>
      <w:r w:rsidRPr="00C80B39">
        <w:t>As a result, when expressed as a percentage of total own-source revenue, the increase in rates is</w:t>
      </w:r>
      <w:r w:rsidR="00D27D84" w:rsidRPr="00C80B39">
        <w:t xml:space="preserve"> </w:t>
      </w:r>
      <w:r w:rsidRPr="00C80B39">
        <w:t xml:space="preserve">less than the decline in stamp duties as shown in </w:t>
      </w:r>
      <w:r w:rsidR="00417784">
        <w:fldChar w:fldCharType="begin"/>
      </w:r>
      <w:r w:rsidR="00417784">
        <w:instrText xml:space="preserve"> REF _Ref170907748 \h </w:instrText>
      </w:r>
      <w:r w:rsidR="00417784">
        <w:fldChar w:fldCharType="separate"/>
      </w:r>
      <w:r w:rsidR="000B62ED" w:rsidRPr="00C80B39">
        <w:t xml:space="preserve">Figure </w:t>
      </w:r>
      <w:r w:rsidR="000B62ED">
        <w:rPr>
          <w:noProof/>
        </w:rPr>
        <w:t>17</w:t>
      </w:r>
      <w:r w:rsidR="00417784">
        <w:fldChar w:fldCharType="end"/>
      </w:r>
      <w:r w:rsidR="00417784">
        <w:t xml:space="preserve"> </w:t>
      </w:r>
      <w:r w:rsidRPr="00C80B39">
        <w:t xml:space="preserve">below. </w:t>
      </w:r>
      <w:r w:rsidR="00BC24E7" w:rsidRPr="00C80B39">
        <w:t xml:space="preserve">The level of rates as an overall percentage of total own source revenue </w:t>
      </w:r>
      <w:r w:rsidR="003E2A00" w:rsidRPr="00C80B39">
        <w:t xml:space="preserve">remains </w:t>
      </w:r>
      <w:r w:rsidR="00312583" w:rsidRPr="00C80B39">
        <w:t>largely</w:t>
      </w:r>
      <w:r w:rsidR="003E2A00" w:rsidRPr="00C80B39">
        <w:t xml:space="preserve"> flat at just over 29</w:t>
      </w:r>
      <w:r w:rsidR="006E48C1">
        <w:t xml:space="preserve"> percent</w:t>
      </w:r>
      <w:r w:rsidR="003E2A00" w:rsidRPr="00C80B39">
        <w:t xml:space="preserve"> </w:t>
      </w:r>
      <w:r w:rsidR="00AC2654" w:rsidRPr="00C80B39">
        <w:t xml:space="preserve">in 2024-25 and </w:t>
      </w:r>
      <w:r w:rsidR="00AF1099" w:rsidRPr="00C80B39">
        <w:t xml:space="preserve">through </w:t>
      </w:r>
      <w:r w:rsidR="00AC2654" w:rsidRPr="00C80B39">
        <w:t>in</w:t>
      </w:r>
      <w:r w:rsidR="00AF1099" w:rsidRPr="00C80B39">
        <w:t>to</w:t>
      </w:r>
      <w:r w:rsidR="00AC2654" w:rsidRPr="00C80B39">
        <w:t xml:space="preserve"> the out-years. On the other hand, p</w:t>
      </w:r>
      <w:r w:rsidRPr="00C80B39">
        <w:t>ayroll tax is expected to increase by more than the shortfall in both nominal dollars and as a percentage of total own-source revenue. Other own-source revenue, in aggregate, is also forecast to decline as a percentage of own-source revenue.</w:t>
      </w:r>
    </w:p>
    <w:p w14:paraId="3499B7B9" w14:textId="4947FAC5" w:rsidR="0073739D" w:rsidRPr="00C80B39" w:rsidRDefault="0073739D" w:rsidP="0073739D">
      <w:pPr>
        <w:pStyle w:val="Caption"/>
        <w:spacing w:before="0"/>
      </w:pPr>
      <w:bookmarkStart w:id="102" w:name="_Ref170907748"/>
      <w:bookmarkStart w:id="103" w:name="_Toc171949076"/>
      <w:r w:rsidRPr="00C80B39">
        <w:t xml:space="preserve">Figure </w:t>
      </w:r>
      <w:r w:rsidRPr="00C80B39">
        <w:fldChar w:fldCharType="begin"/>
      </w:r>
      <w:r w:rsidRPr="00C80B39">
        <w:instrText xml:space="preserve"> SEQ Figure \* ARABIC </w:instrText>
      </w:r>
      <w:r w:rsidRPr="00C80B39">
        <w:fldChar w:fldCharType="separate"/>
      </w:r>
      <w:r w:rsidR="000B62ED">
        <w:rPr>
          <w:noProof/>
        </w:rPr>
        <w:t>17</w:t>
      </w:r>
      <w:r w:rsidRPr="00C80B39">
        <w:rPr>
          <w:noProof/>
        </w:rPr>
        <w:fldChar w:fldCharType="end"/>
      </w:r>
      <w:bookmarkEnd w:id="102"/>
      <w:r w:rsidRPr="00C80B39">
        <w:t>: Composition of ACT Government Own-Source Taxation Revenue</w:t>
      </w:r>
      <w:bookmarkEnd w:id="103"/>
      <w:r w:rsidRPr="00C80B39">
        <w:t xml:space="preserve"> </w:t>
      </w:r>
    </w:p>
    <w:p w14:paraId="082A03DC" w14:textId="79A1C249" w:rsidR="0073739D" w:rsidRPr="00C80B39" w:rsidRDefault="00C02CBF" w:rsidP="0073739D">
      <w:pPr>
        <w:spacing w:before="0" w:after="0"/>
      </w:pPr>
      <w:r w:rsidRPr="00C02CBF">
        <w:rPr>
          <w:noProof/>
        </w:rPr>
        <w:t xml:space="preserve"> </w:t>
      </w:r>
      <w:r>
        <w:rPr>
          <w:noProof/>
        </w:rPr>
        <w:drawing>
          <wp:inline distT="0" distB="0" distL="0" distR="0" wp14:anchorId="71320EF6" wp14:editId="15CC4AD3">
            <wp:extent cx="5731510" cy="3737610"/>
            <wp:effectExtent l="0" t="0" r="0" b="0"/>
            <wp:docPr id="703520275" name="Picture 1" descr="A graph of a number of blue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520275" name="Picture 1" descr="A graph of a number of blue squares&#10;&#10;Description automatically generated with medium confidence"/>
                    <pic:cNvPicPr/>
                  </pic:nvPicPr>
                  <pic:blipFill>
                    <a:blip r:embed="rId35"/>
                    <a:stretch>
                      <a:fillRect/>
                    </a:stretch>
                  </pic:blipFill>
                  <pic:spPr>
                    <a:xfrm>
                      <a:off x="0" y="0"/>
                      <a:ext cx="5731510" cy="3737610"/>
                    </a:xfrm>
                    <a:prstGeom prst="rect">
                      <a:avLst/>
                    </a:prstGeom>
                  </pic:spPr>
                </pic:pic>
              </a:graphicData>
            </a:graphic>
          </wp:inline>
        </w:drawing>
      </w:r>
    </w:p>
    <w:p w14:paraId="4EE2C59E" w14:textId="635EDB3E" w:rsidR="0073739D" w:rsidRPr="00C80B39" w:rsidRDefault="0073739D" w:rsidP="0073739D">
      <w:pPr>
        <w:spacing w:before="0"/>
      </w:pPr>
      <w:r w:rsidRPr="00C80B39">
        <w:t>Source: ACT Government</w:t>
      </w:r>
      <w:r w:rsidR="00B5478C" w:rsidRPr="00C80B39">
        <w:t xml:space="preserve"> </w:t>
      </w:r>
      <w:sdt>
        <w:sdtPr>
          <w:id w:val="1594281054"/>
          <w:citation/>
        </w:sdtPr>
        <w:sdtContent>
          <w:r w:rsidR="00B5478C" w:rsidRPr="00C80B39">
            <w:fldChar w:fldCharType="begin"/>
          </w:r>
          <w:r w:rsidR="00932E08" w:rsidRPr="00C80B39">
            <w:instrText xml:space="preserve">CITATION ACT24 \p 204 \n  \t  \l 3081 </w:instrText>
          </w:r>
          <w:r w:rsidR="00B5478C" w:rsidRPr="00C80B39">
            <w:fldChar w:fldCharType="separate"/>
          </w:r>
          <w:r w:rsidR="00874F23" w:rsidRPr="00C80B39">
            <w:rPr>
              <w:noProof/>
            </w:rPr>
            <w:t>(2024, p. 204)</w:t>
          </w:r>
          <w:r w:rsidR="00B5478C" w:rsidRPr="00C80B39">
            <w:fldChar w:fldCharType="end"/>
          </w:r>
        </w:sdtContent>
      </w:sdt>
      <w:r w:rsidR="00CA0FA7" w:rsidRPr="00C80B39">
        <w:t>.</w:t>
      </w:r>
    </w:p>
    <w:p w14:paraId="6CC42F2A" w14:textId="7DB75A61" w:rsidR="0073739D" w:rsidRPr="00C80B39" w:rsidRDefault="0073739D" w:rsidP="0073739D">
      <w:pPr>
        <w:pStyle w:val="BodyText"/>
      </w:pPr>
      <w:r w:rsidRPr="00C80B39">
        <w:lastRenderedPageBreak/>
        <w:t xml:space="preserve">In other words, general rates are not rising quickly enough to replace the amount of revenue lost from changes in commercial and residential conveyance thresholds and rates. The forward estimates now include </w:t>
      </w:r>
      <w:r w:rsidR="003A04C0" w:rsidRPr="00C80B39">
        <w:t xml:space="preserve">two years of </w:t>
      </w:r>
      <w:r w:rsidRPr="00C80B39">
        <w:t>stage 4 of tax reform, and yet the percentage of ACT Government own-source revenue in 202</w:t>
      </w:r>
      <w:r w:rsidR="003A04C0" w:rsidRPr="00C80B39">
        <w:t>7</w:t>
      </w:r>
      <w:r w:rsidRPr="00C80B39">
        <w:t>-2</w:t>
      </w:r>
      <w:r w:rsidR="003A04C0" w:rsidRPr="00C80B39">
        <w:t>8</w:t>
      </w:r>
      <w:r w:rsidRPr="00C80B39">
        <w:t xml:space="preserve"> collected from general rates is now forecast </w:t>
      </w:r>
      <w:r w:rsidR="00885ADC">
        <w:t xml:space="preserve">to </w:t>
      </w:r>
      <w:r w:rsidR="003A04C0" w:rsidRPr="00C80B39">
        <w:t>come in at</w:t>
      </w:r>
      <w:r w:rsidRPr="00C80B39">
        <w:t xml:space="preserve"> 29</w:t>
      </w:r>
      <w:r w:rsidR="003A04C0" w:rsidRPr="00C80B39">
        <w:t>.</w:t>
      </w:r>
      <w:r w:rsidR="00370CF0" w:rsidRPr="00C80B39">
        <w:t>4</w:t>
      </w:r>
      <w:r w:rsidR="006E48C1">
        <w:t xml:space="preserve"> percent</w:t>
      </w:r>
      <w:r w:rsidRPr="00C80B39">
        <w:t xml:space="preserve">, </w:t>
      </w:r>
      <w:r w:rsidR="00B66C58" w:rsidRPr="00C80B39">
        <w:t xml:space="preserve">which is less than the estimate for 2023-24 </w:t>
      </w:r>
      <w:r w:rsidR="002908CD" w:rsidRPr="00C80B39">
        <w:t xml:space="preserve">and </w:t>
      </w:r>
      <w:r w:rsidR="00370CF0" w:rsidRPr="00C80B39">
        <w:t xml:space="preserve">only slightly higher </w:t>
      </w:r>
      <w:r w:rsidR="00B66C58" w:rsidRPr="00C80B39">
        <w:t xml:space="preserve">than </w:t>
      </w:r>
      <w:r w:rsidR="002908CD" w:rsidRPr="00C80B39">
        <w:t>the estimate for 2024-25 during the last years of stage 3 of tax reform.</w:t>
      </w:r>
    </w:p>
    <w:p w14:paraId="7B8F60BC" w14:textId="5DCD457F" w:rsidR="00A46842" w:rsidRPr="00C80B39" w:rsidRDefault="00306268" w:rsidP="0073739D">
      <w:pPr>
        <w:pStyle w:val="BodyText"/>
      </w:pPr>
      <w:r w:rsidRPr="00C80B39">
        <w:t>On the other hand, r</w:t>
      </w:r>
      <w:r w:rsidR="0073739D" w:rsidRPr="00C80B39">
        <w:t>evenue from payroll tax is now forecast to increase from 2</w:t>
      </w:r>
      <w:r w:rsidR="00754696" w:rsidRPr="00C80B39">
        <w:t>9</w:t>
      </w:r>
      <w:r w:rsidR="0073739D" w:rsidRPr="00C80B39">
        <w:t>.</w:t>
      </w:r>
      <w:r w:rsidR="00754696" w:rsidRPr="00C80B39">
        <w:t>0</w:t>
      </w:r>
      <w:r w:rsidR="006E48C1">
        <w:t xml:space="preserve"> percent</w:t>
      </w:r>
      <w:r w:rsidR="0073739D" w:rsidRPr="00C80B39">
        <w:t xml:space="preserve"> of ACT Government own-source taxation revenue in 202</w:t>
      </w:r>
      <w:r w:rsidR="00754696" w:rsidRPr="00C80B39">
        <w:t>3</w:t>
      </w:r>
      <w:r w:rsidR="0073739D" w:rsidRPr="00C80B39">
        <w:t>-2</w:t>
      </w:r>
      <w:r w:rsidR="00754696" w:rsidRPr="00C80B39">
        <w:t>4</w:t>
      </w:r>
      <w:r w:rsidR="0073739D" w:rsidRPr="00C80B39">
        <w:t xml:space="preserve"> to 3</w:t>
      </w:r>
      <w:r w:rsidR="00B05FF5" w:rsidRPr="00C80B39">
        <w:t>3.4</w:t>
      </w:r>
      <w:r w:rsidR="006E48C1">
        <w:t xml:space="preserve"> percent</w:t>
      </w:r>
      <w:r w:rsidR="0073739D" w:rsidRPr="00C80B39">
        <w:t xml:space="preserve"> by 20</w:t>
      </w:r>
      <w:r w:rsidR="00B05FF5" w:rsidRPr="00C80B39">
        <w:t>2</w:t>
      </w:r>
      <w:r w:rsidR="00754696" w:rsidRPr="00C80B39">
        <w:t>7</w:t>
      </w:r>
      <w:r w:rsidR="0073739D" w:rsidRPr="00C80B39">
        <w:t>-2</w:t>
      </w:r>
      <w:r w:rsidR="00754696" w:rsidRPr="00C80B39">
        <w:t>8</w:t>
      </w:r>
      <w:r w:rsidR="0073739D" w:rsidRPr="00C80B39">
        <w:t xml:space="preserve"> – an overall increase of </w:t>
      </w:r>
      <w:r w:rsidR="00F26482" w:rsidRPr="00C80B39">
        <w:t>4.4</w:t>
      </w:r>
      <w:r w:rsidR="0073739D" w:rsidRPr="00C80B39">
        <w:t xml:space="preserve"> percentage points. </w:t>
      </w:r>
      <w:r w:rsidR="00D10DBD" w:rsidRPr="00C80B39">
        <w:t xml:space="preserve">This is in marked contrast </w:t>
      </w:r>
      <w:r w:rsidR="004B78D5" w:rsidRPr="00C80B39">
        <w:t xml:space="preserve">to </w:t>
      </w:r>
      <w:r w:rsidR="0073739D" w:rsidRPr="00C80B39">
        <w:t>the percentage of ACT Government own-source taxation revenue expected to be collected from general rates over the same period</w:t>
      </w:r>
      <w:r w:rsidR="004B78D5" w:rsidRPr="00C80B39">
        <w:t xml:space="preserve"> that actually declines slightly by 0.1 percentage points. </w:t>
      </w:r>
    </w:p>
    <w:p w14:paraId="2D4629CB" w14:textId="12D27A6E" w:rsidR="001F3881" w:rsidRPr="00C80B39" w:rsidRDefault="00A46842" w:rsidP="0073739D">
      <w:pPr>
        <w:pStyle w:val="BodyText"/>
      </w:pPr>
      <w:r w:rsidRPr="00C80B39">
        <w:t>If the ACT Government w</w:t>
      </w:r>
      <w:r w:rsidR="006B2D75" w:rsidRPr="00C80B39">
        <w:t>ere intending</w:t>
      </w:r>
      <w:r w:rsidRPr="00C80B39">
        <w:t xml:space="preserve"> to replac</w:t>
      </w:r>
      <w:r w:rsidR="006B2D75" w:rsidRPr="00C80B39">
        <w:t>e</w:t>
      </w:r>
      <w:r w:rsidRPr="00C80B39">
        <w:t xml:space="preserve"> the amount of revenue lost from changes in commercial and residential conveyance thresholds and rates with increases in general rates, you would </w:t>
      </w:r>
      <w:r w:rsidR="006B2D75" w:rsidRPr="00C80B39">
        <w:t xml:space="preserve">probably </w:t>
      </w:r>
      <w:r w:rsidRPr="00C80B39">
        <w:t>expect th</w:t>
      </w:r>
      <w:r w:rsidR="006B2D75" w:rsidRPr="00C80B39">
        <w:t xml:space="preserve">e overall amount of revenue collected from both sources </w:t>
      </w:r>
      <w:r w:rsidR="00306268" w:rsidRPr="00C80B39">
        <w:t>w</w:t>
      </w:r>
      <w:r w:rsidR="006B2D75" w:rsidRPr="00C80B39">
        <w:t>ould remai</w:t>
      </w:r>
      <w:r w:rsidR="00536BD3" w:rsidRPr="00C80B39">
        <w:t>n about the same</w:t>
      </w:r>
      <w:r w:rsidR="006B2D75" w:rsidRPr="00C80B39">
        <w:t xml:space="preserve"> </w:t>
      </w:r>
      <w:r w:rsidR="00306268" w:rsidRPr="00C80B39">
        <w:t xml:space="preserve">in terms of </w:t>
      </w:r>
      <w:r w:rsidR="00AA73E9" w:rsidRPr="00C80B39">
        <w:t>an overall p</w:t>
      </w:r>
      <w:r w:rsidR="006B2D75" w:rsidRPr="00C80B39">
        <w:t xml:space="preserve">ercentage of ACT Government own-source taxation revenue. However, this is not the case as the percentage of </w:t>
      </w:r>
      <w:r w:rsidR="009A1AEC" w:rsidRPr="00C80B39">
        <w:t xml:space="preserve">ACT Government own-source </w:t>
      </w:r>
      <w:r w:rsidR="006B2D75" w:rsidRPr="00C80B39">
        <w:t xml:space="preserve">revenue from </w:t>
      </w:r>
      <w:r w:rsidR="009A1AEC" w:rsidRPr="00C80B39">
        <w:t xml:space="preserve">the combined </w:t>
      </w:r>
      <w:r w:rsidR="006B2D75" w:rsidRPr="00C80B39">
        <w:t>commercial and residential conveyance thresholds and general rates</w:t>
      </w:r>
      <w:r w:rsidR="009A1AEC" w:rsidRPr="00C80B39">
        <w:t xml:space="preserve"> actually falls </w:t>
      </w:r>
      <w:r w:rsidR="006A1248" w:rsidRPr="00C80B39">
        <w:t xml:space="preserve">across the years </w:t>
      </w:r>
      <w:r w:rsidR="009A1AEC" w:rsidRPr="00C80B39">
        <w:t xml:space="preserve">from </w:t>
      </w:r>
      <w:r w:rsidR="00154BE9" w:rsidRPr="00C80B39">
        <w:t>an estimated 41.9</w:t>
      </w:r>
      <w:r w:rsidR="006E48C1">
        <w:t xml:space="preserve"> percent</w:t>
      </w:r>
      <w:r w:rsidR="00154BE9" w:rsidRPr="00C80B39">
        <w:t xml:space="preserve"> in 2023-24 to </w:t>
      </w:r>
      <w:r w:rsidR="00803FD2" w:rsidRPr="00C80B39">
        <w:t>39.0</w:t>
      </w:r>
      <w:r w:rsidR="006E48C1">
        <w:t xml:space="preserve"> percent</w:t>
      </w:r>
      <w:r w:rsidR="00803FD2" w:rsidRPr="00C80B39">
        <w:t xml:space="preserve"> in 2027-28. </w:t>
      </w:r>
      <w:r w:rsidR="001F3881" w:rsidRPr="00C80B39">
        <w:t>This leaves open two possibilities:</w:t>
      </w:r>
    </w:p>
    <w:p w14:paraId="108D312C" w14:textId="226D6F3F" w:rsidR="004B78D5" w:rsidRPr="00C80B39" w:rsidRDefault="001F3881" w:rsidP="00FE5B55">
      <w:pPr>
        <w:pStyle w:val="BodyText"/>
        <w:numPr>
          <w:ilvl w:val="0"/>
          <w:numId w:val="29"/>
        </w:numPr>
      </w:pPr>
      <w:r w:rsidRPr="00C80B39">
        <w:t xml:space="preserve">either </w:t>
      </w:r>
      <w:r w:rsidR="0073739D" w:rsidRPr="00C80B39">
        <w:t>the ACT Government is backpedalling to some degree on its tax reform by not increasing rates sufficiently to make up for the reduction in stamp duty</w:t>
      </w:r>
      <w:r w:rsidR="004B78D5" w:rsidRPr="00C80B39">
        <w:t xml:space="preserve"> </w:t>
      </w:r>
      <w:r w:rsidR="00DA4392" w:rsidRPr="00C80B39">
        <w:t>as an overall percentage of own-source taxation revenue</w:t>
      </w:r>
    </w:p>
    <w:p w14:paraId="23E8AEB5" w14:textId="7C20DA40" w:rsidR="001F3881" w:rsidRPr="00C80B39" w:rsidRDefault="001F3881" w:rsidP="00FE5B55">
      <w:pPr>
        <w:pStyle w:val="BodyText"/>
        <w:numPr>
          <w:ilvl w:val="0"/>
          <w:numId w:val="29"/>
        </w:numPr>
      </w:pPr>
      <w:r w:rsidRPr="00C80B39">
        <w:t xml:space="preserve">or it is not being transparent as to its </w:t>
      </w:r>
      <w:r w:rsidR="006A230A" w:rsidRPr="00C80B39">
        <w:t>future</w:t>
      </w:r>
      <w:r w:rsidRPr="00C80B39">
        <w:t xml:space="preserve"> intentions in relation to stage 4 of the tax reform even though two years </w:t>
      </w:r>
      <w:r w:rsidR="006C172C" w:rsidRPr="00C80B39">
        <w:t xml:space="preserve">from stage 4 </w:t>
      </w:r>
      <w:r w:rsidRPr="00C80B39">
        <w:t xml:space="preserve">are </w:t>
      </w:r>
      <w:r w:rsidR="0064523C" w:rsidRPr="00C80B39">
        <w:t xml:space="preserve">now </w:t>
      </w:r>
      <w:r w:rsidR="00E2115E" w:rsidRPr="00C80B39">
        <w:t xml:space="preserve">supposedly </w:t>
      </w:r>
      <w:r w:rsidRPr="00C80B39">
        <w:t>included in the forward estimates.</w:t>
      </w:r>
    </w:p>
    <w:p w14:paraId="185E3050" w14:textId="71C65EF4" w:rsidR="0073739D" w:rsidRPr="00C80B39" w:rsidRDefault="0073739D" w:rsidP="0073739D">
      <w:pPr>
        <w:pStyle w:val="BodyText"/>
      </w:pPr>
      <w:r w:rsidRPr="00C80B39">
        <w:t xml:space="preserve">Instead, the </w:t>
      </w:r>
      <w:r w:rsidR="00A06F82" w:rsidRPr="00C80B39">
        <w:t>shortfall</w:t>
      </w:r>
      <w:r w:rsidR="001F3881" w:rsidRPr="00C80B39">
        <w:t xml:space="preserve"> </w:t>
      </w:r>
      <w:r w:rsidRPr="00C80B39">
        <w:t xml:space="preserve">appears to be made up through an increasing reliance on payroll tax. </w:t>
      </w:r>
      <w:r w:rsidR="00D353E9" w:rsidRPr="00C80B39">
        <w:t xml:space="preserve">In last year’s budget </w:t>
      </w:r>
      <w:r w:rsidRPr="00C80B39">
        <w:t xml:space="preserve">the ACT Government </w:t>
      </w:r>
      <w:sdt>
        <w:sdtPr>
          <w:id w:val="-1846468528"/>
          <w:citation/>
        </w:sdtPr>
        <w:sdtContent>
          <w:r w:rsidRPr="00C80B39">
            <w:fldChar w:fldCharType="begin"/>
          </w:r>
          <w:r w:rsidRPr="00C80B39">
            <w:instrText xml:space="preserve">CITATION ACT23 \p 120 \n  \t  \l 3081 </w:instrText>
          </w:r>
          <w:r w:rsidRPr="00C80B39">
            <w:fldChar w:fldCharType="separate"/>
          </w:r>
          <w:r w:rsidR="00874F23" w:rsidRPr="00C80B39">
            <w:rPr>
              <w:noProof/>
            </w:rPr>
            <w:t>(2023, p. 120)</w:t>
          </w:r>
          <w:r w:rsidRPr="00C80B39">
            <w:fldChar w:fldCharType="end"/>
          </w:r>
        </w:sdtContent>
      </w:sdt>
      <w:r w:rsidRPr="00C80B39">
        <w:t xml:space="preserve"> </w:t>
      </w:r>
      <w:r w:rsidR="00D353E9" w:rsidRPr="00C80B39">
        <w:t>also</w:t>
      </w:r>
      <w:r w:rsidRPr="00C80B39">
        <w:t xml:space="preserve"> announced the introduction of a payroll tax surcharge for very large businesses from 2025-26.</w:t>
      </w:r>
    </w:p>
    <w:p w14:paraId="00386587" w14:textId="33360E3C" w:rsidR="00F9727E" w:rsidRPr="00C80B39" w:rsidRDefault="0076689C" w:rsidP="0073739D">
      <w:pPr>
        <w:pStyle w:val="BodyText"/>
      </w:pPr>
      <w:r w:rsidRPr="00C80B39">
        <w:t>It also needs</w:t>
      </w:r>
      <w:r w:rsidR="00F9727E" w:rsidRPr="00C80B39">
        <w:t xml:space="preserve"> to be</w:t>
      </w:r>
      <w:r w:rsidRPr="00C80B39">
        <w:t xml:space="preserve"> borne in mind the ACT Government</w:t>
      </w:r>
      <w:r w:rsidR="007B75E1" w:rsidRPr="00C80B39">
        <w:t xml:space="preserve"> </w:t>
      </w:r>
      <w:sdt>
        <w:sdtPr>
          <w:id w:val="241227234"/>
          <w:citation/>
        </w:sdtPr>
        <w:sdtContent>
          <w:r w:rsidR="007B75E1" w:rsidRPr="00C80B39">
            <w:fldChar w:fldCharType="begin"/>
          </w:r>
          <w:r w:rsidR="00A54A63" w:rsidRPr="00C80B39">
            <w:instrText xml:space="preserve">CITATION ACT24 \p 205 \n  \t  \l 3081 </w:instrText>
          </w:r>
          <w:r w:rsidR="007B75E1" w:rsidRPr="00C80B39">
            <w:fldChar w:fldCharType="separate"/>
          </w:r>
          <w:r w:rsidR="00A54A63" w:rsidRPr="00C80B39">
            <w:rPr>
              <w:noProof/>
            </w:rPr>
            <w:t>(2024, p. 205)</w:t>
          </w:r>
          <w:r w:rsidR="007B75E1" w:rsidRPr="00C80B39">
            <w:fldChar w:fldCharType="end"/>
          </w:r>
        </w:sdtContent>
      </w:sdt>
      <w:r w:rsidRPr="00C80B39">
        <w:t xml:space="preserve"> has also downgraded its estimates for payroll tax </w:t>
      </w:r>
      <w:r w:rsidR="00F9727E" w:rsidRPr="00C80B39">
        <w:t xml:space="preserve">due to changes in the Commonwealth Government’s employment practices which favours direct (not-taxable) employment over labour hire and contractors </w:t>
      </w:r>
      <w:r w:rsidR="00EF1E06" w:rsidRPr="00C80B39">
        <w:t>as</w:t>
      </w:r>
      <w:r w:rsidR="00F9727E" w:rsidRPr="00C80B39">
        <w:t xml:space="preserve"> the Commonwealth Government </w:t>
      </w:r>
      <w:r w:rsidR="00AF27A8">
        <w:t xml:space="preserve">is </w:t>
      </w:r>
      <w:r w:rsidR="00EF1E06" w:rsidRPr="00C80B39">
        <w:t>not liable for payroll tax</w:t>
      </w:r>
      <w:r w:rsidR="00F9727E" w:rsidRPr="00C80B39">
        <w:t>.</w:t>
      </w:r>
    </w:p>
    <w:p w14:paraId="70703AD6" w14:textId="5B390AE9" w:rsidR="0073739D" w:rsidRPr="00C80B39" w:rsidRDefault="0073739D" w:rsidP="0073739D">
      <w:pPr>
        <w:pStyle w:val="BodyText"/>
      </w:pPr>
      <w:r w:rsidRPr="00C80B39">
        <w:t xml:space="preserve">Payroll tax is levied on employers. Because payroll taxes are generally levied on all components of employee remuneration, they are designed to tax the value-added from labour </w:t>
      </w:r>
      <w:sdt>
        <w:sdtPr>
          <w:id w:val="1176689498"/>
          <w:citation/>
        </w:sdtPr>
        <w:sdtContent>
          <w:r w:rsidRPr="00C80B39">
            <w:fldChar w:fldCharType="begin"/>
          </w:r>
          <w:r w:rsidRPr="00C80B39">
            <w:instrText xml:space="preserve">CITATION Hen9a1 \p 293 \t  \l 3081 </w:instrText>
          </w:r>
          <w:r w:rsidRPr="00C80B39">
            <w:fldChar w:fldCharType="separate"/>
          </w:r>
          <w:r w:rsidR="00874F23" w:rsidRPr="00C80B39">
            <w:rPr>
              <w:noProof/>
            </w:rPr>
            <w:t>(Henry, Harmer, Piggott, Ridout, &amp; Smith, 2009a, p. 293)</w:t>
          </w:r>
          <w:r w:rsidRPr="00C80B39">
            <w:fldChar w:fldCharType="end"/>
          </w:r>
        </w:sdtContent>
      </w:sdt>
      <w:r w:rsidRPr="00C80B39">
        <w:t>. As such, payroll taxes are similar to the labour component of Australia’s personal income tax as well as the goods and services tax — they all generate revenue by reducing the real return from working.</w:t>
      </w:r>
    </w:p>
    <w:p w14:paraId="1C8E126A" w14:textId="7F53EB01" w:rsidR="0073739D" w:rsidRPr="00C80B39" w:rsidRDefault="0073739D" w:rsidP="0073739D">
      <w:pPr>
        <w:pStyle w:val="BodyText"/>
      </w:pPr>
      <w:r w:rsidRPr="00C80B39">
        <w:rPr>
          <w:rFonts w:eastAsia="UniversLT-Light"/>
        </w:rPr>
        <w:t xml:space="preserve">Business organisations often assert that payroll tax is an impost on business rather than a payment by workers </w:t>
      </w:r>
      <w:sdt>
        <w:sdtPr>
          <w:id w:val="-400670439"/>
          <w:citation/>
        </w:sdtPr>
        <w:sdtContent>
          <w:r w:rsidRPr="00C80B39">
            <w:fldChar w:fldCharType="begin"/>
          </w:r>
          <w:r w:rsidRPr="00C80B39">
            <w:instrText xml:space="preserve">CITATION Fre15 \p 14 \t  \l 3081 </w:instrText>
          </w:r>
          <w:r w:rsidRPr="00C80B39">
            <w:fldChar w:fldCharType="separate"/>
          </w:r>
          <w:r w:rsidR="00874F23" w:rsidRPr="00C80B39">
            <w:rPr>
              <w:noProof/>
            </w:rPr>
            <w:t>(Freebairn, Stewart, &amp; Liu, 2015, p. 14)</w:t>
          </w:r>
          <w:r w:rsidRPr="00C80B39">
            <w:fldChar w:fldCharType="end"/>
          </w:r>
        </w:sdtContent>
      </w:sdt>
      <w:r w:rsidRPr="00C80B39">
        <w:t>. However, the long-term incidence and distributional effects of a selective payroll tax are very different to the statutory incidence. Large businesses pay the tax to government. The adjustment of the wage cost and of employment mean that most of the tax in a long run equilibrium is passed back to employees of both large and small businesses as a lower market wage than otherwise (or lower rate of wage increase over time). That is, all employees, including those employed by small business, bear most of the payroll tax levied on large business.</w:t>
      </w:r>
    </w:p>
    <w:p w14:paraId="71E51E16" w14:textId="26C31C4F" w:rsidR="000E4089" w:rsidRPr="00C80B39" w:rsidRDefault="0073739D" w:rsidP="000E4089">
      <w:pPr>
        <w:pStyle w:val="Heading2"/>
      </w:pPr>
      <w:bookmarkStart w:id="104" w:name="_Toc171949006"/>
      <w:r w:rsidRPr="0085008A">
        <w:lastRenderedPageBreak/>
        <w:t>4</w:t>
      </w:r>
      <w:r w:rsidR="000E4089" w:rsidRPr="0085008A">
        <w:t>.3</w:t>
      </w:r>
      <w:r w:rsidR="000E4089" w:rsidRPr="0085008A">
        <w:tab/>
        <w:t xml:space="preserve">Budget </w:t>
      </w:r>
      <w:r w:rsidR="004669AE" w:rsidRPr="0085008A">
        <w:t>i</w:t>
      </w:r>
      <w:r w:rsidR="000E4089" w:rsidRPr="0085008A">
        <w:t xml:space="preserve">mpact on </w:t>
      </w:r>
      <w:r w:rsidR="004669AE" w:rsidRPr="0085008A">
        <w:t>c</w:t>
      </w:r>
      <w:r w:rsidR="000E4089" w:rsidRPr="0085008A">
        <w:t xml:space="preserve">ost of </w:t>
      </w:r>
      <w:r w:rsidR="004669AE" w:rsidRPr="0085008A">
        <w:t>l</w:t>
      </w:r>
      <w:r w:rsidR="000E4089" w:rsidRPr="0085008A">
        <w:t>iving</w:t>
      </w:r>
      <w:bookmarkEnd w:id="104"/>
    </w:p>
    <w:p w14:paraId="4E6D69B0" w14:textId="27EEFDDD" w:rsidR="00D7158F" w:rsidRPr="00C80B39" w:rsidRDefault="00D7158F" w:rsidP="000E4089">
      <w:pPr>
        <w:pStyle w:val="BodyText"/>
      </w:pPr>
      <w:r w:rsidRPr="00C80B39">
        <w:t>The ACT Government</w:t>
      </w:r>
      <w:r w:rsidR="005E038B" w:rsidRPr="00C80B39">
        <w:t xml:space="preserve"> </w:t>
      </w:r>
      <w:sdt>
        <w:sdtPr>
          <w:id w:val="103242741"/>
          <w:citation/>
        </w:sdtPr>
        <w:sdtContent>
          <w:r w:rsidR="00F4009F" w:rsidRPr="00C80B39">
            <w:fldChar w:fldCharType="begin"/>
          </w:r>
          <w:r w:rsidR="00F4009F" w:rsidRPr="00C80B39">
            <w:instrText xml:space="preserve">CITATION ACT24 \p 181-190 \n  \t  \l 3081 </w:instrText>
          </w:r>
          <w:r w:rsidR="00F4009F" w:rsidRPr="00C80B39">
            <w:fldChar w:fldCharType="separate"/>
          </w:r>
          <w:r w:rsidR="00874F23" w:rsidRPr="00C80B39">
            <w:rPr>
              <w:noProof/>
            </w:rPr>
            <w:t>(2024, pp. 181-190)</w:t>
          </w:r>
          <w:r w:rsidR="00F4009F" w:rsidRPr="00C80B39">
            <w:fldChar w:fldCharType="end"/>
          </w:r>
        </w:sdtContent>
      </w:sdt>
      <w:r w:rsidRPr="00C80B39">
        <w:t xml:space="preserve"> addresses cost of living </w:t>
      </w:r>
      <w:r w:rsidR="004A15C5" w:rsidRPr="00C80B39">
        <w:t>issues</w:t>
      </w:r>
      <w:r w:rsidR="00DA17EB" w:rsidRPr="00C80B39">
        <w:t xml:space="preserve"> </w:t>
      </w:r>
      <w:r w:rsidRPr="00C80B39">
        <w:t xml:space="preserve">in its </w:t>
      </w:r>
      <w:r w:rsidR="00DA17EB" w:rsidRPr="00C80B39">
        <w:rPr>
          <w:i/>
          <w:iCs/>
        </w:rPr>
        <w:t>Cost of Living Statement</w:t>
      </w:r>
      <w:r w:rsidR="00DA17EB" w:rsidRPr="00C80B39">
        <w:t xml:space="preserve"> contained in its </w:t>
      </w:r>
      <w:r w:rsidR="005E038B" w:rsidRPr="00C80B39">
        <w:rPr>
          <w:i/>
          <w:iCs/>
        </w:rPr>
        <w:t>Budget Outlook</w:t>
      </w:r>
      <w:r w:rsidR="005E038B" w:rsidRPr="00C80B39">
        <w:t>.</w:t>
      </w:r>
    </w:p>
    <w:p w14:paraId="406B0D0D" w14:textId="4B8AF9EB" w:rsidR="00351744" w:rsidRPr="00C80B39" w:rsidRDefault="000E4089" w:rsidP="000E4089">
      <w:pPr>
        <w:pStyle w:val="BodyText"/>
        <w:rPr>
          <w:sz w:val="23"/>
          <w:szCs w:val="23"/>
        </w:rPr>
      </w:pPr>
      <w:r w:rsidRPr="00C80B39">
        <w:t xml:space="preserve">The ACT Government </w:t>
      </w:r>
      <w:sdt>
        <w:sdtPr>
          <w:id w:val="-95489266"/>
          <w:citation/>
        </w:sdtPr>
        <w:sdtContent>
          <w:r w:rsidR="00FF4633" w:rsidRPr="00C80B39">
            <w:fldChar w:fldCharType="begin"/>
          </w:r>
          <w:r w:rsidR="00CD1B21" w:rsidRPr="00C80B39">
            <w:instrText xml:space="preserve">CITATION ACT24 \p 185 \n  \t  \l 3081 </w:instrText>
          </w:r>
          <w:r w:rsidR="00FF4633" w:rsidRPr="00C80B39">
            <w:fldChar w:fldCharType="separate"/>
          </w:r>
          <w:r w:rsidR="00874F23" w:rsidRPr="00C80B39">
            <w:rPr>
              <w:noProof/>
            </w:rPr>
            <w:t>(2024, p. 185)</w:t>
          </w:r>
          <w:r w:rsidR="00FF4633" w:rsidRPr="00C80B39">
            <w:fldChar w:fldCharType="end"/>
          </w:r>
        </w:sdtContent>
      </w:sdt>
      <w:r w:rsidRPr="00C80B39">
        <w:t xml:space="preserve"> indexes most of its </w:t>
      </w:r>
      <w:r w:rsidRPr="00C80B39">
        <w:rPr>
          <w:sz w:val="23"/>
          <w:szCs w:val="23"/>
        </w:rPr>
        <w:t xml:space="preserve">taxes and fees each year in line with </w:t>
      </w:r>
      <w:r w:rsidR="0004419A" w:rsidRPr="00C80B39">
        <w:rPr>
          <w:sz w:val="23"/>
          <w:szCs w:val="23"/>
        </w:rPr>
        <w:t>its</w:t>
      </w:r>
      <w:r w:rsidRPr="00C80B39">
        <w:rPr>
          <w:sz w:val="23"/>
          <w:szCs w:val="23"/>
        </w:rPr>
        <w:t xml:space="preserve"> </w:t>
      </w:r>
      <w:r w:rsidR="008F7618" w:rsidRPr="00C80B39">
        <w:rPr>
          <w:sz w:val="23"/>
          <w:szCs w:val="23"/>
        </w:rPr>
        <w:t xml:space="preserve">forecast </w:t>
      </w:r>
      <w:r w:rsidR="0004419A" w:rsidRPr="00C80B39">
        <w:rPr>
          <w:sz w:val="23"/>
          <w:szCs w:val="23"/>
        </w:rPr>
        <w:t xml:space="preserve">for the </w:t>
      </w:r>
      <w:r w:rsidRPr="00C80B39">
        <w:rPr>
          <w:sz w:val="23"/>
          <w:szCs w:val="23"/>
        </w:rPr>
        <w:t>wage price index (WPI)</w:t>
      </w:r>
      <w:r w:rsidR="0004419A" w:rsidRPr="00C80B39">
        <w:rPr>
          <w:sz w:val="23"/>
          <w:szCs w:val="23"/>
        </w:rPr>
        <w:t>, expected to increase by 3</w:t>
      </w:r>
      <w:r w:rsidR="0042208E" w:rsidRPr="00C80B39">
        <w:rPr>
          <w:sz w:val="23"/>
          <w:szCs w:val="23"/>
        </w:rPr>
        <w:t>½</w:t>
      </w:r>
      <w:r w:rsidR="006E48C1">
        <w:rPr>
          <w:sz w:val="23"/>
          <w:szCs w:val="23"/>
        </w:rPr>
        <w:t xml:space="preserve"> percent</w:t>
      </w:r>
      <w:r w:rsidR="0004419A" w:rsidRPr="00C80B39">
        <w:rPr>
          <w:sz w:val="23"/>
          <w:szCs w:val="23"/>
        </w:rPr>
        <w:t xml:space="preserve"> in 202</w:t>
      </w:r>
      <w:r w:rsidR="003801D8" w:rsidRPr="00C80B39">
        <w:rPr>
          <w:sz w:val="23"/>
          <w:szCs w:val="23"/>
        </w:rPr>
        <w:t>4</w:t>
      </w:r>
      <w:r w:rsidR="0004419A" w:rsidRPr="00C80B39">
        <w:rPr>
          <w:sz w:val="23"/>
          <w:szCs w:val="23"/>
        </w:rPr>
        <w:t>-2</w:t>
      </w:r>
      <w:r w:rsidR="003801D8" w:rsidRPr="00C80B39">
        <w:rPr>
          <w:sz w:val="23"/>
          <w:szCs w:val="23"/>
        </w:rPr>
        <w:t>5</w:t>
      </w:r>
      <w:r w:rsidRPr="00C80B39">
        <w:rPr>
          <w:sz w:val="23"/>
          <w:szCs w:val="23"/>
        </w:rPr>
        <w:t>. The ACT Government contends this ensures taxes and fees keep pace with the cost of providing Government services, while remaining affordable</w:t>
      </w:r>
      <w:r w:rsidR="00A43B4F" w:rsidRPr="00C80B39">
        <w:rPr>
          <w:sz w:val="23"/>
          <w:szCs w:val="23"/>
        </w:rPr>
        <w:t xml:space="preserve"> to the ACT community</w:t>
      </w:r>
      <w:r w:rsidRPr="00C80B39">
        <w:rPr>
          <w:sz w:val="23"/>
          <w:szCs w:val="23"/>
        </w:rPr>
        <w:t xml:space="preserve">. </w:t>
      </w:r>
      <w:r w:rsidR="00AD30BA" w:rsidRPr="00C80B39">
        <w:rPr>
          <w:sz w:val="23"/>
          <w:szCs w:val="23"/>
        </w:rPr>
        <w:t>T</w:t>
      </w:r>
      <w:r w:rsidR="00E24EEC" w:rsidRPr="00C80B39">
        <w:rPr>
          <w:sz w:val="23"/>
          <w:szCs w:val="23"/>
        </w:rPr>
        <w:t xml:space="preserve">he increase in general rates has previously been </w:t>
      </w:r>
      <w:r w:rsidR="00AD30BA" w:rsidRPr="00C80B39">
        <w:rPr>
          <w:sz w:val="23"/>
          <w:szCs w:val="23"/>
        </w:rPr>
        <w:t xml:space="preserve">separately </w:t>
      </w:r>
      <w:r w:rsidR="00E24EEC" w:rsidRPr="00C80B39">
        <w:rPr>
          <w:sz w:val="23"/>
          <w:szCs w:val="23"/>
        </w:rPr>
        <w:t xml:space="preserve">set to </w:t>
      </w:r>
      <w:r w:rsidR="00AD30BA" w:rsidRPr="00C80B39">
        <w:rPr>
          <w:sz w:val="23"/>
          <w:szCs w:val="23"/>
        </w:rPr>
        <w:t xml:space="preserve">increase </w:t>
      </w:r>
      <w:r w:rsidR="00E24EEC" w:rsidRPr="00C80B39">
        <w:rPr>
          <w:sz w:val="23"/>
          <w:szCs w:val="23"/>
        </w:rPr>
        <w:t>by 3.75</w:t>
      </w:r>
      <w:r w:rsidR="006E48C1">
        <w:rPr>
          <w:sz w:val="23"/>
          <w:szCs w:val="23"/>
        </w:rPr>
        <w:t xml:space="preserve"> percent</w:t>
      </w:r>
      <w:r w:rsidR="00E24EEC" w:rsidRPr="00C80B39">
        <w:rPr>
          <w:sz w:val="23"/>
          <w:szCs w:val="23"/>
        </w:rPr>
        <w:t xml:space="preserve"> per annum un</w:t>
      </w:r>
      <w:r w:rsidR="00AD30BA" w:rsidRPr="00C80B39">
        <w:rPr>
          <w:sz w:val="23"/>
          <w:szCs w:val="23"/>
        </w:rPr>
        <w:t>der stage 3 of tax reform.</w:t>
      </w:r>
    </w:p>
    <w:p w14:paraId="4DF140EA" w14:textId="24C6FBA2" w:rsidR="000E4089" w:rsidRPr="00C80B39" w:rsidRDefault="000E4089" w:rsidP="000E4089">
      <w:pPr>
        <w:pStyle w:val="BodyText"/>
        <w:rPr>
          <w:szCs w:val="22"/>
        </w:rPr>
      </w:pPr>
      <w:r w:rsidRPr="00C80B39">
        <w:rPr>
          <w:szCs w:val="22"/>
        </w:rPr>
        <w:t xml:space="preserve">As a measure of consumer inflation, the </w:t>
      </w:r>
      <w:r w:rsidR="008C5FDA" w:rsidRPr="00C80B39">
        <w:rPr>
          <w:szCs w:val="22"/>
        </w:rPr>
        <w:t xml:space="preserve">Canberra </w:t>
      </w:r>
      <w:r w:rsidRPr="00C80B39">
        <w:rPr>
          <w:szCs w:val="22"/>
        </w:rPr>
        <w:t xml:space="preserve">CPI </w:t>
      </w:r>
      <w:r w:rsidR="00E3032A" w:rsidRPr="00C80B39">
        <w:rPr>
          <w:szCs w:val="22"/>
        </w:rPr>
        <w:t>is forecast in 202</w:t>
      </w:r>
      <w:r w:rsidR="00F234D8" w:rsidRPr="00C80B39">
        <w:rPr>
          <w:szCs w:val="22"/>
        </w:rPr>
        <w:t>4</w:t>
      </w:r>
      <w:r w:rsidR="00E3032A" w:rsidRPr="00C80B39">
        <w:rPr>
          <w:szCs w:val="22"/>
        </w:rPr>
        <w:t>-2</w:t>
      </w:r>
      <w:r w:rsidR="00F234D8" w:rsidRPr="00C80B39">
        <w:rPr>
          <w:szCs w:val="22"/>
        </w:rPr>
        <w:t>5</w:t>
      </w:r>
      <w:r w:rsidRPr="00C80B39">
        <w:rPr>
          <w:szCs w:val="22"/>
        </w:rPr>
        <w:t xml:space="preserve"> </w:t>
      </w:r>
      <w:r w:rsidR="00E3032A" w:rsidRPr="00C80B39">
        <w:rPr>
          <w:szCs w:val="22"/>
        </w:rPr>
        <w:t>to be</w:t>
      </w:r>
      <w:r w:rsidR="00467493" w:rsidRPr="00C80B39">
        <w:rPr>
          <w:szCs w:val="22"/>
        </w:rPr>
        <w:t xml:space="preserve"> 3</w:t>
      </w:r>
      <w:r w:rsidR="006E48C1">
        <w:rPr>
          <w:szCs w:val="22"/>
        </w:rPr>
        <w:t xml:space="preserve"> percent</w:t>
      </w:r>
      <w:r w:rsidRPr="00C80B39">
        <w:rPr>
          <w:szCs w:val="22"/>
        </w:rPr>
        <w:t xml:space="preserve"> through the year</w:t>
      </w:r>
      <w:r w:rsidR="008C5FDA" w:rsidRPr="00C80B39">
        <w:rPr>
          <w:szCs w:val="22"/>
        </w:rPr>
        <w:t>.</w:t>
      </w:r>
      <w:r w:rsidRPr="00C80B39">
        <w:rPr>
          <w:szCs w:val="22"/>
        </w:rPr>
        <w:t xml:space="preserve"> As the </w:t>
      </w:r>
      <w:r w:rsidR="008C5FDA" w:rsidRPr="00C80B39">
        <w:rPr>
          <w:szCs w:val="22"/>
        </w:rPr>
        <w:t xml:space="preserve">Canberra </w:t>
      </w:r>
      <w:r w:rsidRPr="00C80B39">
        <w:rPr>
          <w:szCs w:val="22"/>
        </w:rPr>
        <w:t xml:space="preserve">CPI </w:t>
      </w:r>
      <w:r w:rsidR="00467493" w:rsidRPr="00C80B39">
        <w:rPr>
          <w:szCs w:val="22"/>
        </w:rPr>
        <w:t>is forecast to</w:t>
      </w:r>
      <w:r w:rsidR="00A5788A" w:rsidRPr="00C80B39">
        <w:rPr>
          <w:szCs w:val="22"/>
        </w:rPr>
        <w:t xml:space="preserve"> be</w:t>
      </w:r>
      <w:r w:rsidR="00467493" w:rsidRPr="00C80B39">
        <w:rPr>
          <w:szCs w:val="22"/>
        </w:rPr>
        <w:t xml:space="preserve"> </w:t>
      </w:r>
      <w:r w:rsidRPr="00C80B39">
        <w:rPr>
          <w:szCs w:val="22"/>
        </w:rPr>
        <w:t xml:space="preserve">running </w:t>
      </w:r>
      <w:r w:rsidR="008E5693" w:rsidRPr="00C80B39">
        <w:rPr>
          <w:szCs w:val="22"/>
        </w:rPr>
        <w:t>50 basis points</w:t>
      </w:r>
      <w:r w:rsidRPr="00C80B39">
        <w:rPr>
          <w:szCs w:val="22"/>
        </w:rPr>
        <w:t xml:space="preserve"> </w:t>
      </w:r>
      <w:r w:rsidR="008E5693" w:rsidRPr="00C80B39">
        <w:rPr>
          <w:szCs w:val="22"/>
        </w:rPr>
        <w:t xml:space="preserve">lower </w:t>
      </w:r>
      <w:r w:rsidRPr="00C80B39">
        <w:rPr>
          <w:szCs w:val="22"/>
        </w:rPr>
        <w:t xml:space="preserve">than the </w:t>
      </w:r>
      <w:r w:rsidR="008C5FDA" w:rsidRPr="00C80B39">
        <w:rPr>
          <w:szCs w:val="22"/>
        </w:rPr>
        <w:t xml:space="preserve">forecast </w:t>
      </w:r>
      <w:r w:rsidRPr="00C80B39">
        <w:rPr>
          <w:szCs w:val="22"/>
        </w:rPr>
        <w:t xml:space="preserve">increase in the WPI for the ACT, </w:t>
      </w:r>
      <w:r w:rsidR="00F424CF" w:rsidRPr="00C80B39">
        <w:rPr>
          <w:szCs w:val="22"/>
        </w:rPr>
        <w:t>t</w:t>
      </w:r>
      <w:r w:rsidRPr="00C80B39">
        <w:rPr>
          <w:szCs w:val="22"/>
        </w:rPr>
        <w:t xml:space="preserve">he ACT Government’s tax burden imposed on ACT residents is actually being </w:t>
      </w:r>
      <w:r w:rsidR="008E5693" w:rsidRPr="00C80B39">
        <w:rPr>
          <w:szCs w:val="22"/>
        </w:rPr>
        <w:t xml:space="preserve">increased </w:t>
      </w:r>
      <w:r w:rsidRPr="00C80B39">
        <w:rPr>
          <w:szCs w:val="22"/>
        </w:rPr>
        <w:t>during 202</w:t>
      </w:r>
      <w:r w:rsidR="00A201C8" w:rsidRPr="00C80B39">
        <w:rPr>
          <w:szCs w:val="22"/>
        </w:rPr>
        <w:t>4</w:t>
      </w:r>
      <w:r w:rsidRPr="00C80B39">
        <w:rPr>
          <w:szCs w:val="22"/>
        </w:rPr>
        <w:t>-2</w:t>
      </w:r>
      <w:r w:rsidR="00A201C8" w:rsidRPr="00C80B39">
        <w:rPr>
          <w:szCs w:val="22"/>
        </w:rPr>
        <w:t>5</w:t>
      </w:r>
      <w:r w:rsidRPr="00C80B39">
        <w:rPr>
          <w:szCs w:val="22"/>
        </w:rPr>
        <w:t xml:space="preserve"> in real terms (or inflation adjusted terms). Based on the ACT Government’s economic</w:t>
      </w:r>
      <w:r w:rsidR="00A201C8" w:rsidRPr="00C80B39">
        <w:rPr>
          <w:szCs w:val="22"/>
        </w:rPr>
        <w:t xml:space="preserve"> forecast and</w:t>
      </w:r>
      <w:r w:rsidRPr="00C80B39">
        <w:rPr>
          <w:szCs w:val="22"/>
        </w:rPr>
        <w:t xml:space="preserve"> </w:t>
      </w:r>
      <w:r w:rsidR="00085E72" w:rsidRPr="00C80B39">
        <w:rPr>
          <w:szCs w:val="22"/>
        </w:rPr>
        <w:t>projections in the out-years</w:t>
      </w:r>
      <w:r w:rsidRPr="00C80B39">
        <w:rPr>
          <w:szCs w:val="22"/>
        </w:rPr>
        <w:t xml:space="preserve">, this </w:t>
      </w:r>
      <w:r w:rsidR="00B83626" w:rsidRPr="00C80B39">
        <w:rPr>
          <w:szCs w:val="22"/>
        </w:rPr>
        <w:t>situation</w:t>
      </w:r>
      <w:r w:rsidRPr="00C80B39">
        <w:rPr>
          <w:szCs w:val="22"/>
        </w:rPr>
        <w:t xml:space="preserve"> </w:t>
      </w:r>
      <w:r w:rsidR="00885ADC">
        <w:rPr>
          <w:szCs w:val="22"/>
        </w:rPr>
        <w:t xml:space="preserve">is </w:t>
      </w:r>
      <w:r w:rsidRPr="00C80B39">
        <w:rPr>
          <w:szCs w:val="22"/>
        </w:rPr>
        <w:t xml:space="preserve">likely to continue </w:t>
      </w:r>
      <w:r w:rsidR="00B83626" w:rsidRPr="00C80B39">
        <w:rPr>
          <w:szCs w:val="22"/>
        </w:rPr>
        <w:t>to persist</w:t>
      </w:r>
      <w:r w:rsidRPr="00C80B39">
        <w:rPr>
          <w:szCs w:val="22"/>
        </w:rPr>
        <w:t>.</w:t>
      </w:r>
    </w:p>
    <w:p w14:paraId="22214B08" w14:textId="15FB4DAE" w:rsidR="008A2C21" w:rsidRPr="00C80B39" w:rsidRDefault="000E4089" w:rsidP="008A2C21">
      <w:pPr>
        <w:pStyle w:val="Bbodytext"/>
      </w:pPr>
      <w:r w:rsidRPr="00C80B39">
        <w:t xml:space="preserve">While on average, ACT residents in the workforce should be able to offset ACT Government tax increases indexed to the ACT WPI through wage and salary increases, ACT residents whose primary source of income </w:t>
      </w:r>
      <w:r w:rsidR="00C555A2" w:rsidRPr="00C80B39">
        <w:t>is</w:t>
      </w:r>
      <w:r w:rsidRPr="00C80B39">
        <w:t xml:space="preserve"> social security benefits indexed to the national CPI could be relatively worse-off in real terms. </w:t>
      </w:r>
      <w:r w:rsidR="0042723E" w:rsidRPr="00C80B39">
        <w:t>However, p</w:t>
      </w:r>
      <w:r w:rsidRPr="00C80B39">
        <w:t xml:space="preserve">otentially offsetting this additional impost upon such ACT residents is </w:t>
      </w:r>
      <w:r w:rsidR="00131508" w:rsidRPr="00C80B39">
        <w:t xml:space="preserve">the </w:t>
      </w:r>
      <w:r w:rsidR="00C20C56" w:rsidRPr="00C80B39">
        <w:t xml:space="preserve">additional </w:t>
      </w:r>
      <w:r w:rsidRPr="00C80B39">
        <w:t xml:space="preserve">ACT Government </w:t>
      </w:r>
      <w:sdt>
        <w:sdtPr>
          <w:id w:val="-1402435574"/>
          <w:citation/>
        </w:sdtPr>
        <w:sdtContent>
          <w:r w:rsidR="00DF1138" w:rsidRPr="00C80B39">
            <w:fldChar w:fldCharType="begin"/>
          </w:r>
          <w:r w:rsidR="00A54A63" w:rsidRPr="00C80B39">
            <w:instrText xml:space="preserve">CITATION ACT24 \p 187 \n  \t  \l 3081 </w:instrText>
          </w:r>
          <w:r w:rsidR="00DF1138" w:rsidRPr="00C80B39">
            <w:fldChar w:fldCharType="separate"/>
          </w:r>
          <w:r w:rsidR="00A54A63" w:rsidRPr="00C80B39">
            <w:rPr>
              <w:noProof/>
            </w:rPr>
            <w:t>(2024, p. 187)</w:t>
          </w:r>
          <w:r w:rsidR="00DF1138" w:rsidRPr="00C80B39">
            <w:fldChar w:fldCharType="end"/>
          </w:r>
        </w:sdtContent>
      </w:sdt>
      <w:r w:rsidR="00BD5DFC" w:rsidRPr="00C80B39">
        <w:t xml:space="preserve"> </w:t>
      </w:r>
      <w:r w:rsidR="00A54A63" w:rsidRPr="00C80B39">
        <w:t xml:space="preserve">support that </w:t>
      </w:r>
      <w:r w:rsidR="00DF1138" w:rsidRPr="00C80B39">
        <w:t>provides a wide range of concessions to households and individuals to assist with living expenses such as general rates, conveyance duty, utility bills, driver licence fees, motor vehicle registration fees and public transport fares.</w:t>
      </w:r>
      <w:r w:rsidR="008A2C21" w:rsidRPr="00C80B39">
        <w:t xml:space="preserve"> Cost of living assistance measures </w:t>
      </w:r>
      <w:r w:rsidR="00911572" w:rsidRPr="00C80B39">
        <w:t xml:space="preserve">provided by the ACT Government </w:t>
      </w:r>
      <w:sdt>
        <w:sdtPr>
          <w:id w:val="44504227"/>
          <w:citation/>
        </w:sdtPr>
        <w:sdtContent>
          <w:r w:rsidR="00911572" w:rsidRPr="00C80B39">
            <w:fldChar w:fldCharType="begin"/>
          </w:r>
          <w:r w:rsidR="00911572" w:rsidRPr="00C80B39">
            <w:instrText xml:space="preserve">CITATION ACT24 \p 181 \n  \t  \l 3081 </w:instrText>
          </w:r>
          <w:r w:rsidR="00911572" w:rsidRPr="00C80B39">
            <w:fldChar w:fldCharType="separate"/>
          </w:r>
          <w:r w:rsidR="00874F23" w:rsidRPr="00C80B39">
            <w:rPr>
              <w:noProof/>
            </w:rPr>
            <w:t>(2024, p. 181)</w:t>
          </w:r>
          <w:r w:rsidR="00911572" w:rsidRPr="00C80B39">
            <w:fldChar w:fldCharType="end"/>
          </w:r>
        </w:sdtContent>
      </w:sdt>
      <w:r w:rsidR="00911572" w:rsidRPr="00C80B39">
        <w:t xml:space="preserve"> </w:t>
      </w:r>
      <w:r w:rsidR="008A2C21" w:rsidRPr="00C80B39">
        <w:t>include:</w:t>
      </w:r>
    </w:p>
    <w:p w14:paraId="72482FA5" w14:textId="7D654A68" w:rsidR="008A2C21" w:rsidRPr="00C80B39" w:rsidRDefault="008A2C21" w:rsidP="008A2C21">
      <w:pPr>
        <w:pStyle w:val="BBullet1"/>
      </w:pPr>
      <w:r w:rsidRPr="00C80B39">
        <w:t>providing an Electricity, Gas and Water Rebate of $800 to eligible recipients in 2024-25 (approximately 43,800 households)</w:t>
      </w:r>
    </w:p>
    <w:p w14:paraId="5658C08E" w14:textId="31E473CA" w:rsidR="008A2C21" w:rsidRPr="00C80B39" w:rsidRDefault="008A2C21" w:rsidP="008A2C21">
      <w:pPr>
        <w:pStyle w:val="BBullet1"/>
      </w:pPr>
      <w:r w:rsidRPr="00C80B39">
        <w:t>providing a one-off payment of $250 to apprentices and trainees, who tend to earn just above the threshold to qualify for Commonwealth financial assistance but are still lower income earners relative to others in Canberra with a lower level of assets or savings</w:t>
      </w:r>
    </w:p>
    <w:p w14:paraId="25DFEBEB" w14:textId="243AD78A" w:rsidR="008A2C21" w:rsidRPr="00C80B39" w:rsidRDefault="008A2C21" w:rsidP="008A2C21">
      <w:pPr>
        <w:pStyle w:val="BBullet1"/>
      </w:pPr>
      <w:r w:rsidRPr="00C80B39">
        <w:t>rebates of up to 50 per cent for pensioners on their general rates (capped at $750) and a $98 rebate for the Police, Fire and Emergency Services Levy</w:t>
      </w:r>
    </w:p>
    <w:p w14:paraId="1A6A522B" w14:textId="006B83BB" w:rsidR="008A2C21" w:rsidRPr="00C80B39" w:rsidRDefault="008A2C21" w:rsidP="008A2C21">
      <w:pPr>
        <w:pStyle w:val="BBullet1"/>
      </w:pPr>
      <w:r w:rsidRPr="00C80B39">
        <w:t>full motor vehicle registration concessions for all eligible recipients (approximately 66,750 registrations)</w:t>
      </w:r>
    </w:p>
    <w:p w14:paraId="7BDEED25" w14:textId="37A9520F" w:rsidR="008A2C21" w:rsidRPr="00C80B39" w:rsidRDefault="008A2C21" w:rsidP="008A2C21">
      <w:pPr>
        <w:pStyle w:val="BBullet1"/>
      </w:pPr>
      <w:r w:rsidRPr="00C80B39">
        <w:t>extending the Rent Relief Fund to assist those experiencing rental stress or financial hardship for a further year or until funds are expended</w:t>
      </w:r>
    </w:p>
    <w:p w14:paraId="323CA71E" w14:textId="75BDDAF8" w:rsidR="008A2C21" w:rsidRPr="00C80B39" w:rsidRDefault="008A2C21" w:rsidP="008A2C21">
      <w:pPr>
        <w:pStyle w:val="BBullet1"/>
      </w:pPr>
      <w:r w:rsidRPr="00C80B39">
        <w:t>increasing access to stamp duty concessions for first home buyers</w:t>
      </w:r>
    </w:p>
    <w:p w14:paraId="5BE3FB58" w14:textId="0F865961" w:rsidR="008A2C21" w:rsidRPr="00C80B39" w:rsidRDefault="008A2C21" w:rsidP="008A2C21">
      <w:pPr>
        <w:pStyle w:val="BBullet1"/>
      </w:pPr>
      <w:r w:rsidRPr="00C80B39">
        <w:t>increasing the Future of Education Equity Fund in 2024 for families with financial hardship impacting access to and engagement in the education system for ACT students</w:t>
      </w:r>
    </w:p>
    <w:p w14:paraId="542E49D1" w14:textId="301F8654" w:rsidR="008A2C21" w:rsidRPr="00C80B39" w:rsidRDefault="008A2C21" w:rsidP="008A2C21">
      <w:pPr>
        <w:pStyle w:val="BBullet1"/>
      </w:pPr>
      <w:r w:rsidRPr="00C80B39">
        <w:t>increasing the value of vouchers available through the Utilities Hardship Fund</w:t>
      </w:r>
    </w:p>
    <w:p w14:paraId="0ED2B184" w14:textId="520C1553" w:rsidR="008A2C21" w:rsidRPr="00C80B39" w:rsidRDefault="008A2C21" w:rsidP="008A2C21">
      <w:pPr>
        <w:pStyle w:val="BBullet1"/>
      </w:pPr>
      <w:r w:rsidRPr="00C80B39">
        <w:t>providing additional funding for community organisations, including Roundabout Canberra, Scouts ACT, Fearless Women and Women’s Health Matters to ensure their ongoing delivery of essential services to vulnerable Canberrans</w:t>
      </w:r>
    </w:p>
    <w:p w14:paraId="43F0DF95" w14:textId="77777777" w:rsidR="008A2C21" w:rsidRPr="00C80B39" w:rsidRDefault="008A2C21" w:rsidP="008A2C21">
      <w:pPr>
        <w:pStyle w:val="BBullet1"/>
      </w:pPr>
      <w:r w:rsidRPr="00C80B39">
        <w:t>increasing funding support for emergency material, financial aid programs and food relief services;</w:t>
      </w:r>
    </w:p>
    <w:p w14:paraId="0ABE2DAD" w14:textId="046BCD0C" w:rsidR="008A2C21" w:rsidRPr="00C80B39" w:rsidRDefault="008A2C21" w:rsidP="008A2C21">
      <w:pPr>
        <w:pStyle w:val="BBullet1"/>
      </w:pPr>
      <w:r w:rsidRPr="00C80B39">
        <w:t>increasing assistance through the Taxi Subsidy Scheme</w:t>
      </w:r>
    </w:p>
    <w:p w14:paraId="3CEAF175" w14:textId="16623146" w:rsidR="008A2C21" w:rsidRPr="00C80B39" w:rsidRDefault="008A2C21" w:rsidP="008A2C21">
      <w:pPr>
        <w:pStyle w:val="BBullet1"/>
      </w:pPr>
      <w:r w:rsidRPr="00C80B39">
        <w:lastRenderedPageBreak/>
        <w:t>raising the Funeral Assistance Scheme asset threshold for eligible recipients from $2,000 to $8,000</w:t>
      </w:r>
      <w:r w:rsidR="00445979" w:rsidRPr="00C80B39">
        <w:t>.</w:t>
      </w:r>
    </w:p>
    <w:p w14:paraId="3F8CC566" w14:textId="7268CF58" w:rsidR="00DF1138" w:rsidRDefault="00D0554B" w:rsidP="00A54A63">
      <w:r w:rsidRPr="00C80B39">
        <w:t xml:space="preserve">The </w:t>
      </w:r>
      <w:r w:rsidR="00664CE7" w:rsidRPr="00C80B39">
        <w:t>B</w:t>
      </w:r>
      <w:r w:rsidR="009A7D04" w:rsidRPr="00C80B39">
        <w:t xml:space="preserve">udget </w:t>
      </w:r>
      <w:r w:rsidR="00664CE7" w:rsidRPr="00C80B39">
        <w:t>P</w:t>
      </w:r>
      <w:r w:rsidR="009A7D04" w:rsidRPr="00C80B39">
        <w:t xml:space="preserve">apers provide a </w:t>
      </w:r>
      <w:r w:rsidR="00EE1E18" w:rsidRPr="00C80B39">
        <w:t>number of household scenarios on the</w:t>
      </w:r>
      <w:r w:rsidR="00FD66AC" w:rsidRPr="00C80B39">
        <w:t xml:space="preserve"> e</w:t>
      </w:r>
      <w:r w:rsidR="00FD66AC" w:rsidRPr="00C80B39">
        <w:rPr>
          <w:rStyle w:val="BodyTextChar"/>
          <w:rFonts w:eastAsiaTheme="minorHAnsi"/>
        </w:rPr>
        <w:t>stimated impact of territory taxes and fees, and utility charges on households in 2024-25 as compared to 2023-24</w:t>
      </w:r>
      <w:r w:rsidR="005F0027" w:rsidRPr="00C80B39">
        <w:rPr>
          <w:rStyle w:val="BodyTextChar"/>
          <w:rFonts w:eastAsiaTheme="minorHAnsi"/>
        </w:rPr>
        <w:t xml:space="preserve"> </w:t>
      </w:r>
      <w:sdt>
        <w:sdtPr>
          <w:rPr>
            <w:rStyle w:val="BodyTextChar"/>
            <w:rFonts w:eastAsiaTheme="minorHAnsi"/>
          </w:rPr>
          <w:id w:val="22522730"/>
          <w:citation/>
        </w:sdtPr>
        <w:sdtContent>
          <w:r w:rsidR="005F0027" w:rsidRPr="00C80B39">
            <w:rPr>
              <w:rStyle w:val="BodyTextChar"/>
              <w:rFonts w:eastAsiaTheme="minorHAnsi"/>
            </w:rPr>
            <w:fldChar w:fldCharType="begin"/>
          </w:r>
          <w:r w:rsidR="00E55E05" w:rsidRPr="00C80B39">
            <w:rPr>
              <w:rStyle w:val="BodyTextChar"/>
              <w:rFonts w:eastAsiaTheme="minorHAnsi"/>
            </w:rPr>
            <w:instrText xml:space="preserve">CITATION ACT24 \p 188-190 \t  \l 3081 </w:instrText>
          </w:r>
          <w:r w:rsidR="005F0027" w:rsidRPr="00C80B39">
            <w:rPr>
              <w:rStyle w:val="BodyTextChar"/>
              <w:rFonts w:eastAsiaTheme="minorHAnsi"/>
            </w:rPr>
            <w:fldChar w:fldCharType="separate"/>
          </w:r>
          <w:r w:rsidR="00874F23" w:rsidRPr="00C80B39">
            <w:rPr>
              <w:rFonts w:ascii="Calibri" w:hAnsi="Calibri" w:cs="Times New Roman"/>
              <w:noProof/>
              <w:szCs w:val="24"/>
              <w:lang w:eastAsia="en-AU"/>
            </w:rPr>
            <w:t>(ACT Government, 2024, pp. 188-190)</w:t>
          </w:r>
          <w:r w:rsidR="005F0027" w:rsidRPr="00C80B39">
            <w:rPr>
              <w:rStyle w:val="BodyTextChar"/>
              <w:rFonts w:eastAsiaTheme="minorHAnsi"/>
            </w:rPr>
            <w:fldChar w:fldCharType="end"/>
          </w:r>
        </w:sdtContent>
      </w:sdt>
      <w:r w:rsidR="00FD66AC" w:rsidRPr="00C80B39">
        <w:rPr>
          <w:rStyle w:val="BodyTextChar"/>
          <w:rFonts w:eastAsiaTheme="minorHAnsi"/>
        </w:rPr>
        <w:t>.</w:t>
      </w:r>
      <w:r w:rsidR="00E55E05" w:rsidRPr="00C80B39">
        <w:rPr>
          <w:rStyle w:val="BodyTextChar"/>
          <w:rFonts w:eastAsiaTheme="minorHAnsi"/>
        </w:rPr>
        <w:t xml:space="preserve"> </w:t>
      </w:r>
      <w:r w:rsidR="004D28D9" w:rsidRPr="00C80B39">
        <w:rPr>
          <w:rStyle w:val="BodyTextChar"/>
          <w:rFonts w:eastAsiaTheme="minorHAnsi"/>
        </w:rPr>
        <w:t xml:space="preserve">The scenarios show that every household is better-off, after taking into </w:t>
      </w:r>
      <w:r w:rsidR="004E004A" w:rsidRPr="00C80B39">
        <w:rPr>
          <w:rStyle w:val="BodyTextChar"/>
          <w:rFonts w:eastAsiaTheme="minorHAnsi"/>
        </w:rPr>
        <w:t>account increases in disposable income</w:t>
      </w:r>
      <w:r w:rsidR="004D28D9" w:rsidRPr="00C80B39">
        <w:rPr>
          <w:rStyle w:val="BodyTextChar"/>
          <w:rFonts w:eastAsiaTheme="minorHAnsi"/>
        </w:rPr>
        <w:t xml:space="preserve">. </w:t>
      </w:r>
      <w:r w:rsidR="00A33391" w:rsidRPr="00C80B39">
        <w:rPr>
          <w:rStyle w:val="BodyTextChar"/>
          <w:rFonts w:eastAsiaTheme="minorHAnsi"/>
        </w:rPr>
        <w:t>The comparisons of</w:t>
      </w:r>
      <w:r w:rsidR="00600BB6" w:rsidRPr="00C80B39">
        <w:rPr>
          <w:rStyle w:val="BodyTextChar"/>
          <w:rFonts w:eastAsiaTheme="minorHAnsi"/>
        </w:rPr>
        <w:t xml:space="preserve"> the various</w:t>
      </w:r>
      <w:r w:rsidR="00A33391" w:rsidRPr="00C80B39">
        <w:rPr>
          <w:rStyle w:val="BodyTextChar"/>
          <w:rFonts w:eastAsiaTheme="minorHAnsi"/>
        </w:rPr>
        <w:t xml:space="preserve"> household</w:t>
      </w:r>
      <w:r w:rsidR="00600BB6" w:rsidRPr="00C80B39">
        <w:rPr>
          <w:rStyle w:val="BodyTextChar"/>
          <w:rFonts w:eastAsiaTheme="minorHAnsi"/>
        </w:rPr>
        <w:t xml:space="preserve"> scenarios</w:t>
      </w:r>
      <w:r w:rsidR="00A33391" w:rsidRPr="00C80B39">
        <w:rPr>
          <w:rStyle w:val="BodyTextChar"/>
          <w:rFonts w:eastAsiaTheme="minorHAnsi"/>
        </w:rPr>
        <w:t xml:space="preserve"> in 2023-24 and 2024-25 are conducted in nominal terms, </w:t>
      </w:r>
      <w:r w:rsidR="00CF4515" w:rsidRPr="00C80B39">
        <w:rPr>
          <w:rStyle w:val="BodyTextChar"/>
          <w:rFonts w:eastAsiaTheme="minorHAnsi"/>
        </w:rPr>
        <w:t xml:space="preserve">rather </w:t>
      </w:r>
      <w:r w:rsidR="0085008A">
        <w:rPr>
          <w:rStyle w:val="BodyTextChar"/>
          <w:rFonts w:eastAsiaTheme="minorHAnsi"/>
        </w:rPr>
        <w:t xml:space="preserve">than </w:t>
      </w:r>
      <w:r w:rsidR="00CF4515" w:rsidRPr="00C80B39">
        <w:rPr>
          <w:rStyle w:val="BodyTextChar"/>
          <w:rFonts w:eastAsiaTheme="minorHAnsi"/>
        </w:rPr>
        <w:t>real (or inflation adjusted</w:t>
      </w:r>
      <w:r w:rsidR="00AF27A8">
        <w:rPr>
          <w:rStyle w:val="BodyTextChar"/>
          <w:rFonts w:eastAsiaTheme="minorHAnsi"/>
        </w:rPr>
        <w:t>)</w:t>
      </w:r>
      <w:r w:rsidR="00CF4515" w:rsidRPr="00C80B39">
        <w:rPr>
          <w:rStyle w:val="BodyTextChar"/>
          <w:rFonts w:eastAsiaTheme="minorHAnsi"/>
        </w:rPr>
        <w:t xml:space="preserve"> terms. </w:t>
      </w:r>
      <w:r w:rsidR="00332612" w:rsidRPr="00C80B39">
        <w:rPr>
          <w:rStyle w:val="BodyTextChar"/>
          <w:rFonts w:eastAsiaTheme="minorHAnsi"/>
        </w:rPr>
        <w:t>If the analysis w</w:t>
      </w:r>
      <w:r w:rsidR="0085008A">
        <w:rPr>
          <w:rStyle w:val="BodyTextChar"/>
          <w:rFonts w:eastAsiaTheme="minorHAnsi"/>
        </w:rPr>
        <w:t>ere</w:t>
      </w:r>
      <w:r w:rsidR="00332612" w:rsidRPr="00C80B39">
        <w:rPr>
          <w:rStyle w:val="BodyTextChar"/>
          <w:rFonts w:eastAsiaTheme="minorHAnsi"/>
        </w:rPr>
        <w:t xml:space="preserve"> conducted in real terms</w:t>
      </w:r>
      <w:r w:rsidR="0085008A">
        <w:rPr>
          <w:rStyle w:val="BodyTextChar"/>
          <w:rFonts w:eastAsiaTheme="minorHAnsi"/>
        </w:rPr>
        <w:t>,</w:t>
      </w:r>
      <w:r w:rsidR="00332612" w:rsidRPr="00C80B39">
        <w:rPr>
          <w:rStyle w:val="BodyTextChar"/>
          <w:rFonts w:eastAsiaTheme="minorHAnsi"/>
        </w:rPr>
        <w:t xml:space="preserve"> the </w:t>
      </w:r>
      <w:r w:rsidR="0085008A">
        <w:rPr>
          <w:rStyle w:val="BodyTextChar"/>
          <w:rFonts w:eastAsiaTheme="minorHAnsi"/>
        </w:rPr>
        <w:t>apparent</w:t>
      </w:r>
      <w:r w:rsidR="00D95C13" w:rsidRPr="00C80B39">
        <w:rPr>
          <w:rStyle w:val="BodyTextChar"/>
          <w:rFonts w:eastAsiaTheme="minorHAnsi"/>
        </w:rPr>
        <w:t xml:space="preserve"> </w:t>
      </w:r>
      <w:r w:rsidR="00F951A1" w:rsidRPr="00C80B39">
        <w:rPr>
          <w:rStyle w:val="BodyTextChar"/>
          <w:rFonts w:eastAsiaTheme="minorHAnsi"/>
        </w:rPr>
        <w:t>increase</w:t>
      </w:r>
      <w:r w:rsidR="00D95C13" w:rsidRPr="00C80B39">
        <w:rPr>
          <w:rStyle w:val="BodyTextChar"/>
          <w:rFonts w:eastAsiaTheme="minorHAnsi"/>
        </w:rPr>
        <w:t xml:space="preserve"> in </w:t>
      </w:r>
      <w:r w:rsidR="005B5D7F" w:rsidRPr="00C80B39">
        <w:rPr>
          <w:rStyle w:val="BodyTextChar"/>
          <w:rFonts w:eastAsiaTheme="minorHAnsi"/>
        </w:rPr>
        <w:t>net disposable income would be dramatically reduced.</w:t>
      </w:r>
      <w:r w:rsidR="003405F4" w:rsidRPr="00C80B39">
        <w:rPr>
          <w:rStyle w:val="BodyTextChar"/>
          <w:rFonts w:eastAsiaTheme="minorHAnsi"/>
        </w:rPr>
        <w:t xml:space="preserve"> For example, the household scenario with a </w:t>
      </w:r>
      <w:r w:rsidR="00632083" w:rsidRPr="00C80B39">
        <w:rPr>
          <w:rStyle w:val="BodyTextChar"/>
          <w:rFonts w:eastAsiaTheme="minorHAnsi"/>
        </w:rPr>
        <w:t xml:space="preserve">single parent living in Banks </w:t>
      </w:r>
      <w:r w:rsidR="0085008A">
        <w:rPr>
          <w:rStyle w:val="BodyTextChar"/>
          <w:rFonts w:eastAsiaTheme="minorHAnsi"/>
        </w:rPr>
        <w:t>who</w:t>
      </w:r>
      <w:r w:rsidR="00632083" w:rsidRPr="00C80B39">
        <w:rPr>
          <w:rStyle w:val="BodyTextChar"/>
          <w:rFonts w:eastAsiaTheme="minorHAnsi"/>
        </w:rPr>
        <w:t xml:space="preserve"> is </w:t>
      </w:r>
      <w:r w:rsidR="0085008A">
        <w:rPr>
          <w:rStyle w:val="BodyTextChar"/>
          <w:rFonts w:eastAsiaTheme="minorHAnsi"/>
        </w:rPr>
        <w:t>reportedly</w:t>
      </w:r>
      <w:r w:rsidR="00632083" w:rsidRPr="00C80B39">
        <w:rPr>
          <w:rStyle w:val="BodyTextChar"/>
          <w:rFonts w:eastAsiaTheme="minorHAnsi"/>
        </w:rPr>
        <w:t xml:space="preserve"> $790 better-off in 2024-25 compared to 2023-24, is really on</w:t>
      </w:r>
      <w:r w:rsidR="008A722C" w:rsidRPr="00C80B39">
        <w:rPr>
          <w:rStyle w:val="BodyTextChar"/>
          <w:rFonts w:eastAsiaTheme="minorHAnsi"/>
        </w:rPr>
        <w:t>ly around $37 better-off</w:t>
      </w:r>
      <w:r w:rsidR="0086645D">
        <w:rPr>
          <w:rStyle w:val="BodyTextChar"/>
          <w:rFonts w:eastAsiaTheme="minorHAnsi"/>
        </w:rPr>
        <w:t>, in real terms</w:t>
      </w:r>
      <w:r w:rsidR="00885ADC">
        <w:rPr>
          <w:rStyle w:val="BodyTextChar"/>
          <w:rFonts w:eastAsiaTheme="minorHAnsi"/>
        </w:rPr>
        <w:t>.</w:t>
      </w:r>
      <w:r w:rsidR="00710640" w:rsidRPr="00C80B39">
        <w:rPr>
          <w:rStyle w:val="FootnoteReference"/>
          <w:rFonts w:ascii="Calibri" w:hAnsi="Calibri" w:cs="Times New Roman"/>
          <w:szCs w:val="24"/>
          <w:lang w:eastAsia="en-AU"/>
        </w:rPr>
        <w:footnoteReference w:id="4"/>
      </w:r>
    </w:p>
    <w:p w14:paraId="229D183F" w14:textId="64EBD545" w:rsidR="002D19ED" w:rsidRDefault="0073739D" w:rsidP="002D19ED">
      <w:pPr>
        <w:pStyle w:val="Heading2"/>
        <w:spacing w:after="240"/>
      </w:pPr>
      <w:bookmarkStart w:id="105" w:name="_Toc64529041"/>
      <w:bookmarkStart w:id="106" w:name="_Toc171949007"/>
      <w:r>
        <w:t>4</w:t>
      </w:r>
      <w:r w:rsidR="002D19ED" w:rsidRPr="005B5FC1">
        <w:t>.4</w:t>
      </w:r>
      <w:r w:rsidR="002D19ED" w:rsidRPr="005B5FC1">
        <w:tab/>
        <w:t xml:space="preserve">Dividends and </w:t>
      </w:r>
      <w:r w:rsidR="002B2451">
        <w:t>i</w:t>
      </w:r>
      <w:r w:rsidR="002D19ED" w:rsidRPr="005B5FC1">
        <w:t xml:space="preserve">ncome </w:t>
      </w:r>
      <w:r w:rsidR="002B2451">
        <w:t>t</w:t>
      </w:r>
      <w:r w:rsidR="002D19ED" w:rsidRPr="005B5FC1">
        <w:t xml:space="preserve">ax </w:t>
      </w:r>
      <w:r w:rsidR="002B2451">
        <w:t>e</w:t>
      </w:r>
      <w:r w:rsidR="002D19ED" w:rsidRPr="005B5FC1">
        <w:t>quivalents</w:t>
      </w:r>
      <w:bookmarkEnd w:id="105"/>
      <w:bookmarkEnd w:id="106"/>
    </w:p>
    <w:p w14:paraId="51F66325" w14:textId="64E1E351" w:rsidR="00C7198D" w:rsidRDefault="00C7198D" w:rsidP="00AB5CA5">
      <w:pPr>
        <w:pStyle w:val="BodyText"/>
        <w:spacing w:before="0"/>
      </w:pPr>
      <w:r>
        <w:t xml:space="preserve">Total dividend revenue in 2024-25 is expected to be $110.4 million, an increase of $13.8 million from the 2023-24 Budget Estimated Outcome. </w:t>
      </w:r>
      <w:r w:rsidR="00AB5CA5">
        <w:t xml:space="preserve"> </w:t>
      </w:r>
      <w:r>
        <w:t xml:space="preserve">Dividends are expected to increase in 2025-26 to $236.7 million, increasing across the out years to $262.9 million in 2027-28. The increases in dividends across the years are largely due to dividends from the Suburban Land Agency and ICON Water. Further details of these transactions are provided in </w:t>
      </w:r>
      <w:r w:rsidR="00417784">
        <w:fldChar w:fldCharType="begin"/>
      </w:r>
      <w:r w:rsidR="00417784">
        <w:instrText xml:space="preserve"> REF _Ref170907796 \h </w:instrText>
      </w:r>
      <w:r w:rsidR="00417784">
        <w:fldChar w:fldCharType="separate"/>
      </w:r>
      <w:r w:rsidR="000B62ED">
        <w:t xml:space="preserve">Table </w:t>
      </w:r>
      <w:r w:rsidR="000B62ED">
        <w:rPr>
          <w:noProof/>
        </w:rPr>
        <w:t>5</w:t>
      </w:r>
      <w:r w:rsidR="00417784">
        <w:fldChar w:fldCharType="end"/>
      </w:r>
      <w:r>
        <w:t xml:space="preserve"> below. </w:t>
      </w:r>
      <w:bookmarkStart w:id="107" w:name="_Ref453489574"/>
      <w:bookmarkStart w:id="108" w:name="_Toc453495090"/>
      <w:bookmarkStart w:id="109" w:name="_Toc453516089"/>
      <w:bookmarkStart w:id="110" w:name="_Toc11145370"/>
      <w:bookmarkStart w:id="111" w:name="_Toc64529085"/>
    </w:p>
    <w:p w14:paraId="744660FF" w14:textId="050FED04" w:rsidR="00C7198D" w:rsidRDefault="00C7198D" w:rsidP="00AF7E46">
      <w:pPr>
        <w:pStyle w:val="Caption"/>
      </w:pPr>
      <w:bookmarkStart w:id="112" w:name="_Ref170907796"/>
      <w:bookmarkStart w:id="113" w:name="_Toc171949053"/>
      <w:r>
        <w:t xml:space="preserve">Table </w:t>
      </w:r>
      <w:r>
        <w:fldChar w:fldCharType="begin"/>
      </w:r>
      <w:r>
        <w:rPr>
          <w:noProof/>
        </w:rPr>
        <w:instrText xml:space="preserve"> SEQ Table \* ARABIC </w:instrText>
      </w:r>
      <w:r>
        <w:fldChar w:fldCharType="separate"/>
      </w:r>
      <w:r w:rsidR="000B62ED">
        <w:rPr>
          <w:noProof/>
        </w:rPr>
        <w:t>5</w:t>
      </w:r>
      <w:r>
        <w:fldChar w:fldCharType="end"/>
      </w:r>
      <w:bookmarkEnd w:id="107"/>
      <w:bookmarkEnd w:id="112"/>
      <w:r>
        <w:t>: Dividends</w:t>
      </w:r>
      <w:bookmarkEnd w:id="108"/>
      <w:bookmarkEnd w:id="109"/>
      <w:r>
        <w:t xml:space="preserve"> </w:t>
      </w:r>
      <w:bookmarkEnd w:id="110"/>
      <w:bookmarkEnd w:id="111"/>
      <w:r>
        <w:t>and Tax Equivalents</w:t>
      </w:r>
      <w:bookmarkEnd w:id="113"/>
    </w:p>
    <w:tbl>
      <w:tblPr>
        <w:tblpPr w:leftFromText="180" w:rightFromText="180" w:bottomFromText="160" w:vertAnchor="text" w:tblpY="1"/>
        <w:tblOverlap w:val="never"/>
        <w:tblW w:w="8475" w:type="dxa"/>
        <w:tblLayout w:type="fixed"/>
        <w:tblLook w:val="04A0" w:firstRow="1" w:lastRow="0" w:firstColumn="1" w:lastColumn="0" w:noHBand="0" w:noVBand="1"/>
      </w:tblPr>
      <w:tblGrid>
        <w:gridCol w:w="2421"/>
        <w:gridCol w:w="1210"/>
        <w:gridCol w:w="1211"/>
        <w:gridCol w:w="1211"/>
        <w:gridCol w:w="1211"/>
        <w:gridCol w:w="1211"/>
      </w:tblGrid>
      <w:tr w:rsidR="00C7198D" w14:paraId="0771C861" w14:textId="77777777" w:rsidTr="002A0BB3">
        <w:trPr>
          <w:trHeight w:val="260"/>
        </w:trPr>
        <w:tc>
          <w:tcPr>
            <w:tcW w:w="2421" w:type="dxa"/>
            <w:tcBorders>
              <w:top w:val="single" w:sz="4" w:space="0" w:color="auto"/>
              <w:left w:val="nil"/>
              <w:bottom w:val="nil"/>
              <w:right w:val="nil"/>
            </w:tcBorders>
            <w:noWrap/>
            <w:hideMark/>
          </w:tcPr>
          <w:p w14:paraId="4B041FAE" w14:textId="77777777" w:rsidR="00C7198D" w:rsidRDefault="00C7198D" w:rsidP="002A0BB3">
            <w:pPr>
              <w:pStyle w:val="EmptyCell"/>
              <w:spacing w:before="0" w:line="252" w:lineRule="auto"/>
            </w:pPr>
            <w:r>
              <w:t>Empty Cell</w:t>
            </w:r>
          </w:p>
        </w:tc>
        <w:tc>
          <w:tcPr>
            <w:tcW w:w="1210" w:type="dxa"/>
            <w:tcBorders>
              <w:top w:val="single" w:sz="4" w:space="0" w:color="auto"/>
              <w:left w:val="nil"/>
              <w:bottom w:val="nil"/>
              <w:right w:val="nil"/>
            </w:tcBorders>
            <w:noWrap/>
            <w:hideMark/>
          </w:tcPr>
          <w:p w14:paraId="78403897" w14:textId="77777777" w:rsidR="00C7198D" w:rsidRDefault="00C7198D" w:rsidP="002A0BB3">
            <w:pPr>
              <w:pStyle w:val="BStableheading"/>
              <w:framePr w:wrap="auto" w:vAnchor="margin" w:yAlign="inline"/>
              <w:spacing w:before="0" w:line="252" w:lineRule="auto"/>
              <w:rPr>
                <w:lang w:eastAsia="en-AU"/>
              </w:rPr>
            </w:pPr>
            <w:r>
              <w:rPr>
                <w:lang w:eastAsia="en-AU"/>
              </w:rPr>
              <w:t>2023-24</w:t>
            </w:r>
          </w:p>
        </w:tc>
        <w:tc>
          <w:tcPr>
            <w:tcW w:w="1211" w:type="dxa"/>
            <w:tcBorders>
              <w:top w:val="single" w:sz="4" w:space="0" w:color="auto"/>
              <w:left w:val="nil"/>
              <w:bottom w:val="nil"/>
              <w:right w:val="nil"/>
            </w:tcBorders>
            <w:noWrap/>
            <w:hideMark/>
          </w:tcPr>
          <w:p w14:paraId="52C7E5A7" w14:textId="77777777" w:rsidR="00C7198D" w:rsidRDefault="00C7198D" w:rsidP="002A0BB3">
            <w:pPr>
              <w:pStyle w:val="BStableheading"/>
              <w:framePr w:wrap="auto" w:vAnchor="margin" w:yAlign="inline"/>
              <w:spacing w:before="0" w:line="252" w:lineRule="auto"/>
              <w:rPr>
                <w:lang w:eastAsia="en-AU"/>
              </w:rPr>
            </w:pPr>
            <w:r>
              <w:rPr>
                <w:lang w:eastAsia="en-AU"/>
              </w:rPr>
              <w:t>2024-25</w:t>
            </w:r>
          </w:p>
        </w:tc>
        <w:tc>
          <w:tcPr>
            <w:tcW w:w="1211" w:type="dxa"/>
            <w:tcBorders>
              <w:top w:val="single" w:sz="4" w:space="0" w:color="auto"/>
              <w:left w:val="nil"/>
              <w:bottom w:val="nil"/>
              <w:right w:val="nil"/>
            </w:tcBorders>
            <w:noWrap/>
            <w:hideMark/>
          </w:tcPr>
          <w:p w14:paraId="59C2079D" w14:textId="77777777" w:rsidR="00C7198D" w:rsidRDefault="00C7198D" w:rsidP="002A0BB3">
            <w:pPr>
              <w:pStyle w:val="BStableheading"/>
              <w:framePr w:wrap="auto" w:vAnchor="margin" w:yAlign="inline"/>
              <w:spacing w:before="0" w:line="252" w:lineRule="auto"/>
              <w:rPr>
                <w:lang w:eastAsia="en-AU"/>
              </w:rPr>
            </w:pPr>
            <w:r>
              <w:rPr>
                <w:lang w:eastAsia="en-AU"/>
              </w:rPr>
              <w:t>2025-26</w:t>
            </w:r>
          </w:p>
        </w:tc>
        <w:tc>
          <w:tcPr>
            <w:tcW w:w="1211" w:type="dxa"/>
            <w:tcBorders>
              <w:top w:val="single" w:sz="4" w:space="0" w:color="auto"/>
              <w:left w:val="nil"/>
              <w:bottom w:val="nil"/>
              <w:right w:val="nil"/>
            </w:tcBorders>
            <w:noWrap/>
          </w:tcPr>
          <w:p w14:paraId="03AB0AF9" w14:textId="77777777" w:rsidR="00C7198D" w:rsidRDefault="00C7198D" w:rsidP="002A0BB3">
            <w:pPr>
              <w:pStyle w:val="BStableheading"/>
              <w:framePr w:wrap="auto" w:vAnchor="margin" w:yAlign="inline"/>
              <w:tabs>
                <w:tab w:val="center" w:pos="497"/>
                <w:tab w:val="right" w:pos="995"/>
              </w:tabs>
              <w:spacing w:before="0" w:line="252" w:lineRule="auto"/>
              <w:jc w:val="left"/>
              <w:rPr>
                <w:lang w:eastAsia="en-AU"/>
              </w:rPr>
            </w:pPr>
            <w:r>
              <w:rPr>
                <w:lang w:eastAsia="en-AU"/>
              </w:rPr>
              <w:tab/>
              <w:t>2026-27</w:t>
            </w:r>
          </w:p>
        </w:tc>
        <w:tc>
          <w:tcPr>
            <w:tcW w:w="1211" w:type="dxa"/>
            <w:tcBorders>
              <w:top w:val="single" w:sz="4" w:space="0" w:color="auto"/>
              <w:left w:val="nil"/>
              <w:bottom w:val="nil"/>
              <w:right w:val="nil"/>
            </w:tcBorders>
            <w:noWrap/>
            <w:hideMark/>
          </w:tcPr>
          <w:p w14:paraId="53D0AC60" w14:textId="77777777" w:rsidR="00C7198D" w:rsidRDefault="00C7198D" w:rsidP="002A0BB3">
            <w:pPr>
              <w:pStyle w:val="BStableheading"/>
              <w:framePr w:wrap="auto" w:vAnchor="margin" w:yAlign="inline"/>
              <w:spacing w:before="0" w:line="252" w:lineRule="auto"/>
              <w:rPr>
                <w:lang w:eastAsia="en-AU"/>
              </w:rPr>
            </w:pPr>
            <w:r>
              <w:rPr>
                <w:lang w:eastAsia="en-AU"/>
              </w:rPr>
              <w:t>2027-28</w:t>
            </w:r>
          </w:p>
        </w:tc>
      </w:tr>
      <w:tr w:rsidR="00C7198D" w14:paraId="0093DA39" w14:textId="77777777" w:rsidTr="002A0BB3">
        <w:trPr>
          <w:trHeight w:val="260"/>
        </w:trPr>
        <w:tc>
          <w:tcPr>
            <w:tcW w:w="2421" w:type="dxa"/>
            <w:noWrap/>
            <w:hideMark/>
          </w:tcPr>
          <w:p w14:paraId="3320DB20" w14:textId="77777777" w:rsidR="00C7198D" w:rsidRDefault="00C7198D" w:rsidP="002A0BB3">
            <w:pPr>
              <w:pStyle w:val="EmptyCell"/>
              <w:spacing w:before="0" w:line="252" w:lineRule="auto"/>
            </w:pPr>
            <w:r>
              <w:t>Empty Cell</w:t>
            </w:r>
          </w:p>
        </w:tc>
        <w:tc>
          <w:tcPr>
            <w:tcW w:w="1210" w:type="dxa"/>
            <w:hideMark/>
          </w:tcPr>
          <w:p w14:paraId="0E8322B6" w14:textId="77777777" w:rsidR="00C7198D" w:rsidRDefault="00C7198D" w:rsidP="002A0BB3">
            <w:pPr>
              <w:pStyle w:val="BStableheading"/>
              <w:framePr w:wrap="auto" w:vAnchor="margin" w:yAlign="inline"/>
              <w:spacing w:before="0" w:line="252" w:lineRule="auto"/>
              <w:rPr>
                <w:lang w:eastAsia="en-AU"/>
              </w:rPr>
            </w:pPr>
            <w:r>
              <w:rPr>
                <w:lang w:eastAsia="en-AU"/>
              </w:rPr>
              <w:t>Est.  Outcome</w:t>
            </w:r>
          </w:p>
        </w:tc>
        <w:tc>
          <w:tcPr>
            <w:tcW w:w="1211" w:type="dxa"/>
            <w:noWrap/>
            <w:hideMark/>
          </w:tcPr>
          <w:p w14:paraId="57D7498D" w14:textId="77777777" w:rsidR="00C7198D" w:rsidRDefault="00C7198D" w:rsidP="002A0BB3">
            <w:pPr>
              <w:pStyle w:val="BStableheading"/>
              <w:framePr w:wrap="auto" w:vAnchor="margin" w:yAlign="inline"/>
              <w:spacing w:before="0" w:line="252" w:lineRule="auto"/>
              <w:rPr>
                <w:lang w:eastAsia="en-AU"/>
              </w:rPr>
            </w:pPr>
            <w:r>
              <w:rPr>
                <w:lang w:eastAsia="en-AU"/>
              </w:rPr>
              <w:t>Budget</w:t>
            </w:r>
          </w:p>
        </w:tc>
        <w:tc>
          <w:tcPr>
            <w:tcW w:w="1211" w:type="dxa"/>
            <w:noWrap/>
            <w:hideMark/>
          </w:tcPr>
          <w:p w14:paraId="792D9138" w14:textId="77777777" w:rsidR="00C7198D" w:rsidRDefault="00C7198D" w:rsidP="002A0BB3">
            <w:pPr>
              <w:pStyle w:val="BStableheading"/>
              <w:framePr w:wrap="auto" w:vAnchor="margin" w:yAlign="inline"/>
              <w:spacing w:before="0" w:line="252" w:lineRule="auto"/>
              <w:rPr>
                <w:lang w:eastAsia="en-AU"/>
              </w:rPr>
            </w:pPr>
            <w:r>
              <w:rPr>
                <w:lang w:eastAsia="en-AU"/>
              </w:rPr>
              <w:t xml:space="preserve">Estimate      </w:t>
            </w:r>
          </w:p>
        </w:tc>
        <w:tc>
          <w:tcPr>
            <w:tcW w:w="1211" w:type="dxa"/>
            <w:noWrap/>
          </w:tcPr>
          <w:p w14:paraId="6428F9DE" w14:textId="77777777" w:rsidR="00C7198D" w:rsidRDefault="00C7198D" w:rsidP="002A0BB3">
            <w:pPr>
              <w:pStyle w:val="BStableheading"/>
              <w:framePr w:wrap="auto" w:vAnchor="margin" w:yAlign="inline"/>
              <w:spacing w:before="0" w:line="252" w:lineRule="auto"/>
              <w:rPr>
                <w:lang w:eastAsia="en-AU"/>
              </w:rPr>
            </w:pPr>
            <w:r>
              <w:rPr>
                <w:lang w:eastAsia="en-AU"/>
              </w:rPr>
              <w:t>Estimate</w:t>
            </w:r>
          </w:p>
        </w:tc>
        <w:tc>
          <w:tcPr>
            <w:tcW w:w="1211" w:type="dxa"/>
            <w:noWrap/>
            <w:hideMark/>
          </w:tcPr>
          <w:p w14:paraId="1306A27A" w14:textId="77777777" w:rsidR="00C7198D" w:rsidRDefault="00C7198D" w:rsidP="002A0BB3">
            <w:pPr>
              <w:pStyle w:val="BStableheading"/>
              <w:framePr w:wrap="auto" w:vAnchor="margin" w:yAlign="inline"/>
              <w:spacing w:before="0" w:line="252" w:lineRule="auto"/>
              <w:rPr>
                <w:lang w:eastAsia="en-AU"/>
              </w:rPr>
            </w:pPr>
            <w:r>
              <w:rPr>
                <w:lang w:eastAsia="en-AU"/>
              </w:rPr>
              <w:t>Estimate</w:t>
            </w:r>
          </w:p>
        </w:tc>
      </w:tr>
      <w:tr w:rsidR="00C7198D" w14:paraId="59C83D0F" w14:textId="77777777" w:rsidTr="002A0BB3">
        <w:trPr>
          <w:trHeight w:val="260"/>
        </w:trPr>
        <w:tc>
          <w:tcPr>
            <w:tcW w:w="2421" w:type="dxa"/>
            <w:tcBorders>
              <w:top w:val="nil"/>
              <w:left w:val="nil"/>
              <w:bottom w:val="single" w:sz="4" w:space="0" w:color="auto"/>
              <w:right w:val="nil"/>
            </w:tcBorders>
            <w:noWrap/>
            <w:hideMark/>
          </w:tcPr>
          <w:p w14:paraId="43275D27" w14:textId="77777777" w:rsidR="00C7198D" w:rsidRDefault="00C7198D" w:rsidP="002A0BB3">
            <w:pPr>
              <w:pStyle w:val="EmptyCell"/>
              <w:spacing w:before="0" w:line="252" w:lineRule="auto"/>
            </w:pPr>
            <w:r>
              <w:t>Empty Cell</w:t>
            </w:r>
          </w:p>
        </w:tc>
        <w:tc>
          <w:tcPr>
            <w:tcW w:w="1210" w:type="dxa"/>
            <w:tcBorders>
              <w:top w:val="nil"/>
              <w:left w:val="nil"/>
              <w:bottom w:val="single" w:sz="4" w:space="0" w:color="auto"/>
              <w:right w:val="nil"/>
            </w:tcBorders>
            <w:noWrap/>
            <w:hideMark/>
          </w:tcPr>
          <w:p w14:paraId="582D6D98" w14:textId="77777777" w:rsidR="00C7198D" w:rsidRDefault="00C7198D" w:rsidP="002A0BB3">
            <w:pPr>
              <w:pStyle w:val="BStableheading"/>
              <w:framePr w:wrap="auto" w:vAnchor="margin" w:yAlign="inline"/>
              <w:spacing w:before="0" w:line="252" w:lineRule="auto"/>
              <w:rPr>
                <w:lang w:eastAsia="en-AU"/>
              </w:rPr>
            </w:pPr>
            <w:r>
              <w:rPr>
                <w:lang w:eastAsia="en-AU"/>
              </w:rPr>
              <w:t>$'000</w:t>
            </w:r>
          </w:p>
        </w:tc>
        <w:tc>
          <w:tcPr>
            <w:tcW w:w="1211" w:type="dxa"/>
            <w:tcBorders>
              <w:top w:val="nil"/>
              <w:left w:val="nil"/>
              <w:bottom w:val="single" w:sz="4" w:space="0" w:color="auto"/>
              <w:right w:val="nil"/>
            </w:tcBorders>
            <w:noWrap/>
            <w:hideMark/>
          </w:tcPr>
          <w:p w14:paraId="61D25003" w14:textId="77777777" w:rsidR="00C7198D" w:rsidRDefault="00C7198D" w:rsidP="002A0BB3">
            <w:pPr>
              <w:pStyle w:val="BStableheading"/>
              <w:framePr w:wrap="auto" w:vAnchor="margin" w:yAlign="inline"/>
              <w:spacing w:before="0" w:line="252" w:lineRule="auto"/>
              <w:rPr>
                <w:lang w:eastAsia="en-AU"/>
              </w:rPr>
            </w:pPr>
            <w:r>
              <w:rPr>
                <w:lang w:eastAsia="en-AU"/>
              </w:rPr>
              <w:t>$'000</w:t>
            </w:r>
          </w:p>
        </w:tc>
        <w:tc>
          <w:tcPr>
            <w:tcW w:w="1211" w:type="dxa"/>
            <w:tcBorders>
              <w:top w:val="nil"/>
              <w:left w:val="nil"/>
              <w:bottom w:val="single" w:sz="4" w:space="0" w:color="auto"/>
              <w:right w:val="nil"/>
            </w:tcBorders>
            <w:noWrap/>
            <w:hideMark/>
          </w:tcPr>
          <w:p w14:paraId="5C545D3A" w14:textId="77777777" w:rsidR="00C7198D" w:rsidRDefault="00C7198D" w:rsidP="002A0BB3">
            <w:pPr>
              <w:pStyle w:val="BStableheading"/>
              <w:framePr w:wrap="auto" w:vAnchor="margin" w:yAlign="inline"/>
              <w:spacing w:before="0" w:line="252" w:lineRule="auto"/>
              <w:rPr>
                <w:lang w:eastAsia="en-AU"/>
              </w:rPr>
            </w:pPr>
            <w:r>
              <w:rPr>
                <w:lang w:eastAsia="en-AU"/>
              </w:rPr>
              <w:t>$'000</w:t>
            </w:r>
          </w:p>
        </w:tc>
        <w:tc>
          <w:tcPr>
            <w:tcW w:w="1211" w:type="dxa"/>
            <w:tcBorders>
              <w:top w:val="nil"/>
              <w:left w:val="nil"/>
              <w:bottom w:val="single" w:sz="4" w:space="0" w:color="auto"/>
              <w:right w:val="nil"/>
            </w:tcBorders>
            <w:noWrap/>
          </w:tcPr>
          <w:p w14:paraId="2B89679E" w14:textId="77777777" w:rsidR="00C7198D" w:rsidRDefault="00C7198D" w:rsidP="002A0BB3">
            <w:pPr>
              <w:pStyle w:val="BStableheading"/>
              <w:framePr w:wrap="auto" w:vAnchor="margin" w:yAlign="inline"/>
              <w:spacing w:before="0" w:line="252" w:lineRule="auto"/>
              <w:rPr>
                <w:lang w:eastAsia="en-AU"/>
              </w:rPr>
            </w:pPr>
            <w:r>
              <w:rPr>
                <w:lang w:eastAsia="en-AU"/>
              </w:rPr>
              <w:t>$000</w:t>
            </w:r>
          </w:p>
        </w:tc>
        <w:tc>
          <w:tcPr>
            <w:tcW w:w="1211" w:type="dxa"/>
            <w:tcBorders>
              <w:top w:val="nil"/>
              <w:left w:val="nil"/>
              <w:bottom w:val="single" w:sz="4" w:space="0" w:color="auto"/>
              <w:right w:val="nil"/>
            </w:tcBorders>
            <w:noWrap/>
            <w:hideMark/>
          </w:tcPr>
          <w:p w14:paraId="5158E14E" w14:textId="77777777" w:rsidR="00C7198D" w:rsidRDefault="00C7198D" w:rsidP="002A0BB3">
            <w:pPr>
              <w:pStyle w:val="BStableheading"/>
              <w:framePr w:wrap="auto" w:vAnchor="margin" w:yAlign="inline"/>
              <w:spacing w:before="0" w:line="252" w:lineRule="auto"/>
              <w:rPr>
                <w:lang w:eastAsia="en-AU"/>
              </w:rPr>
            </w:pPr>
            <w:r>
              <w:rPr>
                <w:lang w:eastAsia="en-AU"/>
              </w:rPr>
              <w:t>$'000</w:t>
            </w:r>
          </w:p>
        </w:tc>
      </w:tr>
      <w:tr w:rsidR="00C7198D" w14:paraId="48D26537" w14:textId="77777777" w:rsidTr="002A0BB3">
        <w:trPr>
          <w:trHeight w:val="260"/>
        </w:trPr>
        <w:tc>
          <w:tcPr>
            <w:tcW w:w="2421" w:type="dxa"/>
            <w:hideMark/>
          </w:tcPr>
          <w:p w14:paraId="71DB4C7A" w14:textId="77777777" w:rsidR="00C7198D" w:rsidRDefault="00C7198D" w:rsidP="002A0BB3">
            <w:pPr>
              <w:pStyle w:val="BStabletextbold"/>
              <w:framePr w:hSpace="0" w:wrap="auto" w:vAnchor="margin" w:yAlign="inline"/>
              <w:suppressOverlap w:val="0"/>
            </w:pPr>
            <w:r>
              <w:t>Dividends</w:t>
            </w:r>
          </w:p>
        </w:tc>
        <w:tc>
          <w:tcPr>
            <w:tcW w:w="1210" w:type="dxa"/>
            <w:noWrap/>
            <w:hideMark/>
          </w:tcPr>
          <w:p w14:paraId="0511D0F8" w14:textId="77777777" w:rsidR="00C7198D" w:rsidRDefault="00C7198D" w:rsidP="002A0BB3">
            <w:pPr>
              <w:pStyle w:val="EmptyCell"/>
              <w:spacing w:before="0" w:line="252" w:lineRule="auto"/>
            </w:pPr>
            <w:r>
              <w:t>Empty Cell</w:t>
            </w:r>
          </w:p>
        </w:tc>
        <w:tc>
          <w:tcPr>
            <w:tcW w:w="1211" w:type="dxa"/>
            <w:noWrap/>
            <w:hideMark/>
          </w:tcPr>
          <w:p w14:paraId="178A7C42" w14:textId="77777777" w:rsidR="00C7198D" w:rsidRDefault="00C7198D" w:rsidP="002A0BB3">
            <w:pPr>
              <w:pStyle w:val="EmptyCell"/>
              <w:spacing w:before="0" w:line="252" w:lineRule="auto"/>
            </w:pPr>
            <w:r>
              <w:t>Empty Cell</w:t>
            </w:r>
          </w:p>
        </w:tc>
        <w:tc>
          <w:tcPr>
            <w:tcW w:w="1211" w:type="dxa"/>
            <w:noWrap/>
            <w:hideMark/>
          </w:tcPr>
          <w:p w14:paraId="36CDB25D" w14:textId="77777777" w:rsidR="00C7198D" w:rsidRDefault="00C7198D" w:rsidP="002A0BB3">
            <w:pPr>
              <w:pStyle w:val="EmptyCell"/>
              <w:spacing w:before="0" w:line="252" w:lineRule="auto"/>
            </w:pPr>
            <w:r>
              <w:t>Empty Cell</w:t>
            </w:r>
          </w:p>
        </w:tc>
        <w:tc>
          <w:tcPr>
            <w:tcW w:w="1211" w:type="dxa"/>
            <w:noWrap/>
          </w:tcPr>
          <w:p w14:paraId="0C407115" w14:textId="77777777" w:rsidR="00C7198D" w:rsidRDefault="00C7198D" w:rsidP="002A0BB3">
            <w:pPr>
              <w:pStyle w:val="EmptyCell"/>
              <w:spacing w:before="0" w:line="252" w:lineRule="auto"/>
            </w:pPr>
          </w:p>
        </w:tc>
        <w:tc>
          <w:tcPr>
            <w:tcW w:w="1211" w:type="dxa"/>
            <w:noWrap/>
            <w:hideMark/>
          </w:tcPr>
          <w:p w14:paraId="1F3ED732" w14:textId="77777777" w:rsidR="00C7198D" w:rsidRDefault="00C7198D" w:rsidP="002A0BB3">
            <w:pPr>
              <w:pStyle w:val="EmptyCell"/>
              <w:spacing w:before="0" w:line="252" w:lineRule="auto"/>
            </w:pPr>
            <w:r>
              <w:t>Empty Cell</w:t>
            </w:r>
          </w:p>
        </w:tc>
      </w:tr>
      <w:tr w:rsidR="00C7198D" w14:paraId="7AF26160" w14:textId="77777777" w:rsidTr="002A0BB3">
        <w:trPr>
          <w:trHeight w:val="260"/>
        </w:trPr>
        <w:tc>
          <w:tcPr>
            <w:tcW w:w="2421" w:type="dxa"/>
            <w:noWrap/>
            <w:hideMark/>
          </w:tcPr>
          <w:p w14:paraId="4A81D6D5" w14:textId="77777777" w:rsidR="00C7198D" w:rsidRDefault="00C7198D" w:rsidP="002A0BB3">
            <w:pPr>
              <w:pStyle w:val="BStabletext"/>
              <w:framePr w:hSpace="0" w:wrap="auto" w:vAnchor="margin" w:yAlign="inline"/>
              <w:suppressOverlap w:val="0"/>
            </w:pPr>
            <w:r>
              <w:t>Dividends – Icon Water</w:t>
            </w:r>
          </w:p>
        </w:tc>
        <w:tc>
          <w:tcPr>
            <w:tcW w:w="1210" w:type="dxa"/>
            <w:noWrap/>
            <w:hideMark/>
          </w:tcPr>
          <w:p w14:paraId="721B79C6" w14:textId="77777777" w:rsidR="00C7198D" w:rsidRDefault="00C7198D" w:rsidP="002A0BB3">
            <w:pPr>
              <w:pStyle w:val="BStablefigures"/>
              <w:framePr w:hSpace="0" w:wrap="auto" w:vAnchor="margin" w:yAlign="inline"/>
              <w:suppressOverlap w:val="0"/>
            </w:pPr>
            <w:r>
              <w:t>0</w:t>
            </w:r>
          </w:p>
        </w:tc>
        <w:tc>
          <w:tcPr>
            <w:tcW w:w="1211" w:type="dxa"/>
            <w:noWrap/>
            <w:hideMark/>
          </w:tcPr>
          <w:p w14:paraId="231B9D50" w14:textId="77777777" w:rsidR="00C7198D" w:rsidRDefault="00C7198D" w:rsidP="002A0BB3">
            <w:pPr>
              <w:pStyle w:val="BStablefigures"/>
              <w:framePr w:hSpace="0" w:wrap="auto" w:vAnchor="margin" w:yAlign="inline"/>
              <w:suppressOverlap w:val="0"/>
            </w:pPr>
            <w:r>
              <w:t>7,595</w:t>
            </w:r>
          </w:p>
        </w:tc>
        <w:tc>
          <w:tcPr>
            <w:tcW w:w="1211" w:type="dxa"/>
            <w:noWrap/>
            <w:hideMark/>
          </w:tcPr>
          <w:p w14:paraId="756ECD9E" w14:textId="77777777" w:rsidR="00C7198D" w:rsidRDefault="00C7198D" w:rsidP="002A0BB3">
            <w:pPr>
              <w:pStyle w:val="BStablefigures"/>
              <w:framePr w:hSpace="0" w:wrap="auto" w:vAnchor="margin" w:yAlign="inline"/>
              <w:suppressOverlap w:val="0"/>
            </w:pPr>
            <w:r>
              <w:t>65,441</w:t>
            </w:r>
          </w:p>
        </w:tc>
        <w:tc>
          <w:tcPr>
            <w:tcW w:w="1211" w:type="dxa"/>
            <w:noWrap/>
          </w:tcPr>
          <w:p w14:paraId="36D31225" w14:textId="77777777" w:rsidR="00C7198D" w:rsidRDefault="00C7198D" w:rsidP="002A0BB3">
            <w:pPr>
              <w:pStyle w:val="BStablefigures"/>
              <w:framePr w:hSpace="0" w:wrap="auto" w:vAnchor="margin" w:yAlign="inline"/>
              <w:suppressOverlap w:val="0"/>
            </w:pPr>
            <w:r>
              <w:t>85,299</w:t>
            </w:r>
          </w:p>
        </w:tc>
        <w:tc>
          <w:tcPr>
            <w:tcW w:w="1211" w:type="dxa"/>
            <w:noWrap/>
            <w:hideMark/>
          </w:tcPr>
          <w:p w14:paraId="5A6BF712" w14:textId="77777777" w:rsidR="00C7198D" w:rsidRDefault="00C7198D" w:rsidP="002A0BB3">
            <w:pPr>
              <w:pStyle w:val="BStablefigures"/>
              <w:framePr w:hSpace="0" w:wrap="auto" w:vAnchor="margin" w:yAlign="inline"/>
              <w:suppressOverlap w:val="0"/>
            </w:pPr>
            <w:r>
              <w:t>95,012</w:t>
            </w:r>
          </w:p>
        </w:tc>
      </w:tr>
      <w:tr w:rsidR="00C7198D" w14:paraId="73FC9E95" w14:textId="77777777" w:rsidTr="002A0BB3">
        <w:trPr>
          <w:trHeight w:val="260"/>
        </w:trPr>
        <w:tc>
          <w:tcPr>
            <w:tcW w:w="2421" w:type="dxa"/>
            <w:noWrap/>
            <w:hideMark/>
          </w:tcPr>
          <w:p w14:paraId="3F8E9909" w14:textId="77777777" w:rsidR="00C7198D" w:rsidRDefault="00C7198D" w:rsidP="002A0BB3">
            <w:pPr>
              <w:pStyle w:val="BStabletext"/>
              <w:framePr w:hSpace="0" w:wrap="auto" w:vAnchor="margin" w:yAlign="inline"/>
              <w:suppressOverlap w:val="0"/>
            </w:pPr>
            <w:r>
              <w:t>Dividends – CIT Solutions</w:t>
            </w:r>
          </w:p>
        </w:tc>
        <w:tc>
          <w:tcPr>
            <w:tcW w:w="1210" w:type="dxa"/>
            <w:noWrap/>
            <w:hideMark/>
          </w:tcPr>
          <w:p w14:paraId="5C91BD2B" w14:textId="77777777" w:rsidR="00C7198D" w:rsidRDefault="00C7198D" w:rsidP="002A0BB3">
            <w:pPr>
              <w:pStyle w:val="BStablefigures"/>
              <w:framePr w:hSpace="0" w:wrap="auto" w:vAnchor="margin" w:yAlign="inline"/>
              <w:suppressOverlap w:val="0"/>
            </w:pPr>
            <w:r>
              <w:t>500</w:t>
            </w:r>
          </w:p>
        </w:tc>
        <w:tc>
          <w:tcPr>
            <w:tcW w:w="1211" w:type="dxa"/>
            <w:noWrap/>
            <w:hideMark/>
          </w:tcPr>
          <w:p w14:paraId="5E12FEB9" w14:textId="77777777" w:rsidR="00C7198D" w:rsidRDefault="00C7198D" w:rsidP="002A0BB3">
            <w:pPr>
              <w:pStyle w:val="BStablefigures"/>
              <w:framePr w:hSpace="0" w:wrap="auto" w:vAnchor="margin" w:yAlign="inline"/>
              <w:suppressOverlap w:val="0"/>
            </w:pPr>
            <w:r>
              <w:t>500</w:t>
            </w:r>
          </w:p>
        </w:tc>
        <w:tc>
          <w:tcPr>
            <w:tcW w:w="1211" w:type="dxa"/>
            <w:noWrap/>
            <w:hideMark/>
          </w:tcPr>
          <w:p w14:paraId="19C2F2D3" w14:textId="77777777" w:rsidR="00C7198D" w:rsidRDefault="00C7198D" w:rsidP="002A0BB3">
            <w:pPr>
              <w:pStyle w:val="BStablefigures"/>
              <w:framePr w:hSpace="0" w:wrap="auto" w:vAnchor="margin" w:yAlign="inline"/>
              <w:suppressOverlap w:val="0"/>
            </w:pPr>
            <w:r>
              <w:t>500</w:t>
            </w:r>
          </w:p>
        </w:tc>
        <w:tc>
          <w:tcPr>
            <w:tcW w:w="1211" w:type="dxa"/>
            <w:noWrap/>
          </w:tcPr>
          <w:p w14:paraId="66EA468B" w14:textId="77777777" w:rsidR="00C7198D" w:rsidRDefault="00C7198D" w:rsidP="002A0BB3">
            <w:pPr>
              <w:pStyle w:val="BStablefigures"/>
              <w:framePr w:hSpace="0" w:wrap="auto" w:vAnchor="margin" w:yAlign="inline"/>
              <w:suppressOverlap w:val="0"/>
            </w:pPr>
            <w:r>
              <w:t>500</w:t>
            </w:r>
          </w:p>
        </w:tc>
        <w:tc>
          <w:tcPr>
            <w:tcW w:w="1211" w:type="dxa"/>
            <w:noWrap/>
            <w:hideMark/>
          </w:tcPr>
          <w:p w14:paraId="44A11DAF" w14:textId="77777777" w:rsidR="00C7198D" w:rsidRDefault="00C7198D" w:rsidP="002A0BB3">
            <w:pPr>
              <w:pStyle w:val="BStablefigures"/>
              <w:framePr w:hSpace="0" w:wrap="auto" w:vAnchor="margin" w:yAlign="inline"/>
              <w:suppressOverlap w:val="0"/>
            </w:pPr>
            <w:r>
              <w:t>500</w:t>
            </w:r>
          </w:p>
        </w:tc>
      </w:tr>
      <w:tr w:rsidR="00C7198D" w14:paraId="4A1A91C7" w14:textId="77777777" w:rsidTr="002A0BB3">
        <w:trPr>
          <w:trHeight w:val="260"/>
        </w:trPr>
        <w:tc>
          <w:tcPr>
            <w:tcW w:w="2421" w:type="dxa"/>
            <w:noWrap/>
          </w:tcPr>
          <w:p w14:paraId="3D5CBC6E" w14:textId="77777777" w:rsidR="00C7198D" w:rsidRDefault="00C7198D" w:rsidP="002A0BB3">
            <w:pPr>
              <w:pStyle w:val="BStabletext"/>
              <w:framePr w:hSpace="0" w:wrap="auto" w:vAnchor="margin" w:yAlign="inline"/>
              <w:suppressOverlap w:val="0"/>
            </w:pPr>
            <w:r>
              <w:t>Dividends – Suburban Land Agency and City Renewal Authority</w:t>
            </w:r>
          </w:p>
        </w:tc>
        <w:tc>
          <w:tcPr>
            <w:tcW w:w="1210" w:type="dxa"/>
            <w:noWrap/>
          </w:tcPr>
          <w:p w14:paraId="29B59D02" w14:textId="77777777" w:rsidR="00C7198D" w:rsidRDefault="00C7198D" w:rsidP="002A0BB3">
            <w:pPr>
              <w:pStyle w:val="BStablefigures"/>
              <w:framePr w:hSpace="0" w:wrap="auto" w:vAnchor="margin" w:yAlign="inline"/>
              <w:suppressOverlap w:val="0"/>
            </w:pPr>
            <w:r>
              <w:t>96,075</w:t>
            </w:r>
          </w:p>
        </w:tc>
        <w:tc>
          <w:tcPr>
            <w:tcW w:w="1211" w:type="dxa"/>
            <w:noWrap/>
          </w:tcPr>
          <w:p w14:paraId="37550F6C" w14:textId="77777777" w:rsidR="00C7198D" w:rsidRDefault="00C7198D" w:rsidP="002A0BB3">
            <w:pPr>
              <w:pStyle w:val="BStablefigures"/>
              <w:framePr w:hSpace="0" w:wrap="auto" w:vAnchor="margin" w:yAlign="inline"/>
              <w:suppressOverlap w:val="0"/>
            </w:pPr>
            <w:r>
              <w:t>102,292</w:t>
            </w:r>
          </w:p>
        </w:tc>
        <w:tc>
          <w:tcPr>
            <w:tcW w:w="1211" w:type="dxa"/>
            <w:noWrap/>
          </w:tcPr>
          <w:p w14:paraId="553D76D4" w14:textId="77777777" w:rsidR="00C7198D" w:rsidRDefault="00C7198D" w:rsidP="002A0BB3">
            <w:pPr>
              <w:pStyle w:val="BStablefigures"/>
              <w:framePr w:hSpace="0" w:wrap="auto" w:vAnchor="margin" w:yAlign="inline"/>
              <w:suppressOverlap w:val="0"/>
            </w:pPr>
            <w:r>
              <w:t>170,758</w:t>
            </w:r>
          </w:p>
        </w:tc>
        <w:tc>
          <w:tcPr>
            <w:tcW w:w="1211" w:type="dxa"/>
            <w:noWrap/>
          </w:tcPr>
          <w:p w14:paraId="32047FA1" w14:textId="77777777" w:rsidR="00C7198D" w:rsidRDefault="00C7198D" w:rsidP="002A0BB3">
            <w:pPr>
              <w:pStyle w:val="BStablefigures"/>
              <w:framePr w:hSpace="0" w:wrap="auto" w:vAnchor="margin" w:yAlign="inline"/>
              <w:suppressOverlap w:val="0"/>
            </w:pPr>
            <w:r>
              <w:t>225,260</w:t>
            </w:r>
          </w:p>
        </w:tc>
        <w:tc>
          <w:tcPr>
            <w:tcW w:w="1211" w:type="dxa"/>
            <w:noWrap/>
          </w:tcPr>
          <w:p w14:paraId="71A10A71" w14:textId="77777777" w:rsidR="00C7198D" w:rsidRDefault="00C7198D" w:rsidP="002A0BB3">
            <w:pPr>
              <w:pStyle w:val="BStablefigures"/>
              <w:framePr w:hSpace="0" w:wrap="auto" w:vAnchor="margin" w:yAlign="inline"/>
              <w:suppressOverlap w:val="0"/>
            </w:pPr>
            <w:r>
              <w:t>167,395</w:t>
            </w:r>
          </w:p>
        </w:tc>
      </w:tr>
      <w:tr w:rsidR="00C7198D" w14:paraId="3B4A103F" w14:textId="77777777" w:rsidTr="002A0BB3">
        <w:trPr>
          <w:trHeight w:val="260"/>
        </w:trPr>
        <w:tc>
          <w:tcPr>
            <w:tcW w:w="2421" w:type="dxa"/>
            <w:noWrap/>
          </w:tcPr>
          <w:p w14:paraId="78575B87" w14:textId="77777777" w:rsidR="00C7198D" w:rsidRPr="0018518C" w:rsidRDefault="00C7198D" w:rsidP="002A0BB3">
            <w:pPr>
              <w:pStyle w:val="BStabletext"/>
              <w:framePr w:hSpace="0" w:wrap="auto" w:vAnchor="margin" w:yAlign="inline"/>
              <w:suppressOverlap w:val="0"/>
              <w:rPr>
                <w:b/>
                <w:bCs/>
              </w:rPr>
            </w:pPr>
            <w:r w:rsidRPr="0018518C">
              <w:rPr>
                <w:b/>
                <w:bCs/>
              </w:rPr>
              <w:t>Total Dividends</w:t>
            </w:r>
          </w:p>
        </w:tc>
        <w:tc>
          <w:tcPr>
            <w:tcW w:w="1210" w:type="dxa"/>
            <w:noWrap/>
          </w:tcPr>
          <w:p w14:paraId="4A5F3AE2" w14:textId="77777777" w:rsidR="00C7198D" w:rsidRPr="0018518C" w:rsidRDefault="00C7198D" w:rsidP="002A0BB3">
            <w:pPr>
              <w:pStyle w:val="BStablefigures"/>
              <w:framePr w:hSpace="0" w:wrap="auto" w:vAnchor="margin" w:yAlign="inline"/>
              <w:suppressOverlap w:val="0"/>
              <w:rPr>
                <w:b/>
              </w:rPr>
            </w:pPr>
            <w:r>
              <w:rPr>
                <w:b/>
              </w:rPr>
              <w:t>96,575</w:t>
            </w:r>
          </w:p>
        </w:tc>
        <w:tc>
          <w:tcPr>
            <w:tcW w:w="1211" w:type="dxa"/>
            <w:noWrap/>
          </w:tcPr>
          <w:p w14:paraId="4262DF38" w14:textId="77777777" w:rsidR="00C7198D" w:rsidRPr="0018518C" w:rsidRDefault="00C7198D" w:rsidP="002A0BB3">
            <w:pPr>
              <w:pStyle w:val="BStablefigures"/>
              <w:framePr w:hSpace="0" w:wrap="auto" w:vAnchor="margin" w:yAlign="inline"/>
              <w:suppressOverlap w:val="0"/>
              <w:rPr>
                <w:b/>
              </w:rPr>
            </w:pPr>
            <w:r w:rsidRPr="0018518C">
              <w:rPr>
                <w:b/>
              </w:rPr>
              <w:t>1</w:t>
            </w:r>
            <w:r>
              <w:rPr>
                <w:b/>
              </w:rPr>
              <w:t>10,387</w:t>
            </w:r>
          </w:p>
        </w:tc>
        <w:tc>
          <w:tcPr>
            <w:tcW w:w="1211" w:type="dxa"/>
            <w:noWrap/>
          </w:tcPr>
          <w:p w14:paraId="661A4F7E" w14:textId="77777777" w:rsidR="00C7198D" w:rsidRPr="0018518C" w:rsidRDefault="00C7198D" w:rsidP="002A0BB3">
            <w:pPr>
              <w:pStyle w:val="BStablefigures"/>
              <w:framePr w:hSpace="0" w:wrap="auto" w:vAnchor="margin" w:yAlign="inline"/>
              <w:suppressOverlap w:val="0"/>
              <w:rPr>
                <w:b/>
              </w:rPr>
            </w:pPr>
            <w:r>
              <w:rPr>
                <w:b/>
              </w:rPr>
              <w:t>236,699</w:t>
            </w:r>
          </w:p>
        </w:tc>
        <w:tc>
          <w:tcPr>
            <w:tcW w:w="1211" w:type="dxa"/>
            <w:noWrap/>
          </w:tcPr>
          <w:p w14:paraId="1A68810C" w14:textId="77777777" w:rsidR="00C7198D" w:rsidRPr="0018518C" w:rsidRDefault="00C7198D" w:rsidP="002A0BB3">
            <w:pPr>
              <w:pStyle w:val="BStablefigures"/>
              <w:framePr w:hSpace="0" w:wrap="auto" w:vAnchor="margin" w:yAlign="inline"/>
              <w:suppressOverlap w:val="0"/>
              <w:rPr>
                <w:b/>
              </w:rPr>
            </w:pPr>
            <w:r>
              <w:rPr>
                <w:b/>
              </w:rPr>
              <w:t>311,059</w:t>
            </w:r>
          </w:p>
        </w:tc>
        <w:tc>
          <w:tcPr>
            <w:tcW w:w="1211" w:type="dxa"/>
            <w:noWrap/>
          </w:tcPr>
          <w:p w14:paraId="362B6EE5" w14:textId="77777777" w:rsidR="00C7198D" w:rsidRPr="0018518C" w:rsidRDefault="00C7198D" w:rsidP="002A0BB3">
            <w:pPr>
              <w:pStyle w:val="BStablefigures"/>
              <w:framePr w:hSpace="0" w:wrap="auto" w:vAnchor="margin" w:yAlign="inline"/>
              <w:suppressOverlap w:val="0"/>
              <w:rPr>
                <w:b/>
              </w:rPr>
            </w:pPr>
            <w:r>
              <w:rPr>
                <w:b/>
              </w:rPr>
              <w:t>262,907</w:t>
            </w:r>
          </w:p>
        </w:tc>
      </w:tr>
      <w:tr w:rsidR="00C7198D" w14:paraId="3584CC07" w14:textId="77777777" w:rsidTr="002A0BB3">
        <w:trPr>
          <w:trHeight w:val="260"/>
        </w:trPr>
        <w:tc>
          <w:tcPr>
            <w:tcW w:w="2421" w:type="dxa"/>
            <w:noWrap/>
          </w:tcPr>
          <w:p w14:paraId="235E1E8D" w14:textId="77777777" w:rsidR="00C7198D" w:rsidRPr="0018518C" w:rsidRDefault="00C7198D" w:rsidP="002A0BB3">
            <w:pPr>
              <w:pStyle w:val="BStabletext"/>
              <w:framePr w:hSpace="0" w:wrap="auto" w:vAnchor="margin" w:yAlign="inline"/>
              <w:suppressOverlap w:val="0"/>
              <w:rPr>
                <w:b/>
                <w:bCs/>
              </w:rPr>
            </w:pPr>
            <w:r>
              <w:rPr>
                <w:b/>
                <w:bCs/>
              </w:rPr>
              <w:t>Total Income Tax Equivalents</w:t>
            </w:r>
          </w:p>
        </w:tc>
        <w:tc>
          <w:tcPr>
            <w:tcW w:w="1210" w:type="dxa"/>
            <w:noWrap/>
          </w:tcPr>
          <w:p w14:paraId="6CC6BCA5" w14:textId="77777777" w:rsidR="00C7198D" w:rsidRPr="0018518C" w:rsidRDefault="00C7198D" w:rsidP="002A0BB3">
            <w:pPr>
              <w:pStyle w:val="BStablefigures"/>
              <w:framePr w:hSpace="0" w:wrap="auto" w:vAnchor="margin" w:yAlign="inline"/>
              <w:suppressOverlap w:val="0"/>
              <w:rPr>
                <w:b/>
              </w:rPr>
            </w:pPr>
            <w:r>
              <w:rPr>
                <w:b/>
              </w:rPr>
              <w:t>34,494</w:t>
            </w:r>
          </w:p>
        </w:tc>
        <w:tc>
          <w:tcPr>
            <w:tcW w:w="1211" w:type="dxa"/>
            <w:noWrap/>
          </w:tcPr>
          <w:p w14:paraId="1F3FF357" w14:textId="77777777" w:rsidR="00C7198D" w:rsidRPr="0018518C" w:rsidRDefault="00C7198D" w:rsidP="002A0BB3">
            <w:pPr>
              <w:pStyle w:val="BStablefigures"/>
              <w:framePr w:hSpace="0" w:wrap="auto" w:vAnchor="margin" w:yAlign="inline"/>
              <w:suppressOverlap w:val="0"/>
              <w:rPr>
                <w:b/>
              </w:rPr>
            </w:pPr>
            <w:r>
              <w:rPr>
                <w:b/>
              </w:rPr>
              <w:t>48,007</w:t>
            </w:r>
          </w:p>
        </w:tc>
        <w:tc>
          <w:tcPr>
            <w:tcW w:w="1211" w:type="dxa"/>
            <w:noWrap/>
          </w:tcPr>
          <w:p w14:paraId="73670B92" w14:textId="77777777" w:rsidR="00C7198D" w:rsidRPr="0018518C" w:rsidRDefault="00C7198D" w:rsidP="002A0BB3">
            <w:pPr>
              <w:pStyle w:val="BStablefigures"/>
              <w:framePr w:hSpace="0" w:wrap="auto" w:vAnchor="margin" w:yAlign="inline"/>
              <w:suppressOverlap w:val="0"/>
              <w:rPr>
                <w:b/>
              </w:rPr>
            </w:pPr>
            <w:r>
              <w:rPr>
                <w:b/>
              </w:rPr>
              <w:t>100,956</w:t>
            </w:r>
          </w:p>
        </w:tc>
        <w:tc>
          <w:tcPr>
            <w:tcW w:w="1211" w:type="dxa"/>
            <w:noWrap/>
          </w:tcPr>
          <w:p w14:paraId="5333DE5E" w14:textId="77777777" w:rsidR="00C7198D" w:rsidRPr="0018518C" w:rsidRDefault="00C7198D" w:rsidP="002A0BB3">
            <w:pPr>
              <w:pStyle w:val="BStablefigures"/>
              <w:framePr w:hSpace="0" w:wrap="auto" w:vAnchor="margin" w:yAlign="inline"/>
              <w:suppressOverlap w:val="0"/>
              <w:rPr>
                <w:b/>
              </w:rPr>
            </w:pPr>
            <w:r>
              <w:rPr>
                <w:b/>
              </w:rPr>
              <w:t>150,926</w:t>
            </w:r>
          </w:p>
        </w:tc>
        <w:tc>
          <w:tcPr>
            <w:tcW w:w="1211" w:type="dxa"/>
            <w:noWrap/>
          </w:tcPr>
          <w:p w14:paraId="07E69F95" w14:textId="77777777" w:rsidR="00C7198D" w:rsidRPr="0018518C" w:rsidRDefault="00C7198D" w:rsidP="002A0BB3">
            <w:pPr>
              <w:pStyle w:val="BStablefigures"/>
              <w:framePr w:hSpace="0" w:wrap="auto" w:vAnchor="margin" w:yAlign="inline"/>
              <w:suppressOverlap w:val="0"/>
              <w:rPr>
                <w:b/>
              </w:rPr>
            </w:pPr>
            <w:r>
              <w:rPr>
                <w:b/>
              </w:rPr>
              <w:t>125,632</w:t>
            </w:r>
          </w:p>
        </w:tc>
      </w:tr>
      <w:tr w:rsidR="00C7198D" w14:paraId="6B0476A8" w14:textId="77777777" w:rsidTr="002A0BB3">
        <w:trPr>
          <w:trHeight w:val="452"/>
        </w:trPr>
        <w:tc>
          <w:tcPr>
            <w:tcW w:w="2421" w:type="dxa"/>
            <w:tcBorders>
              <w:top w:val="single" w:sz="4" w:space="0" w:color="auto"/>
              <w:left w:val="nil"/>
              <w:bottom w:val="single" w:sz="4" w:space="0" w:color="auto"/>
              <w:right w:val="nil"/>
            </w:tcBorders>
            <w:hideMark/>
          </w:tcPr>
          <w:p w14:paraId="42940B86" w14:textId="77777777" w:rsidR="00C7198D" w:rsidRDefault="00C7198D" w:rsidP="002A0BB3">
            <w:pPr>
              <w:pStyle w:val="BStabletextbold"/>
              <w:framePr w:hSpace="0" w:wrap="auto" w:vAnchor="margin" w:yAlign="inline"/>
              <w:suppressOverlap w:val="0"/>
            </w:pPr>
            <w:r>
              <w:t>Total Dividends and Tax Equivalents</w:t>
            </w:r>
          </w:p>
        </w:tc>
        <w:tc>
          <w:tcPr>
            <w:tcW w:w="1210" w:type="dxa"/>
            <w:tcBorders>
              <w:top w:val="single" w:sz="4" w:space="0" w:color="auto"/>
              <w:left w:val="nil"/>
              <w:bottom w:val="single" w:sz="4" w:space="0" w:color="auto"/>
              <w:right w:val="nil"/>
            </w:tcBorders>
            <w:noWrap/>
            <w:hideMark/>
          </w:tcPr>
          <w:p w14:paraId="448AEB7F" w14:textId="77777777" w:rsidR="00C7198D" w:rsidRDefault="00C7198D" w:rsidP="002A0BB3">
            <w:pPr>
              <w:pStyle w:val="BStablefiguresbold"/>
              <w:framePr w:hSpace="0" w:wrap="auto" w:vAnchor="margin" w:yAlign="inline"/>
              <w:suppressOverlap w:val="0"/>
            </w:pPr>
            <w:r>
              <w:t>131,069</w:t>
            </w:r>
          </w:p>
        </w:tc>
        <w:tc>
          <w:tcPr>
            <w:tcW w:w="1211" w:type="dxa"/>
            <w:tcBorders>
              <w:top w:val="single" w:sz="4" w:space="0" w:color="auto"/>
              <w:left w:val="nil"/>
              <w:bottom w:val="single" w:sz="4" w:space="0" w:color="auto"/>
              <w:right w:val="nil"/>
            </w:tcBorders>
            <w:noWrap/>
            <w:hideMark/>
          </w:tcPr>
          <w:p w14:paraId="20793C7B" w14:textId="77777777" w:rsidR="00C7198D" w:rsidRDefault="00C7198D" w:rsidP="002A0BB3">
            <w:pPr>
              <w:pStyle w:val="BStablefiguresbold"/>
              <w:framePr w:hSpace="0" w:wrap="auto" w:vAnchor="margin" w:yAlign="inline"/>
              <w:suppressOverlap w:val="0"/>
            </w:pPr>
            <w:r>
              <w:t>158,394</w:t>
            </w:r>
          </w:p>
        </w:tc>
        <w:tc>
          <w:tcPr>
            <w:tcW w:w="1211" w:type="dxa"/>
            <w:tcBorders>
              <w:top w:val="single" w:sz="4" w:space="0" w:color="auto"/>
              <w:left w:val="nil"/>
              <w:bottom w:val="single" w:sz="4" w:space="0" w:color="auto"/>
              <w:right w:val="nil"/>
            </w:tcBorders>
            <w:noWrap/>
            <w:hideMark/>
          </w:tcPr>
          <w:p w14:paraId="66121040" w14:textId="77777777" w:rsidR="00C7198D" w:rsidRDefault="00C7198D" w:rsidP="002A0BB3">
            <w:pPr>
              <w:pStyle w:val="BStablefiguresbold"/>
              <w:framePr w:hSpace="0" w:wrap="auto" w:vAnchor="margin" w:yAlign="inline"/>
              <w:suppressOverlap w:val="0"/>
            </w:pPr>
            <w:r>
              <w:t>337,655</w:t>
            </w:r>
          </w:p>
        </w:tc>
        <w:tc>
          <w:tcPr>
            <w:tcW w:w="1211" w:type="dxa"/>
            <w:tcBorders>
              <w:top w:val="single" w:sz="4" w:space="0" w:color="auto"/>
              <w:left w:val="nil"/>
              <w:bottom w:val="single" w:sz="4" w:space="0" w:color="auto"/>
              <w:right w:val="nil"/>
            </w:tcBorders>
            <w:noWrap/>
          </w:tcPr>
          <w:p w14:paraId="5E0651B9" w14:textId="77777777" w:rsidR="00C7198D" w:rsidRDefault="00C7198D" w:rsidP="002A0BB3">
            <w:pPr>
              <w:pStyle w:val="BStablefiguresbold"/>
              <w:framePr w:hSpace="0" w:wrap="auto" w:vAnchor="margin" w:yAlign="inline"/>
              <w:suppressOverlap w:val="0"/>
            </w:pPr>
            <w:r>
              <w:t>461,985</w:t>
            </w:r>
          </w:p>
        </w:tc>
        <w:tc>
          <w:tcPr>
            <w:tcW w:w="1211" w:type="dxa"/>
            <w:tcBorders>
              <w:top w:val="single" w:sz="4" w:space="0" w:color="auto"/>
              <w:left w:val="nil"/>
              <w:bottom w:val="single" w:sz="4" w:space="0" w:color="auto"/>
              <w:right w:val="nil"/>
            </w:tcBorders>
            <w:noWrap/>
            <w:hideMark/>
          </w:tcPr>
          <w:p w14:paraId="337A0451" w14:textId="77777777" w:rsidR="00C7198D" w:rsidRDefault="00C7198D" w:rsidP="002A0BB3">
            <w:pPr>
              <w:pStyle w:val="BStablefiguresbold"/>
              <w:framePr w:hSpace="0" w:wrap="auto" w:vAnchor="margin" w:yAlign="inline"/>
              <w:suppressOverlap w:val="0"/>
            </w:pPr>
            <w:r>
              <w:t>388,539</w:t>
            </w:r>
          </w:p>
        </w:tc>
      </w:tr>
    </w:tbl>
    <w:p w14:paraId="25490611" w14:textId="77777777" w:rsidR="00C7198D" w:rsidRDefault="00C7198D" w:rsidP="00C7198D">
      <w:pPr>
        <w:spacing w:before="0"/>
        <w:rPr>
          <w:sz w:val="20"/>
          <w:szCs w:val="20"/>
        </w:rPr>
      </w:pPr>
      <w:r>
        <w:rPr>
          <w:sz w:val="20"/>
          <w:szCs w:val="20"/>
        </w:rPr>
        <w:t>Source: ACT Government (2024, p. 216).</w:t>
      </w:r>
    </w:p>
    <w:p w14:paraId="7D7A778A" w14:textId="77777777" w:rsidR="00C7198D" w:rsidRDefault="00C7198D" w:rsidP="00C7198D">
      <w:r>
        <w:t xml:space="preserve">Tax equivalent revenue is forecast in 2024-25 to be $28 million, an increase of $13.5 million compared to the updated forecast for 2023-24. </w:t>
      </w:r>
    </w:p>
    <w:p w14:paraId="22A5958B" w14:textId="0DCC5906" w:rsidR="00AB5CA5" w:rsidRDefault="00C7198D" w:rsidP="00C7198D">
      <w:r>
        <w:t>Substantial increases in dividends are forecast across the out</w:t>
      </w:r>
      <w:r w:rsidR="006314BD">
        <w:t>-</w:t>
      </w:r>
      <w:r>
        <w:t>years for both the Suburban Land Agency and ICON Water.</w:t>
      </w:r>
      <w:r w:rsidRPr="00373FF5">
        <w:t xml:space="preserve"> </w:t>
      </w:r>
      <w:r w:rsidR="00AB5CA5">
        <w:t xml:space="preserve"> The forecast for dividends from Icon Water in 2027-28 are 12.5 times higher than the Budget forecast for 2024-25.</w:t>
      </w:r>
    </w:p>
    <w:p w14:paraId="2FB6ED51" w14:textId="3C112F5C" w:rsidR="00AB5CA5" w:rsidRDefault="00AB5CA5" w:rsidP="00AB5CA5">
      <w:r>
        <w:lastRenderedPageBreak/>
        <w:t xml:space="preserve">Little explanation is provided </w:t>
      </w:r>
      <w:r w:rsidR="00AE2EBF">
        <w:t xml:space="preserve">in the Budget Outlook </w:t>
      </w:r>
      <w:r>
        <w:t xml:space="preserve">for these </w:t>
      </w:r>
      <w:r w:rsidR="00AF27A8">
        <w:t>estimates</w:t>
      </w:r>
      <w:r>
        <w:t xml:space="preserve">.  The Government has clarified the dividend policy that influences these </w:t>
      </w:r>
      <w:r w:rsidR="00505B1A">
        <w:t>estimates</w:t>
      </w:r>
      <w:r>
        <w:t>, which is</w:t>
      </w:r>
      <w:r w:rsidR="00505B1A">
        <w:t xml:space="preserve"> </w:t>
      </w:r>
      <w:r>
        <w:t xml:space="preserve">a welcome increase in </w:t>
      </w:r>
      <w:r w:rsidR="00505B1A">
        <w:t>transparency</w:t>
      </w:r>
      <w:r>
        <w:t xml:space="preserve">, but no explanation is provided for the underlying </w:t>
      </w:r>
      <w:r w:rsidR="00505B1A">
        <w:t xml:space="preserve">changes in the business that has generated the increased profits on which the dividends have been paid. </w:t>
      </w:r>
    </w:p>
    <w:p w14:paraId="310A6D01" w14:textId="7A6C82FF" w:rsidR="006C2929" w:rsidRDefault="00AE2EBF" w:rsidP="00AE2EBF">
      <w:r>
        <w:t xml:space="preserve">ACT Treasury has advised that </w:t>
      </w:r>
      <w:r w:rsidRPr="00AE2EBF">
        <w:t>the forecast profits are only large relative to recent years</w:t>
      </w:r>
      <w:r w:rsidR="006C2929">
        <w:t>, as can be seen in</w:t>
      </w:r>
      <w:r w:rsidR="000220CA">
        <w:t xml:space="preserve"> Figure 18 below</w:t>
      </w:r>
      <w:r w:rsidR="00BD045E">
        <w:t>.</w:t>
      </w:r>
    </w:p>
    <w:p w14:paraId="57DC0645" w14:textId="553CD2D0" w:rsidR="006C2929" w:rsidRDefault="008B2775" w:rsidP="00AF7E46">
      <w:pPr>
        <w:pStyle w:val="Caption"/>
        <w:spacing w:before="0"/>
      </w:pPr>
      <w:bookmarkStart w:id="114" w:name="_Toc171949077"/>
      <w:r>
        <w:t xml:space="preserve">Figure </w:t>
      </w:r>
      <w:r>
        <w:fldChar w:fldCharType="begin"/>
      </w:r>
      <w:r>
        <w:instrText xml:space="preserve"> SEQ Figure \* ARABIC </w:instrText>
      </w:r>
      <w:r>
        <w:fldChar w:fldCharType="separate"/>
      </w:r>
      <w:r w:rsidR="000B62ED">
        <w:rPr>
          <w:noProof/>
        </w:rPr>
        <w:t>18</w:t>
      </w:r>
      <w:r>
        <w:fldChar w:fldCharType="end"/>
      </w:r>
      <w:r>
        <w:t>: Icon Water Net Profit After Tax</w:t>
      </w:r>
      <w:bookmarkEnd w:id="114"/>
    </w:p>
    <w:p w14:paraId="34D3EDF0" w14:textId="11B28450" w:rsidR="006C2929" w:rsidRDefault="008B2775" w:rsidP="006314BD">
      <w:pPr>
        <w:spacing w:before="0" w:after="0"/>
      </w:pPr>
      <w:r>
        <w:rPr>
          <w:noProof/>
        </w:rPr>
        <w:drawing>
          <wp:inline distT="0" distB="0" distL="0" distR="0" wp14:anchorId="6B642DCF" wp14:editId="31CBC1DA">
            <wp:extent cx="5731510" cy="3737610"/>
            <wp:effectExtent l="0" t="0" r="0" b="0"/>
            <wp:docPr id="1225571222" name="Picture 1" descr="A graph of financial growt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571222" name="Picture 1" descr="A graph of financial growth&#10;&#10;Description automatically generated with medium confidence"/>
                    <pic:cNvPicPr/>
                  </pic:nvPicPr>
                  <pic:blipFill>
                    <a:blip r:embed="rId36"/>
                    <a:stretch>
                      <a:fillRect/>
                    </a:stretch>
                  </pic:blipFill>
                  <pic:spPr>
                    <a:xfrm>
                      <a:off x="0" y="0"/>
                      <a:ext cx="5731510" cy="3737610"/>
                    </a:xfrm>
                    <a:prstGeom prst="rect">
                      <a:avLst/>
                    </a:prstGeom>
                  </pic:spPr>
                </pic:pic>
              </a:graphicData>
            </a:graphic>
          </wp:inline>
        </w:drawing>
      </w:r>
    </w:p>
    <w:p w14:paraId="7FC9FCB2" w14:textId="5CB5A3E7" w:rsidR="00317BB0" w:rsidRDefault="002E4A10" w:rsidP="00AF7E46">
      <w:pPr>
        <w:spacing w:before="0" w:after="0"/>
      </w:pPr>
      <w:r w:rsidRPr="00BD3ABD">
        <w:t>Source:</w:t>
      </w:r>
      <w:r>
        <w:t xml:space="preserve"> </w:t>
      </w:r>
      <w:r w:rsidR="00BD3ABD">
        <w:t>ACT Treasury</w:t>
      </w:r>
    </w:p>
    <w:p w14:paraId="480848A4" w14:textId="5DDBD8F2" w:rsidR="008B7848" w:rsidRDefault="00AE2EBF" w:rsidP="00AE2EBF">
      <w:r>
        <w:t>Treasury has indicated that</w:t>
      </w:r>
      <w:r w:rsidR="00BD045E">
        <w:t xml:space="preserve"> in recent years Icon Water </w:t>
      </w:r>
      <w:r w:rsidRPr="00AE2EBF">
        <w:t>profits have been subdued</w:t>
      </w:r>
      <w:r w:rsidR="008B7848">
        <w:t xml:space="preserve"> for two main reasons</w:t>
      </w:r>
      <w:r w:rsidRPr="00AE2EBF">
        <w:t xml:space="preserve">. </w:t>
      </w:r>
      <w:r>
        <w:t xml:space="preserve"> </w:t>
      </w:r>
    </w:p>
    <w:p w14:paraId="5E2D3801" w14:textId="60C03042" w:rsidR="00AE2EBF" w:rsidRPr="00AE2EBF" w:rsidRDefault="00AE2EBF" w:rsidP="00AE2EBF">
      <w:r w:rsidRPr="00AE2EBF">
        <w:t>Firstly, a substantial investment by Icon to in-source a range of corporate services that had previously been outsourced to the joint venture partner.</w:t>
      </w:r>
      <w:r>
        <w:t xml:space="preserve">  </w:t>
      </w:r>
      <w:r w:rsidRPr="00AE2EBF">
        <w:t>The associated investment negatively impacted</w:t>
      </w:r>
      <w:r>
        <w:t xml:space="preserve"> </w:t>
      </w:r>
      <w:r w:rsidRPr="00AE2EBF">
        <w:t>expected</w:t>
      </w:r>
      <w:r>
        <w:t xml:space="preserve"> </w:t>
      </w:r>
      <w:r w:rsidRPr="00AE2EBF">
        <w:t xml:space="preserve">net profit after tax in </w:t>
      </w:r>
      <w:r>
        <w:t>20</w:t>
      </w:r>
      <w:r w:rsidRPr="00AE2EBF">
        <w:t>23</w:t>
      </w:r>
      <w:r>
        <w:t>-</w:t>
      </w:r>
      <w:r w:rsidRPr="00AE2EBF">
        <w:t>24 and</w:t>
      </w:r>
      <w:r>
        <w:t xml:space="preserve"> </w:t>
      </w:r>
      <w:r w:rsidRPr="00AE2EBF">
        <w:t>forecast profit in</w:t>
      </w:r>
      <w:r>
        <w:t xml:space="preserve"> 2023-24</w:t>
      </w:r>
      <w:r w:rsidRPr="00AE2EBF">
        <w:t xml:space="preserve"> but is</w:t>
      </w:r>
      <w:r>
        <w:t xml:space="preserve"> </w:t>
      </w:r>
      <w:r w:rsidRPr="00AE2EBF">
        <w:t>projected</w:t>
      </w:r>
      <w:r>
        <w:t xml:space="preserve"> </w:t>
      </w:r>
      <w:r w:rsidRPr="00AE2EBF">
        <w:t>to increase net profit after tax from 2025</w:t>
      </w:r>
      <w:r>
        <w:t>-</w:t>
      </w:r>
      <w:r w:rsidRPr="00AE2EBF">
        <w:t>26.</w:t>
      </w:r>
      <w:r>
        <w:t xml:space="preserve"> </w:t>
      </w:r>
      <w:r w:rsidRPr="00AE2EBF">
        <w:t xml:space="preserve"> There are also some climate-related impacts over the same period</w:t>
      </w:r>
      <w:r w:rsidR="0086645D">
        <w:t>,</w:t>
      </w:r>
      <w:r>
        <w:t xml:space="preserve"> </w:t>
      </w:r>
      <w:r w:rsidRPr="00AE2EBF">
        <w:t>with demand forecast to return to normal from 2024-25.</w:t>
      </w:r>
    </w:p>
    <w:p w14:paraId="566AD9E1" w14:textId="7AFD901D" w:rsidR="00AE2EBF" w:rsidRDefault="00AE2EBF" w:rsidP="00111636">
      <w:r w:rsidRPr="00AE2EBF">
        <w:t xml:space="preserve">Secondly, </w:t>
      </w:r>
      <w:r>
        <w:t xml:space="preserve">Treasury has advised that </w:t>
      </w:r>
      <w:r w:rsidRPr="00AE2EBF">
        <w:t xml:space="preserve">the revenue from </w:t>
      </w:r>
      <w:r w:rsidR="00BD045E">
        <w:t xml:space="preserve">Icon’s </w:t>
      </w:r>
      <w:r w:rsidRPr="00AE2EBF">
        <w:t xml:space="preserve">energy joint venture investment is impacted by timing </w:t>
      </w:r>
      <w:r w:rsidR="00BD045E">
        <w:t xml:space="preserve">related </w:t>
      </w:r>
      <w:r w:rsidRPr="00AE2EBF">
        <w:t xml:space="preserve">to the Large-scale feed-in tariff scheme. </w:t>
      </w:r>
      <w:r w:rsidR="00111636">
        <w:t xml:space="preserve"> </w:t>
      </w:r>
      <w:r w:rsidR="00BD045E">
        <w:t>Treasury has advised that t</w:t>
      </w:r>
      <w:r w:rsidRPr="00AE2EBF">
        <w:t xml:space="preserve">here were significant over recoveries through the scheme in 2022-23, which, in line with the agreed scheme mechanisms, were utilised in 2023-24 and 2024-25 year to subsidise the customer receipts. </w:t>
      </w:r>
      <w:r w:rsidR="00BD045E">
        <w:t xml:space="preserve"> </w:t>
      </w:r>
      <w:r w:rsidRPr="00AE2EBF">
        <w:t>The lower accounting revenue from this has resulted in lower dividends in those respective years, with normal returns expected from 2025-26.</w:t>
      </w:r>
    </w:p>
    <w:p w14:paraId="365B4013" w14:textId="4EEAA1AE" w:rsidR="00111636" w:rsidRDefault="000B0790" w:rsidP="006C2929">
      <w:r>
        <w:t>While d</w:t>
      </w:r>
      <w:r w:rsidR="00111636">
        <w:t xml:space="preserve">ividends expected from the Suburban Land Agency and City Renewal Authority are </w:t>
      </w:r>
      <w:r>
        <w:t xml:space="preserve">growing rapidly over the Budget and forward years, they are </w:t>
      </w:r>
      <w:r w:rsidR="00111636">
        <w:t xml:space="preserve">lower </w:t>
      </w:r>
      <w:r>
        <w:t xml:space="preserve">in 2023-24 to 2025-26 </w:t>
      </w:r>
      <w:r w:rsidR="00111636">
        <w:t xml:space="preserve">than forecast last year </w:t>
      </w:r>
      <w:r w:rsidR="006C2929">
        <w:t xml:space="preserve">but are forecast to be higher in 2026-27 and relatively high again in 2027-28.  Treasury has advised that </w:t>
      </w:r>
      <w:r>
        <w:t xml:space="preserve">forecast </w:t>
      </w:r>
      <w:r w:rsidR="006C2929">
        <w:t xml:space="preserve">growth </w:t>
      </w:r>
      <w:r>
        <w:t xml:space="preserve">in the dividend </w:t>
      </w:r>
      <w:r w:rsidR="006C2929">
        <w:t xml:space="preserve">in the forward years </w:t>
      </w:r>
      <w:r w:rsidR="006C2929" w:rsidRPr="006C2929">
        <w:t>reflect</w:t>
      </w:r>
      <w:r w:rsidR="006C2929">
        <w:t>s</w:t>
      </w:r>
      <w:r w:rsidR="006C2929" w:rsidRPr="006C2929">
        <w:t xml:space="preserve"> </w:t>
      </w:r>
      <w:r>
        <w:t xml:space="preserve">projected </w:t>
      </w:r>
      <w:r w:rsidR="006C2929">
        <w:t>increase</w:t>
      </w:r>
      <w:r>
        <w:t>s</w:t>
      </w:r>
      <w:r w:rsidR="006C2929" w:rsidRPr="006C2929">
        <w:t xml:space="preserve"> </w:t>
      </w:r>
      <w:r>
        <w:t xml:space="preserve">in </w:t>
      </w:r>
      <w:r w:rsidR="006C2929" w:rsidRPr="006C2929">
        <w:t>the supply of developable land to increase the stock of housing relative to forecast population growth.</w:t>
      </w:r>
    </w:p>
    <w:p w14:paraId="3A0F3CAB" w14:textId="77777777" w:rsidR="00C7198D" w:rsidRDefault="00C7198D" w:rsidP="00C7198D">
      <w:pPr>
        <w:pStyle w:val="Heading2"/>
        <w:spacing w:after="240"/>
      </w:pPr>
      <w:bookmarkStart w:id="115" w:name="_Toc171949008"/>
      <w:r>
        <w:lastRenderedPageBreak/>
        <w:t>4.5</w:t>
      </w:r>
      <w:r>
        <w:tab/>
        <w:t>Contributed assets</w:t>
      </w:r>
      <w:bookmarkEnd w:id="115"/>
    </w:p>
    <w:p w14:paraId="759730AD" w14:textId="77777777" w:rsidR="00C7198D" w:rsidRDefault="00C7198D" w:rsidP="00C7198D">
      <w:r>
        <w:t>The Budget forecasts revenue from contributed assets of $173.3 million in 2024-25, an increase of $20.1 million from the 2023-24 Estimated Outcome.</w:t>
      </w:r>
    </w:p>
    <w:p w14:paraId="35659070" w14:textId="0F3F51D6" w:rsidR="00694D47" w:rsidRDefault="00C7198D" w:rsidP="00BD045E">
      <w:pPr>
        <w:rPr>
          <w:lang w:val="en-NZ" w:eastAsia="en-NZ"/>
        </w:rPr>
      </w:pPr>
      <w:r>
        <w:t xml:space="preserve">There have been significant changes in the revenue estimates from the 2023-24 Budget. </w:t>
      </w:r>
      <w:r w:rsidR="00BD045E">
        <w:t xml:space="preserve"> </w:t>
      </w:r>
      <w:r>
        <w:t>Gains from contributed assets other than Large-scale Generation Certificates increase significantly in 2025-26 and steadily decrease across 2026-27 and 2027-28.</w:t>
      </w:r>
      <w:r w:rsidR="00BD045E">
        <w:t xml:space="preserve"> </w:t>
      </w:r>
      <w:r>
        <w:t xml:space="preserve"> </w:t>
      </w:r>
      <w:r w:rsidR="000B0790">
        <w:t>Gains from</w:t>
      </w:r>
      <w:r>
        <w:t xml:space="preserve"> Large-scale Generation Certificates, </w:t>
      </w:r>
      <w:r w:rsidR="000B0790">
        <w:t>are forecast to</w:t>
      </w:r>
      <w:r>
        <w:t xml:space="preserve"> taper off over the forward years.</w:t>
      </w:r>
    </w:p>
    <w:p w14:paraId="7FB7F589" w14:textId="786EC267" w:rsidR="002D19ED" w:rsidRDefault="008F0C15" w:rsidP="001315B2">
      <w:pPr>
        <w:pStyle w:val="BodyText"/>
      </w:pPr>
      <w:r>
        <w:br w:type="page"/>
      </w:r>
    </w:p>
    <w:p w14:paraId="6BFB4257" w14:textId="2CD9717A" w:rsidR="00D95DFE" w:rsidRPr="00DB7FA6" w:rsidRDefault="0073739D" w:rsidP="00DB7FA6">
      <w:pPr>
        <w:pStyle w:val="Heading1"/>
      </w:pPr>
      <w:bookmarkStart w:id="116" w:name="_Toc453495125"/>
      <w:bookmarkStart w:id="117" w:name="_Toc453516124"/>
      <w:bookmarkStart w:id="118" w:name="_Toc485570996"/>
      <w:bookmarkStart w:id="119" w:name="_Toc171949009"/>
      <w:r w:rsidRPr="00DB7FA6">
        <w:lastRenderedPageBreak/>
        <w:t>5</w:t>
      </w:r>
      <w:r w:rsidR="00F917F6" w:rsidRPr="00DB7FA6">
        <w:t>.</w:t>
      </w:r>
      <w:r w:rsidR="00D95DFE" w:rsidRPr="00DB7FA6">
        <w:tab/>
        <w:t>Expen</w:t>
      </w:r>
      <w:r w:rsidR="00C21F75" w:rsidRPr="00DB7FA6">
        <w:t>ses</w:t>
      </w:r>
      <w:bookmarkEnd w:id="119"/>
      <w:r w:rsidR="00C21F75" w:rsidRPr="00DB7FA6">
        <w:t xml:space="preserve"> </w:t>
      </w:r>
      <w:bookmarkEnd w:id="116"/>
      <w:bookmarkEnd w:id="117"/>
      <w:bookmarkEnd w:id="118"/>
    </w:p>
    <w:p w14:paraId="431CAEDE" w14:textId="77777777" w:rsidR="00C21F75" w:rsidRPr="00E94DE1" w:rsidRDefault="00C21F75" w:rsidP="00C21F75">
      <w:pPr>
        <w:shd w:val="clear" w:color="auto" w:fill="FFFFFF"/>
        <w:rPr>
          <w:rFonts w:ascii="Aptos" w:eastAsia="Times New Roman" w:hAnsi="Aptos" w:cs="Arial"/>
          <w:i/>
          <w:iCs/>
          <w:color w:val="5B9BD5"/>
          <w:sz w:val="24"/>
          <w:szCs w:val="24"/>
          <w:lang w:eastAsia="en-GB" w:bidi="he-IL"/>
        </w:rPr>
      </w:pPr>
      <w:r w:rsidRPr="00E94DE1">
        <w:rPr>
          <w:rFonts w:ascii="Aptos" w:eastAsia="Times New Roman" w:hAnsi="Aptos" w:cs="Arial"/>
          <w:i/>
          <w:iCs/>
          <w:color w:val="5B9BD5"/>
          <w:sz w:val="24"/>
          <w:szCs w:val="24"/>
          <w:lang w:eastAsia="en-GB" w:bidi="he-IL"/>
        </w:rPr>
        <w:t xml:space="preserve">Forecast expenses for 2024-25 of $9.0 billion are $438.6 million or 5.1 percent higher than the expected 2023-24 outcome.  </w:t>
      </w:r>
    </w:p>
    <w:p w14:paraId="3E6D55E9" w14:textId="0B332EB3" w:rsidR="00C21F75" w:rsidRPr="00E94DE1" w:rsidRDefault="00C21F75" w:rsidP="00C21F75">
      <w:pPr>
        <w:shd w:val="clear" w:color="auto" w:fill="FFFFFF"/>
        <w:rPr>
          <w:rFonts w:ascii="Aptos" w:eastAsia="Times New Roman" w:hAnsi="Aptos" w:cs="Arial"/>
          <w:i/>
          <w:iCs/>
          <w:color w:val="5B9BD5"/>
          <w:sz w:val="24"/>
          <w:szCs w:val="24"/>
          <w:lang w:eastAsia="en-GB" w:bidi="he-IL"/>
        </w:rPr>
      </w:pPr>
      <w:r w:rsidRPr="00E94DE1">
        <w:rPr>
          <w:rFonts w:ascii="Aptos" w:eastAsia="Times New Roman" w:hAnsi="Aptos" w:cs="Arial"/>
          <w:i/>
          <w:iCs/>
          <w:color w:val="5B9BD5"/>
          <w:sz w:val="24"/>
          <w:szCs w:val="24"/>
          <w:lang w:eastAsia="en-GB" w:bidi="he-IL"/>
        </w:rPr>
        <w:t>Expenses are forecast to grow over the Budget and forward estimates period by 14.2</w:t>
      </w:r>
      <w:r w:rsidR="00AF27A8">
        <w:rPr>
          <w:rFonts w:ascii="Aptos" w:eastAsia="Times New Roman" w:hAnsi="Aptos" w:cs="Arial"/>
          <w:i/>
          <w:iCs/>
          <w:color w:val="5B9BD5"/>
          <w:sz w:val="24"/>
          <w:szCs w:val="24"/>
          <w:lang w:eastAsia="en-GB" w:bidi="he-IL"/>
        </w:rPr>
        <w:t> </w:t>
      </w:r>
      <w:r w:rsidRPr="00E94DE1">
        <w:rPr>
          <w:rFonts w:ascii="Aptos" w:eastAsia="Times New Roman" w:hAnsi="Aptos" w:cs="Arial"/>
          <w:i/>
          <w:iCs/>
          <w:color w:val="5B9BD5"/>
          <w:sz w:val="24"/>
          <w:szCs w:val="24"/>
          <w:lang w:eastAsia="en-GB" w:bidi="he-IL"/>
        </w:rPr>
        <w:t>percent on the estimated outcome for 2023-24, an annual growth rate of 3.</w:t>
      </w:r>
      <w:r w:rsidR="000B0790">
        <w:rPr>
          <w:rFonts w:ascii="Aptos" w:eastAsia="Times New Roman" w:hAnsi="Aptos" w:cs="Arial"/>
          <w:i/>
          <w:iCs/>
          <w:color w:val="5B9BD5"/>
          <w:sz w:val="24"/>
          <w:szCs w:val="24"/>
          <w:lang w:eastAsia="en-GB" w:bidi="he-IL"/>
        </w:rPr>
        <w:t>4</w:t>
      </w:r>
      <w:r w:rsidR="00AF27A8">
        <w:rPr>
          <w:rFonts w:ascii="Aptos" w:eastAsia="Times New Roman" w:hAnsi="Aptos" w:cs="Arial"/>
          <w:i/>
          <w:iCs/>
          <w:color w:val="5B9BD5"/>
          <w:sz w:val="24"/>
          <w:szCs w:val="24"/>
          <w:lang w:eastAsia="en-GB" w:bidi="he-IL"/>
        </w:rPr>
        <w:t> </w:t>
      </w:r>
      <w:r w:rsidRPr="00E94DE1">
        <w:rPr>
          <w:rFonts w:ascii="Aptos" w:eastAsia="Times New Roman" w:hAnsi="Aptos" w:cs="Arial"/>
          <w:i/>
          <w:iCs/>
          <w:color w:val="5B9BD5"/>
          <w:sz w:val="24"/>
          <w:szCs w:val="24"/>
          <w:lang w:eastAsia="en-GB" w:bidi="he-IL"/>
        </w:rPr>
        <w:t>percent, but are still expected to fall as a proportion of GSP over the Budget and forward estimates period.</w:t>
      </w:r>
    </w:p>
    <w:p w14:paraId="0385AEA1" w14:textId="69CC65DC" w:rsidR="00C21F75" w:rsidRPr="00E94DE1" w:rsidRDefault="00DB6CCE" w:rsidP="00C21F75">
      <w:pPr>
        <w:shd w:val="clear" w:color="auto" w:fill="FFFFFF"/>
        <w:rPr>
          <w:rFonts w:ascii="Aptos" w:eastAsia="Times New Roman" w:hAnsi="Aptos" w:cs="Arial"/>
          <w:i/>
          <w:iCs/>
          <w:color w:val="5B9BD5"/>
          <w:sz w:val="24"/>
          <w:szCs w:val="24"/>
          <w:lang w:eastAsia="en-GB" w:bidi="he-IL"/>
        </w:rPr>
      </w:pPr>
      <w:r>
        <w:rPr>
          <w:rFonts w:ascii="Aptos" w:eastAsia="Times New Roman" w:hAnsi="Aptos" w:cs="Arial"/>
          <w:i/>
          <w:iCs/>
          <w:color w:val="5B9BD5"/>
          <w:sz w:val="24"/>
          <w:szCs w:val="24"/>
          <w:lang w:eastAsia="en-GB" w:bidi="he-IL"/>
        </w:rPr>
        <w:t>G</w:t>
      </w:r>
      <w:r w:rsidR="00C21F75" w:rsidRPr="00E94DE1">
        <w:rPr>
          <w:rFonts w:ascii="Aptos" w:eastAsia="Times New Roman" w:hAnsi="Aptos" w:cs="Arial"/>
          <w:i/>
          <w:iCs/>
          <w:color w:val="5B9BD5"/>
          <w:sz w:val="24"/>
          <w:szCs w:val="24"/>
          <w:lang w:eastAsia="en-GB" w:bidi="he-IL"/>
        </w:rPr>
        <w:t>rowth in expenses over the Budget and forward estimates</w:t>
      </w:r>
      <w:r>
        <w:rPr>
          <w:rFonts w:ascii="Aptos" w:eastAsia="Times New Roman" w:hAnsi="Aptos" w:cs="Arial"/>
          <w:i/>
          <w:iCs/>
          <w:color w:val="5B9BD5"/>
          <w:sz w:val="24"/>
          <w:szCs w:val="24"/>
          <w:lang w:eastAsia="en-GB" w:bidi="he-IL"/>
        </w:rPr>
        <w:t xml:space="preserve"> has been driven by new initiatives and technical adjustments to parameters, </w:t>
      </w:r>
      <w:r w:rsidR="00C21F75" w:rsidRPr="00E94DE1">
        <w:rPr>
          <w:rFonts w:ascii="Aptos" w:eastAsia="Times New Roman" w:hAnsi="Aptos" w:cs="Arial"/>
          <w:i/>
          <w:iCs/>
          <w:color w:val="5B9BD5"/>
          <w:sz w:val="24"/>
          <w:szCs w:val="24"/>
          <w:lang w:eastAsia="en-GB" w:bidi="he-IL"/>
        </w:rPr>
        <w:t>partly offset by savings measures.</w:t>
      </w:r>
    </w:p>
    <w:p w14:paraId="709E4792" w14:textId="13A8E1A0" w:rsidR="00DB6CCE" w:rsidRDefault="00E32DC2" w:rsidP="00E32DC2">
      <w:pPr>
        <w:shd w:val="clear" w:color="auto" w:fill="FFFFFF"/>
        <w:rPr>
          <w:rFonts w:ascii="Aptos" w:eastAsia="Times New Roman" w:hAnsi="Aptos" w:cs="Arial"/>
          <w:i/>
          <w:iCs/>
          <w:color w:val="5B9BD5"/>
          <w:sz w:val="24"/>
          <w:szCs w:val="24"/>
          <w:lang w:eastAsia="en-GB" w:bidi="he-IL"/>
        </w:rPr>
      </w:pPr>
      <w:r w:rsidRPr="00E32DC2">
        <w:rPr>
          <w:rFonts w:ascii="Aptos" w:eastAsia="Times New Roman" w:hAnsi="Aptos" w:cs="Arial"/>
          <w:i/>
          <w:iCs/>
          <w:color w:val="5B9BD5"/>
          <w:sz w:val="24"/>
          <w:szCs w:val="24"/>
          <w:lang w:eastAsia="en-GB" w:bidi="he-IL"/>
        </w:rPr>
        <w:t xml:space="preserve">Interest expenses show significant growth over the Budget and forward years.  </w:t>
      </w:r>
      <w:r w:rsidRPr="00E94DE1">
        <w:rPr>
          <w:rFonts w:ascii="Aptos" w:eastAsia="Times New Roman" w:hAnsi="Aptos" w:cs="Arial"/>
          <w:i/>
          <w:iCs/>
          <w:color w:val="5B9BD5"/>
          <w:sz w:val="24"/>
          <w:szCs w:val="24"/>
          <w:lang w:eastAsia="en-GB" w:bidi="he-IL"/>
        </w:rPr>
        <w:t xml:space="preserve">Interest expenses are now forecast to reach $514 million in 2024-25 and $832 million in 2027-28.  </w:t>
      </w:r>
      <w:r w:rsidRPr="00E32DC2">
        <w:rPr>
          <w:rFonts w:ascii="Aptos" w:eastAsia="Times New Roman" w:hAnsi="Aptos" w:cs="Arial"/>
          <w:i/>
          <w:iCs/>
          <w:color w:val="5B9BD5"/>
          <w:sz w:val="24"/>
          <w:szCs w:val="24"/>
          <w:lang w:eastAsia="en-GB" w:bidi="he-IL"/>
        </w:rPr>
        <w:t xml:space="preserve">The Budget forecast for interest expenses is $127.2 million higher than the estimated 2023-24 outcome and is forecast to increase by a further $318.3 million over the Budget and forward years.  </w:t>
      </w:r>
    </w:p>
    <w:p w14:paraId="172D6231" w14:textId="2DDB6655" w:rsidR="00C21F75" w:rsidRPr="00E94DE1" w:rsidRDefault="00C21F75" w:rsidP="00E94DE1">
      <w:pPr>
        <w:shd w:val="clear" w:color="auto" w:fill="FFFFFF"/>
        <w:rPr>
          <w:rFonts w:ascii="Aptos" w:eastAsia="Times New Roman" w:hAnsi="Aptos" w:cs="Arial"/>
          <w:i/>
          <w:iCs/>
          <w:color w:val="5B9BD5"/>
          <w:sz w:val="24"/>
          <w:szCs w:val="24"/>
          <w:lang w:eastAsia="en-GB" w:bidi="he-IL"/>
        </w:rPr>
      </w:pPr>
      <w:r w:rsidRPr="00E94DE1">
        <w:rPr>
          <w:rFonts w:ascii="Aptos" w:eastAsia="Times New Roman" w:hAnsi="Aptos" w:cs="Arial"/>
          <w:i/>
          <w:iCs/>
          <w:color w:val="5B9BD5"/>
          <w:sz w:val="24"/>
          <w:szCs w:val="24"/>
          <w:lang w:eastAsia="en-GB" w:bidi="he-IL"/>
        </w:rPr>
        <w:t xml:space="preserve">High interest payments divert resources that could otherwise be directed to </w:t>
      </w:r>
      <w:r w:rsidR="000B0790">
        <w:rPr>
          <w:rFonts w:ascii="Aptos" w:eastAsia="Times New Roman" w:hAnsi="Aptos" w:cs="Arial"/>
          <w:i/>
          <w:iCs/>
          <w:color w:val="5B9BD5"/>
          <w:sz w:val="24"/>
          <w:szCs w:val="24"/>
          <w:lang w:eastAsia="en-GB" w:bidi="he-IL"/>
        </w:rPr>
        <w:t xml:space="preserve">improved </w:t>
      </w:r>
      <w:r w:rsidRPr="00E94DE1">
        <w:rPr>
          <w:rFonts w:ascii="Aptos" w:eastAsia="Times New Roman" w:hAnsi="Aptos" w:cs="Arial"/>
          <w:i/>
          <w:iCs/>
          <w:color w:val="5B9BD5"/>
          <w:sz w:val="24"/>
          <w:szCs w:val="24"/>
          <w:lang w:eastAsia="en-GB" w:bidi="he-IL"/>
        </w:rPr>
        <w:t xml:space="preserve">services and </w:t>
      </w:r>
      <w:r w:rsidR="00E32DC2">
        <w:rPr>
          <w:rFonts w:ascii="Aptos" w:eastAsia="Times New Roman" w:hAnsi="Aptos" w:cs="Arial"/>
          <w:i/>
          <w:iCs/>
          <w:color w:val="5B9BD5"/>
          <w:sz w:val="24"/>
          <w:szCs w:val="24"/>
          <w:lang w:eastAsia="en-GB" w:bidi="he-IL"/>
        </w:rPr>
        <w:t xml:space="preserve">will </w:t>
      </w:r>
      <w:r w:rsidRPr="00E94DE1">
        <w:rPr>
          <w:rFonts w:ascii="Aptos" w:eastAsia="Times New Roman" w:hAnsi="Aptos" w:cs="Arial"/>
          <w:i/>
          <w:iCs/>
          <w:color w:val="5B9BD5"/>
          <w:sz w:val="24"/>
          <w:szCs w:val="24"/>
          <w:lang w:eastAsia="en-GB" w:bidi="he-IL"/>
        </w:rPr>
        <w:t>constrain future budget flexibility.</w:t>
      </w:r>
      <w:r w:rsidR="00DB7FA6">
        <w:rPr>
          <w:rFonts w:ascii="Aptos" w:eastAsia="Times New Roman" w:hAnsi="Aptos" w:cs="Arial"/>
          <w:i/>
          <w:iCs/>
          <w:color w:val="5B9BD5"/>
          <w:sz w:val="24"/>
          <w:szCs w:val="24"/>
          <w:lang w:eastAsia="en-GB" w:bidi="he-IL"/>
        </w:rPr>
        <w:t xml:space="preserve"> </w:t>
      </w:r>
    </w:p>
    <w:p w14:paraId="2B2E6CDE" w14:textId="4A269332" w:rsidR="00C21F75" w:rsidRDefault="0073739D" w:rsidP="00C21F75">
      <w:pPr>
        <w:pStyle w:val="Heading2"/>
      </w:pPr>
      <w:bookmarkStart w:id="120" w:name="_Toc484807073"/>
      <w:bookmarkStart w:id="121" w:name="_Toc453516125"/>
      <w:bookmarkStart w:id="122" w:name="_Toc453495126"/>
      <w:bookmarkStart w:id="123" w:name="_Toc485570997"/>
      <w:bookmarkStart w:id="124" w:name="_Toc171949010"/>
      <w:r>
        <w:t>5</w:t>
      </w:r>
      <w:r w:rsidR="00116722" w:rsidRPr="006967FF">
        <w:t>.1</w:t>
      </w:r>
      <w:r w:rsidR="00116722" w:rsidRPr="006967FF">
        <w:tab/>
        <w:t>Overview</w:t>
      </w:r>
      <w:bookmarkStart w:id="125" w:name="_Toc484807072"/>
      <w:bookmarkStart w:id="126" w:name="_Toc453495130"/>
      <w:bookmarkStart w:id="127" w:name="_Toc453516131"/>
      <w:bookmarkEnd w:id="120"/>
      <w:bookmarkEnd w:id="121"/>
      <w:bookmarkEnd w:id="122"/>
      <w:bookmarkEnd w:id="123"/>
      <w:bookmarkEnd w:id="124"/>
    </w:p>
    <w:p w14:paraId="66CA3DEF" w14:textId="1170C251" w:rsidR="00E94DE1" w:rsidRDefault="00E94DE1" w:rsidP="00E94DE1">
      <w:pPr>
        <w:spacing w:before="200" w:after="200"/>
        <w:rPr>
          <w:rFonts w:cstheme="minorHAnsi"/>
        </w:rPr>
      </w:pPr>
      <w:r>
        <w:rPr>
          <w:rFonts w:cstheme="minorHAnsi"/>
        </w:rPr>
        <w:t>Forecast expenses for 2024-25 of $9.0 billion are $438.6 million or 5.1 percent higher than the expected 2023-24 outcome</w:t>
      </w:r>
      <w:r w:rsidRPr="006B0279">
        <w:rPr>
          <w:rFonts w:cstheme="minorHAnsi"/>
        </w:rPr>
        <w:t xml:space="preserve"> </w:t>
      </w:r>
      <w:r>
        <w:rPr>
          <w:rFonts w:cstheme="minorHAnsi"/>
        </w:rPr>
        <w:t>and $415 million or 5.2 percent higher than forecast in last year’s budget.</w:t>
      </w:r>
      <w:r w:rsidR="000B0790">
        <w:rPr>
          <w:rFonts w:cstheme="minorHAnsi"/>
        </w:rPr>
        <w:t xml:space="preserve">  </w:t>
      </w:r>
    </w:p>
    <w:p w14:paraId="77B6EABD" w14:textId="721C32C7" w:rsidR="00E94DE1" w:rsidRDefault="00417784" w:rsidP="00E94DE1">
      <w:pPr>
        <w:spacing w:before="200" w:after="200"/>
        <w:rPr>
          <w:rFonts w:cstheme="minorHAnsi"/>
        </w:rPr>
      </w:pPr>
      <w:r>
        <w:rPr>
          <w:rFonts w:cstheme="minorHAnsi"/>
        </w:rPr>
        <w:fldChar w:fldCharType="begin"/>
      </w:r>
      <w:r>
        <w:rPr>
          <w:rFonts w:cstheme="minorHAnsi"/>
        </w:rPr>
        <w:instrText xml:space="preserve"> REF _Ref170907829 \h </w:instrText>
      </w:r>
      <w:r>
        <w:rPr>
          <w:rFonts w:cstheme="minorHAnsi"/>
        </w:rPr>
      </w:r>
      <w:r>
        <w:rPr>
          <w:rFonts w:cstheme="minorHAnsi"/>
        </w:rPr>
        <w:fldChar w:fldCharType="separate"/>
      </w:r>
      <w:r w:rsidR="000B62ED">
        <w:t xml:space="preserve">Table </w:t>
      </w:r>
      <w:r w:rsidR="000B62ED">
        <w:rPr>
          <w:noProof/>
        </w:rPr>
        <w:t>6</w:t>
      </w:r>
      <w:r>
        <w:rPr>
          <w:rFonts w:cstheme="minorHAnsi"/>
        </w:rPr>
        <w:fldChar w:fldCharType="end"/>
      </w:r>
      <w:r>
        <w:rPr>
          <w:rFonts w:cstheme="minorHAnsi"/>
        </w:rPr>
        <w:t xml:space="preserve"> </w:t>
      </w:r>
      <w:r w:rsidR="00E94DE1">
        <w:rPr>
          <w:rFonts w:cstheme="minorHAnsi"/>
        </w:rPr>
        <w:t xml:space="preserve">sets out the forecasts for aggregate expenses for the budget and forward years. </w:t>
      </w:r>
    </w:p>
    <w:p w14:paraId="3F584A99" w14:textId="0FD6D213" w:rsidR="00E94DE1" w:rsidRDefault="00E94DE1" w:rsidP="00E94DE1">
      <w:pPr>
        <w:pStyle w:val="Caption"/>
        <w:rPr>
          <w:rFonts w:cstheme="minorHAnsi"/>
        </w:rPr>
      </w:pPr>
      <w:bookmarkStart w:id="128" w:name="_Ref170907829"/>
      <w:bookmarkStart w:id="129" w:name="_Toc110939292"/>
      <w:bookmarkStart w:id="130" w:name="_Toc171949054"/>
      <w:r>
        <w:t xml:space="preserve">Table </w:t>
      </w:r>
      <w:r>
        <w:fldChar w:fldCharType="begin"/>
      </w:r>
      <w:r>
        <w:instrText xml:space="preserve"> SEQ Table \* ARABIC </w:instrText>
      </w:r>
      <w:r>
        <w:fldChar w:fldCharType="separate"/>
      </w:r>
      <w:r w:rsidR="000B62ED">
        <w:rPr>
          <w:noProof/>
        </w:rPr>
        <w:t>6</w:t>
      </w:r>
      <w:r>
        <w:rPr>
          <w:noProof/>
        </w:rPr>
        <w:fldChar w:fldCharType="end"/>
      </w:r>
      <w:bookmarkEnd w:id="128"/>
      <w:r>
        <w:t>: Budget and forecast expenses</w:t>
      </w:r>
      <w:bookmarkEnd w:id="129"/>
      <w:bookmarkEnd w:id="130"/>
    </w:p>
    <w:tbl>
      <w:tblPr>
        <w:tblW w:w="9075" w:type="dxa"/>
        <w:tblLayout w:type="fixed"/>
        <w:tblLook w:val="01E0" w:firstRow="1" w:lastRow="1" w:firstColumn="1" w:lastColumn="1" w:noHBand="0" w:noVBand="0"/>
      </w:tblPr>
      <w:tblGrid>
        <w:gridCol w:w="3088"/>
        <w:gridCol w:w="1199"/>
        <w:gridCol w:w="1197"/>
        <w:gridCol w:w="1197"/>
        <w:gridCol w:w="1197"/>
        <w:gridCol w:w="1197"/>
      </w:tblGrid>
      <w:tr w:rsidR="00E94DE1" w:rsidRPr="00A076CB" w14:paraId="5EC13AB0" w14:textId="77777777" w:rsidTr="002A0BB3">
        <w:trPr>
          <w:cantSplit/>
          <w:trHeight w:val="227"/>
        </w:trPr>
        <w:tc>
          <w:tcPr>
            <w:tcW w:w="3088" w:type="dxa"/>
            <w:tcBorders>
              <w:top w:val="single" w:sz="4" w:space="0" w:color="auto"/>
              <w:left w:val="nil"/>
              <w:bottom w:val="nil"/>
              <w:right w:val="nil"/>
            </w:tcBorders>
          </w:tcPr>
          <w:p w14:paraId="3932A5D3" w14:textId="77777777" w:rsidR="00E94DE1" w:rsidRDefault="00E94DE1" w:rsidP="002A0BB3">
            <w:pPr>
              <w:pStyle w:val="EmptyCell"/>
              <w:spacing w:line="252" w:lineRule="auto"/>
            </w:pPr>
          </w:p>
        </w:tc>
        <w:tc>
          <w:tcPr>
            <w:tcW w:w="1199" w:type="dxa"/>
            <w:tcBorders>
              <w:top w:val="single" w:sz="4" w:space="0" w:color="auto"/>
              <w:left w:val="nil"/>
              <w:bottom w:val="nil"/>
              <w:right w:val="nil"/>
            </w:tcBorders>
            <w:hideMark/>
          </w:tcPr>
          <w:p w14:paraId="67106C1D" w14:textId="77777777" w:rsidR="00E94DE1" w:rsidRPr="00A076CB" w:rsidRDefault="00E94DE1" w:rsidP="002A0BB3">
            <w:pPr>
              <w:pStyle w:val="BStablefigures"/>
              <w:framePr w:wrap="around"/>
              <w:rPr>
                <w:b/>
                <w:bCs w:val="0"/>
              </w:rPr>
            </w:pPr>
            <w:r w:rsidRPr="00A076CB">
              <w:rPr>
                <w:b/>
                <w:bCs w:val="0"/>
              </w:rPr>
              <w:t>2023-24</w:t>
            </w:r>
          </w:p>
          <w:p w14:paraId="7C1073EA" w14:textId="77777777" w:rsidR="00E94DE1" w:rsidRPr="00A076CB" w:rsidRDefault="00E94DE1" w:rsidP="002A0BB3">
            <w:pPr>
              <w:pStyle w:val="BStablefigures"/>
              <w:framePr w:wrap="around"/>
              <w:rPr>
                <w:b/>
                <w:bCs w:val="0"/>
              </w:rPr>
            </w:pPr>
            <w:r w:rsidRPr="00A076CB">
              <w:rPr>
                <w:b/>
                <w:bCs w:val="0"/>
              </w:rPr>
              <w:t>Est. Outcome</w:t>
            </w:r>
          </w:p>
        </w:tc>
        <w:tc>
          <w:tcPr>
            <w:tcW w:w="1197" w:type="dxa"/>
            <w:tcBorders>
              <w:top w:val="single" w:sz="4" w:space="0" w:color="auto"/>
              <w:left w:val="nil"/>
              <w:bottom w:val="nil"/>
              <w:right w:val="nil"/>
            </w:tcBorders>
            <w:hideMark/>
          </w:tcPr>
          <w:p w14:paraId="1E3BE0FB" w14:textId="77777777" w:rsidR="00E94DE1" w:rsidRPr="00A076CB" w:rsidRDefault="00E94DE1" w:rsidP="002A0BB3">
            <w:pPr>
              <w:pStyle w:val="BStablefigures"/>
              <w:framePr w:wrap="around"/>
              <w:rPr>
                <w:b/>
                <w:bCs w:val="0"/>
              </w:rPr>
            </w:pPr>
            <w:r w:rsidRPr="00A076CB">
              <w:rPr>
                <w:b/>
                <w:bCs w:val="0"/>
              </w:rPr>
              <w:t>2024-25</w:t>
            </w:r>
          </w:p>
          <w:p w14:paraId="7A32B228" w14:textId="77777777" w:rsidR="00E94DE1" w:rsidRPr="00A076CB" w:rsidRDefault="00E94DE1" w:rsidP="002A0BB3">
            <w:pPr>
              <w:pStyle w:val="BStablefigures"/>
              <w:framePr w:wrap="around"/>
              <w:rPr>
                <w:b/>
                <w:bCs w:val="0"/>
              </w:rPr>
            </w:pPr>
            <w:r w:rsidRPr="00A076CB">
              <w:rPr>
                <w:b/>
                <w:bCs w:val="0"/>
              </w:rPr>
              <w:t>Budget</w:t>
            </w:r>
          </w:p>
        </w:tc>
        <w:tc>
          <w:tcPr>
            <w:tcW w:w="1197" w:type="dxa"/>
            <w:tcBorders>
              <w:top w:val="single" w:sz="4" w:space="0" w:color="auto"/>
              <w:left w:val="nil"/>
              <w:bottom w:val="nil"/>
              <w:right w:val="nil"/>
            </w:tcBorders>
            <w:hideMark/>
          </w:tcPr>
          <w:p w14:paraId="05E9927C" w14:textId="77777777" w:rsidR="00E94DE1" w:rsidRPr="00A076CB" w:rsidRDefault="00E94DE1" w:rsidP="002A0BB3">
            <w:pPr>
              <w:pStyle w:val="BStablefigures"/>
              <w:framePr w:wrap="around"/>
              <w:rPr>
                <w:b/>
                <w:bCs w:val="0"/>
              </w:rPr>
            </w:pPr>
            <w:r w:rsidRPr="00A076CB">
              <w:rPr>
                <w:b/>
                <w:bCs w:val="0"/>
              </w:rPr>
              <w:t>2025-26</w:t>
            </w:r>
          </w:p>
          <w:p w14:paraId="6CA54C87" w14:textId="77777777" w:rsidR="00E94DE1" w:rsidRPr="00A076CB" w:rsidRDefault="00E94DE1" w:rsidP="002A0BB3">
            <w:pPr>
              <w:pStyle w:val="BStablefigures"/>
              <w:framePr w:wrap="around"/>
              <w:rPr>
                <w:b/>
                <w:bCs w:val="0"/>
              </w:rPr>
            </w:pPr>
            <w:r w:rsidRPr="00A076CB">
              <w:rPr>
                <w:b/>
                <w:bCs w:val="0"/>
              </w:rPr>
              <w:t>Estimate</w:t>
            </w:r>
          </w:p>
        </w:tc>
        <w:tc>
          <w:tcPr>
            <w:tcW w:w="1197" w:type="dxa"/>
            <w:tcBorders>
              <w:top w:val="single" w:sz="4" w:space="0" w:color="auto"/>
              <w:left w:val="nil"/>
              <w:bottom w:val="nil"/>
              <w:right w:val="nil"/>
            </w:tcBorders>
            <w:hideMark/>
          </w:tcPr>
          <w:p w14:paraId="1C75BAB3" w14:textId="77777777" w:rsidR="00E94DE1" w:rsidRPr="00A076CB" w:rsidRDefault="00E94DE1" w:rsidP="002A0BB3">
            <w:pPr>
              <w:pStyle w:val="BStablefigures"/>
              <w:framePr w:wrap="around"/>
              <w:rPr>
                <w:b/>
                <w:bCs w:val="0"/>
              </w:rPr>
            </w:pPr>
            <w:r w:rsidRPr="00A076CB">
              <w:rPr>
                <w:b/>
                <w:bCs w:val="0"/>
              </w:rPr>
              <w:t>2026-27</w:t>
            </w:r>
          </w:p>
          <w:p w14:paraId="6B882EFB" w14:textId="77777777" w:rsidR="00E94DE1" w:rsidRPr="00A076CB" w:rsidRDefault="00E94DE1" w:rsidP="002A0BB3">
            <w:pPr>
              <w:pStyle w:val="BStablefigures"/>
              <w:framePr w:wrap="around"/>
              <w:rPr>
                <w:b/>
                <w:bCs w:val="0"/>
              </w:rPr>
            </w:pPr>
            <w:r w:rsidRPr="00A076CB">
              <w:rPr>
                <w:b/>
                <w:bCs w:val="0"/>
              </w:rPr>
              <w:t>Estimate</w:t>
            </w:r>
          </w:p>
        </w:tc>
        <w:tc>
          <w:tcPr>
            <w:tcW w:w="1197" w:type="dxa"/>
            <w:tcBorders>
              <w:top w:val="single" w:sz="4" w:space="0" w:color="auto"/>
              <w:left w:val="nil"/>
              <w:bottom w:val="nil"/>
              <w:right w:val="nil"/>
            </w:tcBorders>
            <w:hideMark/>
          </w:tcPr>
          <w:p w14:paraId="627F37BC" w14:textId="77777777" w:rsidR="00E94DE1" w:rsidRPr="00A076CB" w:rsidRDefault="00E94DE1" w:rsidP="002A0BB3">
            <w:pPr>
              <w:pStyle w:val="BStablefigures"/>
              <w:framePr w:wrap="around"/>
              <w:rPr>
                <w:b/>
                <w:bCs w:val="0"/>
              </w:rPr>
            </w:pPr>
            <w:r w:rsidRPr="00A076CB">
              <w:rPr>
                <w:b/>
                <w:bCs w:val="0"/>
              </w:rPr>
              <w:t>2027-28</w:t>
            </w:r>
          </w:p>
          <w:p w14:paraId="458A1E82" w14:textId="77777777" w:rsidR="00E94DE1" w:rsidRPr="00A076CB" w:rsidRDefault="00E94DE1" w:rsidP="002A0BB3">
            <w:pPr>
              <w:pStyle w:val="BStablefigures"/>
              <w:framePr w:wrap="around"/>
              <w:rPr>
                <w:b/>
                <w:bCs w:val="0"/>
              </w:rPr>
            </w:pPr>
            <w:r w:rsidRPr="00A076CB">
              <w:rPr>
                <w:b/>
                <w:bCs w:val="0"/>
              </w:rPr>
              <w:t>Estimate</w:t>
            </w:r>
          </w:p>
        </w:tc>
      </w:tr>
      <w:tr w:rsidR="00E94DE1" w:rsidRPr="00A076CB" w14:paraId="0B35E430" w14:textId="77777777" w:rsidTr="002A0BB3">
        <w:trPr>
          <w:cantSplit/>
          <w:trHeight w:val="227"/>
        </w:trPr>
        <w:tc>
          <w:tcPr>
            <w:tcW w:w="3088" w:type="dxa"/>
            <w:tcBorders>
              <w:top w:val="nil"/>
              <w:left w:val="nil"/>
              <w:bottom w:val="single" w:sz="4" w:space="0" w:color="auto"/>
              <w:right w:val="nil"/>
            </w:tcBorders>
            <w:hideMark/>
          </w:tcPr>
          <w:p w14:paraId="35F56D7F" w14:textId="77777777" w:rsidR="00E94DE1" w:rsidRDefault="00E94DE1" w:rsidP="002A0BB3">
            <w:pPr>
              <w:pStyle w:val="EmptyCell"/>
              <w:spacing w:line="252" w:lineRule="auto"/>
            </w:pPr>
            <w:r>
              <w:t xml:space="preserve"> </w:t>
            </w:r>
          </w:p>
        </w:tc>
        <w:tc>
          <w:tcPr>
            <w:tcW w:w="1199" w:type="dxa"/>
            <w:tcBorders>
              <w:top w:val="nil"/>
              <w:left w:val="nil"/>
              <w:bottom w:val="single" w:sz="4" w:space="0" w:color="auto"/>
              <w:right w:val="nil"/>
            </w:tcBorders>
            <w:hideMark/>
          </w:tcPr>
          <w:p w14:paraId="237668C5" w14:textId="77777777" w:rsidR="00E94DE1" w:rsidRPr="00A076CB" w:rsidRDefault="00E94DE1" w:rsidP="002A0BB3">
            <w:pPr>
              <w:pStyle w:val="BStablefigures"/>
              <w:framePr w:wrap="around"/>
              <w:rPr>
                <w:b/>
                <w:bCs w:val="0"/>
              </w:rPr>
            </w:pPr>
            <w:r w:rsidRPr="00A076CB">
              <w:rPr>
                <w:b/>
                <w:bCs w:val="0"/>
              </w:rPr>
              <w:t>$m</w:t>
            </w:r>
          </w:p>
        </w:tc>
        <w:tc>
          <w:tcPr>
            <w:tcW w:w="1197" w:type="dxa"/>
            <w:tcBorders>
              <w:top w:val="nil"/>
              <w:left w:val="nil"/>
              <w:bottom w:val="single" w:sz="4" w:space="0" w:color="auto"/>
              <w:right w:val="nil"/>
            </w:tcBorders>
            <w:hideMark/>
          </w:tcPr>
          <w:p w14:paraId="109E19EC" w14:textId="77777777" w:rsidR="00E94DE1" w:rsidRPr="00A076CB" w:rsidRDefault="00E94DE1" w:rsidP="002A0BB3">
            <w:pPr>
              <w:pStyle w:val="BStablefigures"/>
              <w:framePr w:wrap="around"/>
              <w:rPr>
                <w:b/>
                <w:bCs w:val="0"/>
              </w:rPr>
            </w:pPr>
            <w:r w:rsidRPr="00A076CB">
              <w:rPr>
                <w:b/>
                <w:bCs w:val="0"/>
              </w:rPr>
              <w:t>$m</w:t>
            </w:r>
          </w:p>
        </w:tc>
        <w:tc>
          <w:tcPr>
            <w:tcW w:w="1197" w:type="dxa"/>
            <w:tcBorders>
              <w:top w:val="nil"/>
              <w:left w:val="nil"/>
              <w:bottom w:val="single" w:sz="4" w:space="0" w:color="auto"/>
              <w:right w:val="nil"/>
            </w:tcBorders>
            <w:hideMark/>
          </w:tcPr>
          <w:p w14:paraId="1C5529BC" w14:textId="77777777" w:rsidR="00E94DE1" w:rsidRPr="00A076CB" w:rsidRDefault="00E94DE1" w:rsidP="002A0BB3">
            <w:pPr>
              <w:pStyle w:val="BStablefigures"/>
              <w:framePr w:wrap="around"/>
              <w:rPr>
                <w:b/>
                <w:bCs w:val="0"/>
              </w:rPr>
            </w:pPr>
            <w:r w:rsidRPr="00A076CB">
              <w:rPr>
                <w:b/>
                <w:bCs w:val="0"/>
              </w:rPr>
              <w:t>$m</w:t>
            </w:r>
          </w:p>
        </w:tc>
        <w:tc>
          <w:tcPr>
            <w:tcW w:w="1197" w:type="dxa"/>
            <w:tcBorders>
              <w:top w:val="nil"/>
              <w:left w:val="nil"/>
              <w:bottom w:val="single" w:sz="4" w:space="0" w:color="auto"/>
              <w:right w:val="nil"/>
            </w:tcBorders>
            <w:hideMark/>
          </w:tcPr>
          <w:p w14:paraId="0A2ED137" w14:textId="77777777" w:rsidR="00E94DE1" w:rsidRPr="00A076CB" w:rsidRDefault="00E94DE1" w:rsidP="002A0BB3">
            <w:pPr>
              <w:pStyle w:val="BStablefigures"/>
              <w:framePr w:wrap="around"/>
              <w:rPr>
                <w:b/>
                <w:bCs w:val="0"/>
              </w:rPr>
            </w:pPr>
            <w:r w:rsidRPr="00A076CB">
              <w:rPr>
                <w:b/>
                <w:bCs w:val="0"/>
              </w:rPr>
              <w:t>$m</w:t>
            </w:r>
          </w:p>
        </w:tc>
        <w:tc>
          <w:tcPr>
            <w:tcW w:w="1197" w:type="dxa"/>
            <w:tcBorders>
              <w:top w:val="nil"/>
              <w:left w:val="nil"/>
              <w:bottom w:val="single" w:sz="4" w:space="0" w:color="auto"/>
              <w:right w:val="nil"/>
            </w:tcBorders>
            <w:hideMark/>
          </w:tcPr>
          <w:p w14:paraId="411CDC22" w14:textId="77777777" w:rsidR="00E94DE1" w:rsidRPr="00A076CB" w:rsidRDefault="00E94DE1" w:rsidP="002A0BB3">
            <w:pPr>
              <w:pStyle w:val="BStablefigures"/>
              <w:framePr w:wrap="around"/>
              <w:rPr>
                <w:b/>
                <w:bCs w:val="0"/>
              </w:rPr>
            </w:pPr>
            <w:r w:rsidRPr="00A076CB">
              <w:rPr>
                <w:b/>
                <w:bCs w:val="0"/>
              </w:rPr>
              <w:t>$m</w:t>
            </w:r>
          </w:p>
        </w:tc>
      </w:tr>
    </w:tbl>
    <w:tbl>
      <w:tblPr>
        <w:tblW w:w="9075" w:type="dxa"/>
        <w:tblLayout w:type="fixed"/>
        <w:tblLook w:val="01E0" w:firstRow="1" w:lastRow="1" w:firstColumn="1" w:lastColumn="1" w:noHBand="0" w:noVBand="0"/>
      </w:tblPr>
      <w:tblGrid>
        <w:gridCol w:w="3088"/>
        <w:gridCol w:w="1199"/>
        <w:gridCol w:w="1197"/>
        <w:gridCol w:w="1197"/>
        <w:gridCol w:w="1197"/>
        <w:gridCol w:w="1197"/>
      </w:tblGrid>
      <w:tr w:rsidR="00E94DE1" w14:paraId="4B585004" w14:textId="77777777" w:rsidTr="002A0BB3">
        <w:trPr>
          <w:cantSplit/>
          <w:trHeight w:val="227"/>
        </w:trPr>
        <w:tc>
          <w:tcPr>
            <w:tcW w:w="3088" w:type="dxa"/>
            <w:tcBorders>
              <w:top w:val="single" w:sz="4" w:space="0" w:color="auto"/>
              <w:left w:val="nil"/>
              <w:bottom w:val="single" w:sz="4" w:space="0" w:color="auto"/>
              <w:right w:val="nil"/>
            </w:tcBorders>
            <w:hideMark/>
          </w:tcPr>
          <w:p w14:paraId="2D7FC521" w14:textId="77777777" w:rsidR="00E94DE1" w:rsidRDefault="00E94DE1" w:rsidP="002A0BB3">
            <w:pPr>
              <w:pStyle w:val="BStabletextunbold"/>
              <w:framePr w:wrap="around"/>
            </w:pPr>
            <w:r>
              <w:rPr>
                <w:lang w:eastAsia="en-AU"/>
              </w:rPr>
              <w:t>Expenses</w:t>
            </w:r>
          </w:p>
        </w:tc>
        <w:tc>
          <w:tcPr>
            <w:tcW w:w="1199" w:type="dxa"/>
            <w:tcBorders>
              <w:top w:val="single" w:sz="4" w:space="0" w:color="auto"/>
              <w:left w:val="nil"/>
              <w:bottom w:val="single" w:sz="4" w:space="0" w:color="auto"/>
              <w:right w:val="nil"/>
            </w:tcBorders>
            <w:vAlign w:val="center"/>
            <w:hideMark/>
          </w:tcPr>
          <w:p w14:paraId="19BA459A" w14:textId="77777777" w:rsidR="00E94DE1" w:rsidRDefault="00E94DE1" w:rsidP="002A0BB3">
            <w:pPr>
              <w:pStyle w:val="BStablefiguresunbold"/>
              <w:framePr w:wrap="around"/>
            </w:pPr>
            <w:r>
              <w:t>8,562.2</w:t>
            </w:r>
          </w:p>
        </w:tc>
        <w:tc>
          <w:tcPr>
            <w:tcW w:w="1197" w:type="dxa"/>
            <w:tcBorders>
              <w:top w:val="single" w:sz="4" w:space="0" w:color="auto"/>
              <w:left w:val="nil"/>
              <w:bottom w:val="single" w:sz="4" w:space="0" w:color="auto"/>
              <w:right w:val="nil"/>
            </w:tcBorders>
            <w:vAlign w:val="center"/>
            <w:hideMark/>
          </w:tcPr>
          <w:p w14:paraId="1A0CEAC8" w14:textId="77777777" w:rsidR="00E94DE1" w:rsidRDefault="00E94DE1" w:rsidP="002A0BB3">
            <w:pPr>
              <w:pStyle w:val="BStablefiguresunbold"/>
              <w:framePr w:wrap="around"/>
            </w:pPr>
            <w:r>
              <w:t>9000.8</w:t>
            </w:r>
          </w:p>
        </w:tc>
        <w:tc>
          <w:tcPr>
            <w:tcW w:w="1197" w:type="dxa"/>
            <w:tcBorders>
              <w:top w:val="single" w:sz="4" w:space="0" w:color="auto"/>
              <w:left w:val="nil"/>
              <w:bottom w:val="single" w:sz="4" w:space="0" w:color="auto"/>
              <w:right w:val="nil"/>
            </w:tcBorders>
            <w:vAlign w:val="center"/>
            <w:hideMark/>
          </w:tcPr>
          <w:p w14:paraId="7C97B938" w14:textId="77777777" w:rsidR="00E94DE1" w:rsidRDefault="00E94DE1" w:rsidP="002A0BB3">
            <w:pPr>
              <w:pStyle w:val="BStablefiguresunbold"/>
              <w:framePr w:wrap="around"/>
            </w:pPr>
            <w:r>
              <w:t>9,137.9</w:t>
            </w:r>
          </w:p>
        </w:tc>
        <w:tc>
          <w:tcPr>
            <w:tcW w:w="1197" w:type="dxa"/>
            <w:tcBorders>
              <w:top w:val="single" w:sz="4" w:space="0" w:color="auto"/>
              <w:left w:val="nil"/>
              <w:bottom w:val="single" w:sz="4" w:space="0" w:color="auto"/>
              <w:right w:val="nil"/>
            </w:tcBorders>
            <w:vAlign w:val="center"/>
            <w:hideMark/>
          </w:tcPr>
          <w:p w14:paraId="63A98CE2" w14:textId="77777777" w:rsidR="00E94DE1" w:rsidRDefault="00E94DE1" w:rsidP="002A0BB3">
            <w:pPr>
              <w:pStyle w:val="BStablefiguresunbold"/>
              <w:framePr w:wrap="around"/>
            </w:pPr>
            <w:r>
              <w:t>9,445.9</w:t>
            </w:r>
          </w:p>
        </w:tc>
        <w:tc>
          <w:tcPr>
            <w:tcW w:w="1197" w:type="dxa"/>
            <w:tcBorders>
              <w:top w:val="single" w:sz="4" w:space="0" w:color="auto"/>
              <w:left w:val="nil"/>
              <w:bottom w:val="single" w:sz="4" w:space="0" w:color="auto"/>
              <w:right w:val="nil"/>
            </w:tcBorders>
            <w:vAlign w:val="center"/>
            <w:hideMark/>
          </w:tcPr>
          <w:p w14:paraId="7A8E9789" w14:textId="77777777" w:rsidR="00E94DE1" w:rsidRDefault="00E94DE1" w:rsidP="002A0BB3">
            <w:pPr>
              <w:pStyle w:val="BStablefiguresunbold"/>
              <w:framePr w:wrap="around"/>
            </w:pPr>
            <w:r>
              <w:t>9,776.1</w:t>
            </w:r>
          </w:p>
        </w:tc>
      </w:tr>
    </w:tbl>
    <w:p w14:paraId="16027D00" w14:textId="77777777" w:rsidR="00E94DE1" w:rsidRDefault="00E94DE1" w:rsidP="00E94DE1">
      <w:pPr>
        <w:spacing w:before="0"/>
        <w:rPr>
          <w:rFonts w:cstheme="minorHAnsi"/>
          <w:sz w:val="20"/>
          <w:szCs w:val="20"/>
        </w:rPr>
      </w:pPr>
      <w:r>
        <w:rPr>
          <w:rFonts w:cstheme="minorHAnsi"/>
          <w:sz w:val="20"/>
          <w:szCs w:val="20"/>
        </w:rPr>
        <w:t>Source: ACT Budget 2024, Table 3.1.1</w:t>
      </w:r>
    </w:p>
    <w:p w14:paraId="788230C7" w14:textId="1324E42C" w:rsidR="00E94DE1" w:rsidRDefault="00E94DE1" w:rsidP="00E94DE1">
      <w:pPr>
        <w:spacing w:before="200" w:after="200"/>
        <w:rPr>
          <w:rFonts w:cstheme="minorHAnsi"/>
        </w:rPr>
      </w:pPr>
      <w:r>
        <w:rPr>
          <w:rFonts w:cstheme="minorHAnsi"/>
        </w:rPr>
        <w:t xml:space="preserve">The forecasts show growth over the period on the estimated outcome for 2023-24 of 14.2 percent, </w:t>
      </w:r>
      <w:r w:rsidRPr="00AB265A">
        <w:rPr>
          <w:rFonts w:cstheme="minorHAnsi"/>
        </w:rPr>
        <w:t xml:space="preserve">or an annual growth rate of </w:t>
      </w:r>
      <w:r w:rsidRPr="00F17D7A">
        <w:rPr>
          <w:rFonts w:cstheme="minorHAnsi"/>
        </w:rPr>
        <w:t>3.</w:t>
      </w:r>
      <w:r w:rsidR="00F17D7A" w:rsidRPr="00F17D7A">
        <w:rPr>
          <w:rFonts w:cstheme="minorHAnsi"/>
        </w:rPr>
        <w:t>4</w:t>
      </w:r>
      <w:r w:rsidRPr="00F17D7A">
        <w:rPr>
          <w:rFonts w:cstheme="minorHAnsi"/>
        </w:rPr>
        <w:t xml:space="preserve"> percent</w:t>
      </w:r>
      <w:r w:rsidRPr="00AB265A">
        <w:rPr>
          <w:rFonts w:cstheme="minorHAnsi"/>
        </w:rPr>
        <w:t xml:space="preserve">. </w:t>
      </w:r>
      <w:r w:rsidRPr="00F17D7A">
        <w:rPr>
          <w:rFonts w:cstheme="minorHAnsi"/>
        </w:rPr>
        <w:t xml:space="preserve">This is higher than the rate of growth forecast in last year’s Budget and </w:t>
      </w:r>
      <w:r w:rsidRPr="003D07B9">
        <w:rPr>
          <w:rFonts w:cstheme="minorHAnsi"/>
        </w:rPr>
        <w:t>twice the rate of growth forecast in 2022.</w:t>
      </w:r>
      <w:r>
        <w:rPr>
          <w:rFonts w:cstheme="minorHAnsi"/>
        </w:rPr>
        <w:t xml:space="preserve"> </w:t>
      </w:r>
    </w:p>
    <w:p w14:paraId="359642F2" w14:textId="54B08987" w:rsidR="00E94DE1" w:rsidRDefault="00E94DE1" w:rsidP="00E94DE1">
      <w:pPr>
        <w:spacing w:before="200" w:after="200"/>
        <w:rPr>
          <w:rFonts w:cstheme="minorHAnsi"/>
        </w:rPr>
      </w:pPr>
      <w:r>
        <w:rPr>
          <w:rFonts w:cstheme="minorHAnsi"/>
        </w:rPr>
        <w:t xml:space="preserve">Expenses are forecast to decline over the Budget and forward years as a proportion of GSP (ACT Budget 2024, p.195).  However, the expense forecasts would still represent a higher proportion of GSP in each of the forward years than forecast in the 2022 and 2023 Budgets (ACT Budget 2022 and ACT Budget 2023, p. 216).  Forecasts of a declining ratio of expenses to GSP that are subsequently revised upwards have been a feature of recent Budgets, as shown in </w:t>
      </w:r>
      <w:r w:rsidR="009F2765">
        <w:rPr>
          <w:rFonts w:cstheme="minorHAnsi"/>
        </w:rPr>
        <w:t>Figure 19 below</w:t>
      </w:r>
      <w:r>
        <w:rPr>
          <w:rFonts w:cstheme="minorHAnsi"/>
        </w:rPr>
        <w:t xml:space="preserve">. </w:t>
      </w:r>
    </w:p>
    <w:p w14:paraId="6093131B" w14:textId="4108388B" w:rsidR="00E94DE1" w:rsidRPr="0050754A" w:rsidRDefault="00C02CBF" w:rsidP="003D07B9">
      <w:pPr>
        <w:pStyle w:val="Caption"/>
        <w:keepNext/>
        <w:spacing w:before="0"/>
      </w:pPr>
      <w:bookmarkStart w:id="131" w:name="_Toc171949078"/>
      <w:r w:rsidRPr="00C80B39">
        <w:lastRenderedPageBreak/>
        <w:t xml:space="preserve">Figure </w:t>
      </w:r>
      <w:r w:rsidRPr="00C80B39">
        <w:fldChar w:fldCharType="begin"/>
      </w:r>
      <w:r w:rsidRPr="00C80B39">
        <w:instrText xml:space="preserve"> SEQ Figure \* ARABIC </w:instrText>
      </w:r>
      <w:r w:rsidRPr="00C80B39">
        <w:fldChar w:fldCharType="separate"/>
      </w:r>
      <w:r w:rsidR="000B62ED">
        <w:rPr>
          <w:noProof/>
        </w:rPr>
        <w:t>19</w:t>
      </w:r>
      <w:r w:rsidRPr="00C80B39">
        <w:rPr>
          <w:noProof/>
        </w:rPr>
        <w:fldChar w:fldCharType="end"/>
      </w:r>
      <w:r w:rsidR="00E94DE1">
        <w:t>: Expense forecasts as a proportion of GSP – 2019-20 to 2024-25 Budgets</w:t>
      </w:r>
      <w:bookmarkEnd w:id="131"/>
      <w:r w:rsidR="00E94DE1">
        <w:t xml:space="preserve"> </w:t>
      </w:r>
    </w:p>
    <w:p w14:paraId="0550E0CF" w14:textId="34C6EFC0" w:rsidR="00E94DE1" w:rsidRDefault="00AB5221" w:rsidP="00E94DE1">
      <w:r w:rsidRPr="00AB5221">
        <w:rPr>
          <w:noProof/>
        </w:rPr>
        <w:t xml:space="preserve"> </w:t>
      </w:r>
      <w:r>
        <w:rPr>
          <w:noProof/>
        </w:rPr>
        <w:drawing>
          <wp:inline distT="0" distB="0" distL="0" distR="0" wp14:anchorId="7B6AA436" wp14:editId="383F781F">
            <wp:extent cx="5731510" cy="3737610"/>
            <wp:effectExtent l="0" t="0" r="0" b="0"/>
            <wp:docPr id="1654331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331480" name=""/>
                    <pic:cNvPicPr/>
                  </pic:nvPicPr>
                  <pic:blipFill>
                    <a:blip r:embed="rId37"/>
                    <a:stretch>
                      <a:fillRect/>
                    </a:stretch>
                  </pic:blipFill>
                  <pic:spPr>
                    <a:xfrm>
                      <a:off x="0" y="0"/>
                      <a:ext cx="5731510" cy="3737610"/>
                    </a:xfrm>
                    <a:prstGeom prst="rect">
                      <a:avLst/>
                    </a:prstGeom>
                  </pic:spPr>
                </pic:pic>
              </a:graphicData>
            </a:graphic>
          </wp:inline>
        </w:drawing>
      </w:r>
    </w:p>
    <w:p w14:paraId="0ACD0B31" w14:textId="77777777" w:rsidR="00E94DE1" w:rsidRDefault="00E94DE1" w:rsidP="00E94DE1">
      <w:pPr>
        <w:spacing w:before="200" w:after="200"/>
        <w:rPr>
          <w:rFonts w:cstheme="minorHAnsi"/>
        </w:rPr>
      </w:pPr>
      <w:r>
        <w:t xml:space="preserve">Source: </w:t>
      </w:r>
      <w:r>
        <w:rPr>
          <w:sz w:val="20"/>
          <w:szCs w:val="20"/>
        </w:rPr>
        <w:t>ACT Budget Papers</w:t>
      </w:r>
    </w:p>
    <w:p w14:paraId="77330DCC" w14:textId="77777777" w:rsidR="00E94DE1" w:rsidRDefault="00E94DE1" w:rsidP="00E94DE1">
      <w:pPr>
        <w:spacing w:before="200" w:after="200"/>
        <w:rPr>
          <w:rFonts w:cstheme="minorHAnsi"/>
        </w:rPr>
      </w:pPr>
      <w:r>
        <w:rPr>
          <w:rFonts w:cstheme="minorHAnsi"/>
        </w:rPr>
        <w:t>The chart shows that since 2019-20, the ACT Government has consistently forecast falls in expenses as a proportion of GSP only to revise those estimates upwards in subsequent Budgets.</w:t>
      </w:r>
    </w:p>
    <w:p w14:paraId="7CA53162" w14:textId="12E4B2FD" w:rsidR="00E94DE1" w:rsidRDefault="00E94DE1" w:rsidP="00E94DE1">
      <w:pPr>
        <w:spacing w:before="200" w:after="200"/>
        <w:rPr>
          <w:rFonts w:cstheme="minorHAnsi"/>
        </w:rPr>
      </w:pPr>
      <w:r>
        <w:rPr>
          <w:rFonts w:cstheme="minorHAnsi"/>
        </w:rPr>
        <w:t xml:space="preserve">While forecasts of GSP can be influenced by many factors that might influence these ratios, forward estimates for expenses show a similar pattern when expressed in simple dollar terms.  </w:t>
      </w:r>
      <w:r w:rsidR="00083373">
        <w:rPr>
          <w:rFonts w:cstheme="minorHAnsi"/>
        </w:rPr>
        <w:t>Figure 20 below</w:t>
      </w:r>
      <w:r>
        <w:rPr>
          <w:rFonts w:cstheme="minorHAnsi"/>
        </w:rPr>
        <w:t xml:space="preserve"> shows forecasts of expenses since the 2019-20 Budget.  In each year, the ACT Budget has presented relatively modest forecasts for expenses that have been revised upwards in each successive set of Budget forecasts. </w:t>
      </w:r>
    </w:p>
    <w:p w14:paraId="68647A8E" w14:textId="7E06C627" w:rsidR="00E94DE1" w:rsidRDefault="00AB5221" w:rsidP="003D07B9">
      <w:pPr>
        <w:pStyle w:val="Caption"/>
        <w:keepNext/>
        <w:spacing w:before="0"/>
      </w:pPr>
      <w:bookmarkStart w:id="132" w:name="_Toc110939314"/>
      <w:bookmarkStart w:id="133" w:name="_Toc171949079"/>
      <w:r w:rsidRPr="00C80B39">
        <w:lastRenderedPageBreak/>
        <w:t xml:space="preserve">Figure </w:t>
      </w:r>
      <w:r w:rsidRPr="00C80B39">
        <w:fldChar w:fldCharType="begin"/>
      </w:r>
      <w:r w:rsidRPr="00C80B39">
        <w:instrText xml:space="preserve"> SEQ Figure \* ARABIC </w:instrText>
      </w:r>
      <w:r w:rsidRPr="00C80B39">
        <w:fldChar w:fldCharType="separate"/>
      </w:r>
      <w:r w:rsidR="000B62ED">
        <w:rPr>
          <w:noProof/>
        </w:rPr>
        <w:t>20</w:t>
      </w:r>
      <w:r w:rsidRPr="00C80B39">
        <w:rPr>
          <w:noProof/>
        </w:rPr>
        <w:fldChar w:fldCharType="end"/>
      </w:r>
      <w:r w:rsidR="00E94DE1">
        <w:t>: Expense forecasts – 2019-20 to 2024-25 Budgets</w:t>
      </w:r>
      <w:bookmarkEnd w:id="133"/>
      <w:r w:rsidR="00E94DE1">
        <w:t xml:space="preserve"> </w:t>
      </w:r>
      <w:bookmarkEnd w:id="132"/>
    </w:p>
    <w:p w14:paraId="71BE8076" w14:textId="0FEC48B0" w:rsidR="00E94DE1" w:rsidRDefault="00643C33" w:rsidP="003D07B9">
      <w:pPr>
        <w:spacing w:before="0" w:after="0" w:line="360" w:lineRule="auto"/>
      </w:pPr>
      <w:r>
        <w:rPr>
          <w:noProof/>
        </w:rPr>
        <w:drawing>
          <wp:inline distT="0" distB="0" distL="0" distR="0" wp14:anchorId="24D63F13" wp14:editId="008A6378">
            <wp:extent cx="5731510" cy="3737610"/>
            <wp:effectExtent l="0" t="0" r="0" b="0"/>
            <wp:docPr id="2134118704" name="Picture 1" descr="A graph of a number of ye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118704" name="Picture 1" descr="A graph of a number of years&#10;&#10;Description automatically generated with medium confidence"/>
                    <pic:cNvPicPr/>
                  </pic:nvPicPr>
                  <pic:blipFill>
                    <a:blip r:embed="rId38"/>
                    <a:stretch>
                      <a:fillRect/>
                    </a:stretch>
                  </pic:blipFill>
                  <pic:spPr>
                    <a:xfrm>
                      <a:off x="0" y="0"/>
                      <a:ext cx="5731510" cy="3737610"/>
                    </a:xfrm>
                    <a:prstGeom prst="rect">
                      <a:avLst/>
                    </a:prstGeom>
                  </pic:spPr>
                </pic:pic>
              </a:graphicData>
            </a:graphic>
          </wp:inline>
        </w:drawing>
      </w:r>
      <w:r w:rsidR="00E94DE1">
        <w:br/>
        <w:t xml:space="preserve">Sources: </w:t>
      </w:r>
      <w:r w:rsidR="00E94DE1">
        <w:rPr>
          <w:sz w:val="20"/>
          <w:szCs w:val="20"/>
        </w:rPr>
        <w:t>ACT Budget Papers</w:t>
      </w:r>
    </w:p>
    <w:p w14:paraId="345317C5" w14:textId="77777777" w:rsidR="00E94DE1" w:rsidRDefault="00E94DE1" w:rsidP="00E94DE1">
      <w:pPr>
        <w:rPr>
          <w:rFonts w:cstheme="minorHAnsi"/>
        </w:rPr>
      </w:pPr>
      <w:r>
        <w:rPr>
          <w:rFonts w:cstheme="minorHAnsi"/>
        </w:rPr>
        <w:t xml:space="preserve">Based on this experience, the estimates for expenses in the forward years might be expected to be higher in future years than forecast in the current Budget, both in absolute terms and as a proportion of GSP.  </w:t>
      </w:r>
    </w:p>
    <w:p w14:paraId="72C39F6E" w14:textId="77777777" w:rsidR="00E94DE1" w:rsidRPr="005202FB" w:rsidRDefault="00E94DE1" w:rsidP="00E94DE1">
      <w:pPr>
        <w:pStyle w:val="Heading2"/>
        <w:spacing w:after="240"/>
      </w:pPr>
      <w:bookmarkStart w:id="134" w:name="_Toc171949011"/>
      <w:r>
        <w:t>5.2</w:t>
      </w:r>
      <w:r>
        <w:tab/>
        <w:t>Reasons for growth</w:t>
      </w:r>
      <w:bookmarkEnd w:id="134"/>
      <w:r>
        <w:t xml:space="preserve"> </w:t>
      </w:r>
    </w:p>
    <w:p w14:paraId="55C82802" w14:textId="70066938" w:rsidR="00E94DE1" w:rsidRDefault="00E94DE1" w:rsidP="00E94DE1">
      <w:pPr>
        <w:rPr>
          <w:rFonts w:cstheme="minorHAnsi"/>
        </w:rPr>
      </w:pPr>
      <w:r>
        <w:rPr>
          <w:rFonts w:cstheme="minorHAnsi"/>
        </w:rPr>
        <w:t>The increase in the forecast level of expenses relative to the last Budget is largely due to new initiatives as set out in the Wellbeing statement, increases in the superannuation liability expense, insurance and interest expense</w:t>
      </w:r>
      <w:r w:rsidR="00BA5B98">
        <w:rPr>
          <w:rFonts w:cstheme="minorHAnsi"/>
        </w:rPr>
        <w:t>s</w:t>
      </w:r>
      <w:r>
        <w:rPr>
          <w:rFonts w:cstheme="minorHAnsi"/>
        </w:rPr>
        <w:t xml:space="preserve">, </w:t>
      </w:r>
      <w:r w:rsidRPr="00B74CFE">
        <w:rPr>
          <w:rFonts w:cstheme="minorHAnsi"/>
        </w:rPr>
        <w:t>and other technical adjustments previously announced in the 2023-24 Budget Review</w:t>
      </w:r>
      <w:r>
        <w:rPr>
          <w:rFonts w:cstheme="minorHAnsi"/>
        </w:rPr>
        <w:t xml:space="preserve"> (2024 Budget, Table 3.1.3).</w:t>
      </w:r>
    </w:p>
    <w:p w14:paraId="7AB3C80A" w14:textId="77777777" w:rsidR="00E94DE1" w:rsidRDefault="00E94DE1" w:rsidP="00E94DE1">
      <w:r>
        <w:t xml:space="preserve">Growth in forecast expenses since the 2023-24 Budget Review is almost entirely due to new policy decisions announced in this Budget. </w:t>
      </w:r>
    </w:p>
    <w:p w14:paraId="5E0E1660" w14:textId="183173FA" w:rsidR="00E94DE1" w:rsidRDefault="00E94DE1" w:rsidP="00E94DE1">
      <w:pPr>
        <w:rPr>
          <w:rFonts w:cstheme="minorHAnsi"/>
        </w:rPr>
      </w:pPr>
      <w:r w:rsidRPr="00651F26">
        <w:t>The major contributions to the growth in expenses across the forward estimates period are in general public services</w:t>
      </w:r>
      <w:r>
        <w:t xml:space="preserve"> </w:t>
      </w:r>
      <w:r w:rsidRPr="00651F26">
        <w:t>and education.</w:t>
      </w:r>
      <w:r>
        <w:t xml:space="preserve">  Additional comment on growth in expenses by function is provided in </w:t>
      </w:r>
      <w:r w:rsidR="0081742C">
        <w:t>section</w:t>
      </w:r>
      <w:r>
        <w:t xml:space="preserve"> </w:t>
      </w:r>
      <w:r w:rsidRPr="003D07B9">
        <w:t>5.3</w:t>
      </w:r>
      <w:r w:rsidR="0081742C">
        <w:t xml:space="preserve"> below</w:t>
      </w:r>
      <w:r w:rsidRPr="003D07B9">
        <w:t>.</w:t>
      </w:r>
    </w:p>
    <w:p w14:paraId="5D7D4CB2" w14:textId="40FF6F8C" w:rsidR="00E94DE1" w:rsidRPr="0072531A" w:rsidRDefault="00E94DE1" w:rsidP="00E94DE1">
      <w:r>
        <w:t xml:space="preserve">New initiatives announced in the Wellbeing statement reflect </w:t>
      </w:r>
      <w:r w:rsidRPr="0072531A">
        <w:t xml:space="preserve">the Government’s </w:t>
      </w:r>
      <w:r>
        <w:t xml:space="preserve">stated </w:t>
      </w:r>
      <w:r w:rsidRPr="0072531A">
        <w:t xml:space="preserve">priorities including housing, health, education, community supports and social inclusion. </w:t>
      </w:r>
      <w:r>
        <w:t xml:space="preserve"> </w:t>
      </w:r>
    </w:p>
    <w:p w14:paraId="750D0750" w14:textId="41DA9907" w:rsidR="00E94DE1" w:rsidRPr="00651F26" w:rsidRDefault="00B955E3" w:rsidP="00E94DE1">
      <w:r>
        <w:t>Si</w:t>
      </w:r>
      <w:r w:rsidR="00E94DE1" w:rsidRPr="00651F26">
        <w:t>gnificant new expense initiatives in 2024-25 and beyond include:</w:t>
      </w:r>
    </w:p>
    <w:p w14:paraId="0FDE89D7" w14:textId="77777777" w:rsidR="00E94DE1" w:rsidRPr="00651F26" w:rsidRDefault="00E94DE1" w:rsidP="00E94DE1">
      <w:pPr>
        <w:pStyle w:val="ListParagraph"/>
        <w:numPr>
          <w:ilvl w:val="0"/>
          <w:numId w:val="11"/>
        </w:numPr>
        <w:ind w:left="360"/>
      </w:pPr>
      <w:r w:rsidRPr="00651F26">
        <w:t>Boosting health service funding, $100.9 million over four years</w:t>
      </w:r>
    </w:p>
    <w:p w14:paraId="675AC7A8" w14:textId="77777777" w:rsidR="00E94DE1" w:rsidRPr="00651F26" w:rsidRDefault="00E94DE1" w:rsidP="00E94DE1">
      <w:pPr>
        <w:pStyle w:val="ListParagraph"/>
        <w:numPr>
          <w:ilvl w:val="0"/>
          <w:numId w:val="11"/>
        </w:numPr>
        <w:ind w:left="360"/>
      </w:pPr>
      <w:r w:rsidRPr="00651F26">
        <w:t>Digital health strategy, $78.4 million over four years</w:t>
      </w:r>
    </w:p>
    <w:p w14:paraId="20AA6DF8" w14:textId="77777777" w:rsidR="00E94DE1" w:rsidRPr="00651F26" w:rsidRDefault="00E94DE1" w:rsidP="00E94DE1">
      <w:pPr>
        <w:pStyle w:val="ListParagraph"/>
        <w:numPr>
          <w:ilvl w:val="0"/>
          <w:numId w:val="11"/>
        </w:numPr>
        <w:ind w:left="360"/>
      </w:pPr>
      <w:r w:rsidRPr="00651F26">
        <w:t>Expanding paediatric services, $24.9 million over years</w:t>
      </w:r>
    </w:p>
    <w:p w14:paraId="45499930" w14:textId="77777777" w:rsidR="00E94DE1" w:rsidRDefault="00E94DE1" w:rsidP="00E94DE1">
      <w:pPr>
        <w:pStyle w:val="ListParagraph"/>
        <w:numPr>
          <w:ilvl w:val="0"/>
          <w:numId w:val="11"/>
        </w:numPr>
        <w:ind w:left="360"/>
      </w:pPr>
      <w:r w:rsidRPr="00651F26">
        <w:t>Support for young people leaving the out of home care system, $10.0 million over four years</w:t>
      </w:r>
    </w:p>
    <w:p w14:paraId="01443493" w14:textId="1AA17500" w:rsidR="00B955E3" w:rsidRPr="00651F26" w:rsidRDefault="00B955E3" w:rsidP="00E94DE1">
      <w:pPr>
        <w:pStyle w:val="ListParagraph"/>
        <w:numPr>
          <w:ilvl w:val="0"/>
          <w:numId w:val="11"/>
        </w:numPr>
        <w:ind w:left="360"/>
      </w:pPr>
      <w:r>
        <w:t>Speeding and seat belt detection, $8.6 million over four years</w:t>
      </w:r>
    </w:p>
    <w:p w14:paraId="472E11F5" w14:textId="11DB6C2A" w:rsidR="00A9502B" w:rsidRDefault="00A9502B" w:rsidP="00E94DE1">
      <w:pPr>
        <w:pStyle w:val="ListParagraph"/>
        <w:numPr>
          <w:ilvl w:val="0"/>
          <w:numId w:val="11"/>
        </w:numPr>
        <w:ind w:left="360"/>
      </w:pPr>
      <w:r>
        <w:t>Next steps for kids, $8.0 million over four years</w:t>
      </w:r>
    </w:p>
    <w:p w14:paraId="338694F7" w14:textId="5937A7D2" w:rsidR="00E94DE1" w:rsidRDefault="00E94DE1" w:rsidP="00E94DE1">
      <w:pPr>
        <w:pStyle w:val="ListParagraph"/>
        <w:numPr>
          <w:ilvl w:val="0"/>
          <w:numId w:val="11"/>
        </w:numPr>
        <w:ind w:left="360"/>
      </w:pPr>
      <w:r w:rsidRPr="00651F26">
        <w:lastRenderedPageBreak/>
        <w:t>Investing in frontline domestic and family violence services, $7.4 million over four years.</w:t>
      </w:r>
    </w:p>
    <w:p w14:paraId="51CA58E5" w14:textId="0A638CDA" w:rsidR="00B955E3" w:rsidRDefault="00B955E3" w:rsidP="00E94DE1">
      <w:r>
        <w:t>The expense components of housing measures in the Budget include:</w:t>
      </w:r>
    </w:p>
    <w:p w14:paraId="1474D745" w14:textId="6AA9B722" w:rsidR="0057485B" w:rsidRDefault="0057485B" w:rsidP="002931EA">
      <w:pPr>
        <w:pStyle w:val="ListParagraph"/>
        <w:numPr>
          <w:ilvl w:val="0"/>
          <w:numId w:val="11"/>
        </w:numPr>
        <w:ind w:left="360"/>
      </w:pPr>
      <w:r>
        <w:t>Improving building certification services, $2.9 million over four years</w:t>
      </w:r>
    </w:p>
    <w:p w14:paraId="0051B54C" w14:textId="46931AB8" w:rsidR="00B955E3" w:rsidRDefault="00B955E3" w:rsidP="002931EA">
      <w:pPr>
        <w:pStyle w:val="ListParagraph"/>
        <w:numPr>
          <w:ilvl w:val="0"/>
          <w:numId w:val="11"/>
        </w:numPr>
        <w:ind w:left="360"/>
      </w:pPr>
      <w:r>
        <w:t>Additional funding for homelessness services and programs, $2.5 million over four years</w:t>
      </w:r>
    </w:p>
    <w:p w14:paraId="66CB66CE" w14:textId="19A8699F" w:rsidR="0057485B" w:rsidRDefault="0057485B" w:rsidP="002931EA">
      <w:pPr>
        <w:pStyle w:val="ListParagraph"/>
        <w:numPr>
          <w:ilvl w:val="0"/>
          <w:numId w:val="11"/>
        </w:numPr>
        <w:ind w:left="360"/>
      </w:pPr>
      <w:r>
        <w:t>Support for affordable home purchase scheme participants, $0.8 million over four years</w:t>
      </w:r>
    </w:p>
    <w:p w14:paraId="5C64446F" w14:textId="303D7345" w:rsidR="0057485B" w:rsidRDefault="0057485B" w:rsidP="002931EA">
      <w:pPr>
        <w:pStyle w:val="ListParagraph"/>
        <w:numPr>
          <w:ilvl w:val="0"/>
          <w:numId w:val="11"/>
        </w:numPr>
        <w:ind w:left="360"/>
      </w:pPr>
      <w:r>
        <w:t>Funding for activities to support land release and development, $14 million over four years, fully offset</w:t>
      </w:r>
    </w:p>
    <w:p w14:paraId="7F7C7F26" w14:textId="3FA39C19" w:rsidR="004A11AF" w:rsidRDefault="004A11AF" w:rsidP="00E94DE1">
      <w:r>
        <w:t>Many of the new initiatives</w:t>
      </w:r>
      <w:r w:rsidR="00B955E3">
        <w:t>, and many of the housing initiatives,</w:t>
      </w:r>
      <w:r>
        <w:t xml:space="preserve"> </w:t>
      </w:r>
      <w:r w:rsidR="00B955E3">
        <w:t>have</w:t>
      </w:r>
      <w:r>
        <w:t xml:space="preserve"> capital components.  </w:t>
      </w:r>
      <w:r w:rsidR="0057485B">
        <w:t xml:space="preserve">In addition, some housing initiatives announced in the Budget are outside the General Government sector.  </w:t>
      </w:r>
      <w:r>
        <w:t>New capital investments in the Budget are discussed in section</w:t>
      </w:r>
      <w:r w:rsidR="00B955E3">
        <w:t>s</w:t>
      </w:r>
      <w:r>
        <w:t xml:space="preserve"> </w:t>
      </w:r>
      <w:r w:rsidR="00B955E3">
        <w:t xml:space="preserve">6 and </w:t>
      </w:r>
      <w:r>
        <w:t xml:space="preserve">7 below. </w:t>
      </w:r>
    </w:p>
    <w:p w14:paraId="4D0D88FE" w14:textId="48B0EFE0" w:rsidR="00E94DE1" w:rsidRDefault="0057485B" w:rsidP="00E94DE1">
      <w:r>
        <w:t>Additional</w:t>
      </w:r>
      <w:r w:rsidR="00E94DE1">
        <w:t xml:space="preserve"> expense measures announced in the Wellbeing statement have been </w:t>
      </w:r>
      <w:r w:rsidR="00944D80">
        <w:t xml:space="preserve">partly </w:t>
      </w:r>
      <w:r w:rsidR="002C6DBB">
        <w:t>offset</w:t>
      </w:r>
      <w:r w:rsidR="00E94DE1">
        <w:t xml:space="preserve"> by savings measures.  Expense </w:t>
      </w:r>
      <w:r w:rsidR="002C6DBB">
        <w:t>offset</w:t>
      </w:r>
      <w:r w:rsidR="00E94DE1">
        <w:t xml:space="preserve">s and savings in the Wellbeing statement total around $824 million over four years.  These include $376 million offsets within the Health Funding Envelope </w:t>
      </w:r>
      <w:r>
        <w:t xml:space="preserve">and </w:t>
      </w:r>
      <w:r w:rsidR="00E94DE1">
        <w:t>$35</w:t>
      </w:r>
      <w:r w:rsidR="00255711">
        <w:t>4</w:t>
      </w:r>
      <w:r w:rsidR="00E94DE1">
        <w:t xml:space="preserve"> million </w:t>
      </w:r>
      <w:r>
        <w:t xml:space="preserve">other </w:t>
      </w:r>
      <w:r w:rsidR="00E94DE1">
        <w:t xml:space="preserve">expense </w:t>
      </w:r>
      <w:r w:rsidR="002C6DBB">
        <w:t>offset</w:t>
      </w:r>
      <w:r w:rsidR="00E94DE1">
        <w:t>s.  The largest single savings measure involves whole of government savings of $81 million over four years.  The Government has indicated that the savings will be achieved by agency heads but must have no impact on frontline services and explicitly excludes employee expenses, staff development and recruitment.  This will be a significant challenge given that employee expense</w:t>
      </w:r>
      <w:r w:rsidR="00885ADC">
        <w:t>s</w:t>
      </w:r>
      <w:r w:rsidR="00E94DE1">
        <w:t xml:space="preserve"> alone account for almost half of total expenses.</w:t>
      </w:r>
    </w:p>
    <w:p w14:paraId="01878660" w14:textId="77777777" w:rsidR="00E94DE1" w:rsidRDefault="00E94DE1" w:rsidP="00E94DE1">
      <w:pPr>
        <w:pStyle w:val="Heading2"/>
        <w:spacing w:after="240"/>
      </w:pPr>
      <w:bookmarkStart w:id="135" w:name="_Toc110939254"/>
      <w:bookmarkStart w:id="136" w:name="_Toc171949012"/>
      <w:r>
        <w:t>5.3</w:t>
      </w:r>
      <w:r>
        <w:tab/>
        <w:t>Expenses by function</w:t>
      </w:r>
      <w:bookmarkEnd w:id="135"/>
      <w:bookmarkEnd w:id="136"/>
    </w:p>
    <w:p w14:paraId="473AB0F2" w14:textId="77777777" w:rsidR="00E94DE1" w:rsidRDefault="00E94DE1" w:rsidP="00E94DE1">
      <w:pPr>
        <w:rPr>
          <w:rFonts w:cstheme="minorHAnsi"/>
        </w:rPr>
      </w:pPr>
      <w:r>
        <w:rPr>
          <w:rFonts w:cstheme="minorHAnsi"/>
        </w:rPr>
        <w:t xml:space="preserve">The Budget Papers include a presentation of expenses by the functions through which governments seek to achieve their objectives.  This classification is widely employed in international financial reporting systems and allows trends in government outlays on functions or purposes to be compared between jurisdictions and over time. </w:t>
      </w:r>
    </w:p>
    <w:p w14:paraId="31A303DD" w14:textId="77777777" w:rsidR="00E94DE1" w:rsidRDefault="00E94DE1" w:rsidP="00E94DE1">
      <w:pPr>
        <w:pStyle w:val="BodyText"/>
      </w:pPr>
      <w:r>
        <w:rPr>
          <w:rFonts w:cstheme="minorHAnsi"/>
        </w:rPr>
        <w:t xml:space="preserve">In the ACT, General Government </w:t>
      </w:r>
      <w:r>
        <w:rPr>
          <w:rFonts w:cstheme="minorHAnsi"/>
          <w:lang w:eastAsia="zh-CN"/>
        </w:rPr>
        <w:t xml:space="preserve">expenses are dominated by spending on health, education and general public services. </w:t>
      </w:r>
      <w:r>
        <w:t>Together, these functions account for around 70 percent of all government expenses. This is close to the level in last year’s Budget and is consistent with traditional patterns of spending in the ACT.</w:t>
      </w:r>
    </w:p>
    <w:p w14:paraId="55D81352" w14:textId="2C85F603" w:rsidR="00E94DE1" w:rsidRDefault="00E94DE1" w:rsidP="00D71D6B">
      <w:pPr>
        <w:pStyle w:val="Caption"/>
        <w:keepNext/>
        <w:spacing w:before="0"/>
      </w:pPr>
      <w:bookmarkStart w:id="137" w:name="_Toc110939315"/>
      <w:bookmarkStart w:id="138" w:name="_Toc171949080"/>
      <w:r w:rsidRPr="00295ACF">
        <w:lastRenderedPageBreak/>
        <w:t xml:space="preserve">Figure </w:t>
      </w:r>
      <w:r w:rsidRPr="00295ACF">
        <w:fldChar w:fldCharType="begin"/>
      </w:r>
      <w:r w:rsidRPr="00295ACF">
        <w:instrText xml:space="preserve"> SEQ Figure \* ARABIC </w:instrText>
      </w:r>
      <w:r w:rsidRPr="00295ACF">
        <w:fldChar w:fldCharType="separate"/>
      </w:r>
      <w:r w:rsidR="000B62ED">
        <w:rPr>
          <w:noProof/>
        </w:rPr>
        <w:t>21</w:t>
      </w:r>
      <w:r w:rsidRPr="00295ACF">
        <w:rPr>
          <w:noProof/>
        </w:rPr>
        <w:fldChar w:fldCharType="end"/>
      </w:r>
      <w:r w:rsidRPr="00295ACF">
        <w:t>: Expenses by function – 2023-24 (est.) to 2027-28</w:t>
      </w:r>
      <w:bookmarkEnd w:id="138"/>
      <w:r>
        <w:t xml:space="preserve"> </w:t>
      </w:r>
      <w:bookmarkEnd w:id="137"/>
    </w:p>
    <w:p w14:paraId="5D6A090E" w14:textId="7746661F" w:rsidR="00E94DE1" w:rsidRDefault="00643C33" w:rsidP="00E94DE1">
      <w:pPr>
        <w:spacing w:before="0"/>
        <w:rPr>
          <w:lang w:eastAsia="zh-CN"/>
        </w:rPr>
      </w:pPr>
      <w:r>
        <w:rPr>
          <w:noProof/>
        </w:rPr>
        <w:drawing>
          <wp:inline distT="0" distB="0" distL="0" distR="0" wp14:anchorId="6DB2220D" wp14:editId="08CBF5D7">
            <wp:extent cx="5731510" cy="3565391"/>
            <wp:effectExtent l="0" t="0" r="2540" b="0"/>
            <wp:docPr id="1876747301" name="Picture 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747301" name="Picture 1" descr="A graph of a number of people&#10;&#10;Description automatically generated with medium confidence"/>
                    <pic:cNvPicPr/>
                  </pic:nvPicPr>
                  <pic:blipFill>
                    <a:blip r:embed="rId39"/>
                    <a:stretch>
                      <a:fillRect/>
                    </a:stretch>
                  </pic:blipFill>
                  <pic:spPr>
                    <a:xfrm>
                      <a:off x="0" y="0"/>
                      <a:ext cx="5735218" cy="3567697"/>
                    </a:xfrm>
                    <a:prstGeom prst="rect">
                      <a:avLst/>
                    </a:prstGeom>
                  </pic:spPr>
                </pic:pic>
              </a:graphicData>
            </a:graphic>
          </wp:inline>
        </w:drawing>
      </w:r>
      <w:r w:rsidR="00E94DE1">
        <w:rPr>
          <w:lang w:eastAsia="zh-CN"/>
        </w:rPr>
        <w:br/>
        <w:t xml:space="preserve">Source: ACT Budget Papers </w:t>
      </w:r>
    </w:p>
    <w:p w14:paraId="17703793" w14:textId="7A317F8F" w:rsidR="003C75FB" w:rsidRDefault="00E94DE1" w:rsidP="00E94DE1">
      <w:pPr>
        <w:rPr>
          <w:rFonts w:cstheme="minorHAnsi"/>
        </w:rPr>
      </w:pPr>
      <w:bookmarkStart w:id="139" w:name="_Hlk516563882"/>
      <w:r>
        <w:rPr>
          <w:rFonts w:cstheme="minorHAnsi"/>
        </w:rPr>
        <w:t xml:space="preserve">The most significant areas of growth across the </w:t>
      </w:r>
      <w:r w:rsidR="00C43EAE">
        <w:rPr>
          <w:rFonts w:cstheme="minorHAnsi"/>
        </w:rPr>
        <w:t xml:space="preserve">Budget and </w:t>
      </w:r>
      <w:r>
        <w:rPr>
          <w:rFonts w:cstheme="minorHAnsi"/>
        </w:rPr>
        <w:t>forward estimates period include general public services and education.  Growth in the education function over the Budget and forward estimates is at about the level to be expected from growth in wages and prices.  General public services ha</w:t>
      </w:r>
      <w:r w:rsidR="00E43A76">
        <w:rPr>
          <w:rFonts w:cstheme="minorHAnsi"/>
        </w:rPr>
        <w:t>ve</w:t>
      </w:r>
      <w:r>
        <w:rPr>
          <w:rFonts w:cstheme="minorHAnsi"/>
        </w:rPr>
        <w:t xml:space="preserve"> grown at a faster rate, with an annual average growth rate </w:t>
      </w:r>
      <w:r w:rsidRPr="00C43EAE">
        <w:rPr>
          <w:rFonts w:cstheme="minorHAnsi"/>
        </w:rPr>
        <w:t xml:space="preserve">of </w:t>
      </w:r>
      <w:r w:rsidR="00FD224D">
        <w:rPr>
          <w:rFonts w:cstheme="minorHAnsi"/>
        </w:rPr>
        <w:t>7.9</w:t>
      </w:r>
      <w:r w:rsidRPr="00C43EAE">
        <w:rPr>
          <w:rFonts w:cstheme="minorHAnsi"/>
        </w:rPr>
        <w:t xml:space="preserve"> percent</w:t>
      </w:r>
      <w:r>
        <w:rPr>
          <w:rFonts w:cstheme="minorHAnsi"/>
        </w:rPr>
        <w:t xml:space="preserve">.  </w:t>
      </w:r>
    </w:p>
    <w:p w14:paraId="47EA36E0" w14:textId="03DDDB97" w:rsidR="00E94DE1" w:rsidRDefault="00E94DE1" w:rsidP="00E94DE1">
      <w:r>
        <w:rPr>
          <w:rFonts w:cstheme="minorHAnsi"/>
        </w:rPr>
        <w:t xml:space="preserve">No explanation is provided for growth in </w:t>
      </w:r>
      <w:r w:rsidR="003C75FB">
        <w:rPr>
          <w:rFonts w:cstheme="minorHAnsi"/>
        </w:rPr>
        <w:t>general public services in the Budget Outlook.  However</w:t>
      </w:r>
      <w:r w:rsidR="00643AB7">
        <w:rPr>
          <w:rFonts w:cstheme="minorHAnsi"/>
        </w:rPr>
        <w:t xml:space="preserve">, </w:t>
      </w:r>
      <w:r w:rsidR="003C75FB">
        <w:rPr>
          <w:rFonts w:cstheme="minorHAnsi"/>
        </w:rPr>
        <w:t>Treasury officials have advised that this</w:t>
      </w:r>
      <w:r w:rsidR="003C75FB" w:rsidRPr="003C75FB">
        <w:rPr>
          <w:rFonts w:cstheme="minorHAnsi"/>
        </w:rPr>
        <w:t xml:space="preserve"> category has increased between the 2023-24 and 2024-25 Budgets due to refinements in the allocation of administrative expenses for the Chief Minister, Treasury and Economic Development Directorate, particularly in relation to general personnel services and general public services. </w:t>
      </w:r>
      <w:r w:rsidR="00643AB7">
        <w:rPr>
          <w:rFonts w:cstheme="minorHAnsi"/>
        </w:rPr>
        <w:t xml:space="preserve"> </w:t>
      </w:r>
      <w:r w:rsidR="003C75FB" w:rsidRPr="003C75FB">
        <w:rPr>
          <w:rFonts w:cstheme="minorHAnsi"/>
        </w:rPr>
        <w:t xml:space="preserve">The increase is also attributed to higher interest </w:t>
      </w:r>
      <w:r w:rsidR="00643AB7">
        <w:rPr>
          <w:rFonts w:cstheme="minorHAnsi"/>
        </w:rPr>
        <w:t xml:space="preserve">expenses, </w:t>
      </w:r>
      <w:r w:rsidR="003C75FB" w:rsidRPr="003C75FB">
        <w:rPr>
          <w:rFonts w:cstheme="minorHAnsi"/>
        </w:rPr>
        <w:t xml:space="preserve">which </w:t>
      </w:r>
      <w:r w:rsidR="00643AB7">
        <w:rPr>
          <w:rFonts w:cstheme="minorHAnsi"/>
        </w:rPr>
        <w:t xml:space="preserve">are </w:t>
      </w:r>
      <w:r w:rsidR="003C75FB" w:rsidRPr="003C75FB">
        <w:rPr>
          <w:rFonts w:cstheme="minorHAnsi"/>
        </w:rPr>
        <w:t>reflected in the public debt transactions sub category.</w:t>
      </w:r>
      <w:r w:rsidR="00B24A13">
        <w:rPr>
          <w:rFonts w:cstheme="minorHAnsi"/>
        </w:rPr>
        <w:t xml:space="preserve">  Further comment on the growth in interest expenses is provided in section 5.4 of this report.</w:t>
      </w:r>
    </w:p>
    <w:p w14:paraId="50DFE732" w14:textId="77777777" w:rsidR="002414B9" w:rsidRDefault="00E94DE1" w:rsidP="002414B9">
      <w:r w:rsidRPr="002734A1">
        <w:t xml:space="preserve">Housing and community amenities are forecast to grow by a relatively modest 3.3 percent in 2024-25 over the estimated 2023-24 outcome, and then to fall by almost 12 percent to 2027-28.  This is a surprising result in a priority area for Government.  </w:t>
      </w:r>
    </w:p>
    <w:p w14:paraId="7F7E12EC" w14:textId="0DF73F78" w:rsidR="00643AB7" w:rsidRDefault="00643AB7" w:rsidP="002414B9">
      <w:r>
        <w:t>However, it</w:t>
      </w:r>
      <w:r w:rsidR="00E94DE1" w:rsidRPr="002734A1">
        <w:t xml:space="preserve"> should be noted that </w:t>
      </w:r>
      <w:r w:rsidR="002414B9" w:rsidRPr="002734A1">
        <w:t xml:space="preserve">some of the Government’s additional investments in public housing </w:t>
      </w:r>
      <w:r w:rsidR="002414B9">
        <w:t xml:space="preserve">are being made through </w:t>
      </w:r>
      <w:r w:rsidR="002414B9" w:rsidRPr="002734A1">
        <w:t xml:space="preserve">the Public Trading Enterprises sector, </w:t>
      </w:r>
      <w:r w:rsidR="002414B9">
        <w:t xml:space="preserve">which is not included in </w:t>
      </w:r>
      <w:r w:rsidR="00E94DE1" w:rsidRPr="002734A1">
        <w:t xml:space="preserve">General Government sector </w:t>
      </w:r>
      <w:r w:rsidR="002414B9" w:rsidRPr="002734A1">
        <w:t>expense data</w:t>
      </w:r>
      <w:r w:rsidR="002414B9">
        <w:t xml:space="preserve">. </w:t>
      </w:r>
      <w:r w:rsidR="002414B9" w:rsidRPr="002734A1">
        <w:t xml:space="preserve"> </w:t>
      </w:r>
      <w:r>
        <w:t xml:space="preserve">ACT Treasury has also drawn attention to the fact that some of the housing assistance announced in the Budget is reported in the social protection sub-function </w:t>
      </w:r>
      <w:r w:rsidR="002414B9">
        <w:t>at p.287 of the Budget Outlook</w:t>
      </w:r>
      <w:r w:rsidR="00BA5B98">
        <w:t xml:space="preserve">.  </w:t>
      </w:r>
      <w:r w:rsidR="002414B9">
        <w:t>Housing funding in that category is forecast to increase by $10 million in 2024-25 over the estimated outcome for 2023-24</w:t>
      </w:r>
      <w:r w:rsidR="00BA5B98">
        <w:t xml:space="preserve"> </w:t>
      </w:r>
      <w:r w:rsidR="002414B9">
        <w:t>but falls away over the forward estimates.</w:t>
      </w:r>
    </w:p>
    <w:p w14:paraId="7F481294" w14:textId="10C2A6AE" w:rsidR="00E94DE1" w:rsidRDefault="00E94DE1" w:rsidP="00D71D6B">
      <w:pPr>
        <w:pStyle w:val="BodyText"/>
      </w:pPr>
      <w:r>
        <w:t xml:space="preserve">Further comment on housing </w:t>
      </w:r>
      <w:r w:rsidR="002414B9">
        <w:t xml:space="preserve">assistance in the Budget </w:t>
      </w:r>
      <w:r>
        <w:t xml:space="preserve">is provided </w:t>
      </w:r>
      <w:r w:rsidRPr="00305F27">
        <w:t xml:space="preserve">in </w:t>
      </w:r>
      <w:r w:rsidR="002C3941">
        <w:t>section</w:t>
      </w:r>
      <w:r w:rsidRPr="00305F27">
        <w:t xml:space="preserve"> </w:t>
      </w:r>
      <w:r w:rsidR="00661EB3" w:rsidRPr="00305F27">
        <w:t>1</w:t>
      </w:r>
      <w:r w:rsidR="003E2E78" w:rsidRPr="00305F27">
        <w:t>1</w:t>
      </w:r>
      <w:r w:rsidR="002C3941">
        <w:t xml:space="preserve"> below</w:t>
      </w:r>
      <w:r w:rsidRPr="00305F27">
        <w:t>.</w:t>
      </w:r>
      <w:r>
        <w:t xml:space="preserve"> </w:t>
      </w:r>
    </w:p>
    <w:p w14:paraId="0AFDA47D" w14:textId="677C836B" w:rsidR="00E94DE1" w:rsidRDefault="00E94DE1" w:rsidP="00E94DE1">
      <w:pPr>
        <w:pStyle w:val="BodyText"/>
      </w:pPr>
      <w:r>
        <w:t xml:space="preserve">Forecasts for the </w:t>
      </w:r>
      <w:r w:rsidR="00661EB3">
        <w:t xml:space="preserve">environmental </w:t>
      </w:r>
      <w:r>
        <w:t xml:space="preserve">protection function are relatively stable across the Budget and forward years, but much higher in the out-years than forecast in last year’s Budget.  At that time the surrender of Large-scale Generation Certificates (LGCs) was expected to be lower across the forward estimates period due to </w:t>
      </w:r>
      <w:r w:rsidRPr="00DE6869">
        <w:t xml:space="preserve">reducing forward prices for LGCs </w:t>
      </w:r>
      <w:r>
        <w:t xml:space="preserve">(ACT Government 2023 p.214 and p.357).  </w:t>
      </w:r>
      <w:r w:rsidR="00661EB3">
        <w:lastRenderedPageBreak/>
        <w:t>No explanation for the change in the funding profile is provided in the Budget but Pegasus understands from ACT Treasury that the difference largely reflects increased funding for household waste collection, including the release of provisioned funding for new service contracts.</w:t>
      </w:r>
    </w:p>
    <w:p w14:paraId="3F9C1877" w14:textId="77777777" w:rsidR="00E94DE1" w:rsidRDefault="00E94DE1" w:rsidP="00E94DE1">
      <w:pPr>
        <w:pStyle w:val="Heading2"/>
        <w:spacing w:after="240"/>
      </w:pPr>
      <w:bookmarkStart w:id="140" w:name="_Toc110939255"/>
      <w:bookmarkStart w:id="141" w:name="_Toc171949013"/>
      <w:bookmarkEnd w:id="139"/>
      <w:r>
        <w:t>5.4</w:t>
      </w:r>
      <w:r>
        <w:tab/>
        <w:t>Expenses</w:t>
      </w:r>
      <w:bookmarkEnd w:id="140"/>
      <w:r>
        <w:t xml:space="preserve"> by economic type</w:t>
      </w:r>
      <w:bookmarkEnd w:id="141"/>
    </w:p>
    <w:p w14:paraId="62636AE4" w14:textId="77777777" w:rsidR="00E94DE1" w:rsidRDefault="00E94DE1" w:rsidP="00E94DE1">
      <w:pPr>
        <w:spacing w:after="240"/>
        <w:rPr>
          <w:rFonts w:cstheme="minorHAnsi"/>
        </w:rPr>
      </w:pPr>
      <w:r>
        <w:rPr>
          <w:rFonts w:cstheme="minorHAnsi"/>
        </w:rPr>
        <w:t xml:space="preserve">Expenses can also be described in terms of the application or purpose of the payment. </w:t>
      </w:r>
    </w:p>
    <w:p w14:paraId="1B08889E" w14:textId="112EA4C7" w:rsidR="002C3941" w:rsidRDefault="00E94DE1" w:rsidP="00E94DE1">
      <w:pPr>
        <w:spacing w:after="240"/>
        <w:rPr>
          <w:rFonts w:cstheme="minorHAnsi"/>
        </w:rPr>
      </w:pPr>
      <w:r>
        <w:rPr>
          <w:rFonts w:cstheme="minorHAnsi"/>
        </w:rPr>
        <w:t xml:space="preserve">Expenses by type for the ACT Government are dominated by salaries, superannuation and other employee related expenses, representing almost half of total expenses, as shown in </w:t>
      </w:r>
      <w:r w:rsidR="002C3941">
        <w:rPr>
          <w:rFonts w:cstheme="minorHAnsi"/>
        </w:rPr>
        <w:t>Figure 22 below</w:t>
      </w:r>
      <w:r>
        <w:rPr>
          <w:rFonts w:cstheme="minorHAnsi"/>
        </w:rPr>
        <w:t xml:space="preserve">.  </w:t>
      </w:r>
    </w:p>
    <w:p w14:paraId="316DDC6F" w14:textId="32477946" w:rsidR="00E94DE1" w:rsidRDefault="00E94DE1" w:rsidP="00E94DE1">
      <w:pPr>
        <w:pStyle w:val="Caption"/>
        <w:spacing w:before="0"/>
      </w:pPr>
      <w:bookmarkStart w:id="142" w:name="_Toc110939317"/>
      <w:bookmarkStart w:id="143" w:name="_Toc171949081"/>
      <w:r w:rsidRPr="00DA003B">
        <w:t xml:space="preserve">Figure </w:t>
      </w:r>
      <w:r w:rsidRPr="00DA003B">
        <w:fldChar w:fldCharType="begin"/>
      </w:r>
      <w:r w:rsidRPr="00DA003B">
        <w:instrText xml:space="preserve"> SEQ Figure \* ARABIC </w:instrText>
      </w:r>
      <w:r w:rsidRPr="00DA003B">
        <w:fldChar w:fldCharType="separate"/>
      </w:r>
      <w:r w:rsidR="000B62ED">
        <w:rPr>
          <w:noProof/>
        </w:rPr>
        <w:t>22</w:t>
      </w:r>
      <w:r w:rsidRPr="00DA003B">
        <w:rPr>
          <w:noProof/>
        </w:rPr>
        <w:fldChar w:fldCharType="end"/>
      </w:r>
      <w:r w:rsidRPr="00DA003B">
        <w:t>: Expenses by economic type – 2023-24 (est.) to 2027-28</w:t>
      </w:r>
      <w:bookmarkEnd w:id="143"/>
      <w:r w:rsidRPr="002705F9">
        <w:t xml:space="preserve"> </w:t>
      </w:r>
      <w:bookmarkEnd w:id="142"/>
    </w:p>
    <w:p w14:paraId="5EAE494B" w14:textId="6D564EF0" w:rsidR="00E94DE1" w:rsidRDefault="00B435C0" w:rsidP="00E94DE1">
      <w:pPr>
        <w:spacing w:before="0"/>
      </w:pPr>
      <w:r>
        <w:rPr>
          <w:noProof/>
        </w:rPr>
        <w:drawing>
          <wp:inline distT="0" distB="0" distL="0" distR="0" wp14:anchorId="08BB6680" wp14:editId="6A5BE957">
            <wp:extent cx="5731510" cy="3737610"/>
            <wp:effectExtent l="0" t="0" r="0" b="0"/>
            <wp:docPr id="8188094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809428" name=""/>
                    <pic:cNvPicPr/>
                  </pic:nvPicPr>
                  <pic:blipFill>
                    <a:blip r:embed="rId40"/>
                    <a:stretch>
                      <a:fillRect/>
                    </a:stretch>
                  </pic:blipFill>
                  <pic:spPr>
                    <a:xfrm>
                      <a:off x="0" y="0"/>
                      <a:ext cx="5731510" cy="3737610"/>
                    </a:xfrm>
                    <a:prstGeom prst="rect">
                      <a:avLst/>
                    </a:prstGeom>
                  </pic:spPr>
                </pic:pic>
              </a:graphicData>
            </a:graphic>
          </wp:inline>
        </w:drawing>
      </w:r>
      <w:r w:rsidR="00E94DE1">
        <w:br/>
        <w:t>Source: ACT Government (202</w:t>
      </w:r>
      <w:r w:rsidR="002C3941">
        <w:t>4</w:t>
      </w:r>
      <w:r w:rsidR="00E94DE1">
        <w:t>)</w:t>
      </w:r>
      <w:r w:rsidR="002E0188">
        <w:t>.</w:t>
      </w:r>
    </w:p>
    <w:p w14:paraId="5F3E9A36" w14:textId="35E747CB" w:rsidR="00E94DE1" w:rsidRDefault="00E94DE1" w:rsidP="00E94DE1">
      <w:pPr>
        <w:spacing w:after="240"/>
        <w:rPr>
          <w:rStyle w:val="BodyTextChar"/>
          <w:rFonts w:eastAsiaTheme="minorHAnsi"/>
        </w:rPr>
      </w:pPr>
      <w:r>
        <w:rPr>
          <w:rFonts w:cstheme="minorHAnsi"/>
        </w:rPr>
        <w:t xml:space="preserve">Employee expenses are forecast to </w:t>
      </w:r>
      <w:r w:rsidRPr="00C43EAE">
        <w:rPr>
          <w:rFonts w:cstheme="minorHAnsi"/>
        </w:rPr>
        <w:t>gro</w:t>
      </w:r>
      <w:r w:rsidRPr="00D71D6B">
        <w:rPr>
          <w:rFonts w:cstheme="minorHAnsi"/>
        </w:rPr>
        <w:t xml:space="preserve">w by 5.2 percent in 2024-25 over the expected outcome for 2023-24 and by around </w:t>
      </w:r>
      <w:r w:rsidR="00C43EAE">
        <w:rPr>
          <w:rFonts w:cstheme="minorHAnsi"/>
        </w:rPr>
        <w:t>2.</w:t>
      </w:r>
      <w:r w:rsidR="00FD224D">
        <w:rPr>
          <w:rFonts w:cstheme="minorHAnsi"/>
        </w:rPr>
        <w:t>9</w:t>
      </w:r>
      <w:r w:rsidRPr="00D71D6B">
        <w:rPr>
          <w:rFonts w:cstheme="minorHAnsi"/>
        </w:rPr>
        <w:t xml:space="preserve"> percent a year over the Budget and forward</w:t>
      </w:r>
      <w:r>
        <w:rPr>
          <w:rFonts w:cstheme="minorHAnsi"/>
        </w:rPr>
        <w:t xml:space="preserve"> years</w:t>
      </w:r>
      <w:r w:rsidR="00C43EAE">
        <w:rPr>
          <w:rFonts w:cstheme="minorHAnsi"/>
        </w:rPr>
        <w:t xml:space="preserve"> relative to the 2023-24 outcome</w:t>
      </w:r>
      <w:r>
        <w:rPr>
          <w:rStyle w:val="BodyTextChar"/>
          <w:rFonts w:eastAsiaTheme="minorHAnsi"/>
        </w:rPr>
        <w:t>.  This represents a lower rate of year-on-year growth compared with last year and a return to rates of growth close</w:t>
      </w:r>
      <w:r w:rsidR="00FD224D">
        <w:rPr>
          <w:rStyle w:val="BodyTextChar"/>
          <w:rFonts w:eastAsiaTheme="minorHAnsi"/>
        </w:rPr>
        <w:t>r</w:t>
      </w:r>
      <w:r>
        <w:rPr>
          <w:rStyle w:val="BodyTextChar"/>
          <w:rFonts w:eastAsiaTheme="minorHAnsi"/>
        </w:rPr>
        <w:t xml:space="preserve"> to those forecast in 2022.  </w:t>
      </w:r>
    </w:p>
    <w:p w14:paraId="7FAEECE5" w14:textId="2CA4887E" w:rsidR="00E94DE1" w:rsidRDefault="00E94DE1" w:rsidP="00E94DE1">
      <w:pPr>
        <w:spacing w:after="240"/>
        <w:rPr>
          <w:rStyle w:val="BodyTextChar"/>
          <w:rFonts w:eastAsiaTheme="minorHAnsi"/>
        </w:rPr>
      </w:pPr>
      <w:r>
        <w:rPr>
          <w:rStyle w:val="BodyTextChar"/>
          <w:rFonts w:eastAsiaTheme="minorHAnsi"/>
        </w:rPr>
        <w:t>Growth in forecasts for this item in 2023-24 were higher than in previous years partly due to the acquisition of Calvary Hospital (which was offset by reductions in Grants and purchased services) and the impact of Employee Bargaining outcomes in 2023-24.  Those factors have been incorporated into the Budget and forward estimates.  It is not possible to identify from the Budget Papers whether there are any other effects on expenses into the forward years arising from the acquisition of Calvary.  However, officials have indicated to us that there are no significant impacts on expenses from the takeover beyond those identified in last year’s Budget.  A discussion of issues associated with outstanding negotiations for compensation are provided on p.348 of the Statement of Risks</w:t>
      </w:r>
      <w:r w:rsidR="001730E8">
        <w:rPr>
          <w:rStyle w:val="BodyTextChar"/>
          <w:rFonts w:eastAsiaTheme="minorHAnsi"/>
        </w:rPr>
        <w:t>.</w:t>
      </w:r>
      <w:r>
        <w:rPr>
          <w:rStyle w:val="BodyTextChar"/>
          <w:rFonts w:eastAsiaTheme="minorHAnsi"/>
        </w:rPr>
        <w:t xml:space="preserve"> </w:t>
      </w:r>
    </w:p>
    <w:p w14:paraId="74C300E1" w14:textId="614A9A16" w:rsidR="00E94DE1" w:rsidRDefault="00E94DE1" w:rsidP="00E94DE1">
      <w:pPr>
        <w:spacing w:after="240"/>
        <w:rPr>
          <w:rFonts w:cstheme="minorHAnsi"/>
        </w:rPr>
      </w:pPr>
      <w:r>
        <w:rPr>
          <w:rFonts w:cstheme="minorHAnsi"/>
        </w:rPr>
        <w:t xml:space="preserve">Interest expenses show significant growth over the Budget and forward years.  </w:t>
      </w:r>
      <w:r w:rsidR="003A4DA9">
        <w:rPr>
          <w:rFonts w:cstheme="minorHAnsi"/>
        </w:rPr>
        <w:t>Interest expenses include interest on government borrowings and finance charges on leases and public private partnerships</w:t>
      </w:r>
      <w:r w:rsidR="00BA5B98">
        <w:rPr>
          <w:rFonts w:cstheme="minorHAnsi"/>
        </w:rPr>
        <w:t xml:space="preserve"> </w:t>
      </w:r>
      <w:r w:rsidR="00885ADC">
        <w:rPr>
          <w:rFonts w:cstheme="minorHAnsi"/>
        </w:rPr>
        <w:t>(Service Concessions)</w:t>
      </w:r>
      <w:r w:rsidR="003A4DA9">
        <w:rPr>
          <w:rFonts w:cstheme="minorHAnsi"/>
        </w:rPr>
        <w:t xml:space="preserve">.  </w:t>
      </w:r>
      <w:r>
        <w:rPr>
          <w:rFonts w:cstheme="minorHAnsi"/>
        </w:rPr>
        <w:t xml:space="preserve">The Budget forecast for interest expenses is $127.2 million </w:t>
      </w:r>
      <w:r>
        <w:rPr>
          <w:rFonts w:cstheme="minorHAnsi"/>
        </w:rPr>
        <w:lastRenderedPageBreak/>
        <w:t xml:space="preserve">higher than the estimated 2023-24 outcome and is forecast to increase by a further $318.3 million over the Budget and forward years.  </w:t>
      </w:r>
      <w:r w:rsidR="00C43EAE">
        <w:rPr>
          <w:rFonts w:cstheme="minorHAnsi"/>
        </w:rPr>
        <w:t>This represents annual average growth over the Budget and forward years of 21.1</w:t>
      </w:r>
      <w:r w:rsidR="005D3E81">
        <w:rPr>
          <w:rFonts w:cstheme="minorHAnsi"/>
        </w:rPr>
        <w:t> </w:t>
      </w:r>
      <w:r w:rsidR="00C43EAE">
        <w:rPr>
          <w:rFonts w:cstheme="minorHAnsi"/>
        </w:rPr>
        <w:t>percent.</w:t>
      </w:r>
    </w:p>
    <w:p w14:paraId="51CB5666" w14:textId="77777777" w:rsidR="00643AB7" w:rsidRPr="004169C2" w:rsidRDefault="00643AB7" w:rsidP="00643AB7">
      <w:pPr>
        <w:spacing w:after="240"/>
        <w:rPr>
          <w:rFonts w:cstheme="minorHAnsi"/>
        </w:rPr>
      </w:pPr>
      <w:r w:rsidRPr="004169C2">
        <w:rPr>
          <w:rFonts w:cstheme="minorHAnsi"/>
        </w:rPr>
        <w:t xml:space="preserve">The Budget Outlook states on p.198 that the increase in </w:t>
      </w:r>
      <w:r>
        <w:rPr>
          <w:rFonts w:cstheme="minorHAnsi"/>
        </w:rPr>
        <w:t xml:space="preserve">interest expenses in </w:t>
      </w:r>
      <w:r w:rsidRPr="004169C2">
        <w:rPr>
          <w:rFonts w:cstheme="minorHAnsi"/>
        </w:rPr>
        <w:t xml:space="preserve">the 2024-25 Budget over the 2023-24 estimated outcome is mainly due to the impact of higher interest rates.  </w:t>
      </w:r>
    </w:p>
    <w:p w14:paraId="642555F4" w14:textId="1F64CCA0" w:rsidR="00643AB7" w:rsidRPr="00D71D6B" w:rsidRDefault="00643AB7" w:rsidP="00643AB7">
      <w:pPr>
        <w:spacing w:after="240"/>
        <w:rPr>
          <w:rFonts w:cstheme="minorHAnsi"/>
          <w:highlight w:val="yellow"/>
        </w:rPr>
      </w:pPr>
      <w:r w:rsidRPr="004169C2">
        <w:rPr>
          <w:rFonts w:cstheme="minorHAnsi"/>
        </w:rPr>
        <w:t xml:space="preserve">The interest rate assumption in this year’s Budget is higher than last year’s, but this only accounts for part of the increase in interest expense.  A number of factors have contributed to the overall increase in interest expenses: higher interest rate assumptions, growth in the volume of debt and changes over time in the borrowing profile.  The ACT Treasury has also </w:t>
      </w:r>
      <w:r>
        <w:rPr>
          <w:rFonts w:cstheme="minorHAnsi"/>
        </w:rPr>
        <w:t xml:space="preserve">indicated </w:t>
      </w:r>
      <w:r w:rsidRPr="004169C2">
        <w:rPr>
          <w:rFonts w:cstheme="minorHAnsi"/>
        </w:rPr>
        <w:t xml:space="preserve">that </w:t>
      </w:r>
      <w:r w:rsidRPr="004169C2">
        <w:t>market conditions, including monetary policy settings and investor sentiment, can also impact on borrowing costs.</w:t>
      </w:r>
      <w:r w:rsidRPr="004169C2">
        <w:rPr>
          <w:rFonts w:cstheme="minorHAnsi"/>
        </w:rPr>
        <w:t xml:space="preserve">  </w:t>
      </w:r>
      <w:r w:rsidRPr="004169C2">
        <w:rPr>
          <w:rStyle w:val="BodyTextChar"/>
          <w:rFonts w:eastAsiaTheme="minorHAnsi"/>
        </w:rPr>
        <w:t>The</w:t>
      </w:r>
      <w:r>
        <w:rPr>
          <w:rStyle w:val="BodyTextChar"/>
          <w:rFonts w:eastAsiaTheme="minorHAnsi"/>
        </w:rPr>
        <w:t xml:space="preserve"> recent downgrade of the Territory’s credit rating could also be expected to increase the Government’s cost of borrowing.  </w:t>
      </w:r>
      <w:r w:rsidRPr="00A72ACC">
        <w:rPr>
          <w:rFonts w:cstheme="minorHAnsi"/>
        </w:rPr>
        <w:t xml:space="preserve">A credit rating is a measure of how risky a borrower is in terms of </w:t>
      </w:r>
      <w:r>
        <w:rPr>
          <w:rFonts w:cstheme="minorHAnsi"/>
        </w:rPr>
        <w:t xml:space="preserve">its </w:t>
      </w:r>
      <w:r w:rsidRPr="00A72ACC">
        <w:rPr>
          <w:rFonts w:cstheme="minorHAnsi"/>
        </w:rPr>
        <w:t xml:space="preserve">expected willingness and capacity to repay any debt on time.  </w:t>
      </w:r>
      <w:r>
        <w:rPr>
          <w:rFonts w:cstheme="minorHAnsi"/>
        </w:rPr>
        <w:t>A lower</w:t>
      </w:r>
      <w:r w:rsidRPr="00A72ACC">
        <w:rPr>
          <w:rFonts w:cstheme="minorHAnsi"/>
        </w:rPr>
        <w:t xml:space="preserve"> credit rating may </w:t>
      </w:r>
      <w:r>
        <w:rPr>
          <w:rFonts w:cstheme="minorHAnsi"/>
        </w:rPr>
        <w:t>increase</w:t>
      </w:r>
      <w:r w:rsidRPr="00A72ACC">
        <w:rPr>
          <w:rFonts w:cstheme="minorHAnsi"/>
        </w:rPr>
        <w:t xml:space="preserve"> the cost of borrowing and </w:t>
      </w:r>
      <w:r>
        <w:rPr>
          <w:rFonts w:cstheme="minorHAnsi"/>
        </w:rPr>
        <w:t>reduce</w:t>
      </w:r>
      <w:r w:rsidRPr="00A72ACC">
        <w:rPr>
          <w:rFonts w:cstheme="minorHAnsi"/>
        </w:rPr>
        <w:t xml:space="preserve"> an entit</w:t>
      </w:r>
      <w:r>
        <w:rPr>
          <w:rFonts w:cstheme="minorHAnsi"/>
        </w:rPr>
        <w:t xml:space="preserve">ies’ access to some </w:t>
      </w:r>
      <w:r w:rsidRPr="00A72ACC">
        <w:rPr>
          <w:rFonts w:cstheme="minorHAnsi"/>
        </w:rPr>
        <w:t xml:space="preserve">financial </w:t>
      </w:r>
      <w:r>
        <w:rPr>
          <w:rFonts w:cstheme="minorHAnsi"/>
        </w:rPr>
        <w:t>products</w:t>
      </w:r>
      <w:r w:rsidRPr="00A72ACC">
        <w:rPr>
          <w:rFonts w:cstheme="minorHAnsi"/>
        </w:rPr>
        <w:t>.</w:t>
      </w:r>
      <w:r>
        <w:rPr>
          <w:rFonts w:cstheme="minorHAnsi"/>
        </w:rPr>
        <w:t xml:space="preserve">  </w:t>
      </w:r>
    </w:p>
    <w:p w14:paraId="7805A2F5" w14:textId="06062060" w:rsidR="00E94DE1" w:rsidRDefault="00E94DE1" w:rsidP="00E94DE1">
      <w:pPr>
        <w:spacing w:after="240"/>
        <w:rPr>
          <w:rFonts w:cstheme="minorHAnsi"/>
        </w:rPr>
      </w:pPr>
      <w:r>
        <w:rPr>
          <w:rFonts w:cstheme="minorHAnsi"/>
        </w:rPr>
        <w:t xml:space="preserve">The Territory’s interest expense has grown as a share of </w:t>
      </w:r>
      <w:r w:rsidR="00885ADC">
        <w:rPr>
          <w:rFonts w:cstheme="minorHAnsi"/>
        </w:rPr>
        <w:t xml:space="preserve"> GSP</w:t>
      </w:r>
      <w:r>
        <w:rPr>
          <w:rFonts w:cstheme="minorHAnsi"/>
        </w:rPr>
        <w:t xml:space="preserve"> over the past decade, in line with growth in the Territory’s debt and other liabilities.  </w:t>
      </w:r>
      <w:r w:rsidR="00FC5BD8">
        <w:rPr>
          <w:rFonts w:cstheme="minorHAnsi"/>
        </w:rPr>
        <w:t>Figure 23 below</w:t>
      </w:r>
      <w:r>
        <w:rPr>
          <w:rFonts w:cstheme="minorHAnsi"/>
        </w:rPr>
        <w:t xml:space="preserve"> shows that interest expenses have more than doubled as a share of GSP over this period, with much of this growth occurring since 2020-21. </w:t>
      </w:r>
    </w:p>
    <w:p w14:paraId="0B498E83" w14:textId="3B14D4DE" w:rsidR="00E94DE1" w:rsidRDefault="00E94DE1" w:rsidP="00E94DE1">
      <w:pPr>
        <w:spacing w:after="240"/>
        <w:rPr>
          <w:rFonts w:cstheme="minorHAnsi"/>
        </w:rPr>
      </w:pPr>
      <w:r>
        <w:rPr>
          <w:rFonts w:cstheme="minorHAnsi"/>
        </w:rPr>
        <w:t>By 2027-28, interest payments are forecast to total reach $832.3 million, or 8.5 percent of total expenses, and more than 1.25 percent of GSP.  In the last year in which the ACT Budget was in surplus, the interest expense was $185 million while in 2010-11, the interest expense was $86</w:t>
      </w:r>
      <w:r w:rsidR="001730E8">
        <w:rPr>
          <w:rFonts w:cstheme="minorHAnsi"/>
        </w:rPr>
        <w:t> </w:t>
      </w:r>
      <w:r>
        <w:rPr>
          <w:rFonts w:cstheme="minorHAnsi"/>
        </w:rPr>
        <w:t>million.</w:t>
      </w:r>
    </w:p>
    <w:p w14:paraId="1FECF4A9" w14:textId="6B62B57B" w:rsidR="00E94DE1" w:rsidRPr="00DA003B" w:rsidRDefault="00F70EBE" w:rsidP="00D71D6B">
      <w:pPr>
        <w:pStyle w:val="Caption"/>
        <w:keepNext/>
        <w:spacing w:before="0"/>
      </w:pPr>
      <w:bookmarkStart w:id="144" w:name="_Toc171949082"/>
      <w:r w:rsidRPr="00DA003B">
        <w:lastRenderedPageBreak/>
        <w:t xml:space="preserve">Figure </w:t>
      </w:r>
      <w:r w:rsidRPr="00DA003B">
        <w:fldChar w:fldCharType="begin"/>
      </w:r>
      <w:r w:rsidRPr="00DA003B">
        <w:instrText xml:space="preserve"> SEQ Figure \* ARABIC </w:instrText>
      </w:r>
      <w:r w:rsidRPr="00DA003B">
        <w:fldChar w:fldCharType="separate"/>
      </w:r>
      <w:r w:rsidR="000B62ED">
        <w:rPr>
          <w:noProof/>
        </w:rPr>
        <w:t>23</w:t>
      </w:r>
      <w:r w:rsidRPr="00DA003B">
        <w:rPr>
          <w:noProof/>
        </w:rPr>
        <w:fldChar w:fldCharType="end"/>
      </w:r>
      <w:r w:rsidR="00E94DE1" w:rsidRPr="00DA003B">
        <w:t xml:space="preserve">: </w:t>
      </w:r>
      <w:r w:rsidR="00E94DE1">
        <w:t>Interest expenses as a proportion of Gross State Product, 2011-12 (actual) to 2027-28 (forecast)</w:t>
      </w:r>
      <w:bookmarkEnd w:id="144"/>
      <w:r w:rsidR="00E94DE1">
        <w:t xml:space="preserve"> </w:t>
      </w:r>
    </w:p>
    <w:p w14:paraId="6072AC4B" w14:textId="56A98527" w:rsidR="00E94DE1" w:rsidRDefault="00E5216F" w:rsidP="00E94DE1">
      <w:pPr>
        <w:spacing w:after="240"/>
        <w:rPr>
          <w:rFonts w:cstheme="minorHAnsi"/>
        </w:rPr>
      </w:pPr>
      <w:r w:rsidRPr="00E5216F">
        <w:rPr>
          <w:noProof/>
        </w:rPr>
        <w:t xml:space="preserve"> </w:t>
      </w:r>
      <w:r>
        <w:rPr>
          <w:noProof/>
        </w:rPr>
        <w:drawing>
          <wp:inline distT="0" distB="0" distL="0" distR="0" wp14:anchorId="6DD47488" wp14:editId="4DB5C229">
            <wp:extent cx="5731510" cy="3737610"/>
            <wp:effectExtent l="0" t="0" r="0" b="0"/>
            <wp:docPr id="1887087645" name="Picture 1" descr="A graph with a line go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087645" name="Picture 1" descr="A graph with a line going up&#10;&#10;Description automatically generated"/>
                    <pic:cNvPicPr/>
                  </pic:nvPicPr>
                  <pic:blipFill>
                    <a:blip r:embed="rId41"/>
                    <a:stretch>
                      <a:fillRect/>
                    </a:stretch>
                  </pic:blipFill>
                  <pic:spPr>
                    <a:xfrm>
                      <a:off x="0" y="0"/>
                      <a:ext cx="5731510" cy="3737610"/>
                    </a:xfrm>
                    <a:prstGeom prst="rect">
                      <a:avLst/>
                    </a:prstGeom>
                  </pic:spPr>
                </pic:pic>
              </a:graphicData>
            </a:graphic>
          </wp:inline>
        </w:drawing>
      </w:r>
    </w:p>
    <w:p w14:paraId="2A489C3A" w14:textId="77777777" w:rsidR="00E94DE1" w:rsidRPr="00C54E25" w:rsidRDefault="00E94DE1" w:rsidP="00E94DE1">
      <w:pPr>
        <w:spacing w:after="240"/>
        <w:rPr>
          <w:rFonts w:cstheme="minorHAnsi"/>
          <w:sz w:val="20"/>
          <w:szCs w:val="20"/>
        </w:rPr>
      </w:pPr>
      <w:r w:rsidRPr="00C54E25">
        <w:rPr>
          <w:rFonts w:cstheme="minorHAnsi"/>
          <w:sz w:val="20"/>
          <w:szCs w:val="20"/>
        </w:rPr>
        <w:t>Source: ACT Budget Papers</w:t>
      </w:r>
    </w:p>
    <w:p w14:paraId="400C3EE9" w14:textId="7EDDFE78" w:rsidR="004169C2" w:rsidRDefault="00E94DE1" w:rsidP="00E94DE1">
      <w:pPr>
        <w:spacing w:after="240"/>
        <w:rPr>
          <w:rStyle w:val="BodyTextChar"/>
          <w:rFonts w:eastAsiaTheme="minorHAnsi"/>
        </w:rPr>
      </w:pPr>
      <w:r>
        <w:rPr>
          <w:rStyle w:val="BodyTextChar"/>
          <w:rFonts w:eastAsiaTheme="minorHAnsi"/>
        </w:rPr>
        <w:t xml:space="preserve">The 2024 Budget Outlook </w:t>
      </w:r>
      <w:r w:rsidR="004169C2">
        <w:rPr>
          <w:rStyle w:val="BodyTextChar"/>
          <w:rFonts w:eastAsiaTheme="minorHAnsi"/>
        </w:rPr>
        <w:t xml:space="preserve">at Table J.4 </w:t>
      </w:r>
      <w:r w:rsidR="004169C2">
        <w:t xml:space="preserve">estimates that the increase or decrease in forecast borrowing interest expenses if the actual interest rate on projected new fixed rate borrowings and the interest cost on inflation linked bonds is 0.25 percentage point higher or lower than the budget interest rate assumption </w:t>
      </w:r>
      <w:r w:rsidR="004169C2">
        <w:rPr>
          <w:rStyle w:val="BodyTextChar"/>
          <w:rFonts w:eastAsiaTheme="minorHAnsi"/>
        </w:rPr>
        <w:t xml:space="preserve">would add some $5 million to the deficit in 2024-25 and around $21 million in 2027-28.  ACT Treasury has </w:t>
      </w:r>
      <w:r w:rsidR="00162E04">
        <w:rPr>
          <w:rStyle w:val="BodyTextChar"/>
          <w:rFonts w:eastAsiaTheme="minorHAnsi"/>
        </w:rPr>
        <w:t>pointed out</w:t>
      </w:r>
      <w:r w:rsidR="004169C2">
        <w:rPr>
          <w:rStyle w:val="BodyTextChar"/>
          <w:rFonts w:eastAsiaTheme="minorHAnsi"/>
        </w:rPr>
        <w:t xml:space="preserve"> that w</w:t>
      </w:r>
      <w:r w:rsidR="004169C2" w:rsidRPr="004169C2">
        <w:t>hile this provides an indication of the impact of movements in interest rates on interest expense, all other things equal, the actual interest expense is also impacted by the timing of borrowings.</w:t>
      </w:r>
    </w:p>
    <w:p w14:paraId="5E402AF5" w14:textId="3E8357EF" w:rsidR="00E94DE1" w:rsidRDefault="00E94DE1" w:rsidP="00E94DE1">
      <w:pPr>
        <w:spacing w:after="240"/>
        <w:rPr>
          <w:rFonts w:cstheme="minorHAnsi"/>
        </w:rPr>
      </w:pPr>
      <w:r>
        <w:rPr>
          <w:rFonts w:cstheme="minorHAnsi"/>
        </w:rPr>
        <w:t xml:space="preserve">The presentation of expenses by economic type illustrates the extent of the challenges in shifting the budget aggregates.  Many of the ACT Government’s expenses are “locked in” to the extent that they are made up of payments which are not discretionary.  Employee related expenses represent </w:t>
      </w:r>
      <w:r w:rsidR="00A156ED">
        <w:rPr>
          <w:rFonts w:cstheme="minorHAnsi"/>
        </w:rPr>
        <w:t xml:space="preserve">approximately </w:t>
      </w:r>
      <w:r>
        <w:rPr>
          <w:rFonts w:cstheme="minorHAnsi"/>
        </w:rPr>
        <w:t xml:space="preserve">half of total expenses.  These costs are difficult to move downwards in the short to medium-term.  Depreciation and amortisation expenses related to capital investment decisions represent another 6.7 percent of the total.  Interest expenses on the Territory’s borrowings are expected to rise to 8.5 </w:t>
      </w:r>
      <w:r w:rsidR="001730E8">
        <w:rPr>
          <w:rFonts w:cstheme="minorHAnsi"/>
        </w:rPr>
        <w:t> </w:t>
      </w:r>
      <w:r>
        <w:rPr>
          <w:rFonts w:cstheme="minorHAnsi"/>
        </w:rPr>
        <w:t xml:space="preserve">percent of expenses by 2027-28.  These payments are an unavoidable first call for government spending. </w:t>
      </w:r>
    </w:p>
    <w:p w14:paraId="1FEE66EF" w14:textId="6BCB6923" w:rsidR="00C21F75" w:rsidRPr="006B3BB2" w:rsidRDefault="00E94DE1" w:rsidP="006B3BB2">
      <w:pPr>
        <w:spacing w:before="0" w:after="0"/>
        <w:rPr>
          <w:rFonts w:ascii="Times New Roman" w:hAnsi="Times New Roman" w:cs="Times New Roman"/>
          <w:sz w:val="24"/>
          <w:szCs w:val="24"/>
          <w:lang w:eastAsia="en-AU"/>
        </w:rPr>
      </w:pPr>
      <w:r>
        <w:rPr>
          <w:rFonts w:cstheme="minorHAnsi"/>
        </w:rPr>
        <w:t>Other categories of expenditure are discretionary in a technical sense but as they are more directly related to the level of services provided to the community, there are practical constraints on the extent to which payments can be reduced in the short to medium term.  The amount of lock-in limits the scope for governments to reduce the level of public expenditure and improve the broader fiscal position in the short to medium term.</w:t>
      </w:r>
    </w:p>
    <w:p w14:paraId="681A7DBB" w14:textId="6812EC06" w:rsidR="00363525" w:rsidRPr="00937774" w:rsidRDefault="00AD4FE7" w:rsidP="00937774">
      <w:pPr>
        <w:pStyle w:val="Heading1"/>
      </w:pPr>
      <w:r>
        <w:br w:type="page"/>
      </w:r>
      <w:bookmarkStart w:id="145" w:name="_Toc110939256"/>
      <w:bookmarkStart w:id="146" w:name="_Toc171949014"/>
      <w:r w:rsidR="0073739D">
        <w:lastRenderedPageBreak/>
        <w:t>6.</w:t>
      </w:r>
      <w:r w:rsidR="00363525">
        <w:tab/>
      </w:r>
      <w:r w:rsidR="00A21A76">
        <w:t>New initiatives</w:t>
      </w:r>
      <w:r w:rsidR="00606739">
        <w:t xml:space="preserve"> and wellbeing</w:t>
      </w:r>
      <w:bookmarkEnd w:id="145"/>
      <w:bookmarkEnd w:id="146"/>
    </w:p>
    <w:p w14:paraId="0F83DDA0" w14:textId="3414C94F" w:rsidR="00E94DE1" w:rsidRPr="00FD617C" w:rsidRDefault="00E94DE1" w:rsidP="00E94DE1">
      <w:pPr>
        <w:rPr>
          <w:i/>
          <w:iCs/>
          <w:color w:val="5B9BD5"/>
          <w:sz w:val="24"/>
          <w:szCs w:val="24"/>
        </w:rPr>
      </w:pPr>
      <w:bookmarkStart w:id="147" w:name="_Hlk516242088"/>
      <w:r w:rsidRPr="00FD617C">
        <w:rPr>
          <w:i/>
          <w:iCs/>
          <w:color w:val="5B9BD5"/>
          <w:sz w:val="24"/>
          <w:szCs w:val="24"/>
        </w:rPr>
        <w:t xml:space="preserve">The Budget includes 166 </w:t>
      </w:r>
      <w:r w:rsidR="00A21A76">
        <w:rPr>
          <w:i/>
          <w:iCs/>
          <w:color w:val="5B9BD5"/>
          <w:sz w:val="24"/>
          <w:szCs w:val="24"/>
        </w:rPr>
        <w:t>new policy</w:t>
      </w:r>
      <w:r w:rsidR="00A21A76" w:rsidRPr="00FD617C">
        <w:rPr>
          <w:i/>
          <w:iCs/>
          <w:color w:val="5B9BD5"/>
          <w:sz w:val="24"/>
          <w:szCs w:val="24"/>
        </w:rPr>
        <w:t xml:space="preserve"> </w:t>
      </w:r>
      <w:r w:rsidRPr="00FD617C">
        <w:rPr>
          <w:i/>
          <w:iCs/>
          <w:color w:val="5B9BD5"/>
          <w:sz w:val="24"/>
          <w:szCs w:val="24"/>
        </w:rPr>
        <w:t xml:space="preserve">initiatives that involve a mix of capital, expense, and revenue.  The </w:t>
      </w:r>
      <w:r w:rsidR="00A21A76">
        <w:rPr>
          <w:i/>
          <w:iCs/>
          <w:color w:val="5B9BD5"/>
          <w:sz w:val="24"/>
          <w:szCs w:val="24"/>
        </w:rPr>
        <w:t>new policy</w:t>
      </w:r>
      <w:r w:rsidR="00A21A76" w:rsidRPr="00FD617C">
        <w:rPr>
          <w:i/>
          <w:iCs/>
          <w:color w:val="5B9BD5"/>
          <w:sz w:val="24"/>
          <w:szCs w:val="24"/>
        </w:rPr>
        <w:t xml:space="preserve"> </w:t>
      </w:r>
      <w:r w:rsidRPr="00FD617C">
        <w:rPr>
          <w:i/>
          <w:iCs/>
          <w:color w:val="5B9BD5"/>
          <w:sz w:val="24"/>
          <w:szCs w:val="24"/>
        </w:rPr>
        <w:t xml:space="preserve">initiatives collectively </w:t>
      </w:r>
      <w:r w:rsidR="00DE3FE1" w:rsidRPr="00977D91">
        <w:rPr>
          <w:i/>
          <w:iCs/>
          <w:color w:val="5B9BD5"/>
          <w:sz w:val="24"/>
          <w:szCs w:val="24"/>
        </w:rPr>
        <w:t>represent</w:t>
      </w:r>
      <w:r w:rsidRPr="00FD617C">
        <w:rPr>
          <w:i/>
          <w:iCs/>
          <w:color w:val="5B9BD5"/>
          <w:sz w:val="24"/>
          <w:szCs w:val="24"/>
        </w:rPr>
        <w:t xml:space="preserve"> $</w:t>
      </w:r>
      <w:r w:rsidR="00272D90">
        <w:rPr>
          <w:i/>
          <w:iCs/>
          <w:color w:val="5B9BD5"/>
          <w:sz w:val="24"/>
          <w:szCs w:val="24"/>
        </w:rPr>
        <w:t>414</w:t>
      </w:r>
      <w:r w:rsidRPr="00FD617C">
        <w:rPr>
          <w:i/>
          <w:iCs/>
          <w:color w:val="5B9BD5"/>
          <w:sz w:val="24"/>
          <w:szCs w:val="24"/>
        </w:rPr>
        <w:t xml:space="preserve"> million </w:t>
      </w:r>
      <w:r w:rsidR="00FD617C" w:rsidRPr="00FD617C">
        <w:rPr>
          <w:i/>
          <w:iCs/>
          <w:color w:val="5B9BD5"/>
          <w:sz w:val="24"/>
          <w:szCs w:val="24"/>
        </w:rPr>
        <w:t xml:space="preserve">of </w:t>
      </w:r>
      <w:r w:rsidRPr="00FD617C">
        <w:rPr>
          <w:i/>
          <w:iCs/>
          <w:color w:val="5B9BD5"/>
          <w:sz w:val="24"/>
          <w:szCs w:val="24"/>
        </w:rPr>
        <w:t>capital, $</w:t>
      </w:r>
      <w:r w:rsidR="00977D91">
        <w:rPr>
          <w:i/>
          <w:iCs/>
          <w:color w:val="5B9BD5"/>
          <w:sz w:val="24"/>
          <w:szCs w:val="24"/>
        </w:rPr>
        <w:t>61</w:t>
      </w:r>
      <w:r w:rsidR="00D77688">
        <w:rPr>
          <w:i/>
          <w:iCs/>
          <w:color w:val="5B9BD5"/>
          <w:sz w:val="24"/>
          <w:szCs w:val="24"/>
        </w:rPr>
        <w:t>5</w:t>
      </w:r>
      <w:r w:rsidR="00977D91">
        <w:rPr>
          <w:i/>
          <w:iCs/>
          <w:color w:val="5B9BD5"/>
          <w:sz w:val="24"/>
          <w:szCs w:val="24"/>
        </w:rPr>
        <w:t xml:space="preserve"> </w:t>
      </w:r>
      <w:r w:rsidRPr="00FD617C">
        <w:rPr>
          <w:i/>
          <w:iCs/>
          <w:color w:val="5B9BD5"/>
          <w:sz w:val="24"/>
          <w:szCs w:val="24"/>
        </w:rPr>
        <w:t>million expenses, and $</w:t>
      </w:r>
      <w:r w:rsidR="0027250E">
        <w:rPr>
          <w:i/>
          <w:iCs/>
          <w:color w:val="5B9BD5"/>
          <w:sz w:val="24"/>
          <w:szCs w:val="24"/>
        </w:rPr>
        <w:t>2</w:t>
      </w:r>
      <w:r w:rsidRPr="00FD617C">
        <w:rPr>
          <w:i/>
          <w:iCs/>
          <w:color w:val="5B9BD5"/>
          <w:sz w:val="24"/>
          <w:szCs w:val="24"/>
        </w:rPr>
        <w:t>24 million of revenue</w:t>
      </w:r>
      <w:r w:rsidR="00A21A76">
        <w:rPr>
          <w:i/>
          <w:iCs/>
          <w:color w:val="5B9BD5"/>
          <w:sz w:val="24"/>
          <w:szCs w:val="24"/>
        </w:rPr>
        <w:t xml:space="preserve">, </w:t>
      </w:r>
      <w:r w:rsidR="00A21A76" w:rsidRPr="00977D91">
        <w:rPr>
          <w:i/>
          <w:iCs/>
          <w:color w:val="5B9BD5"/>
          <w:sz w:val="24"/>
          <w:szCs w:val="24"/>
        </w:rPr>
        <w:t>in net terms,</w:t>
      </w:r>
      <w:r w:rsidR="00A21A76">
        <w:rPr>
          <w:i/>
          <w:iCs/>
          <w:color w:val="5B9BD5"/>
          <w:sz w:val="24"/>
          <w:szCs w:val="24"/>
        </w:rPr>
        <w:t xml:space="preserve"> over four years.</w:t>
      </w:r>
      <w:r w:rsidR="00A21A76" w:rsidRPr="00FD617C">
        <w:rPr>
          <w:i/>
          <w:iCs/>
          <w:color w:val="5B9BD5"/>
          <w:sz w:val="24"/>
          <w:szCs w:val="24"/>
        </w:rPr>
        <w:t xml:space="preserve"> </w:t>
      </w:r>
      <w:r w:rsidRPr="00FD617C">
        <w:rPr>
          <w:i/>
          <w:iCs/>
          <w:color w:val="5B9BD5"/>
          <w:sz w:val="24"/>
          <w:szCs w:val="24"/>
        </w:rPr>
        <w:t xml:space="preserve"> </w:t>
      </w:r>
    </w:p>
    <w:p w14:paraId="50DA0283" w14:textId="0EE0BBC9" w:rsidR="00E94DE1" w:rsidRDefault="0027756B" w:rsidP="00E94DE1">
      <w:pPr>
        <w:rPr>
          <w:i/>
          <w:iCs/>
          <w:color w:val="5B9BD5"/>
          <w:sz w:val="24"/>
          <w:szCs w:val="24"/>
        </w:rPr>
      </w:pPr>
      <w:r>
        <w:rPr>
          <w:i/>
          <w:iCs/>
          <w:color w:val="5B9BD5"/>
          <w:sz w:val="24"/>
          <w:szCs w:val="24"/>
        </w:rPr>
        <w:t>N</w:t>
      </w:r>
      <w:r w:rsidR="00A21A76">
        <w:rPr>
          <w:i/>
          <w:iCs/>
          <w:color w:val="5B9BD5"/>
          <w:sz w:val="24"/>
          <w:szCs w:val="24"/>
        </w:rPr>
        <w:t xml:space="preserve">ew policy initiatives </w:t>
      </w:r>
      <w:r>
        <w:rPr>
          <w:i/>
          <w:iCs/>
          <w:color w:val="5B9BD5"/>
          <w:sz w:val="24"/>
          <w:szCs w:val="24"/>
        </w:rPr>
        <w:t xml:space="preserve">announced reported in the Budget </w:t>
      </w:r>
      <w:r w:rsidR="00A21A76">
        <w:rPr>
          <w:i/>
          <w:iCs/>
          <w:color w:val="5B9BD5"/>
          <w:sz w:val="24"/>
          <w:szCs w:val="24"/>
        </w:rPr>
        <w:t xml:space="preserve">are presented within a Wellbeing Framework.  </w:t>
      </w:r>
      <w:r w:rsidR="00E94DE1" w:rsidRPr="00FD617C">
        <w:rPr>
          <w:i/>
          <w:iCs/>
          <w:color w:val="5B9BD5"/>
          <w:sz w:val="24"/>
          <w:szCs w:val="24"/>
        </w:rPr>
        <w:t xml:space="preserve">Significant new investments </w:t>
      </w:r>
      <w:r w:rsidR="00A21A76">
        <w:rPr>
          <w:i/>
          <w:iCs/>
          <w:color w:val="5B9BD5"/>
          <w:sz w:val="24"/>
          <w:szCs w:val="24"/>
        </w:rPr>
        <w:t xml:space="preserve">impact on </w:t>
      </w:r>
      <w:r w:rsidR="00E94DE1" w:rsidRPr="00FD617C">
        <w:rPr>
          <w:i/>
          <w:iCs/>
          <w:color w:val="5B9BD5"/>
          <w:sz w:val="24"/>
          <w:szCs w:val="24"/>
        </w:rPr>
        <w:t xml:space="preserve">most </w:t>
      </w:r>
      <w:r w:rsidR="00A21A76">
        <w:rPr>
          <w:i/>
          <w:iCs/>
          <w:color w:val="5B9BD5"/>
          <w:sz w:val="24"/>
          <w:szCs w:val="24"/>
        </w:rPr>
        <w:t xml:space="preserve">Wellbeing </w:t>
      </w:r>
      <w:r w:rsidR="00E94DE1" w:rsidRPr="00FD617C">
        <w:rPr>
          <w:i/>
          <w:iCs/>
          <w:color w:val="5B9BD5"/>
          <w:sz w:val="24"/>
          <w:szCs w:val="24"/>
        </w:rPr>
        <w:t>domains, with the Health, Housing, Living Standards and Connectivity domains</w:t>
      </w:r>
      <w:r w:rsidR="00A21A76">
        <w:rPr>
          <w:i/>
          <w:iCs/>
          <w:color w:val="5B9BD5"/>
          <w:sz w:val="24"/>
          <w:szCs w:val="24"/>
        </w:rPr>
        <w:t xml:space="preserve"> receiving the largest shares of new funding</w:t>
      </w:r>
      <w:r w:rsidR="00E94DE1" w:rsidRPr="00FD617C">
        <w:rPr>
          <w:i/>
          <w:iCs/>
          <w:color w:val="5B9BD5"/>
          <w:sz w:val="24"/>
          <w:szCs w:val="24"/>
        </w:rPr>
        <w:t xml:space="preserve">. </w:t>
      </w:r>
      <w:r w:rsidR="00A21A76">
        <w:rPr>
          <w:i/>
          <w:iCs/>
          <w:color w:val="5B9BD5"/>
          <w:sz w:val="24"/>
          <w:szCs w:val="24"/>
        </w:rPr>
        <w:t xml:space="preserve"> Most of the measures will however impact on more than one domain. </w:t>
      </w:r>
      <w:r w:rsidR="00E94DE1" w:rsidRPr="00FD617C">
        <w:rPr>
          <w:i/>
          <w:iCs/>
          <w:color w:val="5B9BD5"/>
          <w:sz w:val="24"/>
          <w:szCs w:val="24"/>
        </w:rPr>
        <w:t xml:space="preserve">  </w:t>
      </w:r>
    </w:p>
    <w:p w14:paraId="5D87C147" w14:textId="22AEFDA8" w:rsidR="0027756B" w:rsidRDefault="0027756B" w:rsidP="0027756B">
      <w:pPr>
        <w:rPr>
          <w:i/>
          <w:iCs/>
          <w:color w:val="5B9BD5"/>
          <w:sz w:val="24"/>
          <w:szCs w:val="24"/>
        </w:rPr>
      </w:pPr>
      <w:r w:rsidRPr="0027756B">
        <w:rPr>
          <w:i/>
          <w:iCs/>
          <w:color w:val="5B9BD5"/>
          <w:sz w:val="24"/>
          <w:szCs w:val="24"/>
        </w:rPr>
        <w:t xml:space="preserve">Significant savings that offset much of the cost of the new initiatives </w:t>
      </w:r>
      <w:r w:rsidR="0057485B">
        <w:rPr>
          <w:i/>
          <w:iCs/>
          <w:color w:val="5B9BD5"/>
          <w:sz w:val="24"/>
          <w:szCs w:val="24"/>
        </w:rPr>
        <w:t>have been</w:t>
      </w:r>
      <w:r w:rsidRPr="0027756B">
        <w:rPr>
          <w:i/>
          <w:iCs/>
          <w:color w:val="5B9BD5"/>
          <w:sz w:val="24"/>
          <w:szCs w:val="24"/>
        </w:rPr>
        <w:t xml:space="preserve"> identified in the </w:t>
      </w:r>
      <w:r w:rsidR="0057485B">
        <w:rPr>
          <w:i/>
          <w:iCs/>
          <w:color w:val="5B9BD5"/>
          <w:sz w:val="24"/>
          <w:szCs w:val="24"/>
        </w:rPr>
        <w:t>Budget</w:t>
      </w:r>
      <w:r w:rsidRPr="0027756B">
        <w:rPr>
          <w:i/>
          <w:iCs/>
          <w:color w:val="5B9BD5"/>
          <w:sz w:val="24"/>
          <w:szCs w:val="24"/>
        </w:rPr>
        <w:t>.  Against new expenses totalling $1.</w:t>
      </w:r>
      <w:r w:rsidR="005B7F8D">
        <w:rPr>
          <w:i/>
          <w:iCs/>
          <w:color w:val="5B9BD5"/>
          <w:sz w:val="24"/>
          <w:szCs w:val="24"/>
        </w:rPr>
        <w:t>4</w:t>
      </w:r>
      <w:r w:rsidRPr="0027756B">
        <w:rPr>
          <w:i/>
          <w:iCs/>
          <w:color w:val="5B9BD5"/>
          <w:sz w:val="24"/>
          <w:szCs w:val="24"/>
        </w:rPr>
        <w:t xml:space="preserve"> billion over the four years, some $824 million (excluding revenue) has been identified as offsets or savings.  Against new capital projects totalling $787 million, offsets of $372 million have been identified.</w:t>
      </w:r>
    </w:p>
    <w:p w14:paraId="77141E63" w14:textId="25BCF353" w:rsidR="00003FB2" w:rsidRPr="00FD617C" w:rsidRDefault="00C50DBE" w:rsidP="00003FB2">
      <w:pPr>
        <w:rPr>
          <w:i/>
          <w:iCs/>
          <w:color w:val="5B9BD5"/>
          <w:sz w:val="24"/>
          <w:szCs w:val="24"/>
        </w:rPr>
      </w:pPr>
      <w:r>
        <w:rPr>
          <w:i/>
          <w:iCs/>
          <w:color w:val="5B9BD5"/>
          <w:sz w:val="24"/>
          <w:szCs w:val="24"/>
        </w:rPr>
        <w:t xml:space="preserve">The new wellbeing initiatives are presented using </w:t>
      </w:r>
      <w:r w:rsidR="00003FB2">
        <w:rPr>
          <w:i/>
          <w:iCs/>
          <w:color w:val="5B9BD5"/>
          <w:sz w:val="24"/>
          <w:szCs w:val="24"/>
        </w:rPr>
        <w:t xml:space="preserve">counting conventions </w:t>
      </w:r>
      <w:r>
        <w:rPr>
          <w:i/>
          <w:iCs/>
          <w:color w:val="5B9BD5"/>
          <w:sz w:val="24"/>
          <w:szCs w:val="24"/>
        </w:rPr>
        <w:t xml:space="preserve">that are different </w:t>
      </w:r>
      <w:r w:rsidR="00003FB2">
        <w:rPr>
          <w:i/>
          <w:iCs/>
          <w:color w:val="5B9BD5"/>
          <w:sz w:val="24"/>
          <w:szCs w:val="24"/>
        </w:rPr>
        <w:t xml:space="preserve">from other parts of the Budget.  </w:t>
      </w:r>
      <w:r w:rsidR="00EA0810">
        <w:rPr>
          <w:i/>
          <w:iCs/>
          <w:color w:val="5B9BD5"/>
          <w:sz w:val="24"/>
          <w:szCs w:val="24"/>
        </w:rPr>
        <w:t>Cl</w:t>
      </w:r>
      <w:r>
        <w:rPr>
          <w:i/>
          <w:iCs/>
          <w:color w:val="5B9BD5"/>
          <w:sz w:val="24"/>
          <w:szCs w:val="24"/>
        </w:rPr>
        <w:t xml:space="preserve">arity for readers, </w:t>
      </w:r>
      <w:r w:rsidR="00EA0810">
        <w:rPr>
          <w:i/>
          <w:iCs/>
          <w:color w:val="5B9BD5"/>
          <w:sz w:val="24"/>
          <w:szCs w:val="24"/>
        </w:rPr>
        <w:t xml:space="preserve">and Budget transparency, </w:t>
      </w:r>
      <w:r w:rsidR="0069558F">
        <w:rPr>
          <w:i/>
          <w:iCs/>
          <w:color w:val="5B9BD5"/>
          <w:sz w:val="24"/>
          <w:szCs w:val="24"/>
        </w:rPr>
        <w:t>would be improved i</w:t>
      </w:r>
      <w:r w:rsidR="00003FB2" w:rsidRPr="00003FB2">
        <w:rPr>
          <w:i/>
          <w:iCs/>
          <w:color w:val="5B9BD5"/>
          <w:sz w:val="24"/>
          <w:szCs w:val="24"/>
        </w:rPr>
        <w:t xml:space="preserve">f </w:t>
      </w:r>
      <w:r w:rsidR="00003FB2">
        <w:rPr>
          <w:i/>
          <w:iCs/>
          <w:color w:val="5B9BD5"/>
          <w:sz w:val="24"/>
          <w:szCs w:val="24"/>
        </w:rPr>
        <w:t xml:space="preserve">these initiatives were presented using </w:t>
      </w:r>
      <w:r w:rsidR="00003FB2" w:rsidRPr="00003FB2">
        <w:rPr>
          <w:i/>
          <w:iCs/>
          <w:color w:val="5B9BD5"/>
          <w:sz w:val="24"/>
          <w:szCs w:val="24"/>
        </w:rPr>
        <w:t xml:space="preserve">conventions </w:t>
      </w:r>
      <w:r w:rsidR="00003FB2">
        <w:rPr>
          <w:i/>
          <w:iCs/>
          <w:color w:val="5B9BD5"/>
          <w:sz w:val="24"/>
          <w:szCs w:val="24"/>
        </w:rPr>
        <w:t>con</w:t>
      </w:r>
      <w:r w:rsidR="00E05427">
        <w:rPr>
          <w:i/>
          <w:iCs/>
          <w:color w:val="5B9BD5"/>
          <w:sz w:val="24"/>
          <w:szCs w:val="24"/>
        </w:rPr>
        <w:t>s</w:t>
      </w:r>
      <w:r w:rsidR="00003FB2">
        <w:rPr>
          <w:i/>
          <w:iCs/>
          <w:color w:val="5B9BD5"/>
          <w:sz w:val="24"/>
          <w:szCs w:val="24"/>
        </w:rPr>
        <w:t xml:space="preserve">istent with </w:t>
      </w:r>
      <w:r w:rsidR="00EA0810">
        <w:rPr>
          <w:i/>
          <w:iCs/>
          <w:color w:val="5B9BD5"/>
          <w:sz w:val="24"/>
          <w:szCs w:val="24"/>
        </w:rPr>
        <w:t>o</w:t>
      </w:r>
      <w:r w:rsidR="00003FB2">
        <w:rPr>
          <w:i/>
          <w:iCs/>
          <w:color w:val="5B9BD5"/>
          <w:sz w:val="24"/>
          <w:szCs w:val="24"/>
        </w:rPr>
        <w:t>the</w:t>
      </w:r>
      <w:r w:rsidR="00EA0810">
        <w:rPr>
          <w:i/>
          <w:iCs/>
          <w:color w:val="5B9BD5"/>
          <w:sz w:val="24"/>
          <w:szCs w:val="24"/>
        </w:rPr>
        <w:t>r parts</w:t>
      </w:r>
      <w:r w:rsidR="00003FB2">
        <w:rPr>
          <w:i/>
          <w:iCs/>
          <w:color w:val="5B9BD5"/>
          <w:sz w:val="24"/>
          <w:szCs w:val="24"/>
        </w:rPr>
        <w:t xml:space="preserve"> of the </w:t>
      </w:r>
      <w:r w:rsidR="00003FB2" w:rsidRPr="00003FB2">
        <w:rPr>
          <w:i/>
          <w:iCs/>
          <w:color w:val="5B9BD5"/>
          <w:sz w:val="24"/>
          <w:szCs w:val="24"/>
        </w:rPr>
        <w:t xml:space="preserve">Budget </w:t>
      </w:r>
      <w:r w:rsidR="00EA0810">
        <w:rPr>
          <w:i/>
          <w:iCs/>
          <w:color w:val="5B9BD5"/>
          <w:sz w:val="24"/>
          <w:szCs w:val="24"/>
        </w:rPr>
        <w:t xml:space="preserve">Outlook. </w:t>
      </w:r>
    </w:p>
    <w:p w14:paraId="02A45C19" w14:textId="77777777" w:rsidR="00E94DE1" w:rsidRPr="00CA36CE" w:rsidRDefault="00E94DE1" w:rsidP="00E94DE1">
      <w:pPr>
        <w:pStyle w:val="Heading2"/>
        <w:spacing w:after="240"/>
      </w:pPr>
      <w:bookmarkStart w:id="148" w:name="_Toc171949015"/>
      <w:r>
        <w:t>6.1</w:t>
      </w:r>
      <w:r>
        <w:tab/>
        <w:t>Introduction</w:t>
      </w:r>
      <w:bookmarkEnd w:id="148"/>
      <w:r>
        <w:t xml:space="preserve"> </w:t>
      </w:r>
    </w:p>
    <w:p w14:paraId="434813E1" w14:textId="4969AE34" w:rsidR="00E94DE1" w:rsidRDefault="00E94DE1" w:rsidP="00E94DE1">
      <w:r>
        <w:t xml:space="preserve">The 2024-25 Budget presents </w:t>
      </w:r>
      <w:r w:rsidR="00A21A76">
        <w:t xml:space="preserve">new </w:t>
      </w:r>
      <w:r>
        <w:t>expense, revenue and capital initiatives in terms of domains within the Government’s Wellbeing Framework.</w:t>
      </w:r>
    </w:p>
    <w:p w14:paraId="2B7FAC3F" w14:textId="764CE7C4" w:rsidR="00260648" w:rsidRDefault="00260648" w:rsidP="00E94DE1">
      <w:r>
        <w:t xml:space="preserve">The Wellbeing </w:t>
      </w:r>
      <w:r w:rsidR="00A21A76">
        <w:t xml:space="preserve">Framework </w:t>
      </w:r>
      <w:r>
        <w:t xml:space="preserve">seeks to supplement macroeconomic </w:t>
      </w:r>
      <w:r w:rsidR="00A21A76">
        <w:t xml:space="preserve">measures </w:t>
      </w:r>
      <w:r>
        <w:t xml:space="preserve">traditionally used in budgets with information based on broader measures of the quality of life, identified through community consultation.  </w:t>
      </w:r>
    </w:p>
    <w:p w14:paraId="5B5373A8" w14:textId="74541D64" w:rsidR="00E94DE1" w:rsidRDefault="00E94DE1" w:rsidP="00260648">
      <w:r>
        <w:t>The ACT is amongst a small number of jurisdictions that have sought to integrate Wellbeing Frameworks into their processes of policy development and budget decision-making.  Pegas</w:t>
      </w:r>
      <w:r w:rsidR="00260648">
        <w:t>u</w:t>
      </w:r>
      <w:r>
        <w:t>s provided more extensive background on the purpose and application of Wellbeing frameworks in its report on the 2023-24 Budget.</w:t>
      </w:r>
      <w:r>
        <w:rPr>
          <w:rStyle w:val="FootnoteReference"/>
        </w:rPr>
        <w:footnoteReference w:id="5"/>
      </w:r>
    </w:p>
    <w:p w14:paraId="2B88CE52" w14:textId="60C5BE52" w:rsidR="00E94DE1" w:rsidRPr="00ED4CC8" w:rsidRDefault="00E94DE1" w:rsidP="00E94DE1">
      <w:r>
        <w:t xml:space="preserve">Information on Wellbeing initiatives in the Budget Outlook should be read in conjunction with the Wellbeing Statement, which provides </w:t>
      </w:r>
      <w:r w:rsidR="00A66256">
        <w:t xml:space="preserve">additional </w:t>
      </w:r>
      <w:r>
        <w:t>information on the ACT approach to Wellbeing and the Wellbeing priority areas for 2024-25.</w:t>
      </w:r>
      <w:r>
        <w:rPr>
          <w:rStyle w:val="FootnoteReference"/>
        </w:rPr>
        <w:footnoteReference w:id="6"/>
      </w:r>
    </w:p>
    <w:p w14:paraId="3A5FF4E9" w14:textId="497982F3" w:rsidR="00E94DE1" w:rsidRDefault="00E94DE1" w:rsidP="00E94DE1">
      <w:pPr>
        <w:pStyle w:val="Heading2"/>
        <w:spacing w:after="240"/>
      </w:pPr>
      <w:bookmarkStart w:id="149" w:name="_Toc171949016"/>
      <w:r>
        <w:t>6.2</w:t>
      </w:r>
      <w:r>
        <w:tab/>
      </w:r>
      <w:r w:rsidR="00AE2EBF">
        <w:t xml:space="preserve">Reporting format for </w:t>
      </w:r>
      <w:r w:rsidR="00691D73">
        <w:t xml:space="preserve">new </w:t>
      </w:r>
      <w:r>
        <w:t>initiatives</w:t>
      </w:r>
      <w:bookmarkEnd w:id="149"/>
    </w:p>
    <w:p w14:paraId="03B5C53F" w14:textId="2E46AE5D" w:rsidR="00A21A76" w:rsidRDefault="00A66256" w:rsidP="00E94DE1">
      <w:r>
        <w:t xml:space="preserve">The Budget papers present the </w:t>
      </w:r>
      <w:r w:rsidR="00691D73">
        <w:t xml:space="preserve">new policy </w:t>
      </w:r>
      <w:r>
        <w:t>initiatives in several different formats.</w:t>
      </w:r>
      <w:r w:rsidR="00851E1A">
        <w:t xml:space="preserve">  </w:t>
      </w:r>
      <w:r>
        <w:t xml:space="preserve">All new policy initiatives are </w:t>
      </w:r>
      <w:r w:rsidR="00A21A76">
        <w:t xml:space="preserve">described in detail </w:t>
      </w:r>
      <w:r>
        <w:t xml:space="preserve">by Directorate </w:t>
      </w:r>
      <w:r w:rsidR="00A21A76">
        <w:t xml:space="preserve">or agency and set out </w:t>
      </w:r>
      <w:r w:rsidR="002711AF">
        <w:t>in</w:t>
      </w:r>
      <w:r>
        <w:t xml:space="preserve"> a summary table</w:t>
      </w:r>
      <w:r w:rsidR="00084611">
        <w:t xml:space="preserve"> that shows the net cost of the initiative</w:t>
      </w:r>
      <w:r w:rsidR="00A21A76">
        <w:t>.</w:t>
      </w:r>
      <w:r>
        <w:t xml:space="preserve"> </w:t>
      </w:r>
      <w:r w:rsidR="00A21A76">
        <w:t xml:space="preserve"> </w:t>
      </w:r>
      <w:r w:rsidR="00691D73">
        <w:t>Each initiative is attached to a primary wellbeing domain</w:t>
      </w:r>
      <w:r w:rsidR="00084611">
        <w:t xml:space="preserve">, though most initiatives </w:t>
      </w:r>
      <w:r w:rsidR="00A53D48">
        <w:t>will</w:t>
      </w:r>
      <w:r w:rsidR="00084611">
        <w:t xml:space="preserve"> have impacts across several domains.</w:t>
      </w:r>
      <w:r w:rsidR="00691D73">
        <w:t xml:space="preserve">  </w:t>
      </w:r>
    </w:p>
    <w:p w14:paraId="0FC3EA1F" w14:textId="77777777" w:rsidR="00691D73" w:rsidRDefault="00691D73" w:rsidP="00E94DE1">
      <w:r>
        <w:t>The Budget Outlook also describes the new initiatives across six categories, which broadly map against the wellbeing domains.  These are:</w:t>
      </w:r>
    </w:p>
    <w:p w14:paraId="09D69C93" w14:textId="4596BCEE" w:rsidR="00606739" w:rsidRPr="00606739" w:rsidRDefault="00606739" w:rsidP="00851E1A">
      <w:pPr>
        <w:numPr>
          <w:ilvl w:val="0"/>
          <w:numId w:val="30"/>
        </w:numPr>
        <w:spacing w:after="0"/>
      </w:pPr>
      <w:r w:rsidRPr="00606739">
        <w:rPr>
          <w:b/>
        </w:rPr>
        <w:lastRenderedPageBreak/>
        <w:t xml:space="preserve">Health and community wellbeing </w:t>
      </w:r>
      <w:r w:rsidRPr="00606739">
        <w:t>–aligned to the wellbeing domain of Health;</w:t>
      </w:r>
    </w:p>
    <w:p w14:paraId="0941793D" w14:textId="7B964BBA" w:rsidR="00606739" w:rsidRPr="00606739" w:rsidRDefault="00606739" w:rsidP="00851E1A">
      <w:pPr>
        <w:numPr>
          <w:ilvl w:val="0"/>
          <w:numId w:val="30"/>
        </w:numPr>
        <w:spacing w:before="0" w:after="0"/>
      </w:pPr>
      <w:r w:rsidRPr="00606739">
        <w:rPr>
          <w:b/>
        </w:rPr>
        <w:t>Education and life-long learning</w:t>
      </w:r>
      <w:r w:rsidRPr="00606739">
        <w:t xml:space="preserve"> –aligned to the wellbeing domain of Education and life-long learning;</w:t>
      </w:r>
    </w:p>
    <w:p w14:paraId="2FD4D7BA" w14:textId="1A2D85F9" w:rsidR="00606739" w:rsidRPr="00606739" w:rsidRDefault="00606739" w:rsidP="009C4B09">
      <w:pPr>
        <w:numPr>
          <w:ilvl w:val="0"/>
          <w:numId w:val="30"/>
        </w:numPr>
        <w:spacing w:before="0" w:after="0"/>
      </w:pPr>
      <w:r w:rsidRPr="00606739">
        <w:rPr>
          <w:b/>
        </w:rPr>
        <w:t>Housing and home</w:t>
      </w:r>
      <w:r w:rsidRPr="00606739">
        <w:t xml:space="preserve"> –aligned to the wellbeing domain of Housing and home;</w:t>
      </w:r>
    </w:p>
    <w:p w14:paraId="1364C7C0" w14:textId="43CDA457" w:rsidR="00606739" w:rsidRPr="00606739" w:rsidRDefault="00606739" w:rsidP="009C4B09">
      <w:pPr>
        <w:numPr>
          <w:ilvl w:val="0"/>
          <w:numId w:val="30"/>
        </w:numPr>
        <w:spacing w:before="0" w:after="0"/>
      </w:pPr>
      <w:r w:rsidRPr="00606739">
        <w:rPr>
          <w:b/>
        </w:rPr>
        <w:t>Community support, social inclusion and safety</w:t>
      </w:r>
      <w:r w:rsidRPr="00606739">
        <w:t xml:space="preserve"> –aligned to aspects of the wellbeing domains of Social connection</w:t>
      </w:r>
      <w:r w:rsidR="008B2F4A">
        <w:t>,</w:t>
      </w:r>
      <w:r w:rsidRPr="00606739">
        <w:t xml:space="preserve"> Identity and belonging</w:t>
      </w:r>
      <w:r w:rsidR="008B2F4A">
        <w:t>,</w:t>
      </w:r>
      <w:r w:rsidRPr="00606739">
        <w:t xml:space="preserve"> Living standards and Safety;</w:t>
      </w:r>
    </w:p>
    <w:p w14:paraId="1C4FC7AD" w14:textId="72B7DCFE" w:rsidR="00606739" w:rsidRPr="00606739" w:rsidRDefault="00606739" w:rsidP="009C4B09">
      <w:pPr>
        <w:numPr>
          <w:ilvl w:val="0"/>
          <w:numId w:val="30"/>
        </w:numPr>
        <w:spacing w:before="0" w:after="0"/>
      </w:pPr>
      <w:r w:rsidRPr="00606739">
        <w:rPr>
          <w:b/>
        </w:rPr>
        <w:t>Environment, climate and transport</w:t>
      </w:r>
      <w:r w:rsidRPr="00606739">
        <w:t xml:space="preserve"> –aligned to the wellbeing domains of Environment and climate; Access and connectivity; Time; and aspects of the Safety domain; and</w:t>
      </w:r>
    </w:p>
    <w:p w14:paraId="3BABF0CB" w14:textId="2C64AC2D" w:rsidR="00606739" w:rsidRPr="00606739" w:rsidRDefault="00606739" w:rsidP="00606739">
      <w:pPr>
        <w:numPr>
          <w:ilvl w:val="0"/>
          <w:numId w:val="30"/>
        </w:numPr>
      </w:pPr>
      <w:r w:rsidRPr="00606739">
        <w:rPr>
          <w:b/>
        </w:rPr>
        <w:t>Jobs, sports, arts, culture and entertainment</w:t>
      </w:r>
      <w:r w:rsidRPr="00606739">
        <w:t xml:space="preserve"> –aligned to the wellbeing domains of Governance and institutions</w:t>
      </w:r>
      <w:r w:rsidR="008B2F4A">
        <w:t>,</w:t>
      </w:r>
      <w:r w:rsidRPr="00606739">
        <w:t xml:space="preserve"> Economy</w:t>
      </w:r>
      <w:r w:rsidR="008B2F4A">
        <w:t>,</w:t>
      </w:r>
      <w:r w:rsidRPr="00606739">
        <w:t xml:space="preserve"> and aspects of Social connection</w:t>
      </w:r>
      <w:r w:rsidR="008B2F4A">
        <w:t>,</w:t>
      </w:r>
      <w:r w:rsidRPr="00606739">
        <w:t xml:space="preserve"> Identity and belonging and Living standards.</w:t>
      </w:r>
    </w:p>
    <w:p w14:paraId="47465A2C" w14:textId="483E24B8" w:rsidR="00E94DE1" w:rsidRDefault="00606739" w:rsidP="00606739">
      <w:r>
        <w:t xml:space="preserve">In addition, the Government has identified </w:t>
      </w:r>
      <w:r w:rsidR="00E94DE1">
        <w:t xml:space="preserve">six priority areas </w:t>
      </w:r>
      <w:r>
        <w:t>where</w:t>
      </w:r>
      <w:r w:rsidR="00272D90">
        <w:t xml:space="preserve"> investment </w:t>
      </w:r>
      <w:r>
        <w:t xml:space="preserve">will make a particular difference to wellbeing. </w:t>
      </w:r>
      <w:r w:rsidR="00E94DE1">
        <w:t>The</w:t>
      </w:r>
      <w:r w:rsidR="00A66256">
        <w:t xml:space="preserve"> identified priorit</w:t>
      </w:r>
      <w:r w:rsidR="00A156ED">
        <w:t>ies</w:t>
      </w:r>
      <w:r w:rsidR="00A66256">
        <w:t xml:space="preserve"> </w:t>
      </w:r>
      <w:r w:rsidR="00E94DE1">
        <w:t>are:</w:t>
      </w:r>
    </w:p>
    <w:p w14:paraId="70FE26F8" w14:textId="77777777" w:rsidR="00E94DE1" w:rsidRDefault="00E94DE1" w:rsidP="00E94DE1">
      <w:pPr>
        <w:pStyle w:val="ListParagraph"/>
        <w:numPr>
          <w:ilvl w:val="0"/>
          <w:numId w:val="35"/>
        </w:numPr>
      </w:pPr>
      <w:r>
        <w:t>Housing</w:t>
      </w:r>
    </w:p>
    <w:p w14:paraId="6129E1E4" w14:textId="77777777" w:rsidR="00E94DE1" w:rsidRDefault="00E94DE1" w:rsidP="00E94DE1">
      <w:pPr>
        <w:pStyle w:val="ListParagraph"/>
        <w:numPr>
          <w:ilvl w:val="0"/>
          <w:numId w:val="35"/>
        </w:numPr>
      </w:pPr>
      <w:r>
        <w:t>Physical and mental health</w:t>
      </w:r>
    </w:p>
    <w:p w14:paraId="1ECBD3F4" w14:textId="77777777" w:rsidR="00E94DE1" w:rsidRDefault="00E94DE1" w:rsidP="00E94DE1">
      <w:pPr>
        <w:pStyle w:val="ListParagraph"/>
        <w:numPr>
          <w:ilvl w:val="0"/>
          <w:numId w:val="35"/>
        </w:numPr>
      </w:pPr>
      <w:r>
        <w:t>Women</w:t>
      </w:r>
    </w:p>
    <w:p w14:paraId="0C8EEF3E" w14:textId="77777777" w:rsidR="00E94DE1" w:rsidRDefault="00E94DE1" w:rsidP="00E94DE1">
      <w:pPr>
        <w:pStyle w:val="ListParagraph"/>
        <w:numPr>
          <w:ilvl w:val="0"/>
          <w:numId w:val="35"/>
        </w:numPr>
      </w:pPr>
      <w:r>
        <w:t>Early years</w:t>
      </w:r>
    </w:p>
    <w:p w14:paraId="627CC875" w14:textId="77777777" w:rsidR="00E94DE1" w:rsidRDefault="00E94DE1" w:rsidP="00E94DE1">
      <w:pPr>
        <w:pStyle w:val="ListParagraph"/>
        <w:numPr>
          <w:ilvl w:val="0"/>
          <w:numId w:val="35"/>
        </w:numPr>
      </w:pPr>
      <w:r>
        <w:t>Cost of living</w:t>
      </w:r>
    </w:p>
    <w:p w14:paraId="72075FB2" w14:textId="71BDF7F3" w:rsidR="00C54887" w:rsidRDefault="00E94DE1" w:rsidP="0047124B">
      <w:pPr>
        <w:pStyle w:val="ListParagraph"/>
        <w:numPr>
          <w:ilvl w:val="0"/>
          <w:numId w:val="35"/>
        </w:numPr>
      </w:pPr>
      <w:r>
        <w:t>Addressing marginalisation and disadvantage.</w:t>
      </w:r>
    </w:p>
    <w:p w14:paraId="6CE92FE9" w14:textId="66E61E17" w:rsidR="008B2F4A" w:rsidRDefault="008B2F4A" w:rsidP="0027756B">
      <w:r>
        <w:t xml:space="preserve">There is some commonality between these categories.  For example, health and housing items would map fairly easily across the reporting formats.  However, some other items map across several different categories.  It is therefore difficult in some cases to compare across the different reporting formats. </w:t>
      </w:r>
    </w:p>
    <w:p w14:paraId="13B3D63E" w14:textId="368D7C60" w:rsidR="0069558F" w:rsidRDefault="0027756B" w:rsidP="0027756B">
      <w:r>
        <w:t>While</w:t>
      </w:r>
      <w:r w:rsidR="00606739">
        <w:t xml:space="preserve"> </w:t>
      </w:r>
      <w:r w:rsidR="00A53D48">
        <w:t xml:space="preserve">all the </w:t>
      </w:r>
      <w:r w:rsidR="00606739">
        <w:t xml:space="preserve">individual initiatives are listed by Directorate and under the primary domain, neither the Budget Outlook nor the Wellbeing statement provide a </w:t>
      </w:r>
      <w:r w:rsidR="00366ADB">
        <w:t xml:space="preserve">comprehensive summary </w:t>
      </w:r>
      <w:r w:rsidR="00606739">
        <w:t xml:space="preserve">table that shows the total investment across the 12 domains, </w:t>
      </w:r>
      <w:r w:rsidR="00366ADB">
        <w:t xml:space="preserve">the six categories that approximate domains </w:t>
      </w:r>
      <w:r w:rsidR="00606739">
        <w:t xml:space="preserve">or against the six priority areas identified </w:t>
      </w:r>
      <w:r w:rsidR="00006BC5">
        <w:t xml:space="preserve">by the Government </w:t>
      </w:r>
      <w:r>
        <w:t xml:space="preserve">as worthy of investment. </w:t>
      </w:r>
      <w:r w:rsidR="0069558F">
        <w:t xml:space="preserve"> </w:t>
      </w:r>
    </w:p>
    <w:p w14:paraId="5B200B90" w14:textId="631566DB" w:rsidR="00A66256" w:rsidRDefault="0069558F" w:rsidP="0027756B">
      <w:r>
        <w:t>This is a notable gap</w:t>
      </w:r>
      <w:r w:rsidR="004211FA">
        <w:t xml:space="preserve"> in transparency</w:t>
      </w:r>
      <w:r>
        <w:t xml:space="preserve">.  Given the prominence attached to the Wellbeing Framework and the six priority areas for investment in the Budget documentation, it would be natural for a reader of the Budget </w:t>
      </w:r>
      <w:r w:rsidR="004211FA">
        <w:t xml:space="preserve">or the general taxpayer </w:t>
      </w:r>
      <w:r>
        <w:t xml:space="preserve">to want to know how much of the Government’s new investment is being directed to each domain.  We understand from ACT Treasury that the initiatives are not aggregated by domain because of a concern that many initiatives contribute to more than one domain.  </w:t>
      </w:r>
      <w:r w:rsidR="008B2F4A">
        <w:t>Aggregating to a</w:t>
      </w:r>
      <w:r>
        <w:t xml:space="preserve"> single domain </w:t>
      </w:r>
      <w:r w:rsidR="008B2F4A">
        <w:t xml:space="preserve">would </w:t>
      </w:r>
      <w:r>
        <w:t xml:space="preserve">risk under-stating the overall impact of the measures on each domain while aggregating </w:t>
      </w:r>
      <w:r w:rsidR="009603DD">
        <w:t xml:space="preserve">to multiple domains risks overstating the </w:t>
      </w:r>
      <w:r w:rsidR="008B2F4A">
        <w:t xml:space="preserve">value </w:t>
      </w:r>
      <w:r w:rsidR="009603DD">
        <w:t>of the measures.</w:t>
      </w:r>
      <w:r w:rsidR="00052543">
        <w:t xml:space="preserve">  </w:t>
      </w:r>
      <w:r>
        <w:t xml:space="preserve">At the same time, we note that a primary domain is attached to </w:t>
      </w:r>
      <w:r w:rsidR="009603DD">
        <w:t>each measure in section 3.2 of the Budget Outlook</w:t>
      </w:r>
      <w:r w:rsidR="0006433D">
        <w:t xml:space="preserve">.  </w:t>
      </w:r>
    </w:p>
    <w:p w14:paraId="737EF8E9" w14:textId="0CBB5344" w:rsidR="0032780F" w:rsidRDefault="0032780F" w:rsidP="00990FEF">
      <w:pPr>
        <w:pStyle w:val="Heading2"/>
        <w:spacing w:before="0" w:after="240"/>
      </w:pPr>
      <w:bookmarkStart w:id="150" w:name="_Toc171949017"/>
      <w:r>
        <w:t>6.</w:t>
      </w:r>
      <w:r w:rsidR="00757A12">
        <w:t>3</w:t>
      </w:r>
      <w:r>
        <w:tab/>
        <w:t>New initiatives</w:t>
      </w:r>
      <w:bookmarkEnd w:id="150"/>
    </w:p>
    <w:p w14:paraId="10E9997D" w14:textId="326C6CCF" w:rsidR="00E94DE1" w:rsidRDefault="0032780F" w:rsidP="00E94DE1">
      <w:r>
        <w:t xml:space="preserve">The Budget includes 166 initiatives that involve a mix of capital, expense, and revenue components.  </w:t>
      </w:r>
      <w:r w:rsidRPr="00977D91">
        <w:t xml:space="preserve">The initiatives collectively represent, in net terms, </w:t>
      </w:r>
      <w:r>
        <w:t xml:space="preserve">and additional </w:t>
      </w:r>
      <w:r w:rsidRPr="00977D91">
        <w:t>$414 million of capital, $61</w:t>
      </w:r>
      <w:r>
        <w:t>5</w:t>
      </w:r>
      <w:r w:rsidRPr="00977D91">
        <w:t xml:space="preserve"> million </w:t>
      </w:r>
      <w:r>
        <w:t xml:space="preserve">in </w:t>
      </w:r>
      <w:r w:rsidRPr="00977D91">
        <w:t>expenses, and $</w:t>
      </w:r>
      <w:r>
        <w:t>2</w:t>
      </w:r>
      <w:r w:rsidRPr="00977D91">
        <w:t>24 million of revenue</w:t>
      </w:r>
      <w:r>
        <w:t>, over four years</w:t>
      </w:r>
      <w:r w:rsidRPr="00977D91">
        <w:t>.</w:t>
      </w:r>
      <w:r w:rsidR="00C80300">
        <w:t xml:space="preserve">  </w:t>
      </w:r>
      <w:r w:rsidR="00E6261F">
        <w:t xml:space="preserve">In the absence of </w:t>
      </w:r>
      <w:r>
        <w:t xml:space="preserve">summary </w:t>
      </w:r>
      <w:r w:rsidR="00E05427">
        <w:t>information</w:t>
      </w:r>
      <w:r>
        <w:t xml:space="preserve"> in the Budget on the total new investment by domain</w:t>
      </w:r>
      <w:r w:rsidR="00E6261F">
        <w:t xml:space="preserve">, </w:t>
      </w:r>
      <w:r w:rsidR="00E94DE1">
        <w:t xml:space="preserve">Pegasus has derived the following table </w:t>
      </w:r>
      <w:r w:rsidR="00E6261F">
        <w:t xml:space="preserve">from information </w:t>
      </w:r>
      <w:r w:rsidR="00E05427">
        <w:t xml:space="preserve">provided </w:t>
      </w:r>
      <w:r w:rsidR="00E6261F">
        <w:t>on the individual measures</w:t>
      </w:r>
      <w:r w:rsidR="00E05427">
        <w:t xml:space="preserve"> in section 3.2 of the Budget Outlook.  The table is intended to provide an indication of </w:t>
      </w:r>
      <w:r w:rsidR="0006433D">
        <w:t xml:space="preserve">the </w:t>
      </w:r>
      <w:r w:rsidR="00E05427">
        <w:t xml:space="preserve">magnitude of the </w:t>
      </w:r>
      <w:r w:rsidR="0006433D">
        <w:t xml:space="preserve">measures attached to each primary domain.  </w:t>
      </w:r>
      <w:r w:rsidR="00E05427">
        <w:t xml:space="preserve">It </w:t>
      </w:r>
      <w:r w:rsidR="0006433D">
        <w:t xml:space="preserve">does not necessarily capture </w:t>
      </w:r>
      <w:r w:rsidR="00E05427">
        <w:t xml:space="preserve">the overall impacts of new initiatives on </w:t>
      </w:r>
      <w:r w:rsidR="003654E6">
        <w:t>each domain</w:t>
      </w:r>
      <w:r w:rsidR="00E05427">
        <w:t>,</w:t>
      </w:r>
      <w:r w:rsidR="003654E6">
        <w:t xml:space="preserve"> </w:t>
      </w:r>
      <w:r w:rsidR="00E05427">
        <w:t>as</w:t>
      </w:r>
      <w:r w:rsidR="00E6261F">
        <w:t xml:space="preserve"> many </w:t>
      </w:r>
      <w:r w:rsidR="00006BC5">
        <w:t>w</w:t>
      </w:r>
      <w:r w:rsidR="00E6261F">
        <w:t xml:space="preserve">ellbeing initiatives </w:t>
      </w:r>
      <w:r w:rsidR="00E05427">
        <w:t xml:space="preserve">will </w:t>
      </w:r>
      <w:r w:rsidR="00E6261F">
        <w:t>contribute to more than one domain</w:t>
      </w:r>
      <w:r w:rsidR="00E05427">
        <w:t xml:space="preserve">.  </w:t>
      </w:r>
      <w:r w:rsidR="00006BC5">
        <w:t xml:space="preserve">The table seeks to describe the new initiatives in terms of their net impact on the </w:t>
      </w:r>
      <w:r w:rsidR="0006433D">
        <w:t>fiscal balance</w:t>
      </w:r>
      <w:r w:rsidR="00A511BC">
        <w:t xml:space="preserve">, </w:t>
      </w:r>
      <w:r w:rsidR="0006433D">
        <w:t xml:space="preserve">rather than in </w:t>
      </w:r>
      <w:r w:rsidR="0006433D">
        <w:lastRenderedPageBreak/>
        <w:t>terms of the “net cost of services”, as set out in Section 3.2 of the Budget Outlook</w:t>
      </w:r>
      <w:r>
        <w:t>, as reporting in terms of impact on the fiscal balance is more consistent with general Budget conventions</w:t>
      </w:r>
      <w:r w:rsidR="00006BC5">
        <w:t xml:space="preserve">. </w:t>
      </w:r>
    </w:p>
    <w:p w14:paraId="6CB207A1" w14:textId="5A69E9DF" w:rsidR="00E94DE1" w:rsidRPr="00A26AE7" w:rsidRDefault="00E94DE1" w:rsidP="002E0188">
      <w:pPr>
        <w:pStyle w:val="Caption"/>
        <w:keepNext/>
        <w:spacing w:before="0"/>
      </w:pPr>
      <w:bookmarkStart w:id="151" w:name="_Ref170907991"/>
      <w:bookmarkStart w:id="152" w:name="_Toc110939293"/>
      <w:bookmarkStart w:id="153" w:name="_Toc171949055"/>
      <w:r>
        <w:t xml:space="preserve">Table </w:t>
      </w:r>
      <w:r>
        <w:fldChar w:fldCharType="begin"/>
      </w:r>
      <w:r>
        <w:instrText xml:space="preserve"> SEQ Table \* ARABIC </w:instrText>
      </w:r>
      <w:r>
        <w:fldChar w:fldCharType="separate"/>
      </w:r>
      <w:r w:rsidR="000B62ED">
        <w:rPr>
          <w:noProof/>
        </w:rPr>
        <w:t>7</w:t>
      </w:r>
      <w:r>
        <w:rPr>
          <w:noProof/>
        </w:rPr>
        <w:fldChar w:fldCharType="end"/>
      </w:r>
      <w:bookmarkEnd w:id="151"/>
      <w:r>
        <w:t xml:space="preserve">: New </w:t>
      </w:r>
      <w:r w:rsidR="009603DD">
        <w:t>capital, expenses and revenue initiatives,</w:t>
      </w:r>
      <w:r>
        <w:t xml:space="preserve"> Budget and forecast years, </w:t>
      </w:r>
      <w:r w:rsidR="009603DD">
        <w:t>by primary domain</w:t>
      </w:r>
      <w:r>
        <w:t xml:space="preserve"> ($000)</w:t>
      </w:r>
      <w:bookmarkEnd w:id="152"/>
      <w:bookmarkEnd w:id="153"/>
    </w:p>
    <w:tbl>
      <w:tblPr>
        <w:tblW w:w="9695" w:type="dxa"/>
        <w:tblLook w:val="04A0" w:firstRow="1" w:lastRow="0" w:firstColumn="1" w:lastColumn="0" w:noHBand="0" w:noVBand="1"/>
      </w:tblPr>
      <w:tblGrid>
        <w:gridCol w:w="3195"/>
        <w:gridCol w:w="1300"/>
        <w:gridCol w:w="1300"/>
        <w:gridCol w:w="1300"/>
        <w:gridCol w:w="1300"/>
        <w:gridCol w:w="1300"/>
      </w:tblGrid>
      <w:tr w:rsidR="00E94DE1" w:rsidRPr="00A076CB" w14:paraId="2FEBB255" w14:textId="77777777" w:rsidTr="006576AA">
        <w:trPr>
          <w:trHeight w:val="320"/>
        </w:trPr>
        <w:tc>
          <w:tcPr>
            <w:tcW w:w="3195" w:type="dxa"/>
            <w:tcBorders>
              <w:top w:val="single" w:sz="18" w:space="0" w:color="auto"/>
              <w:left w:val="nil"/>
              <w:bottom w:val="single" w:sz="24" w:space="0" w:color="auto"/>
              <w:right w:val="nil"/>
            </w:tcBorders>
            <w:shd w:val="clear" w:color="auto" w:fill="auto"/>
            <w:noWrap/>
            <w:vAlign w:val="bottom"/>
            <w:hideMark/>
          </w:tcPr>
          <w:p w14:paraId="04DBA6AD" w14:textId="77777777" w:rsidR="00E94DE1" w:rsidRPr="00A076CB" w:rsidRDefault="00E94DE1" w:rsidP="002E0188">
            <w:pPr>
              <w:keepNext/>
              <w:spacing w:before="0"/>
              <w:rPr>
                <w:rFonts w:ascii="Calibri" w:eastAsia="Times New Roman" w:hAnsi="Calibri" w:cs="Calibri"/>
                <w:b/>
                <w:bCs/>
                <w:color w:val="000000"/>
                <w:sz w:val="20"/>
                <w:szCs w:val="20"/>
                <w:lang w:eastAsia="en-GB"/>
              </w:rPr>
            </w:pPr>
            <w:r w:rsidRPr="00A076CB">
              <w:rPr>
                <w:rFonts w:ascii="Calibri" w:eastAsia="Times New Roman" w:hAnsi="Calibri" w:cs="Calibri"/>
                <w:b/>
                <w:bCs/>
                <w:color w:val="000000"/>
                <w:sz w:val="20"/>
                <w:szCs w:val="20"/>
                <w:lang w:eastAsia="en-GB"/>
              </w:rPr>
              <w:t>Wellbeing Domain</w:t>
            </w:r>
          </w:p>
        </w:tc>
        <w:tc>
          <w:tcPr>
            <w:tcW w:w="1300" w:type="dxa"/>
            <w:tcBorders>
              <w:top w:val="single" w:sz="18" w:space="0" w:color="auto"/>
              <w:left w:val="nil"/>
              <w:bottom w:val="single" w:sz="24" w:space="0" w:color="auto"/>
              <w:right w:val="nil"/>
            </w:tcBorders>
            <w:shd w:val="clear" w:color="auto" w:fill="auto"/>
            <w:noWrap/>
            <w:vAlign w:val="bottom"/>
            <w:hideMark/>
          </w:tcPr>
          <w:p w14:paraId="7995DFA2" w14:textId="77777777" w:rsidR="00E94DE1" w:rsidRPr="00A076CB" w:rsidRDefault="00E94DE1" w:rsidP="002E0188">
            <w:pPr>
              <w:keepNext/>
              <w:spacing w:before="0"/>
              <w:rPr>
                <w:rFonts w:ascii="Calibri" w:eastAsia="Times New Roman" w:hAnsi="Calibri" w:cs="Calibri"/>
                <w:b/>
                <w:bCs/>
                <w:color w:val="000000"/>
                <w:sz w:val="20"/>
                <w:szCs w:val="20"/>
                <w:lang w:eastAsia="en-GB"/>
              </w:rPr>
            </w:pPr>
            <w:r w:rsidRPr="00A076CB">
              <w:rPr>
                <w:rFonts w:ascii="Calibri" w:eastAsia="Times New Roman" w:hAnsi="Calibri" w:cs="Calibri"/>
                <w:b/>
                <w:bCs/>
                <w:color w:val="000000"/>
                <w:sz w:val="20"/>
                <w:szCs w:val="20"/>
                <w:lang w:eastAsia="en-GB"/>
              </w:rPr>
              <w:t>Type</w:t>
            </w:r>
          </w:p>
        </w:tc>
        <w:tc>
          <w:tcPr>
            <w:tcW w:w="1300" w:type="dxa"/>
            <w:tcBorders>
              <w:top w:val="single" w:sz="18" w:space="0" w:color="auto"/>
              <w:left w:val="nil"/>
              <w:bottom w:val="single" w:sz="24" w:space="0" w:color="auto"/>
              <w:right w:val="nil"/>
            </w:tcBorders>
            <w:shd w:val="clear" w:color="auto" w:fill="auto"/>
            <w:noWrap/>
            <w:vAlign w:val="bottom"/>
            <w:hideMark/>
          </w:tcPr>
          <w:p w14:paraId="05B1512D" w14:textId="2E3EC1EC" w:rsidR="00E94DE1" w:rsidRPr="00A076CB" w:rsidRDefault="00E94DE1" w:rsidP="002E0188">
            <w:pPr>
              <w:keepNext/>
              <w:spacing w:before="0"/>
              <w:jc w:val="right"/>
              <w:rPr>
                <w:rFonts w:ascii="Calibri" w:eastAsia="Times New Roman" w:hAnsi="Calibri" w:cs="Calibri"/>
                <w:b/>
                <w:bCs/>
                <w:color w:val="000000"/>
                <w:sz w:val="20"/>
                <w:szCs w:val="20"/>
                <w:lang w:eastAsia="en-GB"/>
              </w:rPr>
            </w:pPr>
            <w:r w:rsidRPr="00A076CB">
              <w:rPr>
                <w:rFonts w:ascii="Calibri" w:eastAsia="Times New Roman" w:hAnsi="Calibri" w:cs="Calibri"/>
                <w:b/>
                <w:bCs/>
                <w:color w:val="000000"/>
                <w:sz w:val="20"/>
                <w:szCs w:val="20"/>
                <w:lang w:eastAsia="en-GB"/>
              </w:rPr>
              <w:t>2024-25</w:t>
            </w:r>
            <w:r w:rsidR="008A0897" w:rsidRPr="00A076CB">
              <w:rPr>
                <w:rFonts w:ascii="Calibri" w:eastAsia="Times New Roman" w:hAnsi="Calibri" w:cs="Calibri"/>
                <w:b/>
                <w:bCs/>
                <w:color w:val="000000"/>
                <w:sz w:val="20"/>
                <w:szCs w:val="20"/>
                <w:lang w:eastAsia="en-GB"/>
              </w:rPr>
              <w:br/>
              <w:t>Estimate</w:t>
            </w:r>
            <w:r w:rsidR="008A0897" w:rsidRPr="00A076CB">
              <w:rPr>
                <w:rFonts w:ascii="Calibri" w:eastAsia="Times New Roman" w:hAnsi="Calibri" w:cs="Calibri"/>
                <w:b/>
                <w:bCs/>
                <w:color w:val="000000"/>
                <w:sz w:val="20"/>
                <w:szCs w:val="20"/>
                <w:lang w:eastAsia="en-GB"/>
              </w:rPr>
              <w:br/>
              <w:t>$’000</w:t>
            </w:r>
          </w:p>
        </w:tc>
        <w:tc>
          <w:tcPr>
            <w:tcW w:w="1300" w:type="dxa"/>
            <w:tcBorders>
              <w:top w:val="single" w:sz="18" w:space="0" w:color="auto"/>
              <w:left w:val="nil"/>
              <w:bottom w:val="single" w:sz="24" w:space="0" w:color="auto"/>
              <w:right w:val="nil"/>
            </w:tcBorders>
            <w:shd w:val="clear" w:color="auto" w:fill="auto"/>
            <w:noWrap/>
            <w:vAlign w:val="bottom"/>
            <w:hideMark/>
          </w:tcPr>
          <w:p w14:paraId="7E83E09E" w14:textId="254ED799" w:rsidR="00E94DE1" w:rsidRPr="00A076CB" w:rsidRDefault="00E94DE1" w:rsidP="002E0188">
            <w:pPr>
              <w:keepNext/>
              <w:spacing w:before="0"/>
              <w:jc w:val="right"/>
              <w:rPr>
                <w:rFonts w:ascii="Calibri" w:eastAsia="Times New Roman" w:hAnsi="Calibri" w:cs="Calibri"/>
                <w:b/>
                <w:bCs/>
                <w:color w:val="000000"/>
                <w:sz w:val="20"/>
                <w:szCs w:val="20"/>
                <w:lang w:eastAsia="en-GB"/>
              </w:rPr>
            </w:pPr>
            <w:r w:rsidRPr="00A076CB">
              <w:rPr>
                <w:rFonts w:ascii="Calibri" w:eastAsia="Times New Roman" w:hAnsi="Calibri" w:cs="Calibri"/>
                <w:b/>
                <w:bCs/>
                <w:color w:val="000000"/>
                <w:sz w:val="20"/>
                <w:szCs w:val="20"/>
                <w:lang w:eastAsia="en-GB"/>
              </w:rPr>
              <w:t>2025-26</w:t>
            </w:r>
            <w:r w:rsidR="008A0897" w:rsidRPr="00A076CB">
              <w:rPr>
                <w:rFonts w:ascii="Calibri" w:eastAsia="Times New Roman" w:hAnsi="Calibri" w:cs="Calibri"/>
                <w:b/>
                <w:bCs/>
                <w:color w:val="000000"/>
                <w:sz w:val="20"/>
                <w:szCs w:val="20"/>
                <w:lang w:eastAsia="en-GB"/>
              </w:rPr>
              <w:t xml:space="preserve"> </w:t>
            </w:r>
            <w:r w:rsidR="008A0897" w:rsidRPr="00A076CB">
              <w:rPr>
                <w:rFonts w:ascii="Calibri" w:eastAsia="Times New Roman" w:hAnsi="Calibri" w:cs="Calibri"/>
                <w:b/>
                <w:bCs/>
                <w:color w:val="000000"/>
                <w:sz w:val="20"/>
                <w:szCs w:val="20"/>
                <w:lang w:eastAsia="en-GB"/>
              </w:rPr>
              <w:br/>
              <w:t>Estimate</w:t>
            </w:r>
            <w:r w:rsidR="008A0897" w:rsidRPr="00A076CB">
              <w:rPr>
                <w:rFonts w:ascii="Calibri" w:eastAsia="Times New Roman" w:hAnsi="Calibri" w:cs="Calibri"/>
                <w:b/>
                <w:bCs/>
                <w:color w:val="000000"/>
                <w:sz w:val="20"/>
                <w:szCs w:val="20"/>
                <w:lang w:eastAsia="en-GB"/>
              </w:rPr>
              <w:br/>
              <w:t>$’000</w:t>
            </w:r>
          </w:p>
        </w:tc>
        <w:tc>
          <w:tcPr>
            <w:tcW w:w="1300" w:type="dxa"/>
            <w:tcBorders>
              <w:top w:val="single" w:sz="18" w:space="0" w:color="auto"/>
              <w:left w:val="nil"/>
              <w:bottom w:val="single" w:sz="24" w:space="0" w:color="auto"/>
              <w:right w:val="nil"/>
            </w:tcBorders>
            <w:shd w:val="clear" w:color="auto" w:fill="auto"/>
            <w:noWrap/>
            <w:vAlign w:val="bottom"/>
            <w:hideMark/>
          </w:tcPr>
          <w:p w14:paraId="244D1339" w14:textId="2BF54130" w:rsidR="00E94DE1" w:rsidRPr="00A076CB" w:rsidRDefault="00E94DE1" w:rsidP="002E0188">
            <w:pPr>
              <w:keepNext/>
              <w:spacing w:before="0"/>
              <w:jc w:val="right"/>
              <w:rPr>
                <w:rFonts w:ascii="Calibri" w:eastAsia="Times New Roman" w:hAnsi="Calibri" w:cs="Calibri"/>
                <w:b/>
                <w:bCs/>
                <w:color w:val="000000"/>
                <w:sz w:val="20"/>
                <w:szCs w:val="20"/>
                <w:lang w:eastAsia="en-GB"/>
              </w:rPr>
            </w:pPr>
            <w:r w:rsidRPr="00A076CB">
              <w:rPr>
                <w:rFonts w:ascii="Calibri" w:eastAsia="Times New Roman" w:hAnsi="Calibri" w:cs="Calibri"/>
                <w:b/>
                <w:bCs/>
                <w:color w:val="000000"/>
                <w:sz w:val="20"/>
                <w:szCs w:val="20"/>
                <w:lang w:eastAsia="en-GB"/>
              </w:rPr>
              <w:t>2026-27</w:t>
            </w:r>
            <w:r w:rsidR="008A0897" w:rsidRPr="00A076CB">
              <w:rPr>
                <w:rFonts w:ascii="Calibri" w:eastAsia="Times New Roman" w:hAnsi="Calibri" w:cs="Calibri"/>
                <w:b/>
                <w:bCs/>
                <w:color w:val="000000"/>
                <w:sz w:val="20"/>
                <w:szCs w:val="20"/>
                <w:lang w:eastAsia="en-GB"/>
              </w:rPr>
              <w:t xml:space="preserve"> </w:t>
            </w:r>
            <w:r w:rsidR="008A0897" w:rsidRPr="00A076CB">
              <w:rPr>
                <w:rFonts w:ascii="Calibri" w:eastAsia="Times New Roman" w:hAnsi="Calibri" w:cs="Calibri"/>
                <w:b/>
                <w:bCs/>
                <w:color w:val="000000"/>
                <w:sz w:val="20"/>
                <w:szCs w:val="20"/>
                <w:lang w:eastAsia="en-GB"/>
              </w:rPr>
              <w:br/>
              <w:t>Estimate</w:t>
            </w:r>
            <w:r w:rsidR="008A0897" w:rsidRPr="00A076CB">
              <w:rPr>
                <w:rFonts w:ascii="Calibri" w:eastAsia="Times New Roman" w:hAnsi="Calibri" w:cs="Calibri"/>
                <w:b/>
                <w:bCs/>
                <w:color w:val="000000"/>
                <w:sz w:val="20"/>
                <w:szCs w:val="20"/>
                <w:lang w:eastAsia="en-GB"/>
              </w:rPr>
              <w:br/>
              <w:t>$’000</w:t>
            </w:r>
          </w:p>
        </w:tc>
        <w:tc>
          <w:tcPr>
            <w:tcW w:w="1300" w:type="dxa"/>
            <w:tcBorders>
              <w:top w:val="single" w:sz="18" w:space="0" w:color="auto"/>
              <w:left w:val="nil"/>
              <w:bottom w:val="single" w:sz="24" w:space="0" w:color="auto"/>
              <w:right w:val="nil"/>
            </w:tcBorders>
            <w:shd w:val="clear" w:color="auto" w:fill="auto"/>
            <w:noWrap/>
            <w:vAlign w:val="bottom"/>
            <w:hideMark/>
          </w:tcPr>
          <w:p w14:paraId="3BE73511" w14:textId="7D524BB0" w:rsidR="00E94DE1" w:rsidRPr="00A076CB" w:rsidRDefault="00E94DE1" w:rsidP="002E0188">
            <w:pPr>
              <w:keepNext/>
              <w:spacing w:before="0"/>
              <w:jc w:val="right"/>
              <w:rPr>
                <w:rFonts w:ascii="Calibri" w:eastAsia="Times New Roman" w:hAnsi="Calibri" w:cs="Calibri"/>
                <w:b/>
                <w:bCs/>
                <w:color w:val="000000"/>
                <w:sz w:val="20"/>
                <w:szCs w:val="20"/>
                <w:lang w:eastAsia="en-GB"/>
              </w:rPr>
            </w:pPr>
            <w:r w:rsidRPr="00A076CB">
              <w:rPr>
                <w:rFonts w:ascii="Calibri" w:eastAsia="Times New Roman" w:hAnsi="Calibri" w:cs="Calibri"/>
                <w:b/>
                <w:bCs/>
                <w:color w:val="000000"/>
                <w:sz w:val="20"/>
                <w:szCs w:val="20"/>
                <w:lang w:eastAsia="en-GB"/>
              </w:rPr>
              <w:t>2027-28</w:t>
            </w:r>
            <w:r w:rsidR="008A0897" w:rsidRPr="00A076CB">
              <w:rPr>
                <w:rFonts w:ascii="Calibri" w:eastAsia="Times New Roman" w:hAnsi="Calibri" w:cs="Calibri"/>
                <w:b/>
                <w:bCs/>
                <w:color w:val="000000"/>
                <w:sz w:val="20"/>
                <w:szCs w:val="20"/>
                <w:lang w:eastAsia="en-GB"/>
              </w:rPr>
              <w:t xml:space="preserve"> </w:t>
            </w:r>
            <w:r w:rsidR="008A0897" w:rsidRPr="00A076CB">
              <w:rPr>
                <w:rFonts w:ascii="Calibri" w:eastAsia="Times New Roman" w:hAnsi="Calibri" w:cs="Calibri"/>
                <w:b/>
                <w:bCs/>
                <w:color w:val="000000"/>
                <w:sz w:val="20"/>
                <w:szCs w:val="20"/>
                <w:lang w:eastAsia="en-GB"/>
              </w:rPr>
              <w:br/>
              <w:t>Estimate</w:t>
            </w:r>
            <w:r w:rsidR="008A0897" w:rsidRPr="00A076CB">
              <w:rPr>
                <w:rFonts w:ascii="Calibri" w:eastAsia="Times New Roman" w:hAnsi="Calibri" w:cs="Calibri"/>
                <w:b/>
                <w:bCs/>
                <w:color w:val="000000"/>
                <w:sz w:val="20"/>
                <w:szCs w:val="20"/>
                <w:lang w:eastAsia="en-GB"/>
              </w:rPr>
              <w:br/>
              <w:t>$’000</w:t>
            </w:r>
          </w:p>
        </w:tc>
      </w:tr>
      <w:tr w:rsidR="00E94DE1" w:rsidRPr="00A076CB" w14:paraId="664A430D" w14:textId="77777777" w:rsidTr="008A0897">
        <w:trPr>
          <w:trHeight w:val="320"/>
        </w:trPr>
        <w:tc>
          <w:tcPr>
            <w:tcW w:w="3195" w:type="dxa"/>
            <w:tcBorders>
              <w:top w:val="single" w:sz="24" w:space="0" w:color="auto"/>
              <w:left w:val="nil"/>
              <w:bottom w:val="nil"/>
              <w:right w:val="nil"/>
            </w:tcBorders>
            <w:shd w:val="clear" w:color="auto" w:fill="auto"/>
            <w:noWrap/>
            <w:vAlign w:val="bottom"/>
            <w:hideMark/>
          </w:tcPr>
          <w:p w14:paraId="0025229A" w14:textId="77777777" w:rsidR="00E94DE1" w:rsidRPr="00A076CB" w:rsidRDefault="00E94DE1" w:rsidP="002E0188">
            <w:pPr>
              <w:spacing w:before="0" w:after="0"/>
              <w:rPr>
                <w:rFonts w:ascii="Calibri" w:eastAsia="Times New Roman" w:hAnsi="Calibri" w:cs="Calibri"/>
                <w:b/>
                <w:bCs/>
                <w:color w:val="000000"/>
                <w:sz w:val="20"/>
                <w:szCs w:val="20"/>
                <w:lang w:eastAsia="en-GB"/>
              </w:rPr>
            </w:pPr>
            <w:r w:rsidRPr="00A076CB">
              <w:rPr>
                <w:rFonts w:ascii="Calibri" w:eastAsia="Times New Roman" w:hAnsi="Calibri" w:cs="Calibri"/>
                <w:b/>
                <w:bCs/>
                <w:color w:val="000000"/>
                <w:sz w:val="20"/>
                <w:szCs w:val="20"/>
                <w:lang w:eastAsia="en-GB"/>
              </w:rPr>
              <w:t>Access &amp; connectivity</w:t>
            </w:r>
          </w:p>
        </w:tc>
        <w:tc>
          <w:tcPr>
            <w:tcW w:w="1300" w:type="dxa"/>
            <w:tcBorders>
              <w:top w:val="single" w:sz="24" w:space="0" w:color="auto"/>
              <w:left w:val="nil"/>
              <w:bottom w:val="nil"/>
              <w:right w:val="nil"/>
            </w:tcBorders>
            <w:shd w:val="clear" w:color="auto" w:fill="auto"/>
            <w:noWrap/>
            <w:vAlign w:val="bottom"/>
            <w:hideMark/>
          </w:tcPr>
          <w:p w14:paraId="2BAD1882" w14:textId="77777777" w:rsidR="00E94DE1" w:rsidRPr="00A076CB" w:rsidRDefault="00E94DE1" w:rsidP="002E0188">
            <w:pPr>
              <w:spacing w:before="0" w:after="0"/>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Capital</w:t>
            </w:r>
          </w:p>
        </w:tc>
        <w:tc>
          <w:tcPr>
            <w:tcW w:w="1300" w:type="dxa"/>
            <w:tcBorders>
              <w:top w:val="single" w:sz="24" w:space="0" w:color="auto"/>
              <w:left w:val="nil"/>
              <w:bottom w:val="nil"/>
              <w:right w:val="nil"/>
            </w:tcBorders>
            <w:shd w:val="clear" w:color="auto" w:fill="auto"/>
            <w:noWrap/>
            <w:vAlign w:val="bottom"/>
            <w:hideMark/>
          </w:tcPr>
          <w:p w14:paraId="2A91ED4D" w14:textId="4A0804D1" w:rsidR="00E94DE1" w:rsidRPr="00A076CB" w:rsidRDefault="00E94DE1" w:rsidP="002E0188">
            <w:pPr>
              <w:spacing w:before="0" w:after="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32</w:t>
            </w:r>
            <w:r w:rsidR="008A0897"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310</w:t>
            </w:r>
          </w:p>
        </w:tc>
        <w:tc>
          <w:tcPr>
            <w:tcW w:w="1300" w:type="dxa"/>
            <w:tcBorders>
              <w:top w:val="single" w:sz="24" w:space="0" w:color="auto"/>
              <w:left w:val="nil"/>
              <w:bottom w:val="nil"/>
              <w:right w:val="nil"/>
            </w:tcBorders>
            <w:shd w:val="clear" w:color="auto" w:fill="auto"/>
            <w:noWrap/>
            <w:vAlign w:val="bottom"/>
            <w:hideMark/>
          </w:tcPr>
          <w:p w14:paraId="3B495C12" w14:textId="77777777" w:rsidR="00E94DE1" w:rsidRPr="00A076CB" w:rsidRDefault="00E94DE1" w:rsidP="002E0188">
            <w:pPr>
              <w:spacing w:before="0" w:after="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175</w:t>
            </w:r>
          </w:p>
        </w:tc>
        <w:tc>
          <w:tcPr>
            <w:tcW w:w="1300" w:type="dxa"/>
            <w:tcBorders>
              <w:top w:val="single" w:sz="24" w:space="0" w:color="auto"/>
              <w:left w:val="nil"/>
              <w:bottom w:val="nil"/>
              <w:right w:val="nil"/>
            </w:tcBorders>
            <w:shd w:val="clear" w:color="auto" w:fill="auto"/>
            <w:noWrap/>
            <w:vAlign w:val="bottom"/>
            <w:hideMark/>
          </w:tcPr>
          <w:p w14:paraId="085DE1C1" w14:textId="77777777" w:rsidR="00E94DE1" w:rsidRPr="00A076CB" w:rsidRDefault="00E94DE1" w:rsidP="002E0188">
            <w:pPr>
              <w:spacing w:before="0" w:after="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0</w:t>
            </w:r>
          </w:p>
        </w:tc>
        <w:tc>
          <w:tcPr>
            <w:tcW w:w="1300" w:type="dxa"/>
            <w:tcBorders>
              <w:top w:val="single" w:sz="24" w:space="0" w:color="auto"/>
              <w:left w:val="nil"/>
              <w:bottom w:val="nil"/>
              <w:right w:val="nil"/>
            </w:tcBorders>
            <w:shd w:val="clear" w:color="auto" w:fill="auto"/>
            <w:noWrap/>
            <w:vAlign w:val="bottom"/>
            <w:hideMark/>
          </w:tcPr>
          <w:p w14:paraId="14AA59F8" w14:textId="77777777" w:rsidR="00E94DE1" w:rsidRPr="00A076CB" w:rsidRDefault="00E94DE1" w:rsidP="002E0188">
            <w:pPr>
              <w:spacing w:before="0" w:after="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0</w:t>
            </w:r>
          </w:p>
        </w:tc>
      </w:tr>
      <w:tr w:rsidR="00E94DE1" w:rsidRPr="00A076CB" w14:paraId="501FBC35" w14:textId="77777777" w:rsidTr="00A076CB">
        <w:trPr>
          <w:trHeight w:val="227"/>
        </w:trPr>
        <w:tc>
          <w:tcPr>
            <w:tcW w:w="3195" w:type="dxa"/>
            <w:tcBorders>
              <w:top w:val="nil"/>
              <w:left w:val="nil"/>
              <w:right w:val="nil"/>
            </w:tcBorders>
            <w:shd w:val="clear" w:color="auto" w:fill="auto"/>
            <w:noWrap/>
            <w:vAlign w:val="bottom"/>
            <w:hideMark/>
          </w:tcPr>
          <w:p w14:paraId="49FB4042" w14:textId="77777777" w:rsidR="00E94DE1" w:rsidRPr="00A076CB" w:rsidRDefault="00E94DE1" w:rsidP="002E0188">
            <w:pPr>
              <w:spacing w:before="0" w:after="0"/>
              <w:jc w:val="right"/>
              <w:rPr>
                <w:rFonts w:ascii="Calibri" w:eastAsia="Times New Roman" w:hAnsi="Calibri" w:cs="Calibri"/>
                <w:color w:val="000000"/>
                <w:sz w:val="20"/>
                <w:szCs w:val="20"/>
                <w:lang w:eastAsia="en-GB"/>
              </w:rPr>
            </w:pPr>
          </w:p>
        </w:tc>
        <w:tc>
          <w:tcPr>
            <w:tcW w:w="1300" w:type="dxa"/>
            <w:tcBorders>
              <w:top w:val="nil"/>
              <w:left w:val="nil"/>
              <w:right w:val="nil"/>
            </w:tcBorders>
            <w:shd w:val="clear" w:color="auto" w:fill="auto"/>
            <w:noWrap/>
            <w:vAlign w:val="bottom"/>
            <w:hideMark/>
          </w:tcPr>
          <w:p w14:paraId="46DD0B74" w14:textId="77777777" w:rsidR="00E94DE1" w:rsidRPr="00A076CB" w:rsidRDefault="00E94DE1" w:rsidP="002E0188">
            <w:pPr>
              <w:spacing w:before="0" w:after="0"/>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Expense</w:t>
            </w:r>
          </w:p>
        </w:tc>
        <w:tc>
          <w:tcPr>
            <w:tcW w:w="1300" w:type="dxa"/>
            <w:tcBorders>
              <w:top w:val="nil"/>
              <w:left w:val="nil"/>
              <w:right w:val="nil"/>
            </w:tcBorders>
            <w:shd w:val="clear" w:color="auto" w:fill="auto"/>
            <w:noWrap/>
            <w:vAlign w:val="bottom"/>
            <w:hideMark/>
          </w:tcPr>
          <w:p w14:paraId="290D3510" w14:textId="30ADAFF3" w:rsidR="00E94DE1" w:rsidRPr="00A076CB" w:rsidRDefault="00E94DE1" w:rsidP="002E0188">
            <w:pPr>
              <w:spacing w:before="0" w:after="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10</w:t>
            </w:r>
            <w:r w:rsidR="008A0897"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976</w:t>
            </w:r>
          </w:p>
        </w:tc>
        <w:tc>
          <w:tcPr>
            <w:tcW w:w="1300" w:type="dxa"/>
            <w:tcBorders>
              <w:top w:val="nil"/>
              <w:left w:val="nil"/>
              <w:right w:val="nil"/>
            </w:tcBorders>
            <w:shd w:val="clear" w:color="auto" w:fill="auto"/>
            <w:noWrap/>
            <w:vAlign w:val="bottom"/>
            <w:hideMark/>
          </w:tcPr>
          <w:p w14:paraId="7AB96B12" w14:textId="592E97A5" w:rsidR="00E94DE1" w:rsidRPr="00A076CB" w:rsidRDefault="00E94DE1" w:rsidP="002E0188">
            <w:pPr>
              <w:spacing w:before="0" w:after="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3</w:t>
            </w:r>
            <w:r w:rsidR="008A0897"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638</w:t>
            </w:r>
          </w:p>
        </w:tc>
        <w:tc>
          <w:tcPr>
            <w:tcW w:w="1300" w:type="dxa"/>
            <w:tcBorders>
              <w:top w:val="nil"/>
              <w:left w:val="nil"/>
              <w:right w:val="nil"/>
            </w:tcBorders>
            <w:shd w:val="clear" w:color="auto" w:fill="auto"/>
            <w:noWrap/>
            <w:vAlign w:val="bottom"/>
            <w:hideMark/>
          </w:tcPr>
          <w:p w14:paraId="364D7D96" w14:textId="0F5C9FC1" w:rsidR="00E94DE1" w:rsidRPr="00A076CB" w:rsidRDefault="00E94DE1" w:rsidP="002E0188">
            <w:pPr>
              <w:spacing w:before="0" w:after="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3</w:t>
            </w:r>
            <w:r w:rsidR="006576AA"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366</w:t>
            </w:r>
          </w:p>
        </w:tc>
        <w:tc>
          <w:tcPr>
            <w:tcW w:w="1300" w:type="dxa"/>
            <w:tcBorders>
              <w:top w:val="nil"/>
              <w:left w:val="nil"/>
              <w:right w:val="nil"/>
            </w:tcBorders>
            <w:shd w:val="clear" w:color="auto" w:fill="auto"/>
            <w:noWrap/>
            <w:vAlign w:val="bottom"/>
            <w:hideMark/>
          </w:tcPr>
          <w:p w14:paraId="55D7BAA2" w14:textId="392DEDE6" w:rsidR="00E94DE1" w:rsidRPr="00A076CB" w:rsidRDefault="00E94DE1" w:rsidP="002E0188">
            <w:pPr>
              <w:spacing w:before="0" w:after="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3</w:t>
            </w:r>
            <w:r w:rsidR="006576AA"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680</w:t>
            </w:r>
          </w:p>
        </w:tc>
      </w:tr>
      <w:tr w:rsidR="00E94DE1" w:rsidRPr="00A076CB" w14:paraId="22F53E29" w14:textId="77777777" w:rsidTr="008A0897">
        <w:trPr>
          <w:trHeight w:val="320"/>
        </w:trPr>
        <w:tc>
          <w:tcPr>
            <w:tcW w:w="3195" w:type="dxa"/>
            <w:tcBorders>
              <w:top w:val="nil"/>
              <w:left w:val="nil"/>
              <w:right w:val="nil"/>
            </w:tcBorders>
            <w:shd w:val="clear" w:color="auto" w:fill="auto"/>
            <w:noWrap/>
            <w:vAlign w:val="bottom"/>
            <w:hideMark/>
          </w:tcPr>
          <w:p w14:paraId="6C84118C" w14:textId="77777777" w:rsidR="00E94DE1" w:rsidRPr="00A076CB" w:rsidRDefault="00E94DE1" w:rsidP="002E0188">
            <w:pPr>
              <w:spacing w:before="0" w:after="160"/>
              <w:rPr>
                <w:rFonts w:ascii="Calibri" w:eastAsia="Times New Roman" w:hAnsi="Calibri" w:cs="Calibri"/>
                <w:b/>
                <w:bCs/>
                <w:color w:val="000000"/>
                <w:sz w:val="20"/>
                <w:szCs w:val="20"/>
                <w:lang w:eastAsia="en-GB"/>
              </w:rPr>
            </w:pPr>
            <w:r w:rsidRPr="00A076CB">
              <w:rPr>
                <w:rFonts w:ascii="Calibri" w:eastAsia="Times New Roman" w:hAnsi="Calibri" w:cs="Calibri"/>
                <w:b/>
                <w:bCs/>
                <w:color w:val="000000"/>
                <w:sz w:val="20"/>
                <w:szCs w:val="20"/>
                <w:lang w:eastAsia="en-GB"/>
              </w:rPr>
              <w:t> </w:t>
            </w:r>
          </w:p>
        </w:tc>
        <w:tc>
          <w:tcPr>
            <w:tcW w:w="1300" w:type="dxa"/>
            <w:tcBorders>
              <w:top w:val="nil"/>
              <w:left w:val="nil"/>
              <w:right w:val="nil"/>
            </w:tcBorders>
            <w:shd w:val="clear" w:color="auto" w:fill="auto"/>
            <w:noWrap/>
            <w:vAlign w:val="bottom"/>
            <w:hideMark/>
          </w:tcPr>
          <w:p w14:paraId="21A20EF6" w14:textId="77777777" w:rsidR="00E94DE1" w:rsidRPr="00A076CB" w:rsidRDefault="00E94DE1" w:rsidP="002E0188">
            <w:pPr>
              <w:spacing w:before="0" w:after="160"/>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Revenue</w:t>
            </w:r>
          </w:p>
        </w:tc>
        <w:tc>
          <w:tcPr>
            <w:tcW w:w="1300" w:type="dxa"/>
            <w:tcBorders>
              <w:top w:val="nil"/>
              <w:left w:val="nil"/>
              <w:right w:val="nil"/>
            </w:tcBorders>
            <w:shd w:val="clear" w:color="auto" w:fill="auto"/>
            <w:noWrap/>
            <w:vAlign w:val="bottom"/>
            <w:hideMark/>
          </w:tcPr>
          <w:p w14:paraId="6124CACF" w14:textId="77777777" w:rsidR="00E94DE1" w:rsidRPr="00A076CB" w:rsidRDefault="00E94DE1" w:rsidP="002E0188">
            <w:pPr>
              <w:spacing w:before="0" w:after="16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300</w:t>
            </w:r>
          </w:p>
        </w:tc>
        <w:tc>
          <w:tcPr>
            <w:tcW w:w="1300" w:type="dxa"/>
            <w:tcBorders>
              <w:top w:val="nil"/>
              <w:left w:val="nil"/>
              <w:right w:val="nil"/>
            </w:tcBorders>
            <w:shd w:val="clear" w:color="auto" w:fill="auto"/>
            <w:noWrap/>
            <w:vAlign w:val="bottom"/>
            <w:hideMark/>
          </w:tcPr>
          <w:p w14:paraId="5B854010" w14:textId="77777777" w:rsidR="00E94DE1" w:rsidRPr="00A076CB" w:rsidRDefault="00E94DE1" w:rsidP="002E0188">
            <w:pPr>
              <w:spacing w:before="0" w:after="16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150</w:t>
            </w:r>
          </w:p>
        </w:tc>
        <w:tc>
          <w:tcPr>
            <w:tcW w:w="1300" w:type="dxa"/>
            <w:tcBorders>
              <w:top w:val="nil"/>
              <w:left w:val="nil"/>
              <w:right w:val="nil"/>
            </w:tcBorders>
            <w:shd w:val="clear" w:color="auto" w:fill="auto"/>
            <w:noWrap/>
            <w:vAlign w:val="bottom"/>
            <w:hideMark/>
          </w:tcPr>
          <w:p w14:paraId="21F78FFD" w14:textId="77777777" w:rsidR="00E94DE1" w:rsidRPr="00A076CB" w:rsidRDefault="00E94DE1" w:rsidP="002E0188">
            <w:pPr>
              <w:spacing w:before="0" w:after="16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0</w:t>
            </w:r>
          </w:p>
        </w:tc>
        <w:tc>
          <w:tcPr>
            <w:tcW w:w="1300" w:type="dxa"/>
            <w:tcBorders>
              <w:top w:val="nil"/>
              <w:left w:val="nil"/>
              <w:right w:val="nil"/>
            </w:tcBorders>
            <w:shd w:val="clear" w:color="auto" w:fill="auto"/>
            <w:noWrap/>
            <w:vAlign w:val="bottom"/>
            <w:hideMark/>
          </w:tcPr>
          <w:p w14:paraId="315B9F26" w14:textId="77777777" w:rsidR="00E94DE1" w:rsidRPr="00A076CB" w:rsidRDefault="00E94DE1" w:rsidP="002E0188">
            <w:pPr>
              <w:spacing w:before="0" w:after="16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0</w:t>
            </w:r>
          </w:p>
        </w:tc>
      </w:tr>
      <w:tr w:rsidR="00E94DE1" w:rsidRPr="00A076CB" w14:paraId="295BF0DC" w14:textId="77777777" w:rsidTr="008A0897">
        <w:trPr>
          <w:trHeight w:val="320"/>
        </w:trPr>
        <w:tc>
          <w:tcPr>
            <w:tcW w:w="3195" w:type="dxa"/>
            <w:tcBorders>
              <w:left w:val="nil"/>
              <w:bottom w:val="nil"/>
              <w:right w:val="nil"/>
            </w:tcBorders>
            <w:shd w:val="clear" w:color="auto" w:fill="auto"/>
            <w:noWrap/>
            <w:vAlign w:val="bottom"/>
            <w:hideMark/>
          </w:tcPr>
          <w:p w14:paraId="355E7E11" w14:textId="77777777" w:rsidR="00E94DE1" w:rsidRPr="00A076CB" w:rsidRDefault="00E94DE1" w:rsidP="002E0188">
            <w:pPr>
              <w:spacing w:before="0" w:after="0"/>
              <w:rPr>
                <w:rFonts w:ascii="Calibri" w:eastAsia="Times New Roman" w:hAnsi="Calibri" w:cs="Calibri"/>
                <w:b/>
                <w:bCs/>
                <w:color w:val="000000"/>
                <w:sz w:val="20"/>
                <w:szCs w:val="20"/>
                <w:lang w:eastAsia="en-GB"/>
              </w:rPr>
            </w:pPr>
            <w:r w:rsidRPr="00A076CB">
              <w:rPr>
                <w:rFonts w:ascii="Calibri" w:eastAsia="Times New Roman" w:hAnsi="Calibri" w:cs="Calibri"/>
                <w:b/>
                <w:bCs/>
                <w:color w:val="000000"/>
                <w:sz w:val="20"/>
                <w:szCs w:val="20"/>
                <w:lang w:eastAsia="en-GB"/>
              </w:rPr>
              <w:t>Economy</w:t>
            </w:r>
          </w:p>
        </w:tc>
        <w:tc>
          <w:tcPr>
            <w:tcW w:w="1300" w:type="dxa"/>
            <w:tcBorders>
              <w:left w:val="nil"/>
              <w:bottom w:val="nil"/>
              <w:right w:val="nil"/>
            </w:tcBorders>
            <w:shd w:val="clear" w:color="auto" w:fill="auto"/>
            <w:noWrap/>
            <w:vAlign w:val="bottom"/>
            <w:hideMark/>
          </w:tcPr>
          <w:p w14:paraId="05171D7C" w14:textId="77777777" w:rsidR="00E94DE1" w:rsidRPr="00A076CB" w:rsidRDefault="00E94DE1" w:rsidP="002E0188">
            <w:pPr>
              <w:spacing w:before="0" w:after="0"/>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Capital</w:t>
            </w:r>
          </w:p>
        </w:tc>
        <w:tc>
          <w:tcPr>
            <w:tcW w:w="1300" w:type="dxa"/>
            <w:tcBorders>
              <w:left w:val="nil"/>
              <w:bottom w:val="nil"/>
              <w:right w:val="nil"/>
            </w:tcBorders>
            <w:shd w:val="clear" w:color="auto" w:fill="auto"/>
            <w:noWrap/>
            <w:vAlign w:val="bottom"/>
            <w:hideMark/>
          </w:tcPr>
          <w:p w14:paraId="62D2C036" w14:textId="1243D7F2" w:rsidR="00E94DE1" w:rsidRPr="00A076CB" w:rsidRDefault="00E94DE1" w:rsidP="002E0188">
            <w:pPr>
              <w:spacing w:before="0" w:after="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6</w:t>
            </w:r>
            <w:r w:rsidR="008A0897"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792</w:t>
            </w:r>
          </w:p>
        </w:tc>
        <w:tc>
          <w:tcPr>
            <w:tcW w:w="1300" w:type="dxa"/>
            <w:tcBorders>
              <w:left w:val="nil"/>
              <w:bottom w:val="nil"/>
              <w:right w:val="nil"/>
            </w:tcBorders>
            <w:shd w:val="clear" w:color="auto" w:fill="auto"/>
            <w:noWrap/>
            <w:vAlign w:val="bottom"/>
            <w:hideMark/>
          </w:tcPr>
          <w:p w14:paraId="4A24D13A" w14:textId="6B7C86C1" w:rsidR="00E94DE1" w:rsidRPr="00A076CB" w:rsidRDefault="00E94DE1" w:rsidP="002E0188">
            <w:pPr>
              <w:spacing w:before="0" w:after="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3</w:t>
            </w:r>
            <w:r w:rsidR="008A0897"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018</w:t>
            </w:r>
          </w:p>
        </w:tc>
        <w:tc>
          <w:tcPr>
            <w:tcW w:w="1300" w:type="dxa"/>
            <w:tcBorders>
              <w:left w:val="nil"/>
              <w:bottom w:val="nil"/>
              <w:right w:val="nil"/>
            </w:tcBorders>
            <w:shd w:val="clear" w:color="auto" w:fill="auto"/>
            <w:noWrap/>
            <w:vAlign w:val="bottom"/>
            <w:hideMark/>
          </w:tcPr>
          <w:p w14:paraId="017B7059" w14:textId="6F695A6B" w:rsidR="00E94DE1" w:rsidRPr="00A076CB" w:rsidRDefault="00E94DE1" w:rsidP="002E0188">
            <w:pPr>
              <w:spacing w:before="0" w:after="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-2</w:t>
            </w:r>
            <w:r w:rsidR="006576AA"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405</w:t>
            </w:r>
          </w:p>
        </w:tc>
        <w:tc>
          <w:tcPr>
            <w:tcW w:w="1300" w:type="dxa"/>
            <w:tcBorders>
              <w:left w:val="nil"/>
              <w:bottom w:val="nil"/>
              <w:right w:val="nil"/>
            </w:tcBorders>
            <w:shd w:val="clear" w:color="auto" w:fill="auto"/>
            <w:noWrap/>
            <w:vAlign w:val="bottom"/>
            <w:hideMark/>
          </w:tcPr>
          <w:p w14:paraId="7791A460" w14:textId="77777777" w:rsidR="00E94DE1" w:rsidRPr="00A076CB" w:rsidRDefault="00E94DE1" w:rsidP="002E0188">
            <w:pPr>
              <w:spacing w:before="0" w:after="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633</w:t>
            </w:r>
          </w:p>
        </w:tc>
      </w:tr>
      <w:tr w:rsidR="00E94DE1" w:rsidRPr="00A076CB" w14:paraId="12212538" w14:textId="77777777" w:rsidTr="00A076CB">
        <w:trPr>
          <w:trHeight w:val="227"/>
        </w:trPr>
        <w:tc>
          <w:tcPr>
            <w:tcW w:w="3195" w:type="dxa"/>
            <w:tcBorders>
              <w:top w:val="nil"/>
              <w:left w:val="nil"/>
              <w:right w:val="nil"/>
            </w:tcBorders>
            <w:shd w:val="clear" w:color="auto" w:fill="auto"/>
            <w:noWrap/>
            <w:vAlign w:val="bottom"/>
            <w:hideMark/>
          </w:tcPr>
          <w:p w14:paraId="47340236" w14:textId="77777777" w:rsidR="00E94DE1" w:rsidRPr="00A076CB" w:rsidRDefault="00E94DE1" w:rsidP="002E0188">
            <w:pPr>
              <w:spacing w:before="0" w:after="0"/>
              <w:jc w:val="right"/>
              <w:rPr>
                <w:rFonts w:ascii="Calibri" w:eastAsia="Times New Roman" w:hAnsi="Calibri" w:cs="Calibri"/>
                <w:color w:val="000000"/>
                <w:sz w:val="20"/>
                <w:szCs w:val="20"/>
                <w:lang w:eastAsia="en-GB"/>
              </w:rPr>
            </w:pPr>
          </w:p>
        </w:tc>
        <w:tc>
          <w:tcPr>
            <w:tcW w:w="1300" w:type="dxa"/>
            <w:tcBorders>
              <w:top w:val="nil"/>
              <w:left w:val="nil"/>
              <w:right w:val="nil"/>
            </w:tcBorders>
            <w:shd w:val="clear" w:color="auto" w:fill="auto"/>
            <w:noWrap/>
            <w:vAlign w:val="bottom"/>
            <w:hideMark/>
          </w:tcPr>
          <w:p w14:paraId="3145A6BD" w14:textId="77777777" w:rsidR="00E94DE1" w:rsidRPr="00A076CB" w:rsidRDefault="00E94DE1" w:rsidP="002E0188">
            <w:pPr>
              <w:spacing w:before="0" w:after="0"/>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Expense</w:t>
            </w:r>
          </w:p>
        </w:tc>
        <w:tc>
          <w:tcPr>
            <w:tcW w:w="1300" w:type="dxa"/>
            <w:tcBorders>
              <w:top w:val="nil"/>
              <w:left w:val="nil"/>
              <w:right w:val="nil"/>
            </w:tcBorders>
            <w:shd w:val="clear" w:color="auto" w:fill="auto"/>
            <w:noWrap/>
            <w:vAlign w:val="bottom"/>
            <w:hideMark/>
          </w:tcPr>
          <w:p w14:paraId="581A6152" w14:textId="4FC00A26" w:rsidR="00E94DE1" w:rsidRPr="00A076CB" w:rsidRDefault="00E94DE1" w:rsidP="002E0188">
            <w:pPr>
              <w:spacing w:before="0" w:after="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8</w:t>
            </w:r>
            <w:r w:rsidR="008A0897"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821</w:t>
            </w:r>
          </w:p>
        </w:tc>
        <w:tc>
          <w:tcPr>
            <w:tcW w:w="1300" w:type="dxa"/>
            <w:tcBorders>
              <w:top w:val="nil"/>
              <w:left w:val="nil"/>
              <w:right w:val="nil"/>
            </w:tcBorders>
            <w:shd w:val="clear" w:color="auto" w:fill="auto"/>
            <w:noWrap/>
            <w:vAlign w:val="bottom"/>
            <w:hideMark/>
          </w:tcPr>
          <w:p w14:paraId="07147DA1" w14:textId="234A96F2" w:rsidR="00E94DE1" w:rsidRPr="00A076CB" w:rsidRDefault="00E94DE1" w:rsidP="002E0188">
            <w:pPr>
              <w:spacing w:before="0" w:after="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6</w:t>
            </w:r>
            <w:r w:rsidR="008A0897"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015</w:t>
            </w:r>
          </w:p>
        </w:tc>
        <w:tc>
          <w:tcPr>
            <w:tcW w:w="1300" w:type="dxa"/>
            <w:tcBorders>
              <w:top w:val="nil"/>
              <w:left w:val="nil"/>
              <w:right w:val="nil"/>
            </w:tcBorders>
            <w:shd w:val="clear" w:color="auto" w:fill="auto"/>
            <w:noWrap/>
            <w:vAlign w:val="bottom"/>
            <w:hideMark/>
          </w:tcPr>
          <w:p w14:paraId="3824401D" w14:textId="37BEBAA0" w:rsidR="00E94DE1" w:rsidRPr="00A076CB" w:rsidRDefault="00E94DE1" w:rsidP="002E0188">
            <w:pPr>
              <w:spacing w:before="0" w:after="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3</w:t>
            </w:r>
            <w:r w:rsidR="006576AA"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755</w:t>
            </w:r>
          </w:p>
        </w:tc>
        <w:tc>
          <w:tcPr>
            <w:tcW w:w="1300" w:type="dxa"/>
            <w:tcBorders>
              <w:top w:val="nil"/>
              <w:left w:val="nil"/>
              <w:right w:val="nil"/>
            </w:tcBorders>
            <w:shd w:val="clear" w:color="auto" w:fill="auto"/>
            <w:noWrap/>
            <w:vAlign w:val="bottom"/>
            <w:hideMark/>
          </w:tcPr>
          <w:p w14:paraId="61BC5BF8" w14:textId="4D2FADDE" w:rsidR="00E94DE1" w:rsidRPr="00A076CB" w:rsidRDefault="00E94DE1" w:rsidP="002E0188">
            <w:pPr>
              <w:spacing w:before="0" w:after="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4</w:t>
            </w:r>
            <w:r w:rsidR="006576AA"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009</w:t>
            </w:r>
          </w:p>
        </w:tc>
      </w:tr>
      <w:tr w:rsidR="00E94DE1" w:rsidRPr="00A076CB" w14:paraId="4335B74A" w14:textId="77777777" w:rsidTr="008A0897">
        <w:trPr>
          <w:trHeight w:val="320"/>
        </w:trPr>
        <w:tc>
          <w:tcPr>
            <w:tcW w:w="3195" w:type="dxa"/>
            <w:tcBorders>
              <w:top w:val="nil"/>
              <w:left w:val="nil"/>
              <w:right w:val="nil"/>
            </w:tcBorders>
            <w:shd w:val="clear" w:color="auto" w:fill="auto"/>
            <w:noWrap/>
            <w:vAlign w:val="bottom"/>
            <w:hideMark/>
          </w:tcPr>
          <w:p w14:paraId="1C9D8CF1" w14:textId="77777777" w:rsidR="00E94DE1" w:rsidRPr="00A076CB" w:rsidRDefault="00E94DE1" w:rsidP="002E0188">
            <w:pPr>
              <w:spacing w:before="0" w:after="160"/>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 </w:t>
            </w:r>
          </w:p>
        </w:tc>
        <w:tc>
          <w:tcPr>
            <w:tcW w:w="1300" w:type="dxa"/>
            <w:tcBorders>
              <w:top w:val="nil"/>
              <w:left w:val="nil"/>
              <w:right w:val="nil"/>
            </w:tcBorders>
            <w:shd w:val="clear" w:color="auto" w:fill="auto"/>
            <w:noWrap/>
            <w:vAlign w:val="bottom"/>
            <w:hideMark/>
          </w:tcPr>
          <w:p w14:paraId="6334CAD9" w14:textId="77777777" w:rsidR="00E94DE1" w:rsidRPr="00A076CB" w:rsidRDefault="00E94DE1" w:rsidP="002E0188">
            <w:pPr>
              <w:spacing w:before="0" w:after="160"/>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Revenue</w:t>
            </w:r>
          </w:p>
        </w:tc>
        <w:tc>
          <w:tcPr>
            <w:tcW w:w="1300" w:type="dxa"/>
            <w:tcBorders>
              <w:top w:val="nil"/>
              <w:left w:val="nil"/>
              <w:right w:val="nil"/>
            </w:tcBorders>
            <w:shd w:val="clear" w:color="auto" w:fill="auto"/>
            <w:noWrap/>
            <w:vAlign w:val="bottom"/>
            <w:hideMark/>
          </w:tcPr>
          <w:p w14:paraId="7B56C3BD" w14:textId="1552263B" w:rsidR="00E94DE1" w:rsidRPr="00A076CB" w:rsidRDefault="00E94DE1" w:rsidP="002E0188">
            <w:pPr>
              <w:spacing w:before="0" w:after="16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28</w:t>
            </w:r>
            <w:r w:rsidR="008A0897"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070</w:t>
            </w:r>
          </w:p>
        </w:tc>
        <w:tc>
          <w:tcPr>
            <w:tcW w:w="1300" w:type="dxa"/>
            <w:tcBorders>
              <w:top w:val="nil"/>
              <w:left w:val="nil"/>
              <w:right w:val="nil"/>
            </w:tcBorders>
            <w:shd w:val="clear" w:color="auto" w:fill="auto"/>
            <w:noWrap/>
            <w:vAlign w:val="bottom"/>
            <w:hideMark/>
          </w:tcPr>
          <w:p w14:paraId="4AA032DB" w14:textId="7F8D8D10" w:rsidR="00E94DE1" w:rsidRPr="00A076CB" w:rsidRDefault="00E94DE1" w:rsidP="002E0188">
            <w:pPr>
              <w:spacing w:before="0" w:after="16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38</w:t>
            </w:r>
            <w:r w:rsidR="008A0897"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109</w:t>
            </w:r>
          </w:p>
        </w:tc>
        <w:tc>
          <w:tcPr>
            <w:tcW w:w="1300" w:type="dxa"/>
            <w:tcBorders>
              <w:top w:val="nil"/>
              <w:left w:val="nil"/>
              <w:right w:val="nil"/>
            </w:tcBorders>
            <w:shd w:val="clear" w:color="auto" w:fill="auto"/>
            <w:noWrap/>
            <w:vAlign w:val="bottom"/>
            <w:hideMark/>
          </w:tcPr>
          <w:p w14:paraId="7ECBC582" w14:textId="2B0A5A6D" w:rsidR="00E94DE1" w:rsidRPr="00A076CB" w:rsidRDefault="00E94DE1" w:rsidP="002E0188">
            <w:pPr>
              <w:spacing w:before="0" w:after="16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49</w:t>
            </w:r>
            <w:r w:rsidR="006576AA"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343</w:t>
            </w:r>
          </w:p>
        </w:tc>
        <w:tc>
          <w:tcPr>
            <w:tcW w:w="1300" w:type="dxa"/>
            <w:tcBorders>
              <w:top w:val="nil"/>
              <w:left w:val="nil"/>
              <w:right w:val="nil"/>
            </w:tcBorders>
            <w:shd w:val="clear" w:color="auto" w:fill="auto"/>
            <w:noWrap/>
            <w:vAlign w:val="bottom"/>
            <w:hideMark/>
          </w:tcPr>
          <w:p w14:paraId="6A651724" w14:textId="2FF460BB" w:rsidR="00E94DE1" w:rsidRPr="00A076CB" w:rsidRDefault="00E94DE1" w:rsidP="002E0188">
            <w:pPr>
              <w:spacing w:before="0" w:after="16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61</w:t>
            </w:r>
            <w:r w:rsidR="006576AA"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296</w:t>
            </w:r>
          </w:p>
        </w:tc>
      </w:tr>
      <w:tr w:rsidR="00E94DE1" w:rsidRPr="00A076CB" w14:paraId="688C8DDF" w14:textId="77777777" w:rsidTr="008A0897">
        <w:trPr>
          <w:trHeight w:val="320"/>
        </w:trPr>
        <w:tc>
          <w:tcPr>
            <w:tcW w:w="3195" w:type="dxa"/>
            <w:tcBorders>
              <w:left w:val="nil"/>
              <w:bottom w:val="nil"/>
              <w:right w:val="nil"/>
            </w:tcBorders>
            <w:shd w:val="clear" w:color="auto" w:fill="auto"/>
            <w:noWrap/>
            <w:vAlign w:val="bottom"/>
            <w:hideMark/>
          </w:tcPr>
          <w:p w14:paraId="7EC56B58" w14:textId="77777777" w:rsidR="00E94DE1" w:rsidRPr="00A076CB" w:rsidRDefault="00E94DE1" w:rsidP="002E0188">
            <w:pPr>
              <w:spacing w:before="0" w:after="0"/>
              <w:rPr>
                <w:rFonts w:ascii="Calibri" w:eastAsia="Times New Roman" w:hAnsi="Calibri" w:cs="Calibri"/>
                <w:b/>
                <w:bCs/>
                <w:color w:val="000000"/>
                <w:sz w:val="20"/>
                <w:szCs w:val="20"/>
                <w:lang w:eastAsia="en-GB"/>
              </w:rPr>
            </w:pPr>
            <w:r w:rsidRPr="00A076CB">
              <w:rPr>
                <w:rFonts w:ascii="Calibri" w:eastAsia="Times New Roman" w:hAnsi="Calibri" w:cs="Calibri"/>
                <w:b/>
                <w:bCs/>
                <w:color w:val="000000"/>
                <w:sz w:val="20"/>
                <w:szCs w:val="20"/>
                <w:lang w:eastAsia="en-GB"/>
              </w:rPr>
              <w:t>Education &amp; life-long learning</w:t>
            </w:r>
          </w:p>
        </w:tc>
        <w:tc>
          <w:tcPr>
            <w:tcW w:w="1300" w:type="dxa"/>
            <w:tcBorders>
              <w:left w:val="nil"/>
              <w:bottom w:val="nil"/>
              <w:right w:val="nil"/>
            </w:tcBorders>
            <w:shd w:val="clear" w:color="auto" w:fill="auto"/>
            <w:noWrap/>
            <w:vAlign w:val="bottom"/>
            <w:hideMark/>
          </w:tcPr>
          <w:p w14:paraId="76B40A86" w14:textId="77777777" w:rsidR="00E94DE1" w:rsidRPr="00A076CB" w:rsidRDefault="00E94DE1" w:rsidP="002E0188">
            <w:pPr>
              <w:spacing w:before="0" w:after="0"/>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Capital</w:t>
            </w:r>
          </w:p>
        </w:tc>
        <w:tc>
          <w:tcPr>
            <w:tcW w:w="1300" w:type="dxa"/>
            <w:tcBorders>
              <w:left w:val="nil"/>
              <w:bottom w:val="nil"/>
              <w:right w:val="nil"/>
            </w:tcBorders>
            <w:shd w:val="clear" w:color="auto" w:fill="auto"/>
            <w:noWrap/>
            <w:vAlign w:val="bottom"/>
            <w:hideMark/>
          </w:tcPr>
          <w:p w14:paraId="7404A4BF" w14:textId="0B91516C" w:rsidR="00E94DE1" w:rsidRPr="00A076CB" w:rsidRDefault="00E94DE1" w:rsidP="002E0188">
            <w:pPr>
              <w:spacing w:before="0" w:after="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-1</w:t>
            </w:r>
            <w:r w:rsidR="008A0897"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177</w:t>
            </w:r>
          </w:p>
        </w:tc>
        <w:tc>
          <w:tcPr>
            <w:tcW w:w="1300" w:type="dxa"/>
            <w:tcBorders>
              <w:left w:val="nil"/>
              <w:bottom w:val="nil"/>
              <w:right w:val="nil"/>
            </w:tcBorders>
            <w:shd w:val="clear" w:color="auto" w:fill="auto"/>
            <w:noWrap/>
            <w:vAlign w:val="bottom"/>
            <w:hideMark/>
          </w:tcPr>
          <w:p w14:paraId="71312D24" w14:textId="7469A621" w:rsidR="00E94DE1" w:rsidRPr="00A076CB" w:rsidRDefault="00E94DE1" w:rsidP="002E0188">
            <w:pPr>
              <w:spacing w:before="0" w:after="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17</w:t>
            </w:r>
            <w:r w:rsidR="008A0897"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290</w:t>
            </w:r>
          </w:p>
        </w:tc>
        <w:tc>
          <w:tcPr>
            <w:tcW w:w="1300" w:type="dxa"/>
            <w:tcBorders>
              <w:left w:val="nil"/>
              <w:bottom w:val="nil"/>
              <w:right w:val="nil"/>
            </w:tcBorders>
            <w:shd w:val="clear" w:color="auto" w:fill="auto"/>
            <w:noWrap/>
            <w:vAlign w:val="bottom"/>
            <w:hideMark/>
          </w:tcPr>
          <w:p w14:paraId="069DC4BA" w14:textId="473BDA52" w:rsidR="00E94DE1" w:rsidRPr="00A076CB" w:rsidRDefault="00E94DE1" w:rsidP="002E0188">
            <w:pPr>
              <w:spacing w:before="0" w:after="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5</w:t>
            </w:r>
            <w:r w:rsidR="006576AA"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131</w:t>
            </w:r>
          </w:p>
        </w:tc>
        <w:tc>
          <w:tcPr>
            <w:tcW w:w="1300" w:type="dxa"/>
            <w:tcBorders>
              <w:left w:val="nil"/>
              <w:bottom w:val="nil"/>
              <w:right w:val="nil"/>
            </w:tcBorders>
            <w:shd w:val="clear" w:color="auto" w:fill="auto"/>
            <w:noWrap/>
            <w:vAlign w:val="bottom"/>
            <w:hideMark/>
          </w:tcPr>
          <w:p w14:paraId="6D90D6C7" w14:textId="001E92DA" w:rsidR="00E94DE1" w:rsidRPr="00A076CB" w:rsidRDefault="00E94DE1" w:rsidP="002E0188">
            <w:pPr>
              <w:spacing w:before="0" w:after="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4</w:t>
            </w:r>
            <w:r w:rsidR="006576AA"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900</w:t>
            </w:r>
          </w:p>
        </w:tc>
      </w:tr>
      <w:tr w:rsidR="00E94DE1" w:rsidRPr="00A076CB" w14:paraId="2EAC4341" w14:textId="77777777" w:rsidTr="00A076CB">
        <w:trPr>
          <w:trHeight w:val="227"/>
        </w:trPr>
        <w:tc>
          <w:tcPr>
            <w:tcW w:w="3195" w:type="dxa"/>
            <w:tcBorders>
              <w:top w:val="nil"/>
              <w:left w:val="nil"/>
              <w:right w:val="nil"/>
            </w:tcBorders>
            <w:shd w:val="clear" w:color="auto" w:fill="auto"/>
            <w:noWrap/>
            <w:vAlign w:val="bottom"/>
            <w:hideMark/>
          </w:tcPr>
          <w:p w14:paraId="732B8E55" w14:textId="77777777" w:rsidR="00E94DE1" w:rsidRPr="00A076CB" w:rsidRDefault="00E94DE1" w:rsidP="002E0188">
            <w:pPr>
              <w:spacing w:before="0" w:after="0"/>
              <w:jc w:val="right"/>
              <w:rPr>
                <w:rFonts w:ascii="Calibri" w:eastAsia="Times New Roman" w:hAnsi="Calibri" w:cs="Calibri"/>
                <w:color w:val="000000"/>
                <w:sz w:val="20"/>
                <w:szCs w:val="20"/>
                <w:lang w:eastAsia="en-GB"/>
              </w:rPr>
            </w:pPr>
          </w:p>
        </w:tc>
        <w:tc>
          <w:tcPr>
            <w:tcW w:w="1300" w:type="dxa"/>
            <w:tcBorders>
              <w:top w:val="nil"/>
              <w:left w:val="nil"/>
              <w:right w:val="nil"/>
            </w:tcBorders>
            <w:shd w:val="clear" w:color="auto" w:fill="auto"/>
            <w:noWrap/>
            <w:vAlign w:val="bottom"/>
            <w:hideMark/>
          </w:tcPr>
          <w:p w14:paraId="6900496A" w14:textId="77777777" w:rsidR="00E94DE1" w:rsidRPr="00A076CB" w:rsidRDefault="00E94DE1" w:rsidP="002E0188">
            <w:pPr>
              <w:spacing w:before="0" w:after="0"/>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Expense</w:t>
            </w:r>
          </w:p>
        </w:tc>
        <w:tc>
          <w:tcPr>
            <w:tcW w:w="1300" w:type="dxa"/>
            <w:tcBorders>
              <w:top w:val="nil"/>
              <w:left w:val="nil"/>
              <w:right w:val="nil"/>
            </w:tcBorders>
            <w:shd w:val="clear" w:color="auto" w:fill="auto"/>
            <w:noWrap/>
            <w:vAlign w:val="bottom"/>
            <w:hideMark/>
          </w:tcPr>
          <w:p w14:paraId="4B0D4F22" w14:textId="60ED413F" w:rsidR="00E94DE1" w:rsidRPr="00A076CB" w:rsidRDefault="00E94DE1" w:rsidP="002E0188">
            <w:pPr>
              <w:spacing w:before="0" w:after="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10</w:t>
            </w:r>
            <w:r w:rsidR="008A0897"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132</w:t>
            </w:r>
          </w:p>
        </w:tc>
        <w:tc>
          <w:tcPr>
            <w:tcW w:w="1300" w:type="dxa"/>
            <w:tcBorders>
              <w:top w:val="nil"/>
              <w:left w:val="nil"/>
              <w:right w:val="nil"/>
            </w:tcBorders>
            <w:shd w:val="clear" w:color="auto" w:fill="auto"/>
            <w:noWrap/>
            <w:vAlign w:val="bottom"/>
            <w:hideMark/>
          </w:tcPr>
          <w:p w14:paraId="58A1AD35" w14:textId="77777777" w:rsidR="00E94DE1" w:rsidRPr="00A076CB" w:rsidRDefault="00E94DE1" w:rsidP="002E0188">
            <w:pPr>
              <w:spacing w:before="0" w:after="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902</w:t>
            </w:r>
          </w:p>
        </w:tc>
        <w:tc>
          <w:tcPr>
            <w:tcW w:w="1300" w:type="dxa"/>
            <w:tcBorders>
              <w:top w:val="nil"/>
              <w:left w:val="nil"/>
              <w:right w:val="nil"/>
            </w:tcBorders>
            <w:shd w:val="clear" w:color="auto" w:fill="auto"/>
            <w:noWrap/>
            <w:vAlign w:val="bottom"/>
            <w:hideMark/>
          </w:tcPr>
          <w:p w14:paraId="4D7EACA2" w14:textId="5E3343A5" w:rsidR="00E94DE1" w:rsidRPr="00A076CB" w:rsidRDefault="00E94DE1" w:rsidP="002E0188">
            <w:pPr>
              <w:spacing w:before="0" w:after="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3</w:t>
            </w:r>
            <w:r w:rsidR="006576AA"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247</w:t>
            </w:r>
          </w:p>
        </w:tc>
        <w:tc>
          <w:tcPr>
            <w:tcW w:w="1300" w:type="dxa"/>
            <w:tcBorders>
              <w:top w:val="nil"/>
              <w:left w:val="nil"/>
              <w:right w:val="nil"/>
            </w:tcBorders>
            <w:shd w:val="clear" w:color="auto" w:fill="auto"/>
            <w:noWrap/>
            <w:vAlign w:val="bottom"/>
            <w:hideMark/>
          </w:tcPr>
          <w:p w14:paraId="0FB1AFA7" w14:textId="30EC9BB7" w:rsidR="00E94DE1" w:rsidRPr="00A076CB" w:rsidRDefault="00E94DE1" w:rsidP="002E0188">
            <w:pPr>
              <w:spacing w:before="0" w:after="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5</w:t>
            </w:r>
            <w:r w:rsidR="006576AA"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118</w:t>
            </w:r>
          </w:p>
        </w:tc>
      </w:tr>
      <w:tr w:rsidR="00E94DE1" w:rsidRPr="00A076CB" w14:paraId="13922C7C" w14:textId="77777777" w:rsidTr="008A0897">
        <w:trPr>
          <w:trHeight w:val="320"/>
        </w:trPr>
        <w:tc>
          <w:tcPr>
            <w:tcW w:w="3195" w:type="dxa"/>
            <w:tcBorders>
              <w:top w:val="nil"/>
              <w:left w:val="nil"/>
              <w:right w:val="nil"/>
            </w:tcBorders>
            <w:shd w:val="clear" w:color="auto" w:fill="auto"/>
            <w:noWrap/>
            <w:vAlign w:val="bottom"/>
            <w:hideMark/>
          </w:tcPr>
          <w:p w14:paraId="219CE730" w14:textId="77777777" w:rsidR="00E94DE1" w:rsidRPr="00A076CB" w:rsidRDefault="00E94DE1" w:rsidP="002E0188">
            <w:pPr>
              <w:spacing w:before="0" w:after="160"/>
              <w:rPr>
                <w:rFonts w:ascii="Calibri" w:eastAsia="Times New Roman" w:hAnsi="Calibri" w:cs="Calibri"/>
                <w:b/>
                <w:bCs/>
                <w:color w:val="000000"/>
                <w:sz w:val="20"/>
                <w:szCs w:val="20"/>
                <w:lang w:eastAsia="en-GB"/>
              </w:rPr>
            </w:pPr>
            <w:r w:rsidRPr="00A076CB">
              <w:rPr>
                <w:rFonts w:ascii="Calibri" w:eastAsia="Times New Roman" w:hAnsi="Calibri" w:cs="Calibri"/>
                <w:b/>
                <w:bCs/>
                <w:color w:val="000000"/>
                <w:sz w:val="20"/>
                <w:szCs w:val="20"/>
                <w:lang w:eastAsia="en-GB"/>
              </w:rPr>
              <w:t> </w:t>
            </w:r>
          </w:p>
        </w:tc>
        <w:tc>
          <w:tcPr>
            <w:tcW w:w="1300" w:type="dxa"/>
            <w:tcBorders>
              <w:top w:val="nil"/>
              <w:left w:val="nil"/>
              <w:right w:val="nil"/>
            </w:tcBorders>
            <w:shd w:val="clear" w:color="auto" w:fill="auto"/>
            <w:noWrap/>
            <w:vAlign w:val="bottom"/>
            <w:hideMark/>
          </w:tcPr>
          <w:p w14:paraId="1B5DD65C" w14:textId="77777777" w:rsidR="00E94DE1" w:rsidRPr="00A076CB" w:rsidRDefault="00E94DE1" w:rsidP="002E0188">
            <w:pPr>
              <w:spacing w:before="0" w:after="160"/>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Revenue</w:t>
            </w:r>
          </w:p>
        </w:tc>
        <w:tc>
          <w:tcPr>
            <w:tcW w:w="1300" w:type="dxa"/>
            <w:tcBorders>
              <w:top w:val="nil"/>
              <w:left w:val="nil"/>
              <w:right w:val="nil"/>
            </w:tcBorders>
            <w:shd w:val="clear" w:color="auto" w:fill="auto"/>
            <w:noWrap/>
            <w:vAlign w:val="bottom"/>
            <w:hideMark/>
          </w:tcPr>
          <w:p w14:paraId="79F54A8E" w14:textId="08ED03C1" w:rsidR="00E94DE1" w:rsidRPr="00A076CB" w:rsidRDefault="00E94DE1" w:rsidP="002E0188">
            <w:pPr>
              <w:spacing w:before="0" w:after="16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3</w:t>
            </w:r>
            <w:r w:rsidR="008A0897"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442</w:t>
            </w:r>
          </w:p>
        </w:tc>
        <w:tc>
          <w:tcPr>
            <w:tcW w:w="1300" w:type="dxa"/>
            <w:tcBorders>
              <w:top w:val="nil"/>
              <w:left w:val="nil"/>
              <w:right w:val="nil"/>
            </w:tcBorders>
            <w:shd w:val="clear" w:color="auto" w:fill="auto"/>
            <w:noWrap/>
            <w:vAlign w:val="bottom"/>
            <w:hideMark/>
          </w:tcPr>
          <w:p w14:paraId="523A2032" w14:textId="141741FE" w:rsidR="00E94DE1" w:rsidRPr="00A076CB" w:rsidRDefault="00E94DE1" w:rsidP="002E0188">
            <w:pPr>
              <w:spacing w:before="0" w:after="16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3</w:t>
            </w:r>
            <w:r w:rsidR="008A0897"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842</w:t>
            </w:r>
          </w:p>
        </w:tc>
        <w:tc>
          <w:tcPr>
            <w:tcW w:w="1300" w:type="dxa"/>
            <w:tcBorders>
              <w:top w:val="nil"/>
              <w:left w:val="nil"/>
              <w:right w:val="nil"/>
            </w:tcBorders>
            <w:shd w:val="clear" w:color="auto" w:fill="auto"/>
            <w:noWrap/>
            <w:vAlign w:val="bottom"/>
            <w:hideMark/>
          </w:tcPr>
          <w:p w14:paraId="1AF20CB0" w14:textId="6FB6F232" w:rsidR="00E94DE1" w:rsidRPr="00A076CB" w:rsidRDefault="00E94DE1" w:rsidP="002E0188">
            <w:pPr>
              <w:spacing w:before="0" w:after="16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10</w:t>
            </w:r>
            <w:r w:rsidR="006576AA"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190</w:t>
            </w:r>
          </w:p>
        </w:tc>
        <w:tc>
          <w:tcPr>
            <w:tcW w:w="1300" w:type="dxa"/>
            <w:tcBorders>
              <w:top w:val="nil"/>
              <w:left w:val="nil"/>
              <w:right w:val="nil"/>
            </w:tcBorders>
            <w:shd w:val="clear" w:color="auto" w:fill="auto"/>
            <w:noWrap/>
            <w:vAlign w:val="bottom"/>
            <w:hideMark/>
          </w:tcPr>
          <w:p w14:paraId="52DD6C57" w14:textId="77777777" w:rsidR="00E94DE1" w:rsidRPr="00A076CB" w:rsidRDefault="00E94DE1" w:rsidP="002E0188">
            <w:pPr>
              <w:spacing w:before="0" w:after="16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0</w:t>
            </w:r>
          </w:p>
        </w:tc>
      </w:tr>
      <w:tr w:rsidR="00E94DE1" w:rsidRPr="00A076CB" w14:paraId="0C487861" w14:textId="77777777" w:rsidTr="008A0897">
        <w:trPr>
          <w:trHeight w:val="320"/>
        </w:trPr>
        <w:tc>
          <w:tcPr>
            <w:tcW w:w="3195" w:type="dxa"/>
            <w:tcBorders>
              <w:left w:val="nil"/>
              <w:bottom w:val="nil"/>
              <w:right w:val="nil"/>
            </w:tcBorders>
            <w:shd w:val="clear" w:color="auto" w:fill="auto"/>
            <w:noWrap/>
            <w:vAlign w:val="bottom"/>
            <w:hideMark/>
          </w:tcPr>
          <w:p w14:paraId="69C15395" w14:textId="77777777" w:rsidR="00E94DE1" w:rsidRPr="00A076CB" w:rsidRDefault="00E94DE1" w:rsidP="002E0188">
            <w:pPr>
              <w:spacing w:before="0" w:after="0"/>
              <w:rPr>
                <w:rFonts w:ascii="Calibri" w:eastAsia="Times New Roman" w:hAnsi="Calibri" w:cs="Calibri"/>
                <w:b/>
                <w:bCs/>
                <w:color w:val="000000"/>
                <w:sz w:val="20"/>
                <w:szCs w:val="20"/>
                <w:lang w:eastAsia="en-GB"/>
              </w:rPr>
            </w:pPr>
            <w:r w:rsidRPr="00A076CB">
              <w:rPr>
                <w:rFonts w:ascii="Calibri" w:eastAsia="Times New Roman" w:hAnsi="Calibri" w:cs="Calibri"/>
                <w:b/>
                <w:bCs/>
                <w:color w:val="000000"/>
                <w:sz w:val="20"/>
                <w:szCs w:val="20"/>
                <w:lang w:eastAsia="en-GB"/>
              </w:rPr>
              <w:t>Environment and climate</w:t>
            </w:r>
          </w:p>
        </w:tc>
        <w:tc>
          <w:tcPr>
            <w:tcW w:w="1300" w:type="dxa"/>
            <w:tcBorders>
              <w:left w:val="nil"/>
              <w:bottom w:val="nil"/>
              <w:right w:val="nil"/>
            </w:tcBorders>
            <w:shd w:val="clear" w:color="auto" w:fill="auto"/>
            <w:noWrap/>
            <w:vAlign w:val="bottom"/>
            <w:hideMark/>
          </w:tcPr>
          <w:p w14:paraId="38B0605C" w14:textId="77777777" w:rsidR="00E94DE1" w:rsidRPr="00A076CB" w:rsidRDefault="00E94DE1" w:rsidP="002E0188">
            <w:pPr>
              <w:spacing w:before="0" w:after="0"/>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Capital</w:t>
            </w:r>
          </w:p>
        </w:tc>
        <w:tc>
          <w:tcPr>
            <w:tcW w:w="1300" w:type="dxa"/>
            <w:tcBorders>
              <w:left w:val="nil"/>
              <w:bottom w:val="nil"/>
              <w:right w:val="nil"/>
            </w:tcBorders>
            <w:shd w:val="clear" w:color="auto" w:fill="auto"/>
            <w:noWrap/>
            <w:vAlign w:val="bottom"/>
            <w:hideMark/>
          </w:tcPr>
          <w:p w14:paraId="616D6C1B" w14:textId="77777777" w:rsidR="00E94DE1" w:rsidRPr="00A076CB" w:rsidRDefault="00E94DE1" w:rsidP="002E0188">
            <w:pPr>
              <w:spacing w:before="0" w:after="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-345</w:t>
            </w:r>
          </w:p>
        </w:tc>
        <w:tc>
          <w:tcPr>
            <w:tcW w:w="1300" w:type="dxa"/>
            <w:tcBorders>
              <w:left w:val="nil"/>
              <w:bottom w:val="nil"/>
              <w:right w:val="nil"/>
            </w:tcBorders>
            <w:shd w:val="clear" w:color="auto" w:fill="auto"/>
            <w:noWrap/>
            <w:vAlign w:val="bottom"/>
            <w:hideMark/>
          </w:tcPr>
          <w:p w14:paraId="3DD93AF9" w14:textId="5B4B6671" w:rsidR="00E94DE1" w:rsidRPr="00A076CB" w:rsidRDefault="00E94DE1" w:rsidP="002E0188">
            <w:pPr>
              <w:spacing w:before="0" w:after="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-1</w:t>
            </w:r>
            <w:r w:rsidR="008A0897"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630</w:t>
            </w:r>
          </w:p>
        </w:tc>
        <w:tc>
          <w:tcPr>
            <w:tcW w:w="1300" w:type="dxa"/>
            <w:tcBorders>
              <w:left w:val="nil"/>
              <w:bottom w:val="nil"/>
              <w:right w:val="nil"/>
            </w:tcBorders>
            <w:shd w:val="clear" w:color="auto" w:fill="auto"/>
            <w:noWrap/>
            <w:vAlign w:val="bottom"/>
            <w:hideMark/>
          </w:tcPr>
          <w:p w14:paraId="51B84343" w14:textId="58765F86" w:rsidR="00E94DE1" w:rsidRPr="00A076CB" w:rsidRDefault="00E94DE1" w:rsidP="002E0188">
            <w:pPr>
              <w:spacing w:before="0" w:after="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-5</w:t>
            </w:r>
            <w:r w:rsidR="006576AA"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415</w:t>
            </w:r>
          </w:p>
        </w:tc>
        <w:tc>
          <w:tcPr>
            <w:tcW w:w="1300" w:type="dxa"/>
            <w:tcBorders>
              <w:left w:val="nil"/>
              <w:bottom w:val="nil"/>
              <w:right w:val="nil"/>
            </w:tcBorders>
            <w:shd w:val="clear" w:color="auto" w:fill="auto"/>
            <w:noWrap/>
            <w:vAlign w:val="bottom"/>
            <w:hideMark/>
          </w:tcPr>
          <w:p w14:paraId="24F95542" w14:textId="0FD67253" w:rsidR="00E94DE1" w:rsidRPr="00A076CB" w:rsidRDefault="00E94DE1" w:rsidP="002E0188">
            <w:pPr>
              <w:spacing w:before="0" w:after="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3</w:t>
            </w:r>
            <w:r w:rsidR="006576AA"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000</w:t>
            </w:r>
          </w:p>
        </w:tc>
      </w:tr>
      <w:tr w:rsidR="00E94DE1" w:rsidRPr="00A076CB" w14:paraId="3C010DF2" w14:textId="77777777" w:rsidTr="00A076CB">
        <w:trPr>
          <w:trHeight w:val="227"/>
        </w:trPr>
        <w:tc>
          <w:tcPr>
            <w:tcW w:w="3195" w:type="dxa"/>
            <w:tcBorders>
              <w:top w:val="nil"/>
              <w:left w:val="nil"/>
              <w:right w:val="nil"/>
            </w:tcBorders>
            <w:shd w:val="clear" w:color="auto" w:fill="auto"/>
            <w:noWrap/>
            <w:vAlign w:val="bottom"/>
            <w:hideMark/>
          </w:tcPr>
          <w:p w14:paraId="533EEBF1" w14:textId="77777777" w:rsidR="00E94DE1" w:rsidRPr="00A076CB" w:rsidRDefault="00E94DE1" w:rsidP="002E0188">
            <w:pPr>
              <w:spacing w:before="0" w:after="0"/>
              <w:jc w:val="right"/>
              <w:rPr>
                <w:rFonts w:ascii="Calibri" w:eastAsia="Times New Roman" w:hAnsi="Calibri" w:cs="Calibri"/>
                <w:color w:val="000000"/>
                <w:sz w:val="20"/>
                <w:szCs w:val="20"/>
                <w:lang w:eastAsia="en-GB"/>
              </w:rPr>
            </w:pPr>
          </w:p>
        </w:tc>
        <w:tc>
          <w:tcPr>
            <w:tcW w:w="1300" w:type="dxa"/>
            <w:tcBorders>
              <w:top w:val="nil"/>
              <w:left w:val="nil"/>
              <w:right w:val="nil"/>
            </w:tcBorders>
            <w:shd w:val="clear" w:color="auto" w:fill="auto"/>
            <w:noWrap/>
            <w:vAlign w:val="bottom"/>
            <w:hideMark/>
          </w:tcPr>
          <w:p w14:paraId="2FEE5A10" w14:textId="77777777" w:rsidR="00E94DE1" w:rsidRPr="00A076CB" w:rsidRDefault="00E94DE1" w:rsidP="002E0188">
            <w:pPr>
              <w:spacing w:before="0" w:after="0"/>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Expense</w:t>
            </w:r>
          </w:p>
        </w:tc>
        <w:tc>
          <w:tcPr>
            <w:tcW w:w="1300" w:type="dxa"/>
            <w:tcBorders>
              <w:top w:val="nil"/>
              <w:left w:val="nil"/>
              <w:right w:val="nil"/>
            </w:tcBorders>
            <w:shd w:val="clear" w:color="auto" w:fill="auto"/>
            <w:noWrap/>
            <w:vAlign w:val="bottom"/>
            <w:hideMark/>
          </w:tcPr>
          <w:p w14:paraId="6601E5A9" w14:textId="07B5ABE1" w:rsidR="00E94DE1" w:rsidRPr="00A076CB" w:rsidRDefault="00E94DE1" w:rsidP="002E0188">
            <w:pPr>
              <w:spacing w:before="0" w:after="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-16</w:t>
            </w:r>
            <w:r w:rsidR="008A0897"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113</w:t>
            </w:r>
          </w:p>
        </w:tc>
        <w:tc>
          <w:tcPr>
            <w:tcW w:w="1300" w:type="dxa"/>
            <w:tcBorders>
              <w:top w:val="nil"/>
              <w:left w:val="nil"/>
              <w:right w:val="nil"/>
            </w:tcBorders>
            <w:shd w:val="clear" w:color="auto" w:fill="auto"/>
            <w:noWrap/>
            <w:vAlign w:val="bottom"/>
            <w:hideMark/>
          </w:tcPr>
          <w:p w14:paraId="71D47A07" w14:textId="76A5ED97" w:rsidR="00E94DE1" w:rsidRPr="00A076CB" w:rsidRDefault="00E94DE1" w:rsidP="002E0188">
            <w:pPr>
              <w:spacing w:before="0" w:after="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3</w:t>
            </w:r>
            <w:r w:rsidR="008A0897"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207</w:t>
            </w:r>
          </w:p>
        </w:tc>
        <w:tc>
          <w:tcPr>
            <w:tcW w:w="1300" w:type="dxa"/>
            <w:tcBorders>
              <w:top w:val="nil"/>
              <w:left w:val="nil"/>
              <w:right w:val="nil"/>
            </w:tcBorders>
            <w:shd w:val="clear" w:color="auto" w:fill="auto"/>
            <w:noWrap/>
            <w:vAlign w:val="bottom"/>
            <w:hideMark/>
          </w:tcPr>
          <w:p w14:paraId="7F5A657C" w14:textId="77777777" w:rsidR="00E94DE1" w:rsidRPr="00A076CB" w:rsidRDefault="00E94DE1" w:rsidP="002E0188">
            <w:pPr>
              <w:spacing w:before="0" w:after="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765</w:t>
            </w:r>
          </w:p>
        </w:tc>
        <w:tc>
          <w:tcPr>
            <w:tcW w:w="1300" w:type="dxa"/>
            <w:tcBorders>
              <w:top w:val="nil"/>
              <w:left w:val="nil"/>
              <w:right w:val="nil"/>
            </w:tcBorders>
            <w:shd w:val="clear" w:color="auto" w:fill="auto"/>
            <w:noWrap/>
            <w:vAlign w:val="bottom"/>
            <w:hideMark/>
          </w:tcPr>
          <w:p w14:paraId="49F44B7E" w14:textId="7E54A1F7" w:rsidR="00E94DE1" w:rsidRPr="00A076CB" w:rsidRDefault="00E94DE1" w:rsidP="002E0188">
            <w:pPr>
              <w:spacing w:before="0" w:after="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7</w:t>
            </w:r>
            <w:r w:rsidR="006576AA"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871</w:t>
            </w:r>
          </w:p>
        </w:tc>
      </w:tr>
      <w:tr w:rsidR="00E94DE1" w:rsidRPr="00A076CB" w14:paraId="2CA77572" w14:textId="77777777" w:rsidTr="008A0897">
        <w:trPr>
          <w:trHeight w:val="320"/>
        </w:trPr>
        <w:tc>
          <w:tcPr>
            <w:tcW w:w="3195" w:type="dxa"/>
            <w:tcBorders>
              <w:top w:val="nil"/>
              <w:left w:val="nil"/>
              <w:right w:val="nil"/>
            </w:tcBorders>
            <w:shd w:val="clear" w:color="auto" w:fill="auto"/>
            <w:noWrap/>
            <w:vAlign w:val="bottom"/>
            <w:hideMark/>
          </w:tcPr>
          <w:p w14:paraId="0F80C958" w14:textId="77777777" w:rsidR="00E94DE1" w:rsidRPr="00A076CB" w:rsidRDefault="00E94DE1" w:rsidP="002E0188">
            <w:pPr>
              <w:spacing w:before="0" w:after="160"/>
              <w:rPr>
                <w:rFonts w:ascii="Calibri" w:eastAsia="Times New Roman" w:hAnsi="Calibri" w:cs="Calibri"/>
                <w:b/>
                <w:bCs/>
                <w:color w:val="000000"/>
                <w:sz w:val="20"/>
                <w:szCs w:val="20"/>
                <w:lang w:eastAsia="en-GB"/>
              </w:rPr>
            </w:pPr>
            <w:r w:rsidRPr="00A076CB">
              <w:rPr>
                <w:rFonts w:ascii="Calibri" w:eastAsia="Times New Roman" w:hAnsi="Calibri" w:cs="Calibri"/>
                <w:b/>
                <w:bCs/>
                <w:color w:val="000000"/>
                <w:sz w:val="20"/>
                <w:szCs w:val="20"/>
                <w:lang w:eastAsia="en-GB"/>
              </w:rPr>
              <w:t> </w:t>
            </w:r>
          </w:p>
        </w:tc>
        <w:tc>
          <w:tcPr>
            <w:tcW w:w="1300" w:type="dxa"/>
            <w:tcBorders>
              <w:top w:val="nil"/>
              <w:left w:val="nil"/>
              <w:right w:val="nil"/>
            </w:tcBorders>
            <w:shd w:val="clear" w:color="auto" w:fill="auto"/>
            <w:noWrap/>
            <w:vAlign w:val="bottom"/>
            <w:hideMark/>
          </w:tcPr>
          <w:p w14:paraId="5AB8F2EF" w14:textId="77777777" w:rsidR="00E94DE1" w:rsidRPr="00A076CB" w:rsidRDefault="00E94DE1" w:rsidP="002E0188">
            <w:pPr>
              <w:spacing w:before="0" w:after="160"/>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Revenue</w:t>
            </w:r>
          </w:p>
        </w:tc>
        <w:tc>
          <w:tcPr>
            <w:tcW w:w="1300" w:type="dxa"/>
            <w:tcBorders>
              <w:top w:val="nil"/>
              <w:left w:val="nil"/>
              <w:right w:val="nil"/>
            </w:tcBorders>
            <w:shd w:val="clear" w:color="auto" w:fill="auto"/>
            <w:noWrap/>
            <w:vAlign w:val="bottom"/>
            <w:hideMark/>
          </w:tcPr>
          <w:p w14:paraId="044C9CFC" w14:textId="77777777" w:rsidR="00E94DE1" w:rsidRPr="00A076CB" w:rsidRDefault="00E94DE1" w:rsidP="002E0188">
            <w:pPr>
              <w:spacing w:before="0" w:after="16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409</w:t>
            </w:r>
          </w:p>
        </w:tc>
        <w:tc>
          <w:tcPr>
            <w:tcW w:w="1300" w:type="dxa"/>
            <w:tcBorders>
              <w:top w:val="nil"/>
              <w:left w:val="nil"/>
              <w:right w:val="nil"/>
            </w:tcBorders>
            <w:shd w:val="clear" w:color="auto" w:fill="auto"/>
            <w:noWrap/>
            <w:vAlign w:val="bottom"/>
            <w:hideMark/>
          </w:tcPr>
          <w:p w14:paraId="0A2F2114" w14:textId="77777777" w:rsidR="00E94DE1" w:rsidRPr="00A076CB" w:rsidRDefault="00E94DE1" w:rsidP="002E0188">
            <w:pPr>
              <w:spacing w:before="0" w:after="16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-304</w:t>
            </w:r>
          </w:p>
        </w:tc>
        <w:tc>
          <w:tcPr>
            <w:tcW w:w="1300" w:type="dxa"/>
            <w:tcBorders>
              <w:top w:val="nil"/>
              <w:left w:val="nil"/>
              <w:right w:val="nil"/>
            </w:tcBorders>
            <w:shd w:val="clear" w:color="auto" w:fill="auto"/>
            <w:noWrap/>
            <w:vAlign w:val="bottom"/>
            <w:hideMark/>
          </w:tcPr>
          <w:p w14:paraId="4D14B237" w14:textId="77777777" w:rsidR="00E94DE1" w:rsidRPr="00A076CB" w:rsidRDefault="00E94DE1" w:rsidP="002E0188">
            <w:pPr>
              <w:spacing w:before="0" w:after="16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-983</w:t>
            </w:r>
          </w:p>
        </w:tc>
        <w:tc>
          <w:tcPr>
            <w:tcW w:w="1300" w:type="dxa"/>
            <w:tcBorders>
              <w:top w:val="nil"/>
              <w:left w:val="nil"/>
              <w:right w:val="nil"/>
            </w:tcBorders>
            <w:shd w:val="clear" w:color="auto" w:fill="auto"/>
            <w:noWrap/>
            <w:vAlign w:val="bottom"/>
            <w:hideMark/>
          </w:tcPr>
          <w:p w14:paraId="2E05B96E" w14:textId="4361144D" w:rsidR="00E94DE1" w:rsidRPr="00A076CB" w:rsidRDefault="00E94DE1" w:rsidP="002E0188">
            <w:pPr>
              <w:spacing w:before="0" w:after="16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-1</w:t>
            </w:r>
            <w:r w:rsidR="006576AA"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092</w:t>
            </w:r>
          </w:p>
        </w:tc>
      </w:tr>
      <w:tr w:rsidR="00E94DE1" w:rsidRPr="00A076CB" w14:paraId="3F1D23EB" w14:textId="77777777" w:rsidTr="008A0897">
        <w:trPr>
          <w:trHeight w:val="320"/>
        </w:trPr>
        <w:tc>
          <w:tcPr>
            <w:tcW w:w="3195" w:type="dxa"/>
            <w:tcBorders>
              <w:left w:val="nil"/>
              <w:right w:val="nil"/>
            </w:tcBorders>
            <w:shd w:val="clear" w:color="auto" w:fill="auto"/>
            <w:noWrap/>
            <w:vAlign w:val="bottom"/>
            <w:hideMark/>
          </w:tcPr>
          <w:p w14:paraId="2F517101" w14:textId="77777777" w:rsidR="00E94DE1" w:rsidRPr="00A076CB" w:rsidRDefault="00E94DE1" w:rsidP="002E0188">
            <w:pPr>
              <w:spacing w:before="0" w:after="0"/>
              <w:rPr>
                <w:rFonts w:ascii="Calibri" w:eastAsia="Times New Roman" w:hAnsi="Calibri" w:cs="Calibri"/>
                <w:b/>
                <w:bCs/>
                <w:color w:val="000000"/>
                <w:sz w:val="20"/>
                <w:szCs w:val="20"/>
                <w:lang w:eastAsia="en-GB"/>
              </w:rPr>
            </w:pPr>
            <w:r w:rsidRPr="00A076CB">
              <w:rPr>
                <w:rFonts w:ascii="Calibri" w:eastAsia="Times New Roman" w:hAnsi="Calibri" w:cs="Calibri"/>
                <w:b/>
                <w:bCs/>
                <w:color w:val="000000"/>
                <w:sz w:val="20"/>
                <w:szCs w:val="20"/>
                <w:lang w:eastAsia="en-GB"/>
              </w:rPr>
              <w:t>Governance &amp; institutions</w:t>
            </w:r>
          </w:p>
        </w:tc>
        <w:tc>
          <w:tcPr>
            <w:tcW w:w="1300" w:type="dxa"/>
            <w:tcBorders>
              <w:left w:val="nil"/>
              <w:right w:val="nil"/>
            </w:tcBorders>
            <w:shd w:val="clear" w:color="auto" w:fill="auto"/>
            <w:noWrap/>
            <w:vAlign w:val="bottom"/>
            <w:hideMark/>
          </w:tcPr>
          <w:p w14:paraId="6268FDFD" w14:textId="77777777" w:rsidR="00E94DE1" w:rsidRPr="00A076CB" w:rsidRDefault="00E94DE1" w:rsidP="002E0188">
            <w:pPr>
              <w:spacing w:before="0" w:after="0"/>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Capital</w:t>
            </w:r>
          </w:p>
        </w:tc>
        <w:tc>
          <w:tcPr>
            <w:tcW w:w="1300" w:type="dxa"/>
            <w:tcBorders>
              <w:left w:val="nil"/>
              <w:right w:val="nil"/>
            </w:tcBorders>
            <w:shd w:val="clear" w:color="auto" w:fill="auto"/>
            <w:noWrap/>
            <w:vAlign w:val="bottom"/>
            <w:hideMark/>
          </w:tcPr>
          <w:p w14:paraId="70E4CFD0" w14:textId="77777777" w:rsidR="00E94DE1" w:rsidRPr="00A076CB" w:rsidRDefault="00E94DE1" w:rsidP="002E0188">
            <w:pPr>
              <w:spacing w:before="0" w:after="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420</w:t>
            </w:r>
          </w:p>
        </w:tc>
        <w:tc>
          <w:tcPr>
            <w:tcW w:w="1300" w:type="dxa"/>
            <w:tcBorders>
              <w:left w:val="nil"/>
              <w:right w:val="nil"/>
            </w:tcBorders>
            <w:shd w:val="clear" w:color="auto" w:fill="auto"/>
            <w:noWrap/>
            <w:vAlign w:val="bottom"/>
            <w:hideMark/>
          </w:tcPr>
          <w:p w14:paraId="150556E6" w14:textId="77777777" w:rsidR="00E94DE1" w:rsidRPr="00A076CB" w:rsidRDefault="00E94DE1" w:rsidP="002E0188">
            <w:pPr>
              <w:spacing w:before="0" w:after="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420</w:t>
            </w:r>
          </w:p>
        </w:tc>
        <w:tc>
          <w:tcPr>
            <w:tcW w:w="1300" w:type="dxa"/>
            <w:tcBorders>
              <w:left w:val="nil"/>
              <w:right w:val="nil"/>
            </w:tcBorders>
            <w:shd w:val="clear" w:color="auto" w:fill="auto"/>
            <w:noWrap/>
            <w:vAlign w:val="bottom"/>
            <w:hideMark/>
          </w:tcPr>
          <w:p w14:paraId="08E3849C" w14:textId="77777777" w:rsidR="00E94DE1" w:rsidRPr="00A076CB" w:rsidRDefault="00E94DE1" w:rsidP="002E0188">
            <w:pPr>
              <w:spacing w:before="0" w:after="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366</w:t>
            </w:r>
          </w:p>
        </w:tc>
        <w:tc>
          <w:tcPr>
            <w:tcW w:w="1300" w:type="dxa"/>
            <w:tcBorders>
              <w:left w:val="nil"/>
              <w:right w:val="nil"/>
            </w:tcBorders>
            <w:shd w:val="clear" w:color="auto" w:fill="auto"/>
            <w:noWrap/>
            <w:vAlign w:val="bottom"/>
            <w:hideMark/>
          </w:tcPr>
          <w:p w14:paraId="1B62F9FD" w14:textId="34DDFDDF" w:rsidR="00E94DE1" w:rsidRPr="00A076CB" w:rsidRDefault="00E94DE1" w:rsidP="002E0188">
            <w:pPr>
              <w:spacing w:before="0" w:after="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0</w:t>
            </w:r>
          </w:p>
        </w:tc>
      </w:tr>
      <w:tr w:rsidR="00E94DE1" w:rsidRPr="00A076CB" w14:paraId="28D34C9C" w14:textId="77777777" w:rsidTr="008A0897">
        <w:trPr>
          <w:trHeight w:val="320"/>
        </w:trPr>
        <w:tc>
          <w:tcPr>
            <w:tcW w:w="3195" w:type="dxa"/>
            <w:tcBorders>
              <w:top w:val="nil"/>
              <w:left w:val="nil"/>
              <w:right w:val="nil"/>
            </w:tcBorders>
            <w:shd w:val="clear" w:color="auto" w:fill="auto"/>
            <w:noWrap/>
            <w:vAlign w:val="bottom"/>
            <w:hideMark/>
          </w:tcPr>
          <w:p w14:paraId="5BF7D360" w14:textId="77777777" w:rsidR="00E94DE1" w:rsidRPr="00A076CB" w:rsidRDefault="00E94DE1" w:rsidP="002E0188">
            <w:pPr>
              <w:spacing w:before="0" w:after="160"/>
              <w:jc w:val="right"/>
              <w:rPr>
                <w:rFonts w:ascii="Calibri" w:eastAsia="Times New Roman" w:hAnsi="Calibri" w:cs="Calibri"/>
                <w:color w:val="000000"/>
                <w:sz w:val="20"/>
                <w:szCs w:val="20"/>
                <w:lang w:eastAsia="en-GB"/>
              </w:rPr>
            </w:pPr>
          </w:p>
        </w:tc>
        <w:tc>
          <w:tcPr>
            <w:tcW w:w="1300" w:type="dxa"/>
            <w:tcBorders>
              <w:top w:val="nil"/>
              <w:left w:val="nil"/>
              <w:right w:val="nil"/>
            </w:tcBorders>
            <w:shd w:val="clear" w:color="auto" w:fill="auto"/>
            <w:noWrap/>
            <w:vAlign w:val="bottom"/>
            <w:hideMark/>
          </w:tcPr>
          <w:p w14:paraId="4D74DE05" w14:textId="77777777" w:rsidR="00E94DE1" w:rsidRPr="00A076CB" w:rsidRDefault="00E94DE1" w:rsidP="002E0188">
            <w:pPr>
              <w:spacing w:before="0" w:after="160"/>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Expense</w:t>
            </w:r>
          </w:p>
        </w:tc>
        <w:tc>
          <w:tcPr>
            <w:tcW w:w="1300" w:type="dxa"/>
            <w:tcBorders>
              <w:top w:val="nil"/>
              <w:left w:val="nil"/>
              <w:right w:val="nil"/>
            </w:tcBorders>
            <w:shd w:val="clear" w:color="auto" w:fill="auto"/>
            <w:noWrap/>
            <w:vAlign w:val="bottom"/>
            <w:hideMark/>
          </w:tcPr>
          <w:p w14:paraId="17763EFC" w14:textId="5F8F8305" w:rsidR="00E94DE1" w:rsidRPr="00A076CB" w:rsidRDefault="00E94DE1" w:rsidP="002E0188">
            <w:pPr>
              <w:spacing w:before="0" w:after="16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2</w:t>
            </w:r>
            <w:r w:rsidR="008A0897"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328</w:t>
            </w:r>
          </w:p>
        </w:tc>
        <w:tc>
          <w:tcPr>
            <w:tcW w:w="1300" w:type="dxa"/>
            <w:tcBorders>
              <w:top w:val="nil"/>
              <w:left w:val="nil"/>
              <w:right w:val="nil"/>
            </w:tcBorders>
            <w:shd w:val="clear" w:color="auto" w:fill="auto"/>
            <w:noWrap/>
            <w:vAlign w:val="bottom"/>
            <w:hideMark/>
          </w:tcPr>
          <w:p w14:paraId="2E5B02DE" w14:textId="5698B350" w:rsidR="00E94DE1" w:rsidRPr="00A076CB" w:rsidRDefault="00E94DE1" w:rsidP="002E0188">
            <w:pPr>
              <w:spacing w:before="0" w:after="16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8</w:t>
            </w:r>
            <w:r w:rsidR="008A0897"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226</w:t>
            </w:r>
          </w:p>
        </w:tc>
        <w:tc>
          <w:tcPr>
            <w:tcW w:w="1300" w:type="dxa"/>
            <w:tcBorders>
              <w:top w:val="nil"/>
              <w:left w:val="nil"/>
              <w:right w:val="nil"/>
            </w:tcBorders>
            <w:shd w:val="clear" w:color="auto" w:fill="auto"/>
            <w:noWrap/>
            <w:vAlign w:val="bottom"/>
            <w:hideMark/>
          </w:tcPr>
          <w:p w14:paraId="7489D6C3" w14:textId="503B7F28" w:rsidR="00E94DE1" w:rsidRPr="00A076CB" w:rsidRDefault="00E94DE1" w:rsidP="002E0188">
            <w:pPr>
              <w:spacing w:before="0" w:after="16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7</w:t>
            </w:r>
            <w:r w:rsidR="006576AA"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366</w:t>
            </w:r>
          </w:p>
        </w:tc>
        <w:tc>
          <w:tcPr>
            <w:tcW w:w="1300" w:type="dxa"/>
            <w:tcBorders>
              <w:top w:val="nil"/>
              <w:left w:val="nil"/>
              <w:right w:val="nil"/>
            </w:tcBorders>
            <w:shd w:val="clear" w:color="auto" w:fill="auto"/>
            <w:noWrap/>
            <w:vAlign w:val="bottom"/>
            <w:hideMark/>
          </w:tcPr>
          <w:p w14:paraId="6700E80E" w14:textId="1A32B4A0" w:rsidR="00E94DE1" w:rsidRPr="00A076CB" w:rsidRDefault="00E94DE1" w:rsidP="002E0188">
            <w:pPr>
              <w:spacing w:before="0" w:after="16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1</w:t>
            </w:r>
            <w:r w:rsidR="006576AA"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363</w:t>
            </w:r>
          </w:p>
        </w:tc>
      </w:tr>
      <w:tr w:rsidR="00E94DE1" w:rsidRPr="00A076CB" w14:paraId="00668FB4" w14:textId="77777777" w:rsidTr="008A0897">
        <w:trPr>
          <w:trHeight w:val="320"/>
        </w:trPr>
        <w:tc>
          <w:tcPr>
            <w:tcW w:w="3195" w:type="dxa"/>
            <w:tcBorders>
              <w:left w:val="nil"/>
              <w:bottom w:val="nil"/>
              <w:right w:val="nil"/>
            </w:tcBorders>
            <w:shd w:val="clear" w:color="auto" w:fill="auto"/>
            <w:noWrap/>
            <w:vAlign w:val="bottom"/>
            <w:hideMark/>
          </w:tcPr>
          <w:p w14:paraId="4D2EC940" w14:textId="77777777" w:rsidR="00E94DE1" w:rsidRPr="00A076CB" w:rsidRDefault="00E94DE1" w:rsidP="002E0188">
            <w:pPr>
              <w:spacing w:before="0" w:after="0"/>
              <w:rPr>
                <w:rFonts w:ascii="Calibri" w:eastAsia="Times New Roman" w:hAnsi="Calibri" w:cs="Calibri"/>
                <w:b/>
                <w:bCs/>
                <w:color w:val="000000"/>
                <w:sz w:val="20"/>
                <w:szCs w:val="20"/>
                <w:lang w:eastAsia="en-GB"/>
              </w:rPr>
            </w:pPr>
            <w:r w:rsidRPr="00A076CB">
              <w:rPr>
                <w:rFonts w:ascii="Calibri" w:eastAsia="Times New Roman" w:hAnsi="Calibri" w:cs="Calibri"/>
                <w:b/>
                <w:bCs/>
                <w:color w:val="000000"/>
                <w:sz w:val="20"/>
                <w:szCs w:val="20"/>
                <w:lang w:eastAsia="en-GB"/>
              </w:rPr>
              <w:t>Health</w:t>
            </w:r>
          </w:p>
        </w:tc>
        <w:tc>
          <w:tcPr>
            <w:tcW w:w="1300" w:type="dxa"/>
            <w:tcBorders>
              <w:left w:val="nil"/>
              <w:bottom w:val="nil"/>
              <w:right w:val="nil"/>
            </w:tcBorders>
            <w:shd w:val="clear" w:color="auto" w:fill="auto"/>
            <w:noWrap/>
            <w:vAlign w:val="bottom"/>
            <w:hideMark/>
          </w:tcPr>
          <w:p w14:paraId="16EB6828" w14:textId="77777777" w:rsidR="00E94DE1" w:rsidRPr="00A076CB" w:rsidRDefault="00E94DE1" w:rsidP="002E0188">
            <w:pPr>
              <w:spacing w:before="0" w:after="0"/>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Capital</w:t>
            </w:r>
          </w:p>
        </w:tc>
        <w:tc>
          <w:tcPr>
            <w:tcW w:w="1300" w:type="dxa"/>
            <w:tcBorders>
              <w:left w:val="nil"/>
              <w:bottom w:val="nil"/>
              <w:right w:val="nil"/>
            </w:tcBorders>
            <w:shd w:val="clear" w:color="auto" w:fill="auto"/>
            <w:noWrap/>
            <w:vAlign w:val="bottom"/>
            <w:hideMark/>
          </w:tcPr>
          <w:p w14:paraId="60077A15" w14:textId="1FA23E12" w:rsidR="00E94DE1" w:rsidRPr="00A076CB" w:rsidRDefault="00E94DE1" w:rsidP="002E0188">
            <w:pPr>
              <w:spacing w:before="0" w:after="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29</w:t>
            </w:r>
            <w:r w:rsidR="008A0897"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920</w:t>
            </w:r>
          </w:p>
        </w:tc>
        <w:tc>
          <w:tcPr>
            <w:tcW w:w="1300" w:type="dxa"/>
            <w:tcBorders>
              <w:left w:val="nil"/>
              <w:bottom w:val="nil"/>
              <w:right w:val="nil"/>
            </w:tcBorders>
            <w:shd w:val="clear" w:color="auto" w:fill="auto"/>
            <w:noWrap/>
            <w:vAlign w:val="bottom"/>
            <w:hideMark/>
          </w:tcPr>
          <w:p w14:paraId="19E35046" w14:textId="3B23EED6" w:rsidR="00E94DE1" w:rsidRPr="00A076CB" w:rsidRDefault="00E94DE1" w:rsidP="002E0188">
            <w:pPr>
              <w:spacing w:before="0" w:after="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11</w:t>
            </w:r>
            <w:r w:rsidR="008A0897"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584</w:t>
            </w:r>
          </w:p>
        </w:tc>
        <w:tc>
          <w:tcPr>
            <w:tcW w:w="1300" w:type="dxa"/>
            <w:tcBorders>
              <w:left w:val="nil"/>
              <w:bottom w:val="nil"/>
              <w:right w:val="nil"/>
            </w:tcBorders>
            <w:shd w:val="clear" w:color="auto" w:fill="auto"/>
            <w:noWrap/>
            <w:vAlign w:val="bottom"/>
            <w:hideMark/>
          </w:tcPr>
          <w:p w14:paraId="408B3C56" w14:textId="1589F574" w:rsidR="00E94DE1" w:rsidRPr="00A076CB" w:rsidRDefault="00E94DE1" w:rsidP="002E0188">
            <w:pPr>
              <w:spacing w:before="0" w:after="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23</w:t>
            </w:r>
            <w:r w:rsidR="006576AA"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766</w:t>
            </w:r>
          </w:p>
        </w:tc>
        <w:tc>
          <w:tcPr>
            <w:tcW w:w="1300" w:type="dxa"/>
            <w:tcBorders>
              <w:left w:val="nil"/>
              <w:bottom w:val="nil"/>
              <w:right w:val="nil"/>
            </w:tcBorders>
            <w:shd w:val="clear" w:color="auto" w:fill="auto"/>
            <w:noWrap/>
            <w:vAlign w:val="bottom"/>
            <w:hideMark/>
          </w:tcPr>
          <w:p w14:paraId="38967DD8" w14:textId="047BBDF3" w:rsidR="00E94DE1" w:rsidRPr="00A076CB" w:rsidRDefault="00E94DE1" w:rsidP="002E0188">
            <w:pPr>
              <w:spacing w:before="0" w:after="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48</w:t>
            </w:r>
            <w:r w:rsidR="006576AA"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413</w:t>
            </w:r>
          </w:p>
        </w:tc>
      </w:tr>
      <w:tr w:rsidR="00E94DE1" w:rsidRPr="00A076CB" w14:paraId="6DE093CD" w14:textId="77777777" w:rsidTr="00A076CB">
        <w:trPr>
          <w:trHeight w:val="227"/>
        </w:trPr>
        <w:tc>
          <w:tcPr>
            <w:tcW w:w="3195" w:type="dxa"/>
            <w:tcBorders>
              <w:top w:val="nil"/>
              <w:left w:val="nil"/>
              <w:right w:val="nil"/>
            </w:tcBorders>
            <w:shd w:val="clear" w:color="auto" w:fill="auto"/>
            <w:noWrap/>
            <w:vAlign w:val="bottom"/>
            <w:hideMark/>
          </w:tcPr>
          <w:p w14:paraId="79A3A3C2" w14:textId="77777777" w:rsidR="00E94DE1" w:rsidRPr="00A076CB" w:rsidRDefault="00E94DE1" w:rsidP="002E0188">
            <w:pPr>
              <w:spacing w:before="0" w:after="0"/>
              <w:jc w:val="right"/>
              <w:rPr>
                <w:rFonts w:ascii="Calibri" w:eastAsia="Times New Roman" w:hAnsi="Calibri" w:cs="Calibri"/>
                <w:color w:val="000000"/>
                <w:sz w:val="20"/>
                <w:szCs w:val="20"/>
                <w:lang w:eastAsia="en-GB"/>
              </w:rPr>
            </w:pPr>
          </w:p>
        </w:tc>
        <w:tc>
          <w:tcPr>
            <w:tcW w:w="1300" w:type="dxa"/>
            <w:tcBorders>
              <w:top w:val="nil"/>
              <w:left w:val="nil"/>
              <w:right w:val="nil"/>
            </w:tcBorders>
            <w:shd w:val="clear" w:color="auto" w:fill="auto"/>
            <w:noWrap/>
            <w:vAlign w:val="bottom"/>
            <w:hideMark/>
          </w:tcPr>
          <w:p w14:paraId="15CE529A" w14:textId="77777777" w:rsidR="00E94DE1" w:rsidRPr="00A076CB" w:rsidRDefault="00E94DE1" w:rsidP="002E0188">
            <w:pPr>
              <w:spacing w:before="0" w:after="0"/>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Expense</w:t>
            </w:r>
          </w:p>
        </w:tc>
        <w:tc>
          <w:tcPr>
            <w:tcW w:w="1300" w:type="dxa"/>
            <w:tcBorders>
              <w:top w:val="nil"/>
              <w:left w:val="nil"/>
              <w:right w:val="nil"/>
            </w:tcBorders>
            <w:shd w:val="clear" w:color="auto" w:fill="auto"/>
            <w:noWrap/>
            <w:vAlign w:val="bottom"/>
            <w:hideMark/>
          </w:tcPr>
          <w:p w14:paraId="274388E2" w14:textId="2E33F78E" w:rsidR="00E94DE1" w:rsidRPr="00A076CB" w:rsidRDefault="00E94DE1" w:rsidP="002E0188">
            <w:pPr>
              <w:spacing w:before="0" w:after="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186</w:t>
            </w:r>
            <w:r w:rsidR="008A0897"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026</w:t>
            </w:r>
          </w:p>
        </w:tc>
        <w:tc>
          <w:tcPr>
            <w:tcW w:w="1300" w:type="dxa"/>
            <w:tcBorders>
              <w:top w:val="nil"/>
              <w:left w:val="nil"/>
              <w:right w:val="nil"/>
            </w:tcBorders>
            <w:shd w:val="clear" w:color="auto" w:fill="auto"/>
            <w:noWrap/>
            <w:vAlign w:val="bottom"/>
            <w:hideMark/>
          </w:tcPr>
          <w:p w14:paraId="64E6FCA6" w14:textId="6C8E5B5C" w:rsidR="00E94DE1" w:rsidRPr="00A076CB" w:rsidRDefault="00E94DE1" w:rsidP="002E0188">
            <w:pPr>
              <w:spacing w:before="0" w:after="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115</w:t>
            </w:r>
            <w:r w:rsidR="008A0897"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281</w:t>
            </w:r>
          </w:p>
        </w:tc>
        <w:tc>
          <w:tcPr>
            <w:tcW w:w="1300" w:type="dxa"/>
            <w:tcBorders>
              <w:top w:val="nil"/>
              <w:left w:val="nil"/>
              <w:right w:val="nil"/>
            </w:tcBorders>
            <w:shd w:val="clear" w:color="auto" w:fill="auto"/>
            <w:noWrap/>
            <w:vAlign w:val="bottom"/>
            <w:hideMark/>
          </w:tcPr>
          <w:p w14:paraId="0C774F23" w14:textId="689A2766" w:rsidR="00E94DE1" w:rsidRPr="00A076CB" w:rsidRDefault="00E94DE1" w:rsidP="002E0188">
            <w:pPr>
              <w:spacing w:before="0" w:after="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53</w:t>
            </w:r>
            <w:r w:rsidR="006576AA"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830</w:t>
            </w:r>
          </w:p>
        </w:tc>
        <w:tc>
          <w:tcPr>
            <w:tcW w:w="1300" w:type="dxa"/>
            <w:tcBorders>
              <w:top w:val="nil"/>
              <w:left w:val="nil"/>
              <w:right w:val="nil"/>
            </w:tcBorders>
            <w:shd w:val="clear" w:color="auto" w:fill="auto"/>
            <w:noWrap/>
            <w:vAlign w:val="bottom"/>
            <w:hideMark/>
          </w:tcPr>
          <w:p w14:paraId="5823BB98" w14:textId="76D27FBF" w:rsidR="00E94DE1" w:rsidRPr="00A076CB" w:rsidRDefault="00E94DE1" w:rsidP="002E0188">
            <w:pPr>
              <w:spacing w:before="0" w:after="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9</w:t>
            </w:r>
            <w:r w:rsidR="006576AA"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544</w:t>
            </w:r>
          </w:p>
        </w:tc>
      </w:tr>
      <w:tr w:rsidR="00E94DE1" w:rsidRPr="00A076CB" w14:paraId="431B11E0" w14:textId="77777777" w:rsidTr="008A0897">
        <w:trPr>
          <w:trHeight w:val="320"/>
        </w:trPr>
        <w:tc>
          <w:tcPr>
            <w:tcW w:w="3195" w:type="dxa"/>
            <w:tcBorders>
              <w:top w:val="nil"/>
              <w:left w:val="nil"/>
              <w:right w:val="nil"/>
            </w:tcBorders>
            <w:shd w:val="clear" w:color="auto" w:fill="auto"/>
            <w:noWrap/>
            <w:vAlign w:val="bottom"/>
            <w:hideMark/>
          </w:tcPr>
          <w:p w14:paraId="5B931AA7" w14:textId="77777777" w:rsidR="00E94DE1" w:rsidRPr="00A076CB" w:rsidRDefault="00E94DE1" w:rsidP="002E0188">
            <w:pPr>
              <w:spacing w:before="0" w:after="160"/>
              <w:jc w:val="right"/>
              <w:rPr>
                <w:rFonts w:ascii="Calibri" w:eastAsia="Times New Roman" w:hAnsi="Calibri" w:cs="Calibri"/>
                <w:color w:val="000000"/>
                <w:sz w:val="20"/>
                <w:szCs w:val="20"/>
                <w:lang w:eastAsia="en-GB"/>
              </w:rPr>
            </w:pPr>
          </w:p>
        </w:tc>
        <w:tc>
          <w:tcPr>
            <w:tcW w:w="1300" w:type="dxa"/>
            <w:tcBorders>
              <w:top w:val="nil"/>
              <w:left w:val="nil"/>
              <w:right w:val="nil"/>
            </w:tcBorders>
            <w:shd w:val="clear" w:color="auto" w:fill="auto"/>
            <w:noWrap/>
            <w:vAlign w:val="bottom"/>
            <w:hideMark/>
          </w:tcPr>
          <w:p w14:paraId="35726A2F" w14:textId="77777777" w:rsidR="00E94DE1" w:rsidRPr="00A076CB" w:rsidRDefault="00E94DE1" w:rsidP="002E0188">
            <w:pPr>
              <w:spacing w:before="0" w:after="160"/>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Revenue</w:t>
            </w:r>
          </w:p>
        </w:tc>
        <w:tc>
          <w:tcPr>
            <w:tcW w:w="1300" w:type="dxa"/>
            <w:tcBorders>
              <w:top w:val="nil"/>
              <w:left w:val="nil"/>
              <w:right w:val="nil"/>
            </w:tcBorders>
            <w:shd w:val="clear" w:color="auto" w:fill="auto"/>
            <w:noWrap/>
            <w:vAlign w:val="bottom"/>
            <w:hideMark/>
          </w:tcPr>
          <w:p w14:paraId="01606E09" w14:textId="77777777" w:rsidR="00E94DE1" w:rsidRPr="00A076CB" w:rsidRDefault="00E94DE1" w:rsidP="002E0188">
            <w:pPr>
              <w:spacing w:before="0" w:after="16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470</w:t>
            </w:r>
          </w:p>
        </w:tc>
        <w:tc>
          <w:tcPr>
            <w:tcW w:w="1300" w:type="dxa"/>
            <w:tcBorders>
              <w:top w:val="nil"/>
              <w:left w:val="nil"/>
              <w:right w:val="nil"/>
            </w:tcBorders>
            <w:shd w:val="clear" w:color="auto" w:fill="auto"/>
            <w:noWrap/>
            <w:vAlign w:val="bottom"/>
            <w:hideMark/>
          </w:tcPr>
          <w:p w14:paraId="6B6A0464" w14:textId="77777777" w:rsidR="00E94DE1" w:rsidRPr="00A076CB" w:rsidRDefault="00E94DE1" w:rsidP="002E0188">
            <w:pPr>
              <w:spacing w:before="0" w:after="16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320</w:t>
            </w:r>
          </w:p>
        </w:tc>
        <w:tc>
          <w:tcPr>
            <w:tcW w:w="1300" w:type="dxa"/>
            <w:tcBorders>
              <w:top w:val="nil"/>
              <w:left w:val="nil"/>
              <w:right w:val="nil"/>
            </w:tcBorders>
            <w:shd w:val="clear" w:color="auto" w:fill="auto"/>
            <w:noWrap/>
            <w:vAlign w:val="bottom"/>
            <w:hideMark/>
          </w:tcPr>
          <w:p w14:paraId="5D376837" w14:textId="77777777" w:rsidR="00E94DE1" w:rsidRPr="00A076CB" w:rsidRDefault="00E94DE1" w:rsidP="002E0188">
            <w:pPr>
              <w:spacing w:before="0" w:after="16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320</w:t>
            </w:r>
          </w:p>
        </w:tc>
        <w:tc>
          <w:tcPr>
            <w:tcW w:w="1300" w:type="dxa"/>
            <w:tcBorders>
              <w:top w:val="nil"/>
              <w:left w:val="nil"/>
              <w:right w:val="nil"/>
            </w:tcBorders>
            <w:shd w:val="clear" w:color="auto" w:fill="auto"/>
            <w:noWrap/>
            <w:vAlign w:val="bottom"/>
            <w:hideMark/>
          </w:tcPr>
          <w:p w14:paraId="31A5DCF9" w14:textId="77777777" w:rsidR="00E94DE1" w:rsidRPr="00A076CB" w:rsidRDefault="00E94DE1" w:rsidP="002E0188">
            <w:pPr>
              <w:spacing w:before="0" w:after="16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0</w:t>
            </w:r>
          </w:p>
        </w:tc>
      </w:tr>
      <w:tr w:rsidR="00E94DE1" w:rsidRPr="00A076CB" w14:paraId="234FF418" w14:textId="77777777" w:rsidTr="008A0897">
        <w:trPr>
          <w:trHeight w:val="320"/>
        </w:trPr>
        <w:tc>
          <w:tcPr>
            <w:tcW w:w="3195" w:type="dxa"/>
            <w:tcBorders>
              <w:left w:val="nil"/>
              <w:right w:val="nil"/>
            </w:tcBorders>
            <w:shd w:val="clear" w:color="auto" w:fill="auto"/>
            <w:noWrap/>
            <w:vAlign w:val="bottom"/>
            <w:hideMark/>
          </w:tcPr>
          <w:p w14:paraId="00899AEA" w14:textId="77777777" w:rsidR="00E94DE1" w:rsidRPr="00A076CB" w:rsidRDefault="00E94DE1" w:rsidP="002E0188">
            <w:pPr>
              <w:keepNext/>
              <w:spacing w:before="0" w:after="0"/>
              <w:rPr>
                <w:rFonts w:ascii="Calibri" w:eastAsia="Times New Roman" w:hAnsi="Calibri" w:cs="Calibri"/>
                <w:b/>
                <w:bCs/>
                <w:color w:val="000000"/>
                <w:sz w:val="20"/>
                <w:szCs w:val="20"/>
                <w:lang w:eastAsia="en-GB"/>
              </w:rPr>
            </w:pPr>
            <w:r w:rsidRPr="00A076CB">
              <w:rPr>
                <w:rFonts w:ascii="Calibri" w:eastAsia="Times New Roman" w:hAnsi="Calibri" w:cs="Calibri"/>
                <w:b/>
                <w:bCs/>
                <w:color w:val="000000"/>
                <w:sz w:val="20"/>
                <w:szCs w:val="20"/>
                <w:lang w:eastAsia="en-GB"/>
              </w:rPr>
              <w:t>Housing and home</w:t>
            </w:r>
          </w:p>
        </w:tc>
        <w:tc>
          <w:tcPr>
            <w:tcW w:w="1300" w:type="dxa"/>
            <w:tcBorders>
              <w:left w:val="nil"/>
              <w:right w:val="nil"/>
            </w:tcBorders>
            <w:shd w:val="clear" w:color="auto" w:fill="auto"/>
            <w:noWrap/>
            <w:vAlign w:val="bottom"/>
            <w:hideMark/>
          </w:tcPr>
          <w:p w14:paraId="3A08C2FF" w14:textId="77777777" w:rsidR="00E94DE1" w:rsidRPr="00A076CB" w:rsidRDefault="00E94DE1" w:rsidP="002E0188">
            <w:pPr>
              <w:keepNext/>
              <w:spacing w:before="0" w:after="0"/>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Capital</w:t>
            </w:r>
          </w:p>
        </w:tc>
        <w:tc>
          <w:tcPr>
            <w:tcW w:w="1300" w:type="dxa"/>
            <w:tcBorders>
              <w:left w:val="nil"/>
              <w:right w:val="nil"/>
            </w:tcBorders>
            <w:shd w:val="clear" w:color="auto" w:fill="auto"/>
            <w:noWrap/>
            <w:vAlign w:val="bottom"/>
            <w:hideMark/>
          </w:tcPr>
          <w:p w14:paraId="7D2D8F1E" w14:textId="1AACD336" w:rsidR="00E94DE1" w:rsidRPr="00A076CB" w:rsidRDefault="00E94DE1" w:rsidP="002E0188">
            <w:pPr>
              <w:keepNext/>
              <w:spacing w:before="0" w:after="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6</w:t>
            </w:r>
            <w:r w:rsidR="008A0897"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210</w:t>
            </w:r>
          </w:p>
        </w:tc>
        <w:tc>
          <w:tcPr>
            <w:tcW w:w="1300" w:type="dxa"/>
            <w:tcBorders>
              <w:left w:val="nil"/>
              <w:right w:val="nil"/>
            </w:tcBorders>
            <w:shd w:val="clear" w:color="auto" w:fill="auto"/>
            <w:noWrap/>
            <w:vAlign w:val="bottom"/>
            <w:hideMark/>
          </w:tcPr>
          <w:p w14:paraId="57D87F70" w14:textId="2C53CD89" w:rsidR="00E94DE1" w:rsidRPr="00A076CB" w:rsidRDefault="00E94DE1" w:rsidP="002E0188">
            <w:pPr>
              <w:keepNext/>
              <w:spacing w:before="0" w:after="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9</w:t>
            </w:r>
            <w:r w:rsidR="008A0897"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776</w:t>
            </w:r>
          </w:p>
        </w:tc>
        <w:tc>
          <w:tcPr>
            <w:tcW w:w="1300" w:type="dxa"/>
            <w:tcBorders>
              <w:left w:val="nil"/>
              <w:right w:val="nil"/>
            </w:tcBorders>
            <w:shd w:val="clear" w:color="auto" w:fill="auto"/>
            <w:noWrap/>
            <w:vAlign w:val="bottom"/>
            <w:hideMark/>
          </w:tcPr>
          <w:p w14:paraId="279DCA2D" w14:textId="7CE66019" w:rsidR="00E94DE1" w:rsidRPr="00A076CB" w:rsidRDefault="00E94DE1" w:rsidP="002E0188">
            <w:pPr>
              <w:keepNext/>
              <w:spacing w:before="0" w:after="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21</w:t>
            </w:r>
            <w:r w:rsidR="006576AA"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680</w:t>
            </w:r>
          </w:p>
        </w:tc>
        <w:tc>
          <w:tcPr>
            <w:tcW w:w="1300" w:type="dxa"/>
            <w:tcBorders>
              <w:left w:val="nil"/>
              <w:right w:val="nil"/>
            </w:tcBorders>
            <w:shd w:val="clear" w:color="auto" w:fill="auto"/>
            <w:noWrap/>
            <w:vAlign w:val="bottom"/>
            <w:hideMark/>
          </w:tcPr>
          <w:p w14:paraId="6B61D5B2" w14:textId="77684957" w:rsidR="00E94DE1" w:rsidRPr="00A076CB" w:rsidRDefault="00E94DE1" w:rsidP="002E0188">
            <w:pPr>
              <w:keepNext/>
              <w:spacing w:before="0" w:after="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21</w:t>
            </w:r>
            <w:r w:rsidR="006576AA"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414</w:t>
            </w:r>
          </w:p>
        </w:tc>
      </w:tr>
      <w:tr w:rsidR="00E94DE1" w:rsidRPr="00A076CB" w14:paraId="0ECD353A" w14:textId="77777777" w:rsidTr="00A076CB">
        <w:trPr>
          <w:trHeight w:val="227"/>
        </w:trPr>
        <w:tc>
          <w:tcPr>
            <w:tcW w:w="3195" w:type="dxa"/>
            <w:tcBorders>
              <w:top w:val="nil"/>
              <w:left w:val="nil"/>
              <w:right w:val="nil"/>
            </w:tcBorders>
            <w:shd w:val="clear" w:color="auto" w:fill="auto"/>
            <w:noWrap/>
            <w:vAlign w:val="bottom"/>
            <w:hideMark/>
          </w:tcPr>
          <w:p w14:paraId="4D53FBE2" w14:textId="77777777" w:rsidR="00E94DE1" w:rsidRPr="00A076CB" w:rsidRDefault="00E94DE1" w:rsidP="002E0188">
            <w:pPr>
              <w:keepNext/>
              <w:spacing w:before="0" w:after="0"/>
              <w:jc w:val="right"/>
              <w:rPr>
                <w:rFonts w:ascii="Calibri" w:eastAsia="Times New Roman" w:hAnsi="Calibri" w:cs="Calibri"/>
                <w:color w:val="000000"/>
                <w:sz w:val="20"/>
                <w:szCs w:val="20"/>
                <w:lang w:eastAsia="en-GB"/>
              </w:rPr>
            </w:pPr>
          </w:p>
        </w:tc>
        <w:tc>
          <w:tcPr>
            <w:tcW w:w="1300" w:type="dxa"/>
            <w:tcBorders>
              <w:top w:val="nil"/>
              <w:left w:val="nil"/>
              <w:right w:val="nil"/>
            </w:tcBorders>
            <w:shd w:val="clear" w:color="auto" w:fill="auto"/>
            <w:noWrap/>
            <w:vAlign w:val="bottom"/>
            <w:hideMark/>
          </w:tcPr>
          <w:p w14:paraId="29F2EBAA" w14:textId="77777777" w:rsidR="00E94DE1" w:rsidRPr="00A076CB" w:rsidRDefault="00E94DE1" w:rsidP="002E0188">
            <w:pPr>
              <w:keepNext/>
              <w:spacing w:before="0" w:after="0"/>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Expense</w:t>
            </w:r>
          </w:p>
        </w:tc>
        <w:tc>
          <w:tcPr>
            <w:tcW w:w="1300" w:type="dxa"/>
            <w:tcBorders>
              <w:top w:val="nil"/>
              <w:left w:val="nil"/>
              <w:right w:val="nil"/>
            </w:tcBorders>
            <w:shd w:val="clear" w:color="auto" w:fill="auto"/>
            <w:noWrap/>
            <w:vAlign w:val="bottom"/>
            <w:hideMark/>
          </w:tcPr>
          <w:p w14:paraId="67479513" w14:textId="732F832C" w:rsidR="00E94DE1" w:rsidRPr="00A076CB" w:rsidRDefault="00E94DE1" w:rsidP="002E0188">
            <w:pPr>
              <w:keepNext/>
              <w:spacing w:before="0" w:after="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9</w:t>
            </w:r>
            <w:r w:rsidR="008A0897"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463</w:t>
            </w:r>
          </w:p>
        </w:tc>
        <w:tc>
          <w:tcPr>
            <w:tcW w:w="1300" w:type="dxa"/>
            <w:tcBorders>
              <w:top w:val="nil"/>
              <w:left w:val="nil"/>
              <w:right w:val="nil"/>
            </w:tcBorders>
            <w:shd w:val="clear" w:color="auto" w:fill="auto"/>
            <w:noWrap/>
            <w:vAlign w:val="bottom"/>
            <w:hideMark/>
          </w:tcPr>
          <w:p w14:paraId="402EDC35" w14:textId="2600D704" w:rsidR="00E94DE1" w:rsidRPr="00A076CB" w:rsidRDefault="00E94DE1" w:rsidP="002E0188">
            <w:pPr>
              <w:keepNext/>
              <w:spacing w:before="0" w:after="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9</w:t>
            </w:r>
            <w:r w:rsidR="008A0897"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991</w:t>
            </w:r>
          </w:p>
        </w:tc>
        <w:tc>
          <w:tcPr>
            <w:tcW w:w="1300" w:type="dxa"/>
            <w:tcBorders>
              <w:top w:val="nil"/>
              <w:left w:val="nil"/>
              <w:right w:val="nil"/>
            </w:tcBorders>
            <w:shd w:val="clear" w:color="auto" w:fill="auto"/>
            <w:noWrap/>
            <w:vAlign w:val="bottom"/>
            <w:hideMark/>
          </w:tcPr>
          <w:p w14:paraId="60C2C314" w14:textId="2D019C70" w:rsidR="00E94DE1" w:rsidRPr="00A076CB" w:rsidRDefault="00E94DE1" w:rsidP="002E0188">
            <w:pPr>
              <w:keepNext/>
              <w:spacing w:before="0" w:after="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3</w:t>
            </w:r>
            <w:r w:rsidR="006576AA"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899</w:t>
            </w:r>
          </w:p>
        </w:tc>
        <w:tc>
          <w:tcPr>
            <w:tcW w:w="1300" w:type="dxa"/>
            <w:tcBorders>
              <w:top w:val="nil"/>
              <w:left w:val="nil"/>
              <w:right w:val="nil"/>
            </w:tcBorders>
            <w:shd w:val="clear" w:color="auto" w:fill="auto"/>
            <w:noWrap/>
            <w:vAlign w:val="bottom"/>
            <w:hideMark/>
          </w:tcPr>
          <w:p w14:paraId="2AC2D0B3" w14:textId="03127D94" w:rsidR="00E94DE1" w:rsidRPr="00A076CB" w:rsidRDefault="00E94DE1" w:rsidP="002E0188">
            <w:pPr>
              <w:keepNext/>
              <w:spacing w:before="0" w:after="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4</w:t>
            </w:r>
            <w:r w:rsidR="006576AA"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265</w:t>
            </w:r>
          </w:p>
        </w:tc>
      </w:tr>
      <w:tr w:rsidR="00E94DE1" w:rsidRPr="00A076CB" w14:paraId="01F0AC78" w14:textId="77777777" w:rsidTr="008A0897">
        <w:trPr>
          <w:trHeight w:val="320"/>
        </w:trPr>
        <w:tc>
          <w:tcPr>
            <w:tcW w:w="3195" w:type="dxa"/>
            <w:tcBorders>
              <w:top w:val="nil"/>
              <w:left w:val="nil"/>
              <w:right w:val="nil"/>
            </w:tcBorders>
            <w:shd w:val="clear" w:color="auto" w:fill="auto"/>
            <w:noWrap/>
            <w:vAlign w:val="bottom"/>
            <w:hideMark/>
          </w:tcPr>
          <w:p w14:paraId="717FAF82" w14:textId="77777777" w:rsidR="00E94DE1" w:rsidRPr="00A076CB" w:rsidRDefault="00E94DE1" w:rsidP="002E0188">
            <w:pPr>
              <w:spacing w:before="0" w:after="160"/>
              <w:rPr>
                <w:rFonts w:ascii="Calibri" w:eastAsia="Times New Roman" w:hAnsi="Calibri" w:cs="Calibri"/>
                <w:b/>
                <w:bCs/>
                <w:color w:val="000000"/>
                <w:sz w:val="20"/>
                <w:szCs w:val="20"/>
                <w:lang w:eastAsia="en-GB"/>
              </w:rPr>
            </w:pPr>
            <w:r w:rsidRPr="00A076CB">
              <w:rPr>
                <w:rFonts w:ascii="Calibri" w:eastAsia="Times New Roman" w:hAnsi="Calibri" w:cs="Calibri"/>
                <w:b/>
                <w:bCs/>
                <w:color w:val="000000"/>
                <w:sz w:val="20"/>
                <w:szCs w:val="20"/>
                <w:lang w:eastAsia="en-GB"/>
              </w:rPr>
              <w:t> </w:t>
            </w:r>
          </w:p>
        </w:tc>
        <w:tc>
          <w:tcPr>
            <w:tcW w:w="1300" w:type="dxa"/>
            <w:tcBorders>
              <w:top w:val="nil"/>
              <w:left w:val="nil"/>
              <w:right w:val="nil"/>
            </w:tcBorders>
            <w:shd w:val="clear" w:color="auto" w:fill="auto"/>
            <w:noWrap/>
            <w:vAlign w:val="bottom"/>
            <w:hideMark/>
          </w:tcPr>
          <w:p w14:paraId="4A7D0C55" w14:textId="77777777" w:rsidR="00E94DE1" w:rsidRPr="00A076CB" w:rsidRDefault="00E94DE1" w:rsidP="002E0188">
            <w:pPr>
              <w:spacing w:before="0" w:after="160"/>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Revenue</w:t>
            </w:r>
          </w:p>
        </w:tc>
        <w:tc>
          <w:tcPr>
            <w:tcW w:w="1300" w:type="dxa"/>
            <w:tcBorders>
              <w:top w:val="nil"/>
              <w:left w:val="nil"/>
              <w:right w:val="nil"/>
            </w:tcBorders>
            <w:shd w:val="clear" w:color="auto" w:fill="auto"/>
            <w:noWrap/>
            <w:vAlign w:val="bottom"/>
            <w:hideMark/>
          </w:tcPr>
          <w:p w14:paraId="3A4EE754" w14:textId="00C836E9" w:rsidR="00E94DE1" w:rsidRPr="00A076CB" w:rsidRDefault="00E94DE1" w:rsidP="002E0188">
            <w:pPr>
              <w:spacing w:before="0" w:after="16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-10</w:t>
            </w:r>
            <w:r w:rsidR="008A0897"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785</w:t>
            </w:r>
          </w:p>
        </w:tc>
        <w:tc>
          <w:tcPr>
            <w:tcW w:w="1300" w:type="dxa"/>
            <w:tcBorders>
              <w:top w:val="nil"/>
              <w:left w:val="nil"/>
              <w:right w:val="nil"/>
            </w:tcBorders>
            <w:shd w:val="clear" w:color="auto" w:fill="auto"/>
            <w:noWrap/>
            <w:vAlign w:val="bottom"/>
            <w:hideMark/>
          </w:tcPr>
          <w:p w14:paraId="000D622D" w14:textId="09456A8E" w:rsidR="00E94DE1" w:rsidRPr="00A076CB" w:rsidRDefault="00E94DE1" w:rsidP="002E0188">
            <w:pPr>
              <w:spacing w:before="0" w:after="16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-8</w:t>
            </w:r>
            <w:r w:rsidR="008A0897"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306</w:t>
            </w:r>
          </w:p>
        </w:tc>
        <w:tc>
          <w:tcPr>
            <w:tcW w:w="1300" w:type="dxa"/>
            <w:tcBorders>
              <w:top w:val="nil"/>
              <w:left w:val="nil"/>
              <w:right w:val="nil"/>
            </w:tcBorders>
            <w:shd w:val="clear" w:color="auto" w:fill="auto"/>
            <w:noWrap/>
            <w:vAlign w:val="bottom"/>
            <w:hideMark/>
          </w:tcPr>
          <w:p w14:paraId="1C7C17F7" w14:textId="31DB4A2F" w:rsidR="00E94DE1" w:rsidRPr="00A076CB" w:rsidRDefault="00E94DE1" w:rsidP="002E0188">
            <w:pPr>
              <w:spacing w:before="0" w:after="16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-7</w:t>
            </w:r>
            <w:r w:rsidR="006576AA"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815</w:t>
            </w:r>
          </w:p>
        </w:tc>
        <w:tc>
          <w:tcPr>
            <w:tcW w:w="1300" w:type="dxa"/>
            <w:tcBorders>
              <w:top w:val="nil"/>
              <w:left w:val="nil"/>
              <w:right w:val="nil"/>
            </w:tcBorders>
            <w:shd w:val="clear" w:color="auto" w:fill="auto"/>
            <w:noWrap/>
            <w:vAlign w:val="bottom"/>
            <w:hideMark/>
          </w:tcPr>
          <w:p w14:paraId="5FB01A60" w14:textId="77B55889" w:rsidR="00E94DE1" w:rsidRPr="00A076CB" w:rsidRDefault="00E94DE1" w:rsidP="002E0188">
            <w:pPr>
              <w:spacing w:before="0" w:after="16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-27</w:t>
            </w:r>
            <w:r w:rsidR="006576AA"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441</w:t>
            </w:r>
          </w:p>
        </w:tc>
      </w:tr>
      <w:tr w:rsidR="00E94DE1" w:rsidRPr="00A076CB" w14:paraId="09BA6D27" w14:textId="77777777" w:rsidTr="008A0897">
        <w:trPr>
          <w:trHeight w:val="320"/>
        </w:trPr>
        <w:tc>
          <w:tcPr>
            <w:tcW w:w="3195" w:type="dxa"/>
            <w:tcBorders>
              <w:left w:val="nil"/>
              <w:bottom w:val="nil"/>
              <w:right w:val="nil"/>
            </w:tcBorders>
            <w:shd w:val="clear" w:color="auto" w:fill="auto"/>
            <w:noWrap/>
            <w:vAlign w:val="bottom"/>
            <w:hideMark/>
          </w:tcPr>
          <w:p w14:paraId="09153809" w14:textId="77777777" w:rsidR="00E94DE1" w:rsidRPr="00A076CB" w:rsidRDefault="00E94DE1" w:rsidP="002E0188">
            <w:pPr>
              <w:keepNext/>
              <w:spacing w:before="0" w:after="0"/>
              <w:rPr>
                <w:rFonts w:ascii="Calibri" w:eastAsia="Times New Roman" w:hAnsi="Calibri" w:cs="Calibri"/>
                <w:b/>
                <w:bCs/>
                <w:color w:val="000000"/>
                <w:sz w:val="20"/>
                <w:szCs w:val="20"/>
                <w:lang w:eastAsia="en-GB"/>
              </w:rPr>
            </w:pPr>
            <w:r w:rsidRPr="00A076CB">
              <w:rPr>
                <w:rFonts w:ascii="Calibri" w:eastAsia="Times New Roman" w:hAnsi="Calibri" w:cs="Calibri"/>
                <w:b/>
                <w:bCs/>
                <w:color w:val="000000"/>
                <w:sz w:val="20"/>
                <w:szCs w:val="20"/>
                <w:lang w:eastAsia="en-GB"/>
              </w:rPr>
              <w:t>Identity and belonging</w:t>
            </w:r>
          </w:p>
        </w:tc>
        <w:tc>
          <w:tcPr>
            <w:tcW w:w="1300" w:type="dxa"/>
            <w:tcBorders>
              <w:left w:val="nil"/>
              <w:bottom w:val="nil"/>
              <w:right w:val="nil"/>
            </w:tcBorders>
            <w:shd w:val="clear" w:color="auto" w:fill="auto"/>
            <w:noWrap/>
            <w:vAlign w:val="bottom"/>
            <w:hideMark/>
          </w:tcPr>
          <w:p w14:paraId="0E136CD8" w14:textId="77777777" w:rsidR="00E94DE1" w:rsidRPr="00A076CB" w:rsidRDefault="00E94DE1" w:rsidP="002E0188">
            <w:pPr>
              <w:keepNext/>
              <w:spacing w:before="0" w:after="0"/>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Capital</w:t>
            </w:r>
          </w:p>
        </w:tc>
        <w:tc>
          <w:tcPr>
            <w:tcW w:w="1300" w:type="dxa"/>
            <w:tcBorders>
              <w:left w:val="nil"/>
              <w:bottom w:val="nil"/>
              <w:right w:val="nil"/>
            </w:tcBorders>
            <w:shd w:val="clear" w:color="auto" w:fill="auto"/>
            <w:noWrap/>
            <w:vAlign w:val="bottom"/>
            <w:hideMark/>
          </w:tcPr>
          <w:p w14:paraId="1A434E16" w14:textId="77777777" w:rsidR="00E94DE1" w:rsidRPr="00A076CB" w:rsidRDefault="00E94DE1" w:rsidP="002E0188">
            <w:pPr>
              <w:keepNext/>
              <w:spacing w:before="0" w:after="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560</w:t>
            </w:r>
          </w:p>
        </w:tc>
        <w:tc>
          <w:tcPr>
            <w:tcW w:w="1300" w:type="dxa"/>
            <w:tcBorders>
              <w:left w:val="nil"/>
              <w:bottom w:val="nil"/>
              <w:right w:val="nil"/>
            </w:tcBorders>
            <w:shd w:val="clear" w:color="auto" w:fill="auto"/>
            <w:noWrap/>
            <w:vAlign w:val="bottom"/>
            <w:hideMark/>
          </w:tcPr>
          <w:p w14:paraId="2317725B" w14:textId="77777777" w:rsidR="00E94DE1" w:rsidRPr="00A076CB" w:rsidRDefault="00E94DE1" w:rsidP="002E0188">
            <w:pPr>
              <w:keepNext/>
              <w:spacing w:before="0" w:after="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513</w:t>
            </w:r>
          </w:p>
        </w:tc>
        <w:tc>
          <w:tcPr>
            <w:tcW w:w="1300" w:type="dxa"/>
            <w:tcBorders>
              <w:left w:val="nil"/>
              <w:bottom w:val="nil"/>
              <w:right w:val="nil"/>
            </w:tcBorders>
            <w:shd w:val="clear" w:color="auto" w:fill="auto"/>
            <w:noWrap/>
            <w:vAlign w:val="bottom"/>
            <w:hideMark/>
          </w:tcPr>
          <w:p w14:paraId="558ACC69" w14:textId="77777777" w:rsidR="00E94DE1" w:rsidRPr="00A076CB" w:rsidRDefault="00E94DE1" w:rsidP="002E0188">
            <w:pPr>
              <w:keepNext/>
              <w:spacing w:before="0" w:after="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0</w:t>
            </w:r>
          </w:p>
        </w:tc>
        <w:tc>
          <w:tcPr>
            <w:tcW w:w="1300" w:type="dxa"/>
            <w:tcBorders>
              <w:left w:val="nil"/>
              <w:bottom w:val="nil"/>
              <w:right w:val="nil"/>
            </w:tcBorders>
            <w:shd w:val="clear" w:color="auto" w:fill="auto"/>
            <w:noWrap/>
            <w:vAlign w:val="bottom"/>
            <w:hideMark/>
          </w:tcPr>
          <w:p w14:paraId="48D0B4F1" w14:textId="77777777" w:rsidR="00E94DE1" w:rsidRPr="00A076CB" w:rsidRDefault="00E94DE1" w:rsidP="002E0188">
            <w:pPr>
              <w:keepNext/>
              <w:spacing w:before="0" w:after="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0</w:t>
            </w:r>
          </w:p>
        </w:tc>
      </w:tr>
      <w:tr w:rsidR="00E94DE1" w:rsidRPr="00A076CB" w14:paraId="5BF09F62" w14:textId="77777777" w:rsidTr="00A076CB">
        <w:trPr>
          <w:trHeight w:val="227"/>
        </w:trPr>
        <w:tc>
          <w:tcPr>
            <w:tcW w:w="3195" w:type="dxa"/>
            <w:tcBorders>
              <w:top w:val="nil"/>
              <w:left w:val="nil"/>
              <w:right w:val="nil"/>
            </w:tcBorders>
            <w:shd w:val="clear" w:color="auto" w:fill="auto"/>
            <w:noWrap/>
            <w:vAlign w:val="bottom"/>
            <w:hideMark/>
          </w:tcPr>
          <w:p w14:paraId="4FFA1E59" w14:textId="77777777" w:rsidR="00E94DE1" w:rsidRPr="00A076CB" w:rsidRDefault="00E94DE1" w:rsidP="002E0188">
            <w:pPr>
              <w:keepNext/>
              <w:spacing w:before="0" w:after="0"/>
              <w:jc w:val="right"/>
              <w:rPr>
                <w:rFonts w:ascii="Calibri" w:eastAsia="Times New Roman" w:hAnsi="Calibri" w:cs="Calibri"/>
                <w:color w:val="000000"/>
                <w:sz w:val="20"/>
                <w:szCs w:val="20"/>
                <w:lang w:eastAsia="en-GB"/>
              </w:rPr>
            </w:pPr>
          </w:p>
        </w:tc>
        <w:tc>
          <w:tcPr>
            <w:tcW w:w="1300" w:type="dxa"/>
            <w:tcBorders>
              <w:top w:val="nil"/>
              <w:left w:val="nil"/>
              <w:right w:val="nil"/>
            </w:tcBorders>
            <w:shd w:val="clear" w:color="auto" w:fill="auto"/>
            <w:noWrap/>
            <w:vAlign w:val="bottom"/>
            <w:hideMark/>
          </w:tcPr>
          <w:p w14:paraId="496B2A7A" w14:textId="77777777" w:rsidR="00E94DE1" w:rsidRPr="00A076CB" w:rsidRDefault="00E94DE1" w:rsidP="002E0188">
            <w:pPr>
              <w:keepNext/>
              <w:spacing w:before="0" w:after="0"/>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Expense</w:t>
            </w:r>
          </w:p>
        </w:tc>
        <w:tc>
          <w:tcPr>
            <w:tcW w:w="1300" w:type="dxa"/>
            <w:tcBorders>
              <w:top w:val="nil"/>
              <w:left w:val="nil"/>
              <w:right w:val="nil"/>
            </w:tcBorders>
            <w:shd w:val="clear" w:color="auto" w:fill="auto"/>
            <w:noWrap/>
            <w:vAlign w:val="bottom"/>
            <w:hideMark/>
          </w:tcPr>
          <w:p w14:paraId="2F49649C" w14:textId="1BEF28F1" w:rsidR="00E94DE1" w:rsidRPr="00A076CB" w:rsidRDefault="00E94DE1" w:rsidP="002E0188">
            <w:pPr>
              <w:keepNext/>
              <w:spacing w:before="0" w:after="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1</w:t>
            </w:r>
            <w:r w:rsidR="008A0897"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074</w:t>
            </w:r>
          </w:p>
        </w:tc>
        <w:tc>
          <w:tcPr>
            <w:tcW w:w="1300" w:type="dxa"/>
            <w:tcBorders>
              <w:top w:val="nil"/>
              <w:left w:val="nil"/>
              <w:right w:val="nil"/>
            </w:tcBorders>
            <w:shd w:val="clear" w:color="auto" w:fill="auto"/>
            <w:noWrap/>
            <w:vAlign w:val="bottom"/>
            <w:hideMark/>
          </w:tcPr>
          <w:p w14:paraId="2DA589CB" w14:textId="4715829B" w:rsidR="00E94DE1" w:rsidRPr="00A076CB" w:rsidRDefault="00E94DE1" w:rsidP="002E0188">
            <w:pPr>
              <w:keepNext/>
              <w:spacing w:before="0" w:after="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1</w:t>
            </w:r>
            <w:r w:rsidR="008A0897"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243</w:t>
            </w:r>
          </w:p>
        </w:tc>
        <w:tc>
          <w:tcPr>
            <w:tcW w:w="1300" w:type="dxa"/>
            <w:tcBorders>
              <w:top w:val="nil"/>
              <w:left w:val="nil"/>
              <w:right w:val="nil"/>
            </w:tcBorders>
            <w:shd w:val="clear" w:color="auto" w:fill="auto"/>
            <w:noWrap/>
            <w:vAlign w:val="bottom"/>
            <w:hideMark/>
          </w:tcPr>
          <w:p w14:paraId="42A3F169" w14:textId="44B9AA37" w:rsidR="00E94DE1" w:rsidRPr="00A076CB" w:rsidRDefault="00E94DE1" w:rsidP="002E0188">
            <w:pPr>
              <w:keepNext/>
              <w:spacing w:before="0" w:after="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1</w:t>
            </w:r>
            <w:r w:rsidR="006576AA"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258</w:t>
            </w:r>
          </w:p>
        </w:tc>
        <w:tc>
          <w:tcPr>
            <w:tcW w:w="1300" w:type="dxa"/>
            <w:tcBorders>
              <w:top w:val="nil"/>
              <w:left w:val="nil"/>
              <w:right w:val="nil"/>
            </w:tcBorders>
            <w:shd w:val="clear" w:color="auto" w:fill="auto"/>
            <w:noWrap/>
            <w:vAlign w:val="bottom"/>
            <w:hideMark/>
          </w:tcPr>
          <w:p w14:paraId="2671199F" w14:textId="77684F41" w:rsidR="00E94DE1" w:rsidRPr="00A076CB" w:rsidRDefault="00E94DE1" w:rsidP="002E0188">
            <w:pPr>
              <w:keepNext/>
              <w:spacing w:before="0" w:after="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1</w:t>
            </w:r>
            <w:r w:rsidR="006576AA"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133</w:t>
            </w:r>
          </w:p>
        </w:tc>
      </w:tr>
      <w:tr w:rsidR="00E94DE1" w:rsidRPr="00A076CB" w14:paraId="176A0C7D" w14:textId="77777777" w:rsidTr="008A0897">
        <w:trPr>
          <w:trHeight w:val="320"/>
        </w:trPr>
        <w:tc>
          <w:tcPr>
            <w:tcW w:w="3195" w:type="dxa"/>
            <w:tcBorders>
              <w:top w:val="nil"/>
              <w:left w:val="nil"/>
              <w:right w:val="nil"/>
            </w:tcBorders>
            <w:shd w:val="clear" w:color="auto" w:fill="auto"/>
            <w:noWrap/>
            <w:vAlign w:val="bottom"/>
            <w:hideMark/>
          </w:tcPr>
          <w:p w14:paraId="391F5C67" w14:textId="77777777" w:rsidR="00E94DE1" w:rsidRPr="00A076CB" w:rsidRDefault="00E94DE1" w:rsidP="002E0188">
            <w:pPr>
              <w:spacing w:before="0" w:after="160"/>
              <w:rPr>
                <w:rFonts w:ascii="Calibri" w:eastAsia="Times New Roman" w:hAnsi="Calibri" w:cs="Calibri"/>
                <w:b/>
                <w:bCs/>
                <w:color w:val="000000"/>
                <w:sz w:val="20"/>
                <w:szCs w:val="20"/>
                <w:lang w:eastAsia="en-GB"/>
              </w:rPr>
            </w:pPr>
            <w:r w:rsidRPr="00A076CB">
              <w:rPr>
                <w:rFonts w:ascii="Calibri" w:eastAsia="Times New Roman" w:hAnsi="Calibri" w:cs="Calibri"/>
                <w:b/>
                <w:bCs/>
                <w:color w:val="000000"/>
                <w:sz w:val="20"/>
                <w:szCs w:val="20"/>
                <w:lang w:eastAsia="en-GB"/>
              </w:rPr>
              <w:t> </w:t>
            </w:r>
          </w:p>
        </w:tc>
        <w:tc>
          <w:tcPr>
            <w:tcW w:w="1300" w:type="dxa"/>
            <w:tcBorders>
              <w:top w:val="nil"/>
              <w:left w:val="nil"/>
              <w:right w:val="nil"/>
            </w:tcBorders>
            <w:shd w:val="clear" w:color="auto" w:fill="auto"/>
            <w:noWrap/>
            <w:vAlign w:val="bottom"/>
            <w:hideMark/>
          </w:tcPr>
          <w:p w14:paraId="0328A12E" w14:textId="77777777" w:rsidR="00E94DE1" w:rsidRPr="00A076CB" w:rsidRDefault="00E94DE1" w:rsidP="002E0188">
            <w:pPr>
              <w:spacing w:before="0" w:after="160"/>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Revenue</w:t>
            </w:r>
          </w:p>
        </w:tc>
        <w:tc>
          <w:tcPr>
            <w:tcW w:w="1300" w:type="dxa"/>
            <w:tcBorders>
              <w:top w:val="nil"/>
              <w:left w:val="nil"/>
              <w:right w:val="nil"/>
            </w:tcBorders>
            <w:shd w:val="clear" w:color="auto" w:fill="auto"/>
            <w:noWrap/>
            <w:vAlign w:val="bottom"/>
            <w:hideMark/>
          </w:tcPr>
          <w:p w14:paraId="48BC194F" w14:textId="77777777" w:rsidR="00E94DE1" w:rsidRPr="00A076CB" w:rsidRDefault="00E94DE1" w:rsidP="002E0188">
            <w:pPr>
              <w:spacing w:before="0" w:after="16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250</w:t>
            </w:r>
          </w:p>
        </w:tc>
        <w:tc>
          <w:tcPr>
            <w:tcW w:w="1300" w:type="dxa"/>
            <w:tcBorders>
              <w:top w:val="nil"/>
              <w:left w:val="nil"/>
              <w:right w:val="nil"/>
            </w:tcBorders>
            <w:shd w:val="clear" w:color="auto" w:fill="auto"/>
            <w:noWrap/>
            <w:vAlign w:val="bottom"/>
            <w:hideMark/>
          </w:tcPr>
          <w:p w14:paraId="7323BCFF" w14:textId="77777777" w:rsidR="00E94DE1" w:rsidRPr="00A076CB" w:rsidRDefault="00E94DE1" w:rsidP="002E0188">
            <w:pPr>
              <w:spacing w:before="0" w:after="16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256</w:t>
            </w:r>
          </w:p>
        </w:tc>
        <w:tc>
          <w:tcPr>
            <w:tcW w:w="1300" w:type="dxa"/>
            <w:tcBorders>
              <w:top w:val="nil"/>
              <w:left w:val="nil"/>
              <w:right w:val="nil"/>
            </w:tcBorders>
            <w:shd w:val="clear" w:color="auto" w:fill="auto"/>
            <w:noWrap/>
            <w:vAlign w:val="bottom"/>
            <w:hideMark/>
          </w:tcPr>
          <w:p w14:paraId="3D16768D" w14:textId="77777777" w:rsidR="00E94DE1" w:rsidRPr="00A076CB" w:rsidRDefault="00E94DE1" w:rsidP="002E0188">
            <w:pPr>
              <w:spacing w:before="0" w:after="16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0</w:t>
            </w:r>
          </w:p>
        </w:tc>
        <w:tc>
          <w:tcPr>
            <w:tcW w:w="1300" w:type="dxa"/>
            <w:tcBorders>
              <w:top w:val="nil"/>
              <w:left w:val="nil"/>
              <w:right w:val="nil"/>
            </w:tcBorders>
            <w:shd w:val="clear" w:color="auto" w:fill="auto"/>
            <w:noWrap/>
            <w:vAlign w:val="bottom"/>
            <w:hideMark/>
          </w:tcPr>
          <w:p w14:paraId="21CED910" w14:textId="77777777" w:rsidR="00E94DE1" w:rsidRPr="00A076CB" w:rsidRDefault="00E94DE1" w:rsidP="002E0188">
            <w:pPr>
              <w:spacing w:before="0" w:after="16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0</w:t>
            </w:r>
          </w:p>
        </w:tc>
      </w:tr>
      <w:tr w:rsidR="00E94DE1" w:rsidRPr="00A076CB" w14:paraId="1ED6C77D" w14:textId="77777777" w:rsidTr="008A0897">
        <w:trPr>
          <w:trHeight w:val="320"/>
        </w:trPr>
        <w:tc>
          <w:tcPr>
            <w:tcW w:w="3195" w:type="dxa"/>
            <w:tcBorders>
              <w:left w:val="nil"/>
              <w:right w:val="nil"/>
            </w:tcBorders>
            <w:shd w:val="clear" w:color="auto" w:fill="auto"/>
            <w:noWrap/>
            <w:vAlign w:val="bottom"/>
            <w:hideMark/>
          </w:tcPr>
          <w:p w14:paraId="5A6DCA6F" w14:textId="77777777" w:rsidR="00E94DE1" w:rsidRPr="00A076CB" w:rsidRDefault="00E94DE1" w:rsidP="002E0188">
            <w:pPr>
              <w:spacing w:before="0" w:after="0"/>
              <w:rPr>
                <w:rFonts w:ascii="Calibri" w:eastAsia="Times New Roman" w:hAnsi="Calibri" w:cs="Calibri"/>
                <w:b/>
                <w:bCs/>
                <w:color w:val="000000"/>
                <w:sz w:val="20"/>
                <w:szCs w:val="20"/>
                <w:lang w:eastAsia="en-GB"/>
              </w:rPr>
            </w:pPr>
            <w:r w:rsidRPr="00A076CB">
              <w:rPr>
                <w:rFonts w:ascii="Calibri" w:eastAsia="Times New Roman" w:hAnsi="Calibri" w:cs="Calibri"/>
                <w:b/>
                <w:bCs/>
                <w:color w:val="000000"/>
                <w:sz w:val="20"/>
                <w:szCs w:val="20"/>
                <w:lang w:eastAsia="en-GB"/>
              </w:rPr>
              <w:t>Living standards</w:t>
            </w:r>
          </w:p>
        </w:tc>
        <w:tc>
          <w:tcPr>
            <w:tcW w:w="1300" w:type="dxa"/>
            <w:tcBorders>
              <w:left w:val="nil"/>
              <w:right w:val="nil"/>
            </w:tcBorders>
            <w:shd w:val="clear" w:color="auto" w:fill="auto"/>
            <w:noWrap/>
            <w:vAlign w:val="bottom"/>
            <w:hideMark/>
          </w:tcPr>
          <w:p w14:paraId="40FBF8EA" w14:textId="77777777" w:rsidR="00E94DE1" w:rsidRPr="00A076CB" w:rsidRDefault="00E94DE1" w:rsidP="002E0188">
            <w:pPr>
              <w:spacing w:before="0" w:after="0"/>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Expense</w:t>
            </w:r>
          </w:p>
        </w:tc>
        <w:tc>
          <w:tcPr>
            <w:tcW w:w="1300" w:type="dxa"/>
            <w:tcBorders>
              <w:left w:val="nil"/>
              <w:right w:val="nil"/>
            </w:tcBorders>
            <w:shd w:val="clear" w:color="auto" w:fill="auto"/>
            <w:noWrap/>
            <w:vAlign w:val="bottom"/>
            <w:hideMark/>
          </w:tcPr>
          <w:p w14:paraId="1D88F4C3" w14:textId="4102640B" w:rsidR="00E94DE1" w:rsidRPr="00A076CB" w:rsidRDefault="00E94DE1" w:rsidP="002E0188">
            <w:pPr>
              <w:spacing w:before="0" w:after="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57</w:t>
            </w:r>
            <w:r w:rsidR="008A0897"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468</w:t>
            </w:r>
          </w:p>
        </w:tc>
        <w:tc>
          <w:tcPr>
            <w:tcW w:w="1300" w:type="dxa"/>
            <w:tcBorders>
              <w:left w:val="nil"/>
              <w:right w:val="nil"/>
            </w:tcBorders>
            <w:shd w:val="clear" w:color="auto" w:fill="auto"/>
            <w:noWrap/>
            <w:vAlign w:val="bottom"/>
            <w:hideMark/>
          </w:tcPr>
          <w:p w14:paraId="2A22A8D2" w14:textId="1F4056EB" w:rsidR="00E94DE1" w:rsidRPr="00A076CB" w:rsidRDefault="00E94DE1" w:rsidP="002E0188">
            <w:pPr>
              <w:spacing w:before="0" w:after="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20</w:t>
            </w:r>
            <w:r w:rsidR="008A0897"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152</w:t>
            </w:r>
          </w:p>
        </w:tc>
        <w:tc>
          <w:tcPr>
            <w:tcW w:w="1300" w:type="dxa"/>
            <w:tcBorders>
              <w:left w:val="nil"/>
              <w:right w:val="nil"/>
            </w:tcBorders>
            <w:shd w:val="clear" w:color="auto" w:fill="auto"/>
            <w:noWrap/>
            <w:vAlign w:val="bottom"/>
            <w:hideMark/>
          </w:tcPr>
          <w:p w14:paraId="0EB33AD0" w14:textId="21C3E237" w:rsidR="00E94DE1" w:rsidRPr="00A076CB" w:rsidRDefault="00E94DE1" w:rsidP="002E0188">
            <w:pPr>
              <w:spacing w:before="0" w:after="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4</w:t>
            </w:r>
            <w:r w:rsidR="006576AA"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205</w:t>
            </w:r>
          </w:p>
        </w:tc>
        <w:tc>
          <w:tcPr>
            <w:tcW w:w="1300" w:type="dxa"/>
            <w:tcBorders>
              <w:left w:val="nil"/>
              <w:right w:val="nil"/>
            </w:tcBorders>
            <w:shd w:val="clear" w:color="auto" w:fill="auto"/>
            <w:noWrap/>
            <w:vAlign w:val="bottom"/>
            <w:hideMark/>
          </w:tcPr>
          <w:p w14:paraId="0CE3EBB9" w14:textId="6D6283D4" w:rsidR="00E94DE1" w:rsidRPr="00A076CB" w:rsidRDefault="00E94DE1" w:rsidP="002E0188">
            <w:pPr>
              <w:spacing w:before="0" w:after="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4</w:t>
            </w:r>
            <w:r w:rsidR="006576AA"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414</w:t>
            </w:r>
          </w:p>
        </w:tc>
      </w:tr>
      <w:tr w:rsidR="00E94DE1" w:rsidRPr="00A076CB" w14:paraId="1D81CFD0" w14:textId="77777777" w:rsidTr="008A0897">
        <w:trPr>
          <w:trHeight w:val="320"/>
        </w:trPr>
        <w:tc>
          <w:tcPr>
            <w:tcW w:w="3195" w:type="dxa"/>
            <w:tcBorders>
              <w:top w:val="nil"/>
              <w:left w:val="nil"/>
              <w:right w:val="nil"/>
            </w:tcBorders>
            <w:shd w:val="clear" w:color="auto" w:fill="auto"/>
            <w:noWrap/>
            <w:vAlign w:val="bottom"/>
            <w:hideMark/>
          </w:tcPr>
          <w:p w14:paraId="30AFD17D" w14:textId="77777777" w:rsidR="00E94DE1" w:rsidRPr="00A076CB" w:rsidRDefault="00E94DE1" w:rsidP="002E0188">
            <w:pPr>
              <w:spacing w:before="0" w:after="160"/>
              <w:rPr>
                <w:rFonts w:ascii="Calibri" w:eastAsia="Times New Roman" w:hAnsi="Calibri" w:cs="Calibri"/>
                <w:b/>
                <w:bCs/>
                <w:color w:val="000000"/>
                <w:sz w:val="20"/>
                <w:szCs w:val="20"/>
                <w:lang w:eastAsia="en-GB"/>
              </w:rPr>
            </w:pPr>
            <w:r w:rsidRPr="00A076CB">
              <w:rPr>
                <w:rFonts w:ascii="Calibri" w:eastAsia="Times New Roman" w:hAnsi="Calibri" w:cs="Calibri"/>
                <w:b/>
                <w:bCs/>
                <w:color w:val="000000"/>
                <w:sz w:val="20"/>
                <w:szCs w:val="20"/>
                <w:lang w:eastAsia="en-GB"/>
              </w:rPr>
              <w:t> </w:t>
            </w:r>
          </w:p>
        </w:tc>
        <w:tc>
          <w:tcPr>
            <w:tcW w:w="1300" w:type="dxa"/>
            <w:tcBorders>
              <w:top w:val="nil"/>
              <w:left w:val="nil"/>
              <w:right w:val="nil"/>
            </w:tcBorders>
            <w:shd w:val="clear" w:color="auto" w:fill="auto"/>
            <w:noWrap/>
            <w:vAlign w:val="bottom"/>
            <w:hideMark/>
          </w:tcPr>
          <w:p w14:paraId="64048266" w14:textId="77777777" w:rsidR="00E94DE1" w:rsidRPr="00A076CB" w:rsidRDefault="00E94DE1" w:rsidP="002E0188">
            <w:pPr>
              <w:spacing w:before="0" w:after="160"/>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Revenue</w:t>
            </w:r>
          </w:p>
        </w:tc>
        <w:tc>
          <w:tcPr>
            <w:tcW w:w="1300" w:type="dxa"/>
            <w:tcBorders>
              <w:top w:val="nil"/>
              <w:left w:val="nil"/>
              <w:right w:val="nil"/>
            </w:tcBorders>
            <w:shd w:val="clear" w:color="auto" w:fill="auto"/>
            <w:noWrap/>
            <w:vAlign w:val="bottom"/>
            <w:hideMark/>
          </w:tcPr>
          <w:p w14:paraId="1C0B62AA" w14:textId="13C4CBB5" w:rsidR="00E94DE1" w:rsidRPr="00A076CB" w:rsidRDefault="00E94DE1" w:rsidP="002E0188">
            <w:pPr>
              <w:spacing w:before="0" w:after="16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47</w:t>
            </w:r>
            <w:r w:rsidR="008A0897"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766</w:t>
            </w:r>
          </w:p>
        </w:tc>
        <w:tc>
          <w:tcPr>
            <w:tcW w:w="1300" w:type="dxa"/>
            <w:tcBorders>
              <w:top w:val="nil"/>
              <w:left w:val="nil"/>
              <w:right w:val="nil"/>
            </w:tcBorders>
            <w:shd w:val="clear" w:color="auto" w:fill="auto"/>
            <w:noWrap/>
            <w:vAlign w:val="bottom"/>
            <w:hideMark/>
          </w:tcPr>
          <w:p w14:paraId="7BD4E4E7" w14:textId="02532A59" w:rsidR="00E94DE1" w:rsidRPr="00A076CB" w:rsidRDefault="00E94DE1" w:rsidP="002E0188">
            <w:pPr>
              <w:spacing w:before="0" w:after="16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15</w:t>
            </w:r>
            <w:r w:rsidR="008A0897"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961</w:t>
            </w:r>
          </w:p>
        </w:tc>
        <w:tc>
          <w:tcPr>
            <w:tcW w:w="1300" w:type="dxa"/>
            <w:tcBorders>
              <w:top w:val="nil"/>
              <w:left w:val="nil"/>
              <w:right w:val="nil"/>
            </w:tcBorders>
            <w:shd w:val="clear" w:color="auto" w:fill="auto"/>
            <w:noWrap/>
            <w:vAlign w:val="bottom"/>
            <w:hideMark/>
          </w:tcPr>
          <w:p w14:paraId="315E6742" w14:textId="77777777" w:rsidR="00E94DE1" w:rsidRPr="00A076CB" w:rsidRDefault="00E94DE1" w:rsidP="002E0188">
            <w:pPr>
              <w:spacing w:before="0" w:after="16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0</w:t>
            </w:r>
          </w:p>
        </w:tc>
        <w:tc>
          <w:tcPr>
            <w:tcW w:w="1300" w:type="dxa"/>
            <w:tcBorders>
              <w:top w:val="nil"/>
              <w:left w:val="nil"/>
              <w:right w:val="nil"/>
            </w:tcBorders>
            <w:shd w:val="clear" w:color="auto" w:fill="auto"/>
            <w:noWrap/>
            <w:vAlign w:val="bottom"/>
            <w:hideMark/>
          </w:tcPr>
          <w:p w14:paraId="0DAC13D7" w14:textId="77777777" w:rsidR="00E94DE1" w:rsidRPr="00A076CB" w:rsidRDefault="00E94DE1" w:rsidP="002E0188">
            <w:pPr>
              <w:spacing w:before="0" w:after="16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0</w:t>
            </w:r>
          </w:p>
        </w:tc>
      </w:tr>
      <w:tr w:rsidR="00E94DE1" w:rsidRPr="00A076CB" w14:paraId="271AC0AE" w14:textId="77777777" w:rsidTr="008A0897">
        <w:trPr>
          <w:trHeight w:val="320"/>
        </w:trPr>
        <w:tc>
          <w:tcPr>
            <w:tcW w:w="3195" w:type="dxa"/>
            <w:tcBorders>
              <w:left w:val="nil"/>
              <w:bottom w:val="nil"/>
              <w:right w:val="nil"/>
            </w:tcBorders>
            <w:shd w:val="clear" w:color="auto" w:fill="auto"/>
            <w:noWrap/>
            <w:vAlign w:val="bottom"/>
            <w:hideMark/>
          </w:tcPr>
          <w:p w14:paraId="180E1497" w14:textId="77777777" w:rsidR="00E94DE1" w:rsidRPr="00A076CB" w:rsidRDefault="00E94DE1" w:rsidP="002E0188">
            <w:pPr>
              <w:spacing w:before="0" w:after="0"/>
              <w:rPr>
                <w:rFonts w:ascii="Calibri" w:eastAsia="Times New Roman" w:hAnsi="Calibri" w:cs="Calibri"/>
                <w:b/>
                <w:bCs/>
                <w:color w:val="000000"/>
                <w:sz w:val="20"/>
                <w:szCs w:val="20"/>
                <w:lang w:eastAsia="en-GB"/>
              </w:rPr>
            </w:pPr>
            <w:r w:rsidRPr="00A076CB">
              <w:rPr>
                <w:rFonts w:ascii="Calibri" w:eastAsia="Times New Roman" w:hAnsi="Calibri" w:cs="Calibri"/>
                <w:b/>
                <w:bCs/>
                <w:color w:val="000000"/>
                <w:sz w:val="20"/>
                <w:szCs w:val="20"/>
                <w:lang w:eastAsia="en-GB"/>
              </w:rPr>
              <w:t>Safety</w:t>
            </w:r>
          </w:p>
        </w:tc>
        <w:tc>
          <w:tcPr>
            <w:tcW w:w="1300" w:type="dxa"/>
            <w:tcBorders>
              <w:left w:val="nil"/>
              <w:bottom w:val="nil"/>
              <w:right w:val="nil"/>
            </w:tcBorders>
            <w:shd w:val="clear" w:color="auto" w:fill="auto"/>
            <w:noWrap/>
            <w:vAlign w:val="bottom"/>
            <w:hideMark/>
          </w:tcPr>
          <w:p w14:paraId="6F3896E8" w14:textId="77777777" w:rsidR="00E94DE1" w:rsidRPr="00A076CB" w:rsidRDefault="00E94DE1" w:rsidP="002E0188">
            <w:pPr>
              <w:spacing w:before="0" w:after="0"/>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Capital</w:t>
            </w:r>
          </w:p>
        </w:tc>
        <w:tc>
          <w:tcPr>
            <w:tcW w:w="1300" w:type="dxa"/>
            <w:tcBorders>
              <w:left w:val="nil"/>
              <w:bottom w:val="nil"/>
              <w:right w:val="nil"/>
            </w:tcBorders>
            <w:shd w:val="clear" w:color="auto" w:fill="auto"/>
            <w:noWrap/>
            <w:vAlign w:val="bottom"/>
            <w:hideMark/>
          </w:tcPr>
          <w:p w14:paraId="69022901" w14:textId="7FC7A87B" w:rsidR="00E94DE1" w:rsidRPr="00A076CB" w:rsidRDefault="00E94DE1" w:rsidP="002E0188">
            <w:pPr>
              <w:spacing w:before="0" w:after="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26</w:t>
            </w:r>
            <w:r w:rsidR="008A0897"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871</w:t>
            </w:r>
          </w:p>
        </w:tc>
        <w:tc>
          <w:tcPr>
            <w:tcW w:w="1300" w:type="dxa"/>
            <w:tcBorders>
              <w:left w:val="nil"/>
              <w:bottom w:val="nil"/>
              <w:right w:val="nil"/>
            </w:tcBorders>
            <w:shd w:val="clear" w:color="auto" w:fill="auto"/>
            <w:noWrap/>
            <w:vAlign w:val="bottom"/>
            <w:hideMark/>
          </w:tcPr>
          <w:p w14:paraId="12EC0CC4" w14:textId="4B8C5BEB" w:rsidR="00E94DE1" w:rsidRPr="00A076CB" w:rsidRDefault="00E94DE1" w:rsidP="002E0188">
            <w:pPr>
              <w:spacing w:before="0" w:after="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23</w:t>
            </w:r>
            <w:r w:rsidR="008A0897"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204</w:t>
            </w:r>
          </w:p>
        </w:tc>
        <w:tc>
          <w:tcPr>
            <w:tcW w:w="1300" w:type="dxa"/>
            <w:tcBorders>
              <w:left w:val="nil"/>
              <w:bottom w:val="nil"/>
              <w:right w:val="nil"/>
            </w:tcBorders>
            <w:shd w:val="clear" w:color="auto" w:fill="auto"/>
            <w:noWrap/>
            <w:vAlign w:val="bottom"/>
            <w:hideMark/>
          </w:tcPr>
          <w:p w14:paraId="04B28948" w14:textId="77777777" w:rsidR="00E94DE1" w:rsidRPr="00A076CB" w:rsidRDefault="00E94DE1" w:rsidP="002E0188">
            <w:pPr>
              <w:spacing w:before="0" w:after="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0</w:t>
            </w:r>
          </w:p>
        </w:tc>
        <w:tc>
          <w:tcPr>
            <w:tcW w:w="1300" w:type="dxa"/>
            <w:tcBorders>
              <w:left w:val="nil"/>
              <w:bottom w:val="nil"/>
              <w:right w:val="nil"/>
            </w:tcBorders>
            <w:shd w:val="clear" w:color="auto" w:fill="auto"/>
            <w:noWrap/>
            <w:vAlign w:val="bottom"/>
            <w:hideMark/>
          </w:tcPr>
          <w:p w14:paraId="50494CF9" w14:textId="77777777" w:rsidR="00E94DE1" w:rsidRPr="00A076CB" w:rsidRDefault="00E94DE1" w:rsidP="002E0188">
            <w:pPr>
              <w:spacing w:before="0" w:after="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0</w:t>
            </w:r>
          </w:p>
        </w:tc>
      </w:tr>
      <w:tr w:rsidR="00E94DE1" w:rsidRPr="00A076CB" w14:paraId="2A088C9D" w14:textId="77777777" w:rsidTr="00A076CB">
        <w:trPr>
          <w:trHeight w:val="227"/>
        </w:trPr>
        <w:tc>
          <w:tcPr>
            <w:tcW w:w="3195" w:type="dxa"/>
            <w:tcBorders>
              <w:top w:val="nil"/>
              <w:left w:val="nil"/>
              <w:right w:val="nil"/>
            </w:tcBorders>
            <w:shd w:val="clear" w:color="auto" w:fill="auto"/>
            <w:noWrap/>
            <w:vAlign w:val="bottom"/>
            <w:hideMark/>
          </w:tcPr>
          <w:p w14:paraId="485E8CFB" w14:textId="77777777" w:rsidR="00E94DE1" w:rsidRPr="00A076CB" w:rsidRDefault="00E94DE1" w:rsidP="002E0188">
            <w:pPr>
              <w:spacing w:before="0" w:after="0"/>
              <w:jc w:val="right"/>
              <w:rPr>
                <w:rFonts w:ascii="Calibri" w:eastAsia="Times New Roman" w:hAnsi="Calibri" w:cs="Calibri"/>
                <w:color w:val="000000"/>
                <w:sz w:val="20"/>
                <w:szCs w:val="20"/>
                <w:lang w:eastAsia="en-GB"/>
              </w:rPr>
            </w:pPr>
          </w:p>
        </w:tc>
        <w:tc>
          <w:tcPr>
            <w:tcW w:w="1300" w:type="dxa"/>
            <w:tcBorders>
              <w:top w:val="nil"/>
              <w:left w:val="nil"/>
              <w:right w:val="nil"/>
            </w:tcBorders>
            <w:shd w:val="clear" w:color="auto" w:fill="auto"/>
            <w:noWrap/>
            <w:vAlign w:val="bottom"/>
            <w:hideMark/>
          </w:tcPr>
          <w:p w14:paraId="6E5354BE" w14:textId="77777777" w:rsidR="00E94DE1" w:rsidRPr="00A076CB" w:rsidRDefault="00E94DE1" w:rsidP="002E0188">
            <w:pPr>
              <w:spacing w:before="0" w:after="0"/>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Expense</w:t>
            </w:r>
          </w:p>
        </w:tc>
        <w:tc>
          <w:tcPr>
            <w:tcW w:w="1300" w:type="dxa"/>
            <w:tcBorders>
              <w:top w:val="nil"/>
              <w:left w:val="nil"/>
              <w:right w:val="nil"/>
            </w:tcBorders>
            <w:shd w:val="clear" w:color="auto" w:fill="auto"/>
            <w:noWrap/>
            <w:vAlign w:val="bottom"/>
            <w:hideMark/>
          </w:tcPr>
          <w:p w14:paraId="0DE6FBE1" w14:textId="29976CB3" w:rsidR="00E94DE1" w:rsidRPr="00A076CB" w:rsidRDefault="00E94DE1" w:rsidP="002E0188">
            <w:pPr>
              <w:spacing w:before="0" w:after="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19</w:t>
            </w:r>
            <w:r w:rsidR="008A0897"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391</w:t>
            </w:r>
          </w:p>
        </w:tc>
        <w:tc>
          <w:tcPr>
            <w:tcW w:w="1300" w:type="dxa"/>
            <w:tcBorders>
              <w:top w:val="nil"/>
              <w:left w:val="nil"/>
              <w:right w:val="nil"/>
            </w:tcBorders>
            <w:shd w:val="clear" w:color="auto" w:fill="auto"/>
            <w:noWrap/>
            <w:vAlign w:val="bottom"/>
            <w:hideMark/>
          </w:tcPr>
          <w:p w14:paraId="7159AE24" w14:textId="62AF1A11" w:rsidR="00E94DE1" w:rsidRPr="00A076CB" w:rsidRDefault="00E94DE1" w:rsidP="002E0188">
            <w:pPr>
              <w:spacing w:before="0" w:after="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11</w:t>
            </w:r>
            <w:r w:rsidR="008A0897"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301</w:t>
            </w:r>
          </w:p>
        </w:tc>
        <w:tc>
          <w:tcPr>
            <w:tcW w:w="1300" w:type="dxa"/>
            <w:tcBorders>
              <w:top w:val="nil"/>
              <w:left w:val="nil"/>
              <w:right w:val="nil"/>
            </w:tcBorders>
            <w:shd w:val="clear" w:color="auto" w:fill="auto"/>
            <w:noWrap/>
            <w:vAlign w:val="bottom"/>
            <w:hideMark/>
          </w:tcPr>
          <w:p w14:paraId="187A9F41" w14:textId="72CA1079" w:rsidR="00E94DE1" w:rsidRPr="00A076CB" w:rsidRDefault="00E94DE1" w:rsidP="002E0188">
            <w:pPr>
              <w:spacing w:before="0" w:after="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6</w:t>
            </w:r>
            <w:r w:rsidR="006576AA"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939</w:t>
            </w:r>
          </w:p>
        </w:tc>
        <w:tc>
          <w:tcPr>
            <w:tcW w:w="1300" w:type="dxa"/>
            <w:tcBorders>
              <w:top w:val="nil"/>
              <w:left w:val="nil"/>
              <w:right w:val="nil"/>
            </w:tcBorders>
            <w:shd w:val="clear" w:color="auto" w:fill="auto"/>
            <w:noWrap/>
            <w:vAlign w:val="bottom"/>
            <w:hideMark/>
          </w:tcPr>
          <w:p w14:paraId="333C43FA" w14:textId="377DBA58" w:rsidR="00E94DE1" w:rsidRPr="00A076CB" w:rsidRDefault="00E94DE1" w:rsidP="002E0188">
            <w:pPr>
              <w:spacing w:before="0" w:after="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3</w:t>
            </w:r>
            <w:r w:rsidR="006576AA"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462</w:t>
            </w:r>
          </w:p>
        </w:tc>
      </w:tr>
      <w:tr w:rsidR="00E94DE1" w:rsidRPr="00A076CB" w14:paraId="04C83C08" w14:textId="77777777" w:rsidTr="008A0897">
        <w:trPr>
          <w:trHeight w:val="320"/>
        </w:trPr>
        <w:tc>
          <w:tcPr>
            <w:tcW w:w="3195" w:type="dxa"/>
            <w:tcBorders>
              <w:top w:val="nil"/>
              <w:left w:val="nil"/>
              <w:right w:val="nil"/>
            </w:tcBorders>
            <w:shd w:val="clear" w:color="auto" w:fill="auto"/>
            <w:noWrap/>
            <w:vAlign w:val="bottom"/>
            <w:hideMark/>
          </w:tcPr>
          <w:p w14:paraId="25071EC1" w14:textId="77777777" w:rsidR="00E94DE1" w:rsidRPr="00A076CB" w:rsidRDefault="00E94DE1" w:rsidP="002E0188">
            <w:pPr>
              <w:spacing w:before="0" w:after="160"/>
              <w:rPr>
                <w:rFonts w:ascii="Calibri" w:eastAsia="Times New Roman" w:hAnsi="Calibri" w:cs="Calibri"/>
                <w:b/>
                <w:bCs/>
                <w:color w:val="000000"/>
                <w:sz w:val="20"/>
                <w:szCs w:val="20"/>
                <w:lang w:eastAsia="en-GB"/>
              </w:rPr>
            </w:pPr>
            <w:r w:rsidRPr="00A076CB">
              <w:rPr>
                <w:rFonts w:ascii="Calibri" w:eastAsia="Times New Roman" w:hAnsi="Calibri" w:cs="Calibri"/>
                <w:b/>
                <w:bCs/>
                <w:color w:val="000000"/>
                <w:sz w:val="20"/>
                <w:szCs w:val="20"/>
                <w:lang w:eastAsia="en-GB"/>
              </w:rPr>
              <w:t> </w:t>
            </w:r>
          </w:p>
        </w:tc>
        <w:tc>
          <w:tcPr>
            <w:tcW w:w="1300" w:type="dxa"/>
            <w:tcBorders>
              <w:top w:val="nil"/>
              <w:left w:val="nil"/>
              <w:right w:val="nil"/>
            </w:tcBorders>
            <w:shd w:val="clear" w:color="auto" w:fill="auto"/>
            <w:noWrap/>
            <w:vAlign w:val="bottom"/>
            <w:hideMark/>
          </w:tcPr>
          <w:p w14:paraId="1D33A30A" w14:textId="77777777" w:rsidR="00E94DE1" w:rsidRPr="00A076CB" w:rsidRDefault="00E94DE1" w:rsidP="002E0188">
            <w:pPr>
              <w:spacing w:before="0" w:after="160"/>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Revenue</w:t>
            </w:r>
          </w:p>
        </w:tc>
        <w:tc>
          <w:tcPr>
            <w:tcW w:w="1300" w:type="dxa"/>
            <w:tcBorders>
              <w:top w:val="nil"/>
              <w:left w:val="nil"/>
              <w:right w:val="nil"/>
            </w:tcBorders>
            <w:shd w:val="clear" w:color="auto" w:fill="auto"/>
            <w:noWrap/>
            <w:vAlign w:val="bottom"/>
            <w:hideMark/>
          </w:tcPr>
          <w:p w14:paraId="610270B3" w14:textId="3131C5CD" w:rsidR="00E94DE1" w:rsidRPr="00A076CB" w:rsidRDefault="00E94DE1" w:rsidP="002E0188">
            <w:pPr>
              <w:spacing w:before="0" w:after="16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1</w:t>
            </w:r>
            <w:r w:rsidR="008A0897"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943</w:t>
            </w:r>
          </w:p>
        </w:tc>
        <w:tc>
          <w:tcPr>
            <w:tcW w:w="1300" w:type="dxa"/>
            <w:tcBorders>
              <w:top w:val="nil"/>
              <w:left w:val="nil"/>
              <w:right w:val="nil"/>
            </w:tcBorders>
            <w:shd w:val="clear" w:color="auto" w:fill="auto"/>
            <w:noWrap/>
            <w:vAlign w:val="bottom"/>
            <w:hideMark/>
          </w:tcPr>
          <w:p w14:paraId="35AA7A77" w14:textId="7287EAE5" w:rsidR="00E94DE1" w:rsidRPr="00A076CB" w:rsidRDefault="00E94DE1" w:rsidP="002E0188">
            <w:pPr>
              <w:spacing w:before="0" w:after="16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-6</w:t>
            </w:r>
            <w:r w:rsidR="008A0897"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486</w:t>
            </w:r>
          </w:p>
        </w:tc>
        <w:tc>
          <w:tcPr>
            <w:tcW w:w="1300" w:type="dxa"/>
            <w:tcBorders>
              <w:top w:val="nil"/>
              <w:left w:val="nil"/>
              <w:right w:val="nil"/>
            </w:tcBorders>
            <w:shd w:val="clear" w:color="auto" w:fill="auto"/>
            <w:noWrap/>
            <w:vAlign w:val="bottom"/>
            <w:hideMark/>
          </w:tcPr>
          <w:p w14:paraId="6828EF3C" w14:textId="4CE6F083" w:rsidR="00E94DE1" w:rsidRPr="00A076CB" w:rsidRDefault="00E94DE1" w:rsidP="002E0188">
            <w:pPr>
              <w:spacing w:before="0" w:after="16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10</w:t>
            </w:r>
            <w:r w:rsidR="006576AA"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165</w:t>
            </w:r>
          </w:p>
        </w:tc>
        <w:tc>
          <w:tcPr>
            <w:tcW w:w="1300" w:type="dxa"/>
            <w:tcBorders>
              <w:top w:val="nil"/>
              <w:left w:val="nil"/>
              <w:right w:val="nil"/>
            </w:tcBorders>
            <w:shd w:val="clear" w:color="auto" w:fill="auto"/>
            <w:noWrap/>
            <w:vAlign w:val="bottom"/>
            <w:hideMark/>
          </w:tcPr>
          <w:p w14:paraId="056EBFFF" w14:textId="52A5A37C" w:rsidR="00E94DE1" w:rsidRPr="00A076CB" w:rsidRDefault="00E94DE1" w:rsidP="002E0188">
            <w:pPr>
              <w:spacing w:before="0" w:after="16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14</w:t>
            </w:r>
            <w:r w:rsidR="006576AA"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762</w:t>
            </w:r>
          </w:p>
        </w:tc>
      </w:tr>
      <w:tr w:rsidR="00E94DE1" w:rsidRPr="00A076CB" w14:paraId="67B47151" w14:textId="77777777" w:rsidTr="006576AA">
        <w:trPr>
          <w:trHeight w:val="320"/>
        </w:trPr>
        <w:tc>
          <w:tcPr>
            <w:tcW w:w="3195" w:type="dxa"/>
            <w:tcBorders>
              <w:left w:val="nil"/>
              <w:right w:val="nil"/>
            </w:tcBorders>
            <w:shd w:val="clear" w:color="auto" w:fill="auto"/>
            <w:noWrap/>
            <w:vAlign w:val="bottom"/>
            <w:hideMark/>
          </w:tcPr>
          <w:p w14:paraId="10B3C0B2" w14:textId="77777777" w:rsidR="00E94DE1" w:rsidRPr="00A076CB" w:rsidRDefault="00E94DE1" w:rsidP="002E0188">
            <w:pPr>
              <w:spacing w:before="0" w:after="0"/>
              <w:rPr>
                <w:rFonts w:ascii="Calibri" w:eastAsia="Times New Roman" w:hAnsi="Calibri" w:cs="Calibri"/>
                <w:b/>
                <w:bCs/>
                <w:color w:val="000000"/>
                <w:sz w:val="20"/>
                <w:szCs w:val="20"/>
                <w:lang w:eastAsia="en-GB"/>
              </w:rPr>
            </w:pPr>
            <w:r w:rsidRPr="00A076CB">
              <w:rPr>
                <w:rFonts w:ascii="Calibri" w:eastAsia="Times New Roman" w:hAnsi="Calibri" w:cs="Calibri"/>
                <w:b/>
                <w:bCs/>
                <w:color w:val="000000"/>
                <w:sz w:val="20"/>
                <w:szCs w:val="20"/>
                <w:lang w:eastAsia="en-GB"/>
              </w:rPr>
              <w:t>Social connection</w:t>
            </w:r>
          </w:p>
        </w:tc>
        <w:tc>
          <w:tcPr>
            <w:tcW w:w="1300" w:type="dxa"/>
            <w:tcBorders>
              <w:left w:val="nil"/>
              <w:right w:val="nil"/>
            </w:tcBorders>
            <w:shd w:val="clear" w:color="auto" w:fill="auto"/>
            <w:noWrap/>
            <w:vAlign w:val="bottom"/>
            <w:hideMark/>
          </w:tcPr>
          <w:p w14:paraId="5AF43292" w14:textId="77777777" w:rsidR="00E94DE1" w:rsidRPr="00A076CB" w:rsidRDefault="00E94DE1" w:rsidP="002E0188">
            <w:pPr>
              <w:spacing w:before="0" w:after="0"/>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Capital</w:t>
            </w:r>
          </w:p>
        </w:tc>
        <w:tc>
          <w:tcPr>
            <w:tcW w:w="1300" w:type="dxa"/>
            <w:tcBorders>
              <w:left w:val="nil"/>
              <w:right w:val="nil"/>
            </w:tcBorders>
            <w:shd w:val="clear" w:color="auto" w:fill="auto"/>
            <w:noWrap/>
            <w:vAlign w:val="bottom"/>
            <w:hideMark/>
          </w:tcPr>
          <w:p w14:paraId="6544F6EF" w14:textId="5D7E1AD8" w:rsidR="00E94DE1" w:rsidRPr="00A076CB" w:rsidRDefault="00E94DE1" w:rsidP="002E0188">
            <w:pPr>
              <w:spacing w:before="0" w:after="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2</w:t>
            </w:r>
            <w:r w:rsidR="008A0897"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033</w:t>
            </w:r>
          </w:p>
        </w:tc>
        <w:tc>
          <w:tcPr>
            <w:tcW w:w="1300" w:type="dxa"/>
            <w:tcBorders>
              <w:left w:val="nil"/>
              <w:right w:val="nil"/>
            </w:tcBorders>
            <w:shd w:val="clear" w:color="auto" w:fill="auto"/>
            <w:noWrap/>
            <w:vAlign w:val="bottom"/>
            <w:hideMark/>
          </w:tcPr>
          <w:p w14:paraId="21C21E3F" w14:textId="634B4288" w:rsidR="00E94DE1" w:rsidRPr="00A076CB" w:rsidRDefault="00E94DE1" w:rsidP="002E0188">
            <w:pPr>
              <w:spacing w:before="0" w:after="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4</w:t>
            </w:r>
            <w:r w:rsidR="008A0897"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020</w:t>
            </w:r>
          </w:p>
        </w:tc>
        <w:tc>
          <w:tcPr>
            <w:tcW w:w="1300" w:type="dxa"/>
            <w:tcBorders>
              <w:left w:val="nil"/>
              <w:right w:val="nil"/>
            </w:tcBorders>
            <w:shd w:val="clear" w:color="auto" w:fill="auto"/>
            <w:noWrap/>
            <w:vAlign w:val="bottom"/>
            <w:hideMark/>
          </w:tcPr>
          <w:p w14:paraId="2F0F0E2F" w14:textId="77777777" w:rsidR="00E94DE1" w:rsidRPr="00A076CB" w:rsidRDefault="00E94DE1" w:rsidP="002E0188">
            <w:pPr>
              <w:spacing w:before="0" w:after="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0</w:t>
            </w:r>
          </w:p>
        </w:tc>
        <w:tc>
          <w:tcPr>
            <w:tcW w:w="1300" w:type="dxa"/>
            <w:tcBorders>
              <w:left w:val="nil"/>
              <w:right w:val="nil"/>
            </w:tcBorders>
            <w:shd w:val="clear" w:color="auto" w:fill="auto"/>
            <w:noWrap/>
            <w:vAlign w:val="bottom"/>
            <w:hideMark/>
          </w:tcPr>
          <w:p w14:paraId="6F9FFCDC" w14:textId="77777777" w:rsidR="00E94DE1" w:rsidRPr="00A076CB" w:rsidRDefault="00E94DE1" w:rsidP="002E0188">
            <w:pPr>
              <w:spacing w:before="0" w:after="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0</w:t>
            </w:r>
          </w:p>
        </w:tc>
      </w:tr>
      <w:tr w:rsidR="00E94DE1" w:rsidRPr="00A076CB" w14:paraId="282666B8" w14:textId="77777777" w:rsidTr="006576AA">
        <w:trPr>
          <w:trHeight w:val="320"/>
        </w:trPr>
        <w:tc>
          <w:tcPr>
            <w:tcW w:w="3195" w:type="dxa"/>
            <w:tcBorders>
              <w:top w:val="nil"/>
              <w:left w:val="nil"/>
              <w:bottom w:val="single" w:sz="18" w:space="0" w:color="auto"/>
              <w:right w:val="nil"/>
            </w:tcBorders>
            <w:shd w:val="clear" w:color="auto" w:fill="auto"/>
            <w:noWrap/>
            <w:vAlign w:val="bottom"/>
            <w:hideMark/>
          </w:tcPr>
          <w:p w14:paraId="106C11C3" w14:textId="77777777" w:rsidR="00E94DE1" w:rsidRPr="00A076CB" w:rsidRDefault="00E94DE1" w:rsidP="002E0188">
            <w:pPr>
              <w:spacing w:before="0"/>
              <w:jc w:val="right"/>
              <w:rPr>
                <w:rFonts w:ascii="Calibri" w:eastAsia="Times New Roman" w:hAnsi="Calibri" w:cs="Calibri"/>
                <w:color w:val="000000"/>
                <w:sz w:val="20"/>
                <w:szCs w:val="20"/>
                <w:lang w:eastAsia="en-GB"/>
              </w:rPr>
            </w:pPr>
          </w:p>
        </w:tc>
        <w:tc>
          <w:tcPr>
            <w:tcW w:w="1300" w:type="dxa"/>
            <w:tcBorders>
              <w:top w:val="nil"/>
              <w:left w:val="nil"/>
              <w:bottom w:val="single" w:sz="18" w:space="0" w:color="auto"/>
              <w:right w:val="nil"/>
            </w:tcBorders>
            <w:shd w:val="clear" w:color="auto" w:fill="auto"/>
            <w:noWrap/>
            <w:vAlign w:val="bottom"/>
            <w:hideMark/>
          </w:tcPr>
          <w:p w14:paraId="1CF21772" w14:textId="77777777" w:rsidR="00E94DE1" w:rsidRPr="00A076CB" w:rsidRDefault="00E94DE1" w:rsidP="002E0188">
            <w:pPr>
              <w:spacing w:before="0"/>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Expense</w:t>
            </w:r>
          </w:p>
        </w:tc>
        <w:tc>
          <w:tcPr>
            <w:tcW w:w="1300" w:type="dxa"/>
            <w:tcBorders>
              <w:top w:val="nil"/>
              <w:left w:val="nil"/>
              <w:bottom w:val="single" w:sz="18" w:space="0" w:color="auto"/>
              <w:right w:val="nil"/>
            </w:tcBorders>
            <w:shd w:val="clear" w:color="auto" w:fill="auto"/>
            <w:noWrap/>
            <w:vAlign w:val="bottom"/>
            <w:hideMark/>
          </w:tcPr>
          <w:p w14:paraId="0E7A2D56" w14:textId="49D8B459" w:rsidR="00E94DE1" w:rsidRPr="00A076CB" w:rsidRDefault="00E94DE1" w:rsidP="002E0188">
            <w:pPr>
              <w:spacing w:before="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1</w:t>
            </w:r>
            <w:r w:rsidR="008A0897"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730</w:t>
            </w:r>
          </w:p>
        </w:tc>
        <w:tc>
          <w:tcPr>
            <w:tcW w:w="1300" w:type="dxa"/>
            <w:tcBorders>
              <w:top w:val="nil"/>
              <w:left w:val="nil"/>
              <w:bottom w:val="single" w:sz="18" w:space="0" w:color="auto"/>
              <w:right w:val="nil"/>
            </w:tcBorders>
            <w:shd w:val="clear" w:color="auto" w:fill="auto"/>
            <w:noWrap/>
            <w:vAlign w:val="bottom"/>
            <w:hideMark/>
          </w:tcPr>
          <w:p w14:paraId="0029E336" w14:textId="5944589C" w:rsidR="00E94DE1" w:rsidRPr="00A076CB" w:rsidRDefault="00E94DE1" w:rsidP="002E0188">
            <w:pPr>
              <w:spacing w:before="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1</w:t>
            </w:r>
            <w:r w:rsidR="008A0897"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311</w:t>
            </w:r>
          </w:p>
        </w:tc>
        <w:tc>
          <w:tcPr>
            <w:tcW w:w="1300" w:type="dxa"/>
            <w:tcBorders>
              <w:top w:val="nil"/>
              <w:left w:val="nil"/>
              <w:bottom w:val="single" w:sz="18" w:space="0" w:color="auto"/>
              <w:right w:val="nil"/>
            </w:tcBorders>
            <w:shd w:val="clear" w:color="auto" w:fill="auto"/>
            <w:noWrap/>
            <w:vAlign w:val="bottom"/>
            <w:hideMark/>
          </w:tcPr>
          <w:p w14:paraId="61FE2D1C" w14:textId="77777777" w:rsidR="00E94DE1" w:rsidRPr="00A076CB" w:rsidRDefault="00E94DE1" w:rsidP="002E0188">
            <w:pPr>
              <w:spacing w:before="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993</w:t>
            </w:r>
          </w:p>
        </w:tc>
        <w:tc>
          <w:tcPr>
            <w:tcW w:w="1300" w:type="dxa"/>
            <w:tcBorders>
              <w:top w:val="nil"/>
              <w:left w:val="nil"/>
              <w:bottom w:val="single" w:sz="18" w:space="0" w:color="auto"/>
              <w:right w:val="nil"/>
            </w:tcBorders>
            <w:shd w:val="clear" w:color="auto" w:fill="auto"/>
            <w:noWrap/>
            <w:vAlign w:val="bottom"/>
            <w:hideMark/>
          </w:tcPr>
          <w:p w14:paraId="6F15889A" w14:textId="77777777" w:rsidR="00E94DE1" w:rsidRPr="00A076CB" w:rsidRDefault="00E94DE1" w:rsidP="002E0188">
            <w:pPr>
              <w:spacing w:before="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880</w:t>
            </w:r>
          </w:p>
        </w:tc>
      </w:tr>
    </w:tbl>
    <w:p w14:paraId="7166A7D9" w14:textId="7D95114D" w:rsidR="00E94DE1" w:rsidRPr="00AB5A93" w:rsidRDefault="00E94DE1" w:rsidP="00052543">
      <w:pPr>
        <w:spacing w:before="0"/>
        <w:rPr>
          <w:rFonts w:cstheme="minorHAnsi"/>
          <w:sz w:val="20"/>
          <w:szCs w:val="20"/>
        </w:rPr>
      </w:pPr>
      <w:r>
        <w:rPr>
          <w:rFonts w:cstheme="minorHAnsi"/>
          <w:sz w:val="20"/>
          <w:szCs w:val="20"/>
        </w:rPr>
        <w:t xml:space="preserve">Note:  </w:t>
      </w:r>
      <w:r w:rsidR="009603DD" w:rsidRPr="00557134">
        <w:rPr>
          <w:rFonts w:cstheme="minorHAnsi"/>
          <w:i/>
          <w:iCs/>
          <w:sz w:val="20"/>
          <w:szCs w:val="20"/>
        </w:rPr>
        <w:t xml:space="preserve">The primary domains are those attached to each measure in section 3.2 of the Budget Outlook. </w:t>
      </w:r>
      <w:r w:rsidR="009603DD">
        <w:rPr>
          <w:rFonts w:cstheme="minorHAnsi"/>
          <w:i/>
          <w:iCs/>
          <w:sz w:val="20"/>
          <w:szCs w:val="20"/>
        </w:rPr>
        <w:t xml:space="preserve">Totals </w:t>
      </w:r>
      <w:r>
        <w:rPr>
          <w:rFonts w:cstheme="minorHAnsi"/>
          <w:i/>
          <w:iCs/>
          <w:sz w:val="20"/>
          <w:szCs w:val="20"/>
        </w:rPr>
        <w:t xml:space="preserve">shown in this table are net figures after </w:t>
      </w:r>
      <w:r w:rsidR="002C6DBB">
        <w:rPr>
          <w:rFonts w:cstheme="minorHAnsi"/>
          <w:i/>
          <w:iCs/>
          <w:sz w:val="20"/>
          <w:szCs w:val="20"/>
        </w:rPr>
        <w:t>offset</w:t>
      </w:r>
      <w:r>
        <w:rPr>
          <w:rFonts w:cstheme="minorHAnsi"/>
          <w:i/>
          <w:iCs/>
          <w:sz w:val="20"/>
          <w:szCs w:val="20"/>
        </w:rPr>
        <w:t xml:space="preserve">s have been deducted.  </w:t>
      </w:r>
      <w:r w:rsidRPr="00213EDA">
        <w:rPr>
          <w:rFonts w:cstheme="minorHAnsi"/>
          <w:i/>
          <w:iCs/>
          <w:sz w:val="20"/>
          <w:szCs w:val="20"/>
        </w:rPr>
        <w:t xml:space="preserve">This table </w:t>
      </w:r>
      <w:r w:rsidR="0006433D">
        <w:rPr>
          <w:rFonts w:cstheme="minorHAnsi"/>
          <w:i/>
          <w:iCs/>
          <w:sz w:val="20"/>
          <w:szCs w:val="20"/>
        </w:rPr>
        <w:t xml:space="preserve">treats capital, expenses and revenue as separate categories, and </w:t>
      </w:r>
      <w:r>
        <w:rPr>
          <w:rFonts w:cstheme="minorHAnsi"/>
          <w:i/>
          <w:iCs/>
          <w:sz w:val="20"/>
          <w:szCs w:val="20"/>
        </w:rPr>
        <w:t xml:space="preserve">presents an increase in capital, expenses or revenue as a positive number, consistent with general budget conventions.  </w:t>
      </w:r>
      <w:r w:rsidR="0006433D">
        <w:rPr>
          <w:rFonts w:cstheme="minorHAnsi"/>
          <w:i/>
          <w:iCs/>
          <w:sz w:val="20"/>
          <w:szCs w:val="20"/>
        </w:rPr>
        <w:t xml:space="preserve">Section 3.2 </w:t>
      </w:r>
      <w:r>
        <w:rPr>
          <w:rFonts w:cstheme="minorHAnsi"/>
          <w:i/>
          <w:iCs/>
          <w:sz w:val="20"/>
          <w:szCs w:val="20"/>
        </w:rPr>
        <w:t xml:space="preserve">by contrast </w:t>
      </w:r>
      <w:r w:rsidR="0006433D">
        <w:rPr>
          <w:rFonts w:cstheme="minorHAnsi"/>
          <w:i/>
          <w:iCs/>
          <w:sz w:val="20"/>
          <w:szCs w:val="20"/>
        </w:rPr>
        <w:t xml:space="preserve">sometimes presents aggregates of capital and expenses and in the list of measures </w:t>
      </w:r>
      <w:r w:rsidR="009603DD">
        <w:rPr>
          <w:rFonts w:cstheme="minorHAnsi"/>
          <w:i/>
          <w:iCs/>
          <w:sz w:val="20"/>
          <w:szCs w:val="20"/>
        </w:rPr>
        <w:t xml:space="preserve">generally </w:t>
      </w:r>
      <w:r>
        <w:rPr>
          <w:rFonts w:cstheme="minorHAnsi"/>
          <w:i/>
          <w:iCs/>
          <w:sz w:val="20"/>
          <w:szCs w:val="20"/>
        </w:rPr>
        <w:t xml:space="preserve">nets revenue </w:t>
      </w:r>
      <w:r w:rsidR="00366ADB">
        <w:rPr>
          <w:rFonts w:cstheme="minorHAnsi"/>
          <w:i/>
          <w:iCs/>
          <w:sz w:val="20"/>
          <w:szCs w:val="20"/>
        </w:rPr>
        <w:t xml:space="preserve">or provisions </w:t>
      </w:r>
      <w:r>
        <w:rPr>
          <w:rFonts w:cstheme="minorHAnsi"/>
          <w:i/>
          <w:iCs/>
          <w:sz w:val="20"/>
          <w:szCs w:val="20"/>
        </w:rPr>
        <w:t xml:space="preserve">against expenses to produce a “net cost of services”.  Totals in this table may vary slightly from aggregate numbers in </w:t>
      </w:r>
      <w:r w:rsidR="0006433D">
        <w:rPr>
          <w:rFonts w:cstheme="minorHAnsi"/>
          <w:i/>
          <w:iCs/>
          <w:sz w:val="20"/>
          <w:szCs w:val="20"/>
        </w:rPr>
        <w:t xml:space="preserve">Section 3.2. </w:t>
      </w:r>
      <w:r w:rsidR="0043008E">
        <w:rPr>
          <w:rFonts w:cstheme="minorHAnsi"/>
          <w:i/>
          <w:iCs/>
          <w:sz w:val="20"/>
          <w:szCs w:val="20"/>
        </w:rPr>
        <w:br/>
      </w:r>
      <w:r>
        <w:rPr>
          <w:rFonts w:cstheme="minorHAnsi"/>
          <w:sz w:val="20"/>
          <w:szCs w:val="20"/>
        </w:rPr>
        <w:t>Source</w:t>
      </w:r>
      <w:r w:rsidRPr="00D151E8">
        <w:rPr>
          <w:rFonts w:cstheme="minorHAnsi"/>
          <w:sz w:val="20"/>
          <w:szCs w:val="20"/>
        </w:rPr>
        <w:t xml:space="preserve">: ACT </w:t>
      </w:r>
      <w:r w:rsidR="00E6261F">
        <w:rPr>
          <w:rFonts w:cstheme="minorHAnsi"/>
          <w:sz w:val="20"/>
          <w:szCs w:val="20"/>
        </w:rPr>
        <w:t xml:space="preserve">Budget </w:t>
      </w:r>
      <w:r w:rsidRPr="00D151E8">
        <w:rPr>
          <w:rFonts w:cstheme="minorHAnsi"/>
          <w:sz w:val="20"/>
          <w:szCs w:val="20"/>
        </w:rPr>
        <w:t>202</w:t>
      </w:r>
      <w:r>
        <w:rPr>
          <w:rFonts w:cstheme="minorHAnsi"/>
          <w:sz w:val="20"/>
          <w:szCs w:val="20"/>
        </w:rPr>
        <w:t>4</w:t>
      </w:r>
      <w:r w:rsidRPr="00D151E8">
        <w:rPr>
          <w:rFonts w:cstheme="minorHAnsi"/>
          <w:sz w:val="20"/>
          <w:szCs w:val="20"/>
        </w:rPr>
        <w:t xml:space="preserve">, pp. </w:t>
      </w:r>
      <w:r>
        <w:rPr>
          <w:rFonts w:cstheme="minorHAnsi"/>
          <w:sz w:val="20"/>
          <w:szCs w:val="20"/>
        </w:rPr>
        <w:t>9</w:t>
      </w:r>
      <w:r w:rsidRPr="00D151E8">
        <w:rPr>
          <w:rFonts w:cstheme="minorHAnsi"/>
          <w:sz w:val="20"/>
          <w:szCs w:val="20"/>
        </w:rPr>
        <w:t>1-1</w:t>
      </w:r>
      <w:r>
        <w:rPr>
          <w:rFonts w:cstheme="minorHAnsi"/>
          <w:sz w:val="20"/>
          <w:szCs w:val="20"/>
        </w:rPr>
        <w:t>78</w:t>
      </w:r>
      <w:r w:rsidR="00E6261F">
        <w:rPr>
          <w:rFonts w:cstheme="minorHAnsi"/>
          <w:sz w:val="20"/>
          <w:szCs w:val="20"/>
        </w:rPr>
        <w:t>.</w:t>
      </w:r>
    </w:p>
    <w:p w14:paraId="0A42283F" w14:textId="1DBB5CA8" w:rsidR="00E94DE1" w:rsidRDefault="00103F85" w:rsidP="00E94DE1">
      <w:r>
        <w:lastRenderedPageBreak/>
        <w:fldChar w:fldCharType="begin"/>
      </w:r>
      <w:r>
        <w:instrText xml:space="preserve"> REF _Ref170907991 \h </w:instrText>
      </w:r>
      <w:r>
        <w:fldChar w:fldCharType="separate"/>
      </w:r>
      <w:r w:rsidR="000B62ED">
        <w:t xml:space="preserve">Table </w:t>
      </w:r>
      <w:r w:rsidR="000B62ED">
        <w:rPr>
          <w:noProof/>
        </w:rPr>
        <w:t>7</w:t>
      </w:r>
      <w:r>
        <w:fldChar w:fldCharType="end"/>
      </w:r>
      <w:r w:rsidR="00E94DE1">
        <w:t xml:space="preserve"> shows significant investments in the Health, Housing, Living Standards and Connectivity domains</w:t>
      </w:r>
      <w:r w:rsidR="004211FA">
        <w:t xml:space="preserve">, which is consistent with the Government’s stated priorities.  However, new </w:t>
      </w:r>
      <w:r w:rsidR="00E6261F">
        <w:t xml:space="preserve">investments in Identity and belonging and Social connection are relatively modest, </w:t>
      </w:r>
      <w:r w:rsidR="004211FA">
        <w:t xml:space="preserve">even though </w:t>
      </w:r>
      <w:r w:rsidR="00E6261F">
        <w:t xml:space="preserve">these domains map fairly closely to some of the six priority areas for investment.  </w:t>
      </w:r>
      <w:r w:rsidR="00E94DE1">
        <w:t>The table also shows, for the second year running, a zero investment in the Time domain</w:t>
      </w:r>
      <w:r w:rsidR="00CF3AD6">
        <w:t xml:space="preserve">, though some measures attached to other domains, such as </w:t>
      </w:r>
      <w:r w:rsidR="00E25932">
        <w:t xml:space="preserve">investments in public transport, </w:t>
      </w:r>
      <w:r w:rsidR="00CF3AD6">
        <w:t xml:space="preserve">could be expected to </w:t>
      </w:r>
      <w:r w:rsidR="00E25932">
        <w:t>also c</w:t>
      </w:r>
      <w:r w:rsidR="00CF3AD6">
        <w:t>ontribute to this domain</w:t>
      </w:r>
      <w:r w:rsidR="00E94DE1">
        <w:t xml:space="preserve">.  </w:t>
      </w:r>
    </w:p>
    <w:p w14:paraId="270EA878" w14:textId="5058DAFA" w:rsidR="00E94DE1" w:rsidRDefault="00E94DE1" w:rsidP="00E94DE1">
      <w:r>
        <w:t xml:space="preserve">Major </w:t>
      </w:r>
      <w:r w:rsidR="00A33F39">
        <w:t xml:space="preserve">packages of </w:t>
      </w:r>
      <w:r>
        <w:t xml:space="preserve">initiatives include: </w:t>
      </w:r>
    </w:p>
    <w:p w14:paraId="7861C42E" w14:textId="740FD48C" w:rsidR="00E94DE1" w:rsidRDefault="00E94DE1" w:rsidP="00E94DE1">
      <w:pPr>
        <w:pStyle w:val="ListParagraph"/>
        <w:numPr>
          <w:ilvl w:val="0"/>
          <w:numId w:val="33"/>
        </w:numPr>
      </w:pPr>
      <w:r>
        <w:t>Investing in public health care ($24</w:t>
      </w:r>
      <w:r w:rsidR="004A11AF">
        <w:t xml:space="preserve">0.6 </w:t>
      </w:r>
      <w:r>
        <w:t>milli</w:t>
      </w:r>
      <w:r w:rsidRPr="00867AB5">
        <w:t>on</w:t>
      </w:r>
      <w:r w:rsidR="00867AB5" w:rsidRPr="00867AB5">
        <w:t xml:space="preserve"> </w:t>
      </w:r>
      <w:r w:rsidR="004A11AF">
        <w:t xml:space="preserve">expenses and $4.5 million capital </w:t>
      </w:r>
      <w:r w:rsidR="00867AB5" w:rsidRPr="00867AB5">
        <w:t>over four years</w:t>
      </w:r>
      <w:r w:rsidRPr="00867AB5">
        <w:t>)</w:t>
      </w:r>
    </w:p>
    <w:p w14:paraId="59B00894" w14:textId="29EAE8F4" w:rsidR="00E94DE1" w:rsidRDefault="00E94DE1" w:rsidP="00E94DE1">
      <w:pPr>
        <w:pStyle w:val="ListParagraph"/>
        <w:numPr>
          <w:ilvl w:val="0"/>
          <w:numId w:val="33"/>
        </w:numPr>
      </w:pPr>
      <w:r>
        <w:t>Improving Canberra’s health infrastructure ($129.8 million</w:t>
      </w:r>
      <w:r w:rsidR="00860105">
        <w:t>, mostly capital,</w:t>
      </w:r>
      <w:r w:rsidR="00867AB5">
        <w:t xml:space="preserve"> over four years</w:t>
      </w:r>
      <w:r>
        <w:t>)</w:t>
      </w:r>
    </w:p>
    <w:p w14:paraId="5145F6F2" w14:textId="42E719C9" w:rsidR="00E94DE1" w:rsidRDefault="00E94DE1" w:rsidP="00E94DE1">
      <w:pPr>
        <w:pStyle w:val="ListParagraph"/>
        <w:numPr>
          <w:ilvl w:val="0"/>
          <w:numId w:val="33"/>
        </w:numPr>
      </w:pPr>
      <w:r>
        <w:t>Boosting business and the economy ($</w:t>
      </w:r>
      <w:r w:rsidR="00860105">
        <w:t xml:space="preserve">14.0 million, $18.2 million capital and $19.9 million revenue </w:t>
      </w:r>
      <w:r w:rsidR="00867AB5">
        <w:t>over four years</w:t>
      </w:r>
      <w:r>
        <w:t>)</w:t>
      </w:r>
      <w:r w:rsidR="00A33F39">
        <w:t>.</w:t>
      </w:r>
    </w:p>
    <w:p w14:paraId="3BB7123E" w14:textId="1AD1FEEA" w:rsidR="00A33F39" w:rsidRDefault="00A33F39" w:rsidP="00A33F39">
      <w:r>
        <w:t>Other significant new measures include:</w:t>
      </w:r>
    </w:p>
    <w:p w14:paraId="041F924F" w14:textId="5820DB23" w:rsidR="00E94DE1" w:rsidRPr="00EA5AA1" w:rsidRDefault="00E94DE1" w:rsidP="00E94DE1">
      <w:pPr>
        <w:pStyle w:val="ListParagraph"/>
        <w:numPr>
          <w:ilvl w:val="0"/>
          <w:numId w:val="34"/>
        </w:numPr>
      </w:pPr>
      <w:r w:rsidRPr="00EA5AA1">
        <w:t>Energy Bill Relief - Extension and Expansion ($</w:t>
      </w:r>
      <w:r w:rsidR="00860105">
        <w:t xml:space="preserve">64.0 </w:t>
      </w:r>
      <w:r w:rsidRPr="00EA5AA1">
        <w:t xml:space="preserve">million, </w:t>
      </w:r>
      <w:r w:rsidR="00860105">
        <w:t xml:space="preserve">funded through </w:t>
      </w:r>
      <w:r w:rsidRPr="00EA5AA1">
        <w:t>$63.7 million revenue from Commonwealth funding, p. 101)</w:t>
      </w:r>
    </w:p>
    <w:p w14:paraId="4A3CA5DC" w14:textId="36AE8576" w:rsidR="00E94DE1" w:rsidRDefault="00E94DE1" w:rsidP="00E94DE1">
      <w:pPr>
        <w:pStyle w:val="ListParagraph"/>
        <w:numPr>
          <w:ilvl w:val="0"/>
          <w:numId w:val="34"/>
        </w:numPr>
      </w:pPr>
      <w:r w:rsidRPr="0061397B">
        <w:t xml:space="preserve">Ongoing delivery of the Digital Health </w:t>
      </w:r>
      <w:r w:rsidRPr="00EA5AA1">
        <w:t>Strategy (</w:t>
      </w:r>
      <w:r w:rsidR="00860105">
        <w:t xml:space="preserve">$78.5 million </w:t>
      </w:r>
      <w:r w:rsidR="004A11AF">
        <w:t xml:space="preserve">expenses </w:t>
      </w:r>
      <w:r w:rsidR="00860105">
        <w:t xml:space="preserve">and </w:t>
      </w:r>
      <w:r w:rsidRPr="00EA5AA1">
        <w:t>$</w:t>
      </w:r>
      <w:r w:rsidR="00860105">
        <w:t xml:space="preserve">3.1 million </w:t>
      </w:r>
      <w:r w:rsidR="004A11AF">
        <w:t xml:space="preserve">capital over </w:t>
      </w:r>
      <w:r w:rsidR="00867AB5">
        <w:t>four years</w:t>
      </w:r>
      <w:r>
        <w:t>, p.150)</w:t>
      </w:r>
    </w:p>
    <w:p w14:paraId="13B3B580" w14:textId="4F7CF53D" w:rsidR="00E94DE1" w:rsidRDefault="00E94DE1" w:rsidP="00E94DE1">
      <w:pPr>
        <w:pStyle w:val="ListParagraph"/>
        <w:numPr>
          <w:ilvl w:val="0"/>
          <w:numId w:val="34"/>
        </w:numPr>
      </w:pPr>
      <w:r w:rsidRPr="0061397B">
        <w:t>Payroll Tax Surcharge</w:t>
      </w:r>
      <w:r>
        <w:t xml:space="preserve"> </w:t>
      </w:r>
      <w:r w:rsidRPr="00867AB5">
        <w:t>($79.2 million</w:t>
      </w:r>
      <w:r w:rsidR="00867AB5">
        <w:t xml:space="preserve"> over four years</w:t>
      </w:r>
      <w:r>
        <w:t>, all of which is revenue, p. 107)</w:t>
      </w:r>
    </w:p>
    <w:p w14:paraId="7046BB66" w14:textId="77777777" w:rsidR="00E94DE1" w:rsidRDefault="00E94DE1" w:rsidP="00E94DE1">
      <w:pPr>
        <w:pStyle w:val="ListParagraph"/>
        <w:numPr>
          <w:ilvl w:val="0"/>
          <w:numId w:val="34"/>
        </w:numPr>
      </w:pPr>
      <w:r w:rsidRPr="000164B3">
        <w:t>Reducing stamp duty for owner-</w:t>
      </w:r>
      <w:r w:rsidRPr="00EA5AA1">
        <w:t>occupiers ($73.9 million</w:t>
      </w:r>
      <w:r>
        <w:t>, all of which is revenue forgone, p. 110)</w:t>
      </w:r>
    </w:p>
    <w:p w14:paraId="64903854" w14:textId="77777777" w:rsidR="00E94DE1" w:rsidRDefault="00E94DE1" w:rsidP="00E94DE1">
      <w:pPr>
        <w:pStyle w:val="ListParagraph"/>
        <w:numPr>
          <w:ilvl w:val="0"/>
          <w:numId w:val="34"/>
        </w:numPr>
      </w:pPr>
      <w:r>
        <w:t xml:space="preserve">Land Tax </w:t>
      </w:r>
      <w:r w:rsidRPr="00867AB5">
        <w:t>($58.8 million</w:t>
      </w:r>
      <w:r>
        <w:t>, of which $53.9 million is revenue, p.106)</w:t>
      </w:r>
    </w:p>
    <w:p w14:paraId="0BCDED86" w14:textId="4DAEBCBB" w:rsidR="00E94DE1" w:rsidRPr="00867AB5" w:rsidRDefault="00E94DE1" w:rsidP="00E94DE1">
      <w:pPr>
        <w:pStyle w:val="ListParagraph"/>
        <w:numPr>
          <w:ilvl w:val="0"/>
          <w:numId w:val="34"/>
        </w:numPr>
      </w:pPr>
      <w:r>
        <w:t xml:space="preserve">Addressing Private Buildings </w:t>
      </w:r>
      <w:r w:rsidRPr="00867AB5">
        <w:t>Cladding ($</w:t>
      </w:r>
      <w:r w:rsidR="00860105">
        <w:t>6.2 million</w:t>
      </w:r>
      <w:r w:rsidR="00867AB5" w:rsidRPr="00867AB5">
        <w:t>, and $47.5 million capital, all over four years</w:t>
      </w:r>
      <w:r w:rsidRPr="00867AB5">
        <w:t>, p.164)</w:t>
      </w:r>
    </w:p>
    <w:p w14:paraId="761DDC95" w14:textId="3D802B99" w:rsidR="00E94DE1" w:rsidRDefault="00E94DE1" w:rsidP="00E94DE1">
      <w:pPr>
        <w:pStyle w:val="ListParagraph"/>
        <w:numPr>
          <w:ilvl w:val="0"/>
          <w:numId w:val="34"/>
        </w:numPr>
      </w:pPr>
      <w:r w:rsidRPr="00867AB5">
        <w:t>Investing in Public Housing Repairs and Maintenance ($5</w:t>
      </w:r>
      <w:r w:rsidR="002734A1">
        <w:t xml:space="preserve">1.2 </w:t>
      </w:r>
      <w:r w:rsidRPr="00867AB5">
        <w:t>million</w:t>
      </w:r>
      <w:r w:rsidR="00867AB5">
        <w:t xml:space="preserve"> </w:t>
      </w:r>
      <w:r w:rsidR="002734A1">
        <w:t xml:space="preserve">capital </w:t>
      </w:r>
      <w:r w:rsidR="00867AB5">
        <w:t>over four years,</w:t>
      </w:r>
      <w:r w:rsidR="00EA5AA1">
        <w:t xml:space="preserve"> </w:t>
      </w:r>
      <w:r>
        <w:t>p.154)</w:t>
      </w:r>
    </w:p>
    <w:p w14:paraId="72A43517" w14:textId="3C3FB303" w:rsidR="00E94DE1" w:rsidRDefault="00E94DE1" w:rsidP="00E94DE1">
      <w:pPr>
        <w:pStyle w:val="ListParagraph"/>
        <w:numPr>
          <w:ilvl w:val="0"/>
          <w:numId w:val="34"/>
        </w:numPr>
      </w:pPr>
      <w:r>
        <w:t>Rates ($40.2 million</w:t>
      </w:r>
      <w:r w:rsidR="00867AB5">
        <w:t xml:space="preserve"> over four years</w:t>
      </w:r>
      <w:r>
        <w:t>, all of which is revenue, p.109)</w:t>
      </w:r>
    </w:p>
    <w:p w14:paraId="2095A207" w14:textId="5C610619" w:rsidR="00E94DE1" w:rsidRPr="00860105" w:rsidRDefault="00E94DE1" w:rsidP="00E94DE1">
      <w:pPr>
        <w:pStyle w:val="ListParagraph"/>
        <w:numPr>
          <w:ilvl w:val="0"/>
          <w:numId w:val="34"/>
        </w:numPr>
      </w:pPr>
      <w:r w:rsidRPr="00860105">
        <w:t>Delivering Light Rail Stage 2 – Agency Costs ($2</w:t>
      </w:r>
      <w:r w:rsidR="00EA5AA1" w:rsidRPr="00860105">
        <w:t>5.6 million capital and -$1.2 million expenses</w:t>
      </w:r>
      <w:r w:rsidRPr="00860105">
        <w:t xml:space="preserve">, </w:t>
      </w:r>
      <w:r w:rsidR="00EA5AA1" w:rsidRPr="00860105">
        <w:t xml:space="preserve">over four years, </w:t>
      </w:r>
      <w:r w:rsidRPr="00860105">
        <w:t>p.166)</w:t>
      </w:r>
    </w:p>
    <w:p w14:paraId="2775A4F6" w14:textId="64E0151B" w:rsidR="00E94DE1" w:rsidRDefault="00E94DE1" w:rsidP="00E94DE1">
      <w:pPr>
        <w:pStyle w:val="ListParagraph"/>
        <w:numPr>
          <w:ilvl w:val="0"/>
          <w:numId w:val="34"/>
        </w:numPr>
      </w:pPr>
      <w:r w:rsidRPr="0061397B">
        <w:t>Police, Fire and Emergency Services Levy and the Safer Families Levy</w:t>
      </w:r>
      <w:r>
        <w:t xml:space="preserve"> ($22.9 million</w:t>
      </w:r>
      <w:r w:rsidR="00867AB5">
        <w:t xml:space="preserve"> over four years</w:t>
      </w:r>
      <w:r>
        <w:t>, all of which is revenue, pp.107-108)</w:t>
      </w:r>
    </w:p>
    <w:p w14:paraId="6746309B" w14:textId="272372A2" w:rsidR="00E94DE1" w:rsidRDefault="00E94DE1" w:rsidP="00E94DE1">
      <w:r>
        <w:t xml:space="preserve">Significant savings that </w:t>
      </w:r>
      <w:r w:rsidR="002C6DBB">
        <w:t>offset</w:t>
      </w:r>
      <w:r>
        <w:t xml:space="preserve"> much of the cost of the new initiatives are identified in the measures descriptions.  Against the new expenses totalling $1.5 billion over the four years, some $824 million (excluding revenue) has been identified as </w:t>
      </w:r>
      <w:r w:rsidR="002C6DBB">
        <w:t>offset</w:t>
      </w:r>
      <w:r>
        <w:t xml:space="preserve">s or savings.  Against new capital projects totalling $787 million, capital </w:t>
      </w:r>
      <w:r w:rsidR="002C6DBB">
        <w:t>offset</w:t>
      </w:r>
      <w:r>
        <w:t>s of $372 million have been identified.</w:t>
      </w:r>
    </w:p>
    <w:p w14:paraId="0F717454" w14:textId="3A51E848" w:rsidR="00056A50" w:rsidRDefault="00056A50" w:rsidP="00056A50">
      <w:r>
        <w:t xml:space="preserve">Further discussion of new capital initiatives is provided in section 7 of this report. </w:t>
      </w:r>
    </w:p>
    <w:p w14:paraId="0AC38FD7" w14:textId="71AB0885" w:rsidR="00680EED" w:rsidRDefault="00E94DE1" w:rsidP="00E94DE1">
      <w:r>
        <w:t xml:space="preserve">As total offsets and savings by domain are not identified in the Budget, Pegasus has derived </w:t>
      </w:r>
      <w:r w:rsidR="00680EED">
        <w:t>T</w:t>
      </w:r>
      <w:r>
        <w:t>able</w:t>
      </w:r>
      <w:r w:rsidR="00680EED">
        <w:t xml:space="preserve"> 8</w:t>
      </w:r>
      <w:r>
        <w:t xml:space="preserve"> </w:t>
      </w:r>
      <w:r w:rsidR="00680EED">
        <w:t xml:space="preserve">below </w:t>
      </w:r>
      <w:r>
        <w:t xml:space="preserve">showing </w:t>
      </w:r>
      <w:r w:rsidR="009269D1">
        <w:t xml:space="preserve">expense </w:t>
      </w:r>
      <w:r>
        <w:t>offsets and savings attached to measures associated with each primary domain.</w:t>
      </w:r>
    </w:p>
    <w:p w14:paraId="7B11F643" w14:textId="77777777" w:rsidR="00680EED" w:rsidRDefault="00680EED">
      <w:r>
        <w:br w:type="page"/>
      </w:r>
    </w:p>
    <w:p w14:paraId="0B71E34E" w14:textId="6A59B38A" w:rsidR="00E94DE1" w:rsidRDefault="00E94DE1" w:rsidP="00A076CB">
      <w:pPr>
        <w:pStyle w:val="Caption"/>
        <w:spacing w:after="120"/>
      </w:pPr>
      <w:bookmarkStart w:id="154" w:name="_Toc171949056"/>
      <w:r>
        <w:lastRenderedPageBreak/>
        <w:t xml:space="preserve">Table </w:t>
      </w:r>
      <w:r>
        <w:fldChar w:fldCharType="begin"/>
      </w:r>
      <w:r>
        <w:instrText xml:space="preserve"> SEQ Table \* ARABIC </w:instrText>
      </w:r>
      <w:r>
        <w:fldChar w:fldCharType="separate"/>
      </w:r>
      <w:r w:rsidR="000B62ED">
        <w:rPr>
          <w:noProof/>
        </w:rPr>
        <w:t>8</w:t>
      </w:r>
      <w:r>
        <w:rPr>
          <w:noProof/>
        </w:rPr>
        <w:fldChar w:fldCharType="end"/>
      </w:r>
      <w:r>
        <w:t>: New initiatives - Budget and forecast years, expenses, offsets, and savings ($000)</w:t>
      </w:r>
      <w:bookmarkEnd w:id="154"/>
    </w:p>
    <w:tbl>
      <w:tblPr>
        <w:tblW w:w="9695" w:type="dxa"/>
        <w:tblLook w:val="04A0" w:firstRow="1" w:lastRow="0" w:firstColumn="1" w:lastColumn="0" w:noHBand="0" w:noVBand="1"/>
      </w:tblPr>
      <w:tblGrid>
        <w:gridCol w:w="3195"/>
        <w:gridCol w:w="1300"/>
        <w:gridCol w:w="1300"/>
        <w:gridCol w:w="1300"/>
        <w:gridCol w:w="1300"/>
        <w:gridCol w:w="1300"/>
      </w:tblGrid>
      <w:tr w:rsidR="00E94DE1" w:rsidRPr="00A076CB" w14:paraId="766E01CB" w14:textId="77777777" w:rsidTr="006576AA">
        <w:trPr>
          <w:trHeight w:val="320"/>
        </w:trPr>
        <w:tc>
          <w:tcPr>
            <w:tcW w:w="3195" w:type="dxa"/>
            <w:tcBorders>
              <w:top w:val="single" w:sz="18" w:space="0" w:color="auto"/>
              <w:left w:val="nil"/>
              <w:bottom w:val="single" w:sz="24" w:space="0" w:color="auto"/>
              <w:right w:val="nil"/>
            </w:tcBorders>
            <w:shd w:val="clear" w:color="auto" w:fill="auto"/>
            <w:noWrap/>
            <w:vAlign w:val="bottom"/>
            <w:hideMark/>
          </w:tcPr>
          <w:p w14:paraId="2B29E3A8" w14:textId="77777777" w:rsidR="00E94DE1" w:rsidRPr="00A076CB" w:rsidRDefault="00E94DE1" w:rsidP="006576AA">
            <w:pPr>
              <w:rPr>
                <w:rFonts w:ascii="Calibri" w:eastAsia="Times New Roman" w:hAnsi="Calibri" w:cs="Calibri"/>
                <w:b/>
                <w:bCs/>
                <w:color w:val="000000"/>
                <w:sz w:val="20"/>
                <w:szCs w:val="20"/>
                <w:lang w:eastAsia="en-GB"/>
              </w:rPr>
            </w:pPr>
            <w:r w:rsidRPr="00A076CB">
              <w:rPr>
                <w:rFonts w:ascii="Calibri" w:eastAsia="Times New Roman" w:hAnsi="Calibri" w:cs="Calibri"/>
                <w:b/>
                <w:bCs/>
                <w:color w:val="000000"/>
                <w:sz w:val="20"/>
                <w:szCs w:val="20"/>
                <w:lang w:eastAsia="en-GB"/>
              </w:rPr>
              <w:t>Wellbeing Domain</w:t>
            </w:r>
          </w:p>
        </w:tc>
        <w:tc>
          <w:tcPr>
            <w:tcW w:w="1300" w:type="dxa"/>
            <w:tcBorders>
              <w:top w:val="single" w:sz="18" w:space="0" w:color="auto"/>
              <w:left w:val="nil"/>
              <w:bottom w:val="single" w:sz="24" w:space="0" w:color="auto"/>
              <w:right w:val="nil"/>
            </w:tcBorders>
            <w:shd w:val="clear" w:color="auto" w:fill="auto"/>
            <w:noWrap/>
            <w:vAlign w:val="bottom"/>
            <w:hideMark/>
          </w:tcPr>
          <w:p w14:paraId="010F5FFA" w14:textId="77777777" w:rsidR="00E94DE1" w:rsidRPr="00A076CB" w:rsidRDefault="00E94DE1" w:rsidP="006576AA">
            <w:pPr>
              <w:rPr>
                <w:rFonts w:ascii="Calibri" w:eastAsia="Times New Roman" w:hAnsi="Calibri" w:cs="Calibri"/>
                <w:b/>
                <w:bCs/>
                <w:color w:val="000000"/>
                <w:sz w:val="20"/>
                <w:szCs w:val="20"/>
                <w:lang w:eastAsia="en-GB"/>
              </w:rPr>
            </w:pPr>
            <w:r w:rsidRPr="00A076CB">
              <w:rPr>
                <w:rFonts w:ascii="Calibri" w:eastAsia="Times New Roman" w:hAnsi="Calibri" w:cs="Calibri"/>
                <w:b/>
                <w:bCs/>
                <w:color w:val="000000"/>
                <w:sz w:val="20"/>
                <w:szCs w:val="20"/>
                <w:lang w:eastAsia="en-GB"/>
              </w:rPr>
              <w:t>Type</w:t>
            </w:r>
          </w:p>
        </w:tc>
        <w:tc>
          <w:tcPr>
            <w:tcW w:w="1300" w:type="dxa"/>
            <w:tcBorders>
              <w:top w:val="single" w:sz="18" w:space="0" w:color="auto"/>
              <w:left w:val="nil"/>
              <w:bottom w:val="single" w:sz="24" w:space="0" w:color="auto"/>
              <w:right w:val="nil"/>
            </w:tcBorders>
            <w:shd w:val="clear" w:color="auto" w:fill="auto"/>
            <w:noWrap/>
            <w:vAlign w:val="bottom"/>
            <w:hideMark/>
          </w:tcPr>
          <w:p w14:paraId="45E1B949" w14:textId="12B90D6B" w:rsidR="00E94DE1" w:rsidRPr="00A076CB" w:rsidRDefault="00E94DE1" w:rsidP="006576AA">
            <w:pPr>
              <w:jc w:val="right"/>
              <w:rPr>
                <w:rFonts w:ascii="Calibri" w:eastAsia="Times New Roman" w:hAnsi="Calibri" w:cs="Calibri"/>
                <w:b/>
                <w:bCs/>
                <w:color w:val="000000"/>
                <w:sz w:val="20"/>
                <w:szCs w:val="20"/>
                <w:lang w:eastAsia="en-GB"/>
              </w:rPr>
            </w:pPr>
            <w:r w:rsidRPr="00A076CB">
              <w:rPr>
                <w:rFonts w:ascii="Calibri" w:eastAsia="Times New Roman" w:hAnsi="Calibri" w:cs="Calibri"/>
                <w:b/>
                <w:bCs/>
                <w:color w:val="000000"/>
                <w:sz w:val="20"/>
                <w:szCs w:val="20"/>
                <w:lang w:eastAsia="en-GB"/>
              </w:rPr>
              <w:t>2024-25</w:t>
            </w:r>
            <w:r w:rsidR="00A076CB" w:rsidRPr="00A076CB">
              <w:rPr>
                <w:rFonts w:ascii="Calibri" w:eastAsia="Times New Roman" w:hAnsi="Calibri" w:cs="Calibri"/>
                <w:b/>
                <w:bCs/>
                <w:color w:val="000000"/>
                <w:sz w:val="20"/>
                <w:szCs w:val="20"/>
                <w:lang w:eastAsia="en-GB"/>
              </w:rPr>
              <w:t xml:space="preserve"> </w:t>
            </w:r>
            <w:r w:rsidR="00A076CB" w:rsidRPr="00A076CB">
              <w:rPr>
                <w:rFonts w:ascii="Calibri" w:eastAsia="Times New Roman" w:hAnsi="Calibri" w:cs="Calibri"/>
                <w:b/>
                <w:bCs/>
                <w:color w:val="000000"/>
                <w:sz w:val="20"/>
                <w:szCs w:val="20"/>
                <w:lang w:eastAsia="en-GB"/>
              </w:rPr>
              <w:br/>
              <w:t>Estimate</w:t>
            </w:r>
            <w:r w:rsidR="00A076CB" w:rsidRPr="00A076CB">
              <w:rPr>
                <w:rFonts w:ascii="Calibri" w:eastAsia="Times New Roman" w:hAnsi="Calibri" w:cs="Calibri"/>
                <w:b/>
                <w:bCs/>
                <w:color w:val="000000"/>
                <w:sz w:val="20"/>
                <w:szCs w:val="20"/>
                <w:lang w:eastAsia="en-GB"/>
              </w:rPr>
              <w:br/>
              <w:t>$’000</w:t>
            </w:r>
          </w:p>
        </w:tc>
        <w:tc>
          <w:tcPr>
            <w:tcW w:w="1300" w:type="dxa"/>
            <w:tcBorders>
              <w:top w:val="single" w:sz="18" w:space="0" w:color="auto"/>
              <w:left w:val="nil"/>
              <w:bottom w:val="single" w:sz="24" w:space="0" w:color="auto"/>
              <w:right w:val="nil"/>
            </w:tcBorders>
            <w:shd w:val="clear" w:color="auto" w:fill="auto"/>
            <w:noWrap/>
            <w:vAlign w:val="bottom"/>
            <w:hideMark/>
          </w:tcPr>
          <w:p w14:paraId="7F8DF996" w14:textId="3F3C7326" w:rsidR="00E94DE1" w:rsidRPr="00A076CB" w:rsidRDefault="00E94DE1" w:rsidP="006576AA">
            <w:pPr>
              <w:jc w:val="right"/>
              <w:rPr>
                <w:rFonts w:ascii="Calibri" w:eastAsia="Times New Roman" w:hAnsi="Calibri" w:cs="Calibri"/>
                <w:b/>
                <w:bCs/>
                <w:color w:val="000000"/>
                <w:sz w:val="20"/>
                <w:szCs w:val="20"/>
                <w:lang w:eastAsia="en-GB"/>
              </w:rPr>
            </w:pPr>
            <w:r w:rsidRPr="00A076CB">
              <w:rPr>
                <w:rFonts w:ascii="Calibri" w:eastAsia="Times New Roman" w:hAnsi="Calibri" w:cs="Calibri"/>
                <w:b/>
                <w:bCs/>
                <w:color w:val="000000"/>
                <w:sz w:val="20"/>
                <w:szCs w:val="20"/>
                <w:lang w:eastAsia="en-GB"/>
              </w:rPr>
              <w:t>2025-26</w:t>
            </w:r>
            <w:r w:rsidR="00A076CB" w:rsidRPr="00A076CB">
              <w:rPr>
                <w:rFonts w:ascii="Calibri" w:eastAsia="Times New Roman" w:hAnsi="Calibri" w:cs="Calibri"/>
                <w:b/>
                <w:bCs/>
                <w:color w:val="000000"/>
                <w:sz w:val="20"/>
                <w:szCs w:val="20"/>
                <w:lang w:eastAsia="en-GB"/>
              </w:rPr>
              <w:t xml:space="preserve"> </w:t>
            </w:r>
            <w:r w:rsidR="00A076CB" w:rsidRPr="00A076CB">
              <w:rPr>
                <w:rFonts w:ascii="Calibri" w:eastAsia="Times New Roman" w:hAnsi="Calibri" w:cs="Calibri"/>
                <w:b/>
                <w:bCs/>
                <w:color w:val="000000"/>
                <w:sz w:val="20"/>
                <w:szCs w:val="20"/>
                <w:lang w:eastAsia="en-GB"/>
              </w:rPr>
              <w:br/>
              <w:t>Estimate</w:t>
            </w:r>
            <w:r w:rsidR="00A076CB" w:rsidRPr="00A076CB">
              <w:rPr>
                <w:rFonts w:ascii="Calibri" w:eastAsia="Times New Roman" w:hAnsi="Calibri" w:cs="Calibri"/>
                <w:b/>
                <w:bCs/>
                <w:color w:val="000000"/>
                <w:sz w:val="20"/>
                <w:szCs w:val="20"/>
                <w:lang w:eastAsia="en-GB"/>
              </w:rPr>
              <w:br/>
              <w:t>$’000</w:t>
            </w:r>
          </w:p>
        </w:tc>
        <w:tc>
          <w:tcPr>
            <w:tcW w:w="1300" w:type="dxa"/>
            <w:tcBorders>
              <w:top w:val="single" w:sz="18" w:space="0" w:color="auto"/>
              <w:left w:val="nil"/>
              <w:bottom w:val="single" w:sz="24" w:space="0" w:color="auto"/>
              <w:right w:val="nil"/>
            </w:tcBorders>
            <w:shd w:val="clear" w:color="auto" w:fill="auto"/>
            <w:noWrap/>
            <w:vAlign w:val="bottom"/>
            <w:hideMark/>
          </w:tcPr>
          <w:p w14:paraId="04ACF385" w14:textId="44ED009B" w:rsidR="00E94DE1" w:rsidRPr="00A076CB" w:rsidRDefault="00E94DE1" w:rsidP="006576AA">
            <w:pPr>
              <w:jc w:val="right"/>
              <w:rPr>
                <w:rFonts w:ascii="Calibri" w:eastAsia="Times New Roman" w:hAnsi="Calibri" w:cs="Calibri"/>
                <w:b/>
                <w:bCs/>
                <w:color w:val="000000"/>
                <w:sz w:val="20"/>
                <w:szCs w:val="20"/>
                <w:lang w:eastAsia="en-GB"/>
              </w:rPr>
            </w:pPr>
            <w:r w:rsidRPr="00A076CB">
              <w:rPr>
                <w:rFonts w:ascii="Calibri" w:eastAsia="Times New Roman" w:hAnsi="Calibri" w:cs="Calibri"/>
                <w:b/>
                <w:bCs/>
                <w:color w:val="000000"/>
                <w:sz w:val="20"/>
                <w:szCs w:val="20"/>
                <w:lang w:eastAsia="en-GB"/>
              </w:rPr>
              <w:t>2026-27</w:t>
            </w:r>
            <w:r w:rsidR="00A076CB" w:rsidRPr="00A076CB">
              <w:rPr>
                <w:rFonts w:ascii="Calibri" w:eastAsia="Times New Roman" w:hAnsi="Calibri" w:cs="Calibri"/>
                <w:b/>
                <w:bCs/>
                <w:color w:val="000000"/>
                <w:sz w:val="20"/>
                <w:szCs w:val="20"/>
                <w:lang w:eastAsia="en-GB"/>
              </w:rPr>
              <w:t xml:space="preserve"> </w:t>
            </w:r>
            <w:r w:rsidR="00A076CB" w:rsidRPr="00A076CB">
              <w:rPr>
                <w:rFonts w:ascii="Calibri" w:eastAsia="Times New Roman" w:hAnsi="Calibri" w:cs="Calibri"/>
                <w:b/>
                <w:bCs/>
                <w:color w:val="000000"/>
                <w:sz w:val="20"/>
                <w:szCs w:val="20"/>
                <w:lang w:eastAsia="en-GB"/>
              </w:rPr>
              <w:br/>
              <w:t>Estimate</w:t>
            </w:r>
            <w:r w:rsidR="00A076CB" w:rsidRPr="00A076CB">
              <w:rPr>
                <w:rFonts w:ascii="Calibri" w:eastAsia="Times New Roman" w:hAnsi="Calibri" w:cs="Calibri"/>
                <w:b/>
                <w:bCs/>
                <w:color w:val="000000"/>
                <w:sz w:val="20"/>
                <w:szCs w:val="20"/>
                <w:lang w:eastAsia="en-GB"/>
              </w:rPr>
              <w:br/>
              <w:t>$’000</w:t>
            </w:r>
          </w:p>
        </w:tc>
        <w:tc>
          <w:tcPr>
            <w:tcW w:w="1300" w:type="dxa"/>
            <w:tcBorders>
              <w:top w:val="single" w:sz="18" w:space="0" w:color="auto"/>
              <w:left w:val="nil"/>
              <w:bottom w:val="single" w:sz="24" w:space="0" w:color="auto"/>
              <w:right w:val="nil"/>
            </w:tcBorders>
            <w:shd w:val="clear" w:color="auto" w:fill="auto"/>
            <w:noWrap/>
            <w:vAlign w:val="bottom"/>
            <w:hideMark/>
          </w:tcPr>
          <w:p w14:paraId="7A06EAE3" w14:textId="69EA1F96" w:rsidR="00E94DE1" w:rsidRPr="00A076CB" w:rsidRDefault="00E94DE1" w:rsidP="006576AA">
            <w:pPr>
              <w:jc w:val="right"/>
              <w:rPr>
                <w:rFonts w:ascii="Calibri" w:eastAsia="Times New Roman" w:hAnsi="Calibri" w:cs="Calibri"/>
                <w:b/>
                <w:bCs/>
                <w:color w:val="000000"/>
                <w:sz w:val="20"/>
                <w:szCs w:val="20"/>
                <w:lang w:eastAsia="en-GB"/>
              </w:rPr>
            </w:pPr>
            <w:r w:rsidRPr="00A076CB">
              <w:rPr>
                <w:rFonts w:ascii="Calibri" w:eastAsia="Times New Roman" w:hAnsi="Calibri" w:cs="Calibri"/>
                <w:b/>
                <w:bCs/>
                <w:color w:val="000000"/>
                <w:sz w:val="20"/>
                <w:szCs w:val="20"/>
                <w:lang w:eastAsia="en-GB"/>
              </w:rPr>
              <w:t>2027-28</w:t>
            </w:r>
            <w:r w:rsidR="00A076CB" w:rsidRPr="00A076CB">
              <w:rPr>
                <w:rFonts w:ascii="Calibri" w:eastAsia="Times New Roman" w:hAnsi="Calibri" w:cs="Calibri"/>
                <w:b/>
                <w:bCs/>
                <w:color w:val="000000"/>
                <w:sz w:val="20"/>
                <w:szCs w:val="20"/>
                <w:lang w:eastAsia="en-GB"/>
              </w:rPr>
              <w:t xml:space="preserve"> </w:t>
            </w:r>
            <w:r w:rsidR="00A076CB" w:rsidRPr="00A076CB">
              <w:rPr>
                <w:rFonts w:ascii="Calibri" w:eastAsia="Times New Roman" w:hAnsi="Calibri" w:cs="Calibri"/>
                <w:b/>
                <w:bCs/>
                <w:color w:val="000000"/>
                <w:sz w:val="20"/>
                <w:szCs w:val="20"/>
                <w:lang w:eastAsia="en-GB"/>
              </w:rPr>
              <w:br/>
              <w:t>Estimate</w:t>
            </w:r>
            <w:r w:rsidR="00A076CB" w:rsidRPr="00A076CB">
              <w:rPr>
                <w:rFonts w:ascii="Calibri" w:eastAsia="Times New Roman" w:hAnsi="Calibri" w:cs="Calibri"/>
                <w:b/>
                <w:bCs/>
                <w:color w:val="000000"/>
                <w:sz w:val="20"/>
                <w:szCs w:val="20"/>
                <w:lang w:eastAsia="en-GB"/>
              </w:rPr>
              <w:br/>
              <w:t>$’000</w:t>
            </w:r>
          </w:p>
        </w:tc>
      </w:tr>
      <w:tr w:rsidR="00E94DE1" w:rsidRPr="00A076CB" w14:paraId="73BB3103" w14:textId="77777777" w:rsidTr="006576AA">
        <w:trPr>
          <w:trHeight w:val="320"/>
        </w:trPr>
        <w:tc>
          <w:tcPr>
            <w:tcW w:w="3195" w:type="dxa"/>
            <w:tcBorders>
              <w:top w:val="single" w:sz="24" w:space="0" w:color="auto"/>
              <w:left w:val="nil"/>
              <w:right w:val="nil"/>
            </w:tcBorders>
            <w:shd w:val="clear" w:color="auto" w:fill="auto"/>
            <w:noWrap/>
            <w:vAlign w:val="bottom"/>
            <w:hideMark/>
          </w:tcPr>
          <w:p w14:paraId="7547C859" w14:textId="77777777" w:rsidR="00E94DE1" w:rsidRPr="00A076CB" w:rsidRDefault="00E94DE1" w:rsidP="006576AA">
            <w:pPr>
              <w:spacing w:after="160"/>
              <w:rPr>
                <w:rFonts w:ascii="Calibri" w:eastAsia="Times New Roman" w:hAnsi="Calibri" w:cs="Calibri"/>
                <w:color w:val="000000"/>
                <w:sz w:val="20"/>
                <w:szCs w:val="20"/>
                <w:lang w:eastAsia="en-GB"/>
              </w:rPr>
            </w:pPr>
            <w:r w:rsidRPr="00A076CB">
              <w:rPr>
                <w:rFonts w:ascii="Calibri" w:eastAsia="Times New Roman" w:hAnsi="Calibri" w:cs="Calibri"/>
                <w:b/>
                <w:bCs/>
                <w:color w:val="000000"/>
                <w:sz w:val="20"/>
                <w:szCs w:val="20"/>
                <w:lang w:eastAsia="en-GB"/>
              </w:rPr>
              <w:t>Access &amp; connectivity</w:t>
            </w:r>
          </w:p>
        </w:tc>
        <w:tc>
          <w:tcPr>
            <w:tcW w:w="1300" w:type="dxa"/>
            <w:tcBorders>
              <w:top w:val="single" w:sz="24" w:space="0" w:color="auto"/>
              <w:left w:val="nil"/>
              <w:right w:val="nil"/>
            </w:tcBorders>
            <w:shd w:val="clear" w:color="auto" w:fill="auto"/>
            <w:noWrap/>
            <w:vAlign w:val="bottom"/>
            <w:hideMark/>
          </w:tcPr>
          <w:p w14:paraId="5DDDE50F" w14:textId="77777777" w:rsidR="00E94DE1" w:rsidRPr="00A076CB" w:rsidRDefault="00E94DE1" w:rsidP="006576AA">
            <w:pPr>
              <w:spacing w:after="160"/>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Offset</w:t>
            </w:r>
          </w:p>
        </w:tc>
        <w:tc>
          <w:tcPr>
            <w:tcW w:w="1300" w:type="dxa"/>
            <w:tcBorders>
              <w:top w:val="single" w:sz="24" w:space="0" w:color="auto"/>
              <w:left w:val="nil"/>
              <w:right w:val="nil"/>
            </w:tcBorders>
            <w:shd w:val="clear" w:color="auto" w:fill="auto"/>
            <w:noWrap/>
            <w:vAlign w:val="bottom"/>
            <w:hideMark/>
          </w:tcPr>
          <w:p w14:paraId="24A94B7D" w14:textId="05209541" w:rsidR="00E94DE1" w:rsidRPr="00A076CB" w:rsidRDefault="00E94DE1" w:rsidP="006576AA">
            <w:pPr>
              <w:spacing w:after="16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-16</w:t>
            </w:r>
            <w:r w:rsidR="006576AA"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511</w:t>
            </w:r>
          </w:p>
        </w:tc>
        <w:tc>
          <w:tcPr>
            <w:tcW w:w="1300" w:type="dxa"/>
            <w:tcBorders>
              <w:top w:val="single" w:sz="24" w:space="0" w:color="auto"/>
              <w:left w:val="nil"/>
              <w:right w:val="nil"/>
            </w:tcBorders>
            <w:shd w:val="clear" w:color="auto" w:fill="auto"/>
            <w:noWrap/>
            <w:vAlign w:val="bottom"/>
            <w:hideMark/>
          </w:tcPr>
          <w:p w14:paraId="0DC1C87D" w14:textId="034C98CD" w:rsidR="00E94DE1" w:rsidRPr="00A076CB" w:rsidRDefault="00E94DE1" w:rsidP="006576AA">
            <w:pPr>
              <w:spacing w:after="16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-16</w:t>
            </w:r>
            <w:r w:rsidR="006576AA"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243</w:t>
            </w:r>
          </w:p>
        </w:tc>
        <w:tc>
          <w:tcPr>
            <w:tcW w:w="1300" w:type="dxa"/>
            <w:tcBorders>
              <w:top w:val="single" w:sz="24" w:space="0" w:color="auto"/>
              <w:left w:val="nil"/>
              <w:right w:val="nil"/>
            </w:tcBorders>
            <w:shd w:val="clear" w:color="auto" w:fill="auto"/>
            <w:noWrap/>
            <w:vAlign w:val="bottom"/>
            <w:hideMark/>
          </w:tcPr>
          <w:p w14:paraId="5E352139" w14:textId="7314C376" w:rsidR="00E94DE1" w:rsidRPr="00A076CB" w:rsidRDefault="00E94DE1" w:rsidP="006576AA">
            <w:pPr>
              <w:spacing w:after="16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-15</w:t>
            </w:r>
            <w:r w:rsidR="006576AA"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766</w:t>
            </w:r>
          </w:p>
        </w:tc>
        <w:tc>
          <w:tcPr>
            <w:tcW w:w="1300" w:type="dxa"/>
            <w:tcBorders>
              <w:top w:val="single" w:sz="24" w:space="0" w:color="auto"/>
              <w:left w:val="nil"/>
              <w:right w:val="nil"/>
            </w:tcBorders>
            <w:shd w:val="clear" w:color="auto" w:fill="auto"/>
            <w:noWrap/>
            <w:vAlign w:val="bottom"/>
            <w:hideMark/>
          </w:tcPr>
          <w:p w14:paraId="3748824A" w14:textId="1E0C275F" w:rsidR="00E94DE1" w:rsidRPr="00A076CB" w:rsidRDefault="00E94DE1" w:rsidP="006576AA">
            <w:pPr>
              <w:spacing w:after="16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-15</w:t>
            </w:r>
            <w:r w:rsidR="006576AA"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802</w:t>
            </w:r>
          </w:p>
        </w:tc>
      </w:tr>
      <w:tr w:rsidR="00E94DE1" w:rsidRPr="00A076CB" w14:paraId="508EC02D" w14:textId="77777777" w:rsidTr="006576AA">
        <w:trPr>
          <w:trHeight w:val="320"/>
        </w:trPr>
        <w:tc>
          <w:tcPr>
            <w:tcW w:w="3195" w:type="dxa"/>
            <w:tcBorders>
              <w:top w:val="nil"/>
              <w:left w:val="nil"/>
              <w:right w:val="nil"/>
            </w:tcBorders>
            <w:shd w:val="clear" w:color="auto" w:fill="auto"/>
            <w:noWrap/>
            <w:vAlign w:val="bottom"/>
            <w:hideMark/>
          </w:tcPr>
          <w:p w14:paraId="6F544203" w14:textId="77777777" w:rsidR="00E94DE1" w:rsidRPr="00A076CB" w:rsidRDefault="00E94DE1" w:rsidP="006576AA">
            <w:pPr>
              <w:spacing w:before="0" w:after="160"/>
              <w:rPr>
                <w:rFonts w:ascii="Calibri" w:eastAsia="Times New Roman" w:hAnsi="Calibri" w:cs="Calibri"/>
                <w:color w:val="000000"/>
                <w:sz w:val="20"/>
                <w:szCs w:val="20"/>
                <w:lang w:eastAsia="en-GB"/>
              </w:rPr>
            </w:pPr>
            <w:r w:rsidRPr="00A076CB">
              <w:rPr>
                <w:rFonts w:ascii="Calibri" w:eastAsia="Times New Roman" w:hAnsi="Calibri" w:cs="Calibri"/>
                <w:b/>
                <w:bCs/>
                <w:color w:val="000000"/>
                <w:sz w:val="20"/>
                <w:szCs w:val="20"/>
                <w:lang w:eastAsia="en-GB"/>
              </w:rPr>
              <w:t>Economy</w:t>
            </w:r>
          </w:p>
        </w:tc>
        <w:tc>
          <w:tcPr>
            <w:tcW w:w="1300" w:type="dxa"/>
            <w:tcBorders>
              <w:top w:val="nil"/>
              <w:left w:val="nil"/>
              <w:right w:val="nil"/>
            </w:tcBorders>
            <w:shd w:val="clear" w:color="auto" w:fill="auto"/>
            <w:noWrap/>
            <w:vAlign w:val="bottom"/>
            <w:hideMark/>
          </w:tcPr>
          <w:p w14:paraId="0E756C19" w14:textId="77777777" w:rsidR="00E94DE1" w:rsidRPr="00A076CB" w:rsidRDefault="00E94DE1" w:rsidP="006576AA">
            <w:pPr>
              <w:spacing w:before="0" w:after="160"/>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Offset</w:t>
            </w:r>
          </w:p>
        </w:tc>
        <w:tc>
          <w:tcPr>
            <w:tcW w:w="1300" w:type="dxa"/>
            <w:tcBorders>
              <w:top w:val="nil"/>
              <w:left w:val="nil"/>
              <w:right w:val="nil"/>
            </w:tcBorders>
            <w:shd w:val="clear" w:color="auto" w:fill="auto"/>
            <w:noWrap/>
            <w:vAlign w:val="bottom"/>
            <w:hideMark/>
          </w:tcPr>
          <w:p w14:paraId="49C0AA10" w14:textId="4E0A8AAC" w:rsidR="00E94DE1" w:rsidRPr="00A076CB" w:rsidRDefault="00E94DE1" w:rsidP="006576AA">
            <w:pPr>
              <w:spacing w:before="0" w:after="16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-7</w:t>
            </w:r>
            <w:r w:rsidR="006576AA"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390</w:t>
            </w:r>
          </w:p>
        </w:tc>
        <w:tc>
          <w:tcPr>
            <w:tcW w:w="1300" w:type="dxa"/>
            <w:tcBorders>
              <w:top w:val="nil"/>
              <w:left w:val="nil"/>
              <w:right w:val="nil"/>
            </w:tcBorders>
            <w:shd w:val="clear" w:color="auto" w:fill="auto"/>
            <w:noWrap/>
            <w:vAlign w:val="bottom"/>
            <w:hideMark/>
          </w:tcPr>
          <w:p w14:paraId="7F48FD61" w14:textId="2C8EA60C" w:rsidR="00E94DE1" w:rsidRPr="00A076CB" w:rsidRDefault="00E94DE1" w:rsidP="006576AA">
            <w:pPr>
              <w:spacing w:before="0" w:after="16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-6</w:t>
            </w:r>
            <w:r w:rsidR="006576AA"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011</w:t>
            </w:r>
          </w:p>
        </w:tc>
        <w:tc>
          <w:tcPr>
            <w:tcW w:w="1300" w:type="dxa"/>
            <w:tcBorders>
              <w:top w:val="nil"/>
              <w:left w:val="nil"/>
              <w:right w:val="nil"/>
            </w:tcBorders>
            <w:shd w:val="clear" w:color="auto" w:fill="auto"/>
            <w:noWrap/>
            <w:vAlign w:val="bottom"/>
            <w:hideMark/>
          </w:tcPr>
          <w:p w14:paraId="2E2D5CB6" w14:textId="7E9B7A01" w:rsidR="00E94DE1" w:rsidRPr="00A076CB" w:rsidRDefault="00E94DE1" w:rsidP="006576AA">
            <w:pPr>
              <w:spacing w:before="0" w:after="16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-4</w:t>
            </w:r>
            <w:r w:rsidR="006576AA"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941</w:t>
            </w:r>
          </w:p>
        </w:tc>
        <w:tc>
          <w:tcPr>
            <w:tcW w:w="1300" w:type="dxa"/>
            <w:tcBorders>
              <w:top w:val="nil"/>
              <w:left w:val="nil"/>
              <w:right w:val="nil"/>
            </w:tcBorders>
            <w:shd w:val="clear" w:color="auto" w:fill="auto"/>
            <w:noWrap/>
            <w:vAlign w:val="bottom"/>
            <w:hideMark/>
          </w:tcPr>
          <w:p w14:paraId="1D4A904E" w14:textId="534F2A7F" w:rsidR="00E94DE1" w:rsidRPr="00A076CB" w:rsidRDefault="00E94DE1" w:rsidP="006576AA">
            <w:pPr>
              <w:spacing w:before="0" w:after="16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-3</w:t>
            </w:r>
            <w:r w:rsidR="006576AA"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564</w:t>
            </w:r>
          </w:p>
        </w:tc>
      </w:tr>
      <w:tr w:rsidR="00E94DE1" w:rsidRPr="00A076CB" w14:paraId="183F71BB" w14:textId="77777777" w:rsidTr="006576AA">
        <w:trPr>
          <w:trHeight w:val="320"/>
        </w:trPr>
        <w:tc>
          <w:tcPr>
            <w:tcW w:w="3195" w:type="dxa"/>
            <w:tcBorders>
              <w:top w:val="nil"/>
              <w:left w:val="nil"/>
              <w:right w:val="nil"/>
            </w:tcBorders>
            <w:shd w:val="clear" w:color="auto" w:fill="auto"/>
            <w:noWrap/>
            <w:vAlign w:val="bottom"/>
            <w:hideMark/>
          </w:tcPr>
          <w:p w14:paraId="0F6F4EE6" w14:textId="77777777" w:rsidR="00E94DE1" w:rsidRPr="00A076CB" w:rsidRDefault="00E94DE1" w:rsidP="006576AA">
            <w:pPr>
              <w:spacing w:before="0" w:after="160"/>
              <w:rPr>
                <w:rFonts w:ascii="Calibri" w:eastAsia="Times New Roman" w:hAnsi="Calibri" w:cs="Calibri"/>
                <w:color w:val="000000"/>
                <w:sz w:val="20"/>
                <w:szCs w:val="20"/>
                <w:lang w:eastAsia="en-GB"/>
              </w:rPr>
            </w:pPr>
            <w:r w:rsidRPr="00A076CB">
              <w:rPr>
                <w:rFonts w:ascii="Calibri" w:eastAsia="Times New Roman" w:hAnsi="Calibri" w:cs="Calibri"/>
                <w:b/>
                <w:bCs/>
                <w:color w:val="000000"/>
                <w:sz w:val="20"/>
                <w:szCs w:val="20"/>
                <w:lang w:eastAsia="en-GB"/>
              </w:rPr>
              <w:t>Education &amp; life-long learning</w:t>
            </w:r>
          </w:p>
        </w:tc>
        <w:tc>
          <w:tcPr>
            <w:tcW w:w="1300" w:type="dxa"/>
            <w:tcBorders>
              <w:top w:val="nil"/>
              <w:left w:val="nil"/>
              <w:right w:val="nil"/>
            </w:tcBorders>
            <w:shd w:val="clear" w:color="auto" w:fill="auto"/>
            <w:noWrap/>
            <w:vAlign w:val="bottom"/>
            <w:hideMark/>
          </w:tcPr>
          <w:p w14:paraId="3C328B25" w14:textId="77777777" w:rsidR="00E94DE1" w:rsidRPr="00A076CB" w:rsidRDefault="00E94DE1" w:rsidP="006576AA">
            <w:pPr>
              <w:spacing w:before="0" w:after="160"/>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Offset</w:t>
            </w:r>
          </w:p>
        </w:tc>
        <w:tc>
          <w:tcPr>
            <w:tcW w:w="1300" w:type="dxa"/>
            <w:tcBorders>
              <w:top w:val="nil"/>
              <w:left w:val="nil"/>
              <w:right w:val="nil"/>
            </w:tcBorders>
            <w:shd w:val="clear" w:color="auto" w:fill="auto"/>
            <w:noWrap/>
            <w:vAlign w:val="bottom"/>
            <w:hideMark/>
          </w:tcPr>
          <w:p w14:paraId="7A10F01E" w14:textId="0576BAD6" w:rsidR="00E94DE1" w:rsidRPr="00A076CB" w:rsidRDefault="00E94DE1" w:rsidP="006576AA">
            <w:pPr>
              <w:spacing w:before="0" w:after="16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-29</w:t>
            </w:r>
            <w:r w:rsidR="006576AA"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907</w:t>
            </w:r>
          </w:p>
        </w:tc>
        <w:tc>
          <w:tcPr>
            <w:tcW w:w="1300" w:type="dxa"/>
            <w:tcBorders>
              <w:top w:val="nil"/>
              <w:left w:val="nil"/>
              <w:right w:val="nil"/>
            </w:tcBorders>
            <w:shd w:val="clear" w:color="auto" w:fill="auto"/>
            <w:noWrap/>
            <w:vAlign w:val="bottom"/>
            <w:hideMark/>
          </w:tcPr>
          <w:p w14:paraId="76D89B64" w14:textId="7784EF54" w:rsidR="00E94DE1" w:rsidRPr="00A076CB" w:rsidRDefault="00E94DE1" w:rsidP="006576AA">
            <w:pPr>
              <w:spacing w:before="0" w:after="16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-28</w:t>
            </w:r>
            <w:r w:rsidR="006576AA"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933</w:t>
            </w:r>
          </w:p>
        </w:tc>
        <w:tc>
          <w:tcPr>
            <w:tcW w:w="1300" w:type="dxa"/>
            <w:tcBorders>
              <w:top w:val="nil"/>
              <w:left w:val="nil"/>
              <w:right w:val="nil"/>
            </w:tcBorders>
            <w:shd w:val="clear" w:color="auto" w:fill="auto"/>
            <w:noWrap/>
            <w:vAlign w:val="bottom"/>
            <w:hideMark/>
          </w:tcPr>
          <w:p w14:paraId="6ECE4C21" w14:textId="2DA4672F" w:rsidR="00E94DE1" w:rsidRPr="00A076CB" w:rsidRDefault="00E94DE1" w:rsidP="006576AA">
            <w:pPr>
              <w:spacing w:before="0" w:after="16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-27</w:t>
            </w:r>
            <w:r w:rsidR="006576AA"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783</w:t>
            </w:r>
          </w:p>
        </w:tc>
        <w:tc>
          <w:tcPr>
            <w:tcW w:w="1300" w:type="dxa"/>
            <w:tcBorders>
              <w:top w:val="nil"/>
              <w:left w:val="nil"/>
              <w:right w:val="nil"/>
            </w:tcBorders>
            <w:shd w:val="clear" w:color="auto" w:fill="auto"/>
            <w:noWrap/>
            <w:vAlign w:val="bottom"/>
            <w:hideMark/>
          </w:tcPr>
          <w:p w14:paraId="7B4B711D" w14:textId="223ED81D" w:rsidR="00E94DE1" w:rsidRPr="00A076CB" w:rsidRDefault="00E94DE1" w:rsidP="006576AA">
            <w:pPr>
              <w:spacing w:before="0" w:after="16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-26</w:t>
            </w:r>
            <w:r w:rsidR="006576AA"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193</w:t>
            </w:r>
          </w:p>
        </w:tc>
      </w:tr>
      <w:tr w:rsidR="00E94DE1" w:rsidRPr="00A076CB" w14:paraId="6FE9ACC2" w14:textId="77777777" w:rsidTr="006576AA">
        <w:trPr>
          <w:trHeight w:val="320"/>
        </w:trPr>
        <w:tc>
          <w:tcPr>
            <w:tcW w:w="3195" w:type="dxa"/>
            <w:tcBorders>
              <w:top w:val="nil"/>
              <w:left w:val="nil"/>
              <w:right w:val="nil"/>
            </w:tcBorders>
            <w:shd w:val="clear" w:color="auto" w:fill="auto"/>
            <w:noWrap/>
            <w:vAlign w:val="bottom"/>
            <w:hideMark/>
          </w:tcPr>
          <w:p w14:paraId="54FAC0B7" w14:textId="77777777" w:rsidR="00E94DE1" w:rsidRPr="00A076CB" w:rsidRDefault="00E94DE1" w:rsidP="006576AA">
            <w:pPr>
              <w:spacing w:before="0" w:after="160"/>
              <w:rPr>
                <w:rFonts w:ascii="Calibri" w:eastAsia="Times New Roman" w:hAnsi="Calibri" w:cs="Calibri"/>
                <w:color w:val="000000"/>
                <w:sz w:val="20"/>
                <w:szCs w:val="20"/>
                <w:lang w:eastAsia="en-GB"/>
              </w:rPr>
            </w:pPr>
            <w:r w:rsidRPr="00A076CB">
              <w:rPr>
                <w:rFonts w:ascii="Calibri" w:eastAsia="Times New Roman" w:hAnsi="Calibri" w:cs="Calibri"/>
                <w:b/>
                <w:bCs/>
                <w:color w:val="000000"/>
                <w:sz w:val="20"/>
                <w:szCs w:val="20"/>
                <w:lang w:eastAsia="en-GB"/>
              </w:rPr>
              <w:t>Environment and climate</w:t>
            </w:r>
          </w:p>
        </w:tc>
        <w:tc>
          <w:tcPr>
            <w:tcW w:w="1300" w:type="dxa"/>
            <w:tcBorders>
              <w:top w:val="nil"/>
              <w:left w:val="nil"/>
              <w:right w:val="nil"/>
            </w:tcBorders>
            <w:shd w:val="clear" w:color="auto" w:fill="auto"/>
            <w:noWrap/>
            <w:vAlign w:val="bottom"/>
            <w:hideMark/>
          </w:tcPr>
          <w:p w14:paraId="32C005A5" w14:textId="77777777" w:rsidR="00E94DE1" w:rsidRPr="00A076CB" w:rsidRDefault="00E94DE1" w:rsidP="006576AA">
            <w:pPr>
              <w:spacing w:before="0" w:after="160"/>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Offset</w:t>
            </w:r>
          </w:p>
        </w:tc>
        <w:tc>
          <w:tcPr>
            <w:tcW w:w="1300" w:type="dxa"/>
            <w:tcBorders>
              <w:top w:val="nil"/>
              <w:left w:val="nil"/>
              <w:right w:val="nil"/>
            </w:tcBorders>
            <w:shd w:val="clear" w:color="auto" w:fill="auto"/>
            <w:noWrap/>
            <w:vAlign w:val="bottom"/>
            <w:hideMark/>
          </w:tcPr>
          <w:p w14:paraId="0BA56AA1" w14:textId="36EA48C2" w:rsidR="00E94DE1" w:rsidRPr="00A076CB" w:rsidRDefault="00E94DE1" w:rsidP="006576AA">
            <w:pPr>
              <w:spacing w:before="0" w:after="16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-32</w:t>
            </w:r>
            <w:r w:rsidR="006576AA"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339</w:t>
            </w:r>
          </w:p>
        </w:tc>
        <w:tc>
          <w:tcPr>
            <w:tcW w:w="1300" w:type="dxa"/>
            <w:tcBorders>
              <w:top w:val="nil"/>
              <w:left w:val="nil"/>
              <w:right w:val="nil"/>
            </w:tcBorders>
            <w:shd w:val="clear" w:color="auto" w:fill="auto"/>
            <w:noWrap/>
            <w:vAlign w:val="bottom"/>
            <w:hideMark/>
          </w:tcPr>
          <w:p w14:paraId="63F8543D" w14:textId="41DE599C" w:rsidR="00E94DE1" w:rsidRPr="00A076CB" w:rsidRDefault="00E94DE1" w:rsidP="006576AA">
            <w:pPr>
              <w:spacing w:before="0" w:after="16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-11</w:t>
            </w:r>
            <w:r w:rsidR="006576AA"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322</w:t>
            </w:r>
          </w:p>
        </w:tc>
        <w:tc>
          <w:tcPr>
            <w:tcW w:w="1300" w:type="dxa"/>
            <w:tcBorders>
              <w:top w:val="nil"/>
              <w:left w:val="nil"/>
              <w:right w:val="nil"/>
            </w:tcBorders>
            <w:shd w:val="clear" w:color="auto" w:fill="auto"/>
            <w:noWrap/>
            <w:vAlign w:val="bottom"/>
            <w:hideMark/>
          </w:tcPr>
          <w:p w14:paraId="48C49960" w14:textId="1717426E" w:rsidR="00E94DE1" w:rsidRPr="00A076CB" w:rsidRDefault="00E94DE1" w:rsidP="006576AA">
            <w:pPr>
              <w:spacing w:before="0" w:after="16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-8</w:t>
            </w:r>
            <w:r w:rsidR="006576AA"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766</w:t>
            </w:r>
          </w:p>
        </w:tc>
        <w:tc>
          <w:tcPr>
            <w:tcW w:w="1300" w:type="dxa"/>
            <w:tcBorders>
              <w:top w:val="nil"/>
              <w:left w:val="nil"/>
              <w:right w:val="nil"/>
            </w:tcBorders>
            <w:shd w:val="clear" w:color="auto" w:fill="auto"/>
            <w:noWrap/>
            <w:vAlign w:val="bottom"/>
            <w:hideMark/>
          </w:tcPr>
          <w:p w14:paraId="393CE353" w14:textId="77777777" w:rsidR="00E94DE1" w:rsidRPr="00A076CB" w:rsidRDefault="00E94DE1" w:rsidP="006576AA">
            <w:pPr>
              <w:spacing w:before="0" w:after="16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-338</w:t>
            </w:r>
          </w:p>
        </w:tc>
      </w:tr>
      <w:tr w:rsidR="00E94DE1" w:rsidRPr="00A076CB" w14:paraId="3715EA51" w14:textId="77777777" w:rsidTr="002A0BB3">
        <w:trPr>
          <w:trHeight w:val="320"/>
        </w:trPr>
        <w:tc>
          <w:tcPr>
            <w:tcW w:w="3195" w:type="dxa"/>
            <w:tcBorders>
              <w:top w:val="nil"/>
              <w:left w:val="nil"/>
              <w:bottom w:val="nil"/>
              <w:right w:val="nil"/>
            </w:tcBorders>
            <w:shd w:val="clear" w:color="auto" w:fill="auto"/>
            <w:noWrap/>
            <w:vAlign w:val="bottom"/>
            <w:hideMark/>
          </w:tcPr>
          <w:p w14:paraId="729584DC" w14:textId="77777777" w:rsidR="00E94DE1" w:rsidRPr="00A076CB" w:rsidRDefault="00E94DE1" w:rsidP="006576AA">
            <w:pPr>
              <w:spacing w:before="0" w:after="0"/>
              <w:rPr>
                <w:rFonts w:ascii="Calibri" w:eastAsia="Times New Roman" w:hAnsi="Calibri" w:cs="Calibri"/>
                <w:color w:val="000000"/>
                <w:sz w:val="20"/>
                <w:szCs w:val="20"/>
                <w:lang w:eastAsia="en-GB"/>
              </w:rPr>
            </w:pPr>
            <w:r w:rsidRPr="00A076CB">
              <w:rPr>
                <w:rFonts w:ascii="Calibri" w:eastAsia="Times New Roman" w:hAnsi="Calibri" w:cs="Calibri"/>
                <w:b/>
                <w:bCs/>
                <w:color w:val="000000"/>
                <w:sz w:val="20"/>
                <w:szCs w:val="20"/>
                <w:lang w:eastAsia="en-GB"/>
              </w:rPr>
              <w:t>Governance &amp; institutions</w:t>
            </w:r>
          </w:p>
        </w:tc>
        <w:tc>
          <w:tcPr>
            <w:tcW w:w="1300" w:type="dxa"/>
            <w:tcBorders>
              <w:top w:val="nil"/>
              <w:left w:val="nil"/>
              <w:bottom w:val="nil"/>
              <w:right w:val="nil"/>
            </w:tcBorders>
            <w:shd w:val="clear" w:color="auto" w:fill="auto"/>
            <w:noWrap/>
            <w:vAlign w:val="bottom"/>
            <w:hideMark/>
          </w:tcPr>
          <w:p w14:paraId="6D16EBD2" w14:textId="77777777" w:rsidR="00E94DE1" w:rsidRPr="00A076CB" w:rsidRDefault="00E94DE1" w:rsidP="006576AA">
            <w:pPr>
              <w:spacing w:before="0" w:after="0"/>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Offset</w:t>
            </w:r>
          </w:p>
        </w:tc>
        <w:tc>
          <w:tcPr>
            <w:tcW w:w="1300" w:type="dxa"/>
            <w:tcBorders>
              <w:top w:val="nil"/>
              <w:left w:val="nil"/>
              <w:bottom w:val="nil"/>
              <w:right w:val="nil"/>
            </w:tcBorders>
            <w:shd w:val="clear" w:color="auto" w:fill="auto"/>
            <w:noWrap/>
            <w:vAlign w:val="bottom"/>
            <w:hideMark/>
          </w:tcPr>
          <w:p w14:paraId="2361D9E4" w14:textId="54F609F9" w:rsidR="00E94DE1" w:rsidRPr="00A076CB" w:rsidRDefault="00E94DE1" w:rsidP="006576AA">
            <w:pPr>
              <w:spacing w:before="0" w:after="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-11</w:t>
            </w:r>
            <w:r w:rsidR="006576AA"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213</w:t>
            </w:r>
          </w:p>
        </w:tc>
        <w:tc>
          <w:tcPr>
            <w:tcW w:w="1300" w:type="dxa"/>
            <w:tcBorders>
              <w:top w:val="nil"/>
              <w:left w:val="nil"/>
              <w:bottom w:val="nil"/>
              <w:right w:val="nil"/>
            </w:tcBorders>
            <w:shd w:val="clear" w:color="auto" w:fill="auto"/>
            <w:noWrap/>
            <w:vAlign w:val="bottom"/>
            <w:hideMark/>
          </w:tcPr>
          <w:p w14:paraId="7BF0CA61" w14:textId="0A208553" w:rsidR="00E94DE1" w:rsidRPr="00A076CB" w:rsidRDefault="00E94DE1" w:rsidP="006576AA">
            <w:pPr>
              <w:spacing w:before="0" w:after="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-10</w:t>
            </w:r>
            <w:r w:rsidR="006576AA"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040</w:t>
            </w:r>
          </w:p>
        </w:tc>
        <w:tc>
          <w:tcPr>
            <w:tcW w:w="1300" w:type="dxa"/>
            <w:tcBorders>
              <w:top w:val="nil"/>
              <w:left w:val="nil"/>
              <w:bottom w:val="nil"/>
              <w:right w:val="nil"/>
            </w:tcBorders>
            <w:shd w:val="clear" w:color="auto" w:fill="auto"/>
            <w:noWrap/>
            <w:vAlign w:val="bottom"/>
            <w:hideMark/>
          </w:tcPr>
          <w:p w14:paraId="5F90E12C" w14:textId="725C2CF5" w:rsidR="00E94DE1" w:rsidRPr="00A076CB" w:rsidRDefault="00E94DE1" w:rsidP="006576AA">
            <w:pPr>
              <w:spacing w:before="0" w:after="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-6</w:t>
            </w:r>
            <w:r w:rsidR="006576AA"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407</w:t>
            </w:r>
          </w:p>
        </w:tc>
        <w:tc>
          <w:tcPr>
            <w:tcW w:w="1300" w:type="dxa"/>
            <w:tcBorders>
              <w:top w:val="nil"/>
              <w:left w:val="nil"/>
              <w:bottom w:val="nil"/>
              <w:right w:val="nil"/>
            </w:tcBorders>
            <w:shd w:val="clear" w:color="auto" w:fill="auto"/>
            <w:noWrap/>
            <w:vAlign w:val="bottom"/>
            <w:hideMark/>
          </w:tcPr>
          <w:p w14:paraId="541B5197" w14:textId="5FF59FE2" w:rsidR="00E94DE1" w:rsidRPr="00A076CB" w:rsidRDefault="00E94DE1" w:rsidP="006576AA">
            <w:pPr>
              <w:spacing w:before="0" w:after="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-6</w:t>
            </w:r>
            <w:r w:rsidR="00A076CB"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572</w:t>
            </w:r>
          </w:p>
        </w:tc>
      </w:tr>
      <w:tr w:rsidR="00E94DE1" w:rsidRPr="00A076CB" w14:paraId="3F60C151" w14:textId="77777777" w:rsidTr="006576AA">
        <w:trPr>
          <w:trHeight w:val="320"/>
        </w:trPr>
        <w:tc>
          <w:tcPr>
            <w:tcW w:w="3195" w:type="dxa"/>
            <w:tcBorders>
              <w:top w:val="nil"/>
              <w:left w:val="nil"/>
              <w:right w:val="nil"/>
            </w:tcBorders>
            <w:shd w:val="clear" w:color="auto" w:fill="auto"/>
            <w:noWrap/>
            <w:vAlign w:val="bottom"/>
            <w:hideMark/>
          </w:tcPr>
          <w:p w14:paraId="5ECB04CF" w14:textId="77777777" w:rsidR="00E94DE1" w:rsidRPr="00A076CB" w:rsidRDefault="00E94DE1" w:rsidP="006576AA">
            <w:pPr>
              <w:spacing w:before="0"/>
              <w:rPr>
                <w:rFonts w:ascii="Calibri" w:eastAsia="Times New Roman" w:hAnsi="Calibri" w:cs="Calibri"/>
                <w:b/>
                <w:bCs/>
                <w:color w:val="000000"/>
                <w:sz w:val="20"/>
                <w:szCs w:val="20"/>
                <w:lang w:eastAsia="en-GB"/>
              </w:rPr>
            </w:pPr>
          </w:p>
        </w:tc>
        <w:tc>
          <w:tcPr>
            <w:tcW w:w="1300" w:type="dxa"/>
            <w:tcBorders>
              <w:top w:val="nil"/>
              <w:left w:val="nil"/>
              <w:right w:val="nil"/>
            </w:tcBorders>
            <w:shd w:val="clear" w:color="auto" w:fill="auto"/>
            <w:noWrap/>
            <w:vAlign w:val="bottom"/>
            <w:hideMark/>
          </w:tcPr>
          <w:p w14:paraId="2D845BCE" w14:textId="77777777" w:rsidR="00E94DE1" w:rsidRPr="00A076CB" w:rsidRDefault="00E94DE1" w:rsidP="006576AA">
            <w:pPr>
              <w:spacing w:before="0"/>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Savings</w:t>
            </w:r>
          </w:p>
        </w:tc>
        <w:tc>
          <w:tcPr>
            <w:tcW w:w="1300" w:type="dxa"/>
            <w:tcBorders>
              <w:top w:val="nil"/>
              <w:left w:val="nil"/>
              <w:right w:val="nil"/>
            </w:tcBorders>
            <w:shd w:val="clear" w:color="auto" w:fill="auto"/>
            <w:noWrap/>
            <w:vAlign w:val="bottom"/>
            <w:hideMark/>
          </w:tcPr>
          <w:p w14:paraId="49C2C92C" w14:textId="7DE98AF1" w:rsidR="00E94DE1" w:rsidRPr="00A076CB" w:rsidRDefault="00E94DE1" w:rsidP="006576AA">
            <w:pPr>
              <w:spacing w:before="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-20</w:t>
            </w:r>
            <w:r w:rsidR="006576AA"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290</w:t>
            </w:r>
          </w:p>
        </w:tc>
        <w:tc>
          <w:tcPr>
            <w:tcW w:w="1300" w:type="dxa"/>
            <w:tcBorders>
              <w:top w:val="nil"/>
              <w:left w:val="nil"/>
              <w:right w:val="nil"/>
            </w:tcBorders>
            <w:shd w:val="clear" w:color="auto" w:fill="auto"/>
            <w:noWrap/>
            <w:vAlign w:val="bottom"/>
            <w:hideMark/>
          </w:tcPr>
          <w:p w14:paraId="50AC86EF" w14:textId="1CA777DA" w:rsidR="00E94DE1" w:rsidRPr="00A076CB" w:rsidRDefault="00E94DE1" w:rsidP="006576AA">
            <w:pPr>
              <w:spacing w:before="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-20</w:t>
            </w:r>
            <w:r w:rsidR="006576AA"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117</w:t>
            </w:r>
          </w:p>
        </w:tc>
        <w:tc>
          <w:tcPr>
            <w:tcW w:w="1300" w:type="dxa"/>
            <w:tcBorders>
              <w:top w:val="nil"/>
              <w:left w:val="nil"/>
              <w:right w:val="nil"/>
            </w:tcBorders>
            <w:shd w:val="clear" w:color="auto" w:fill="auto"/>
            <w:noWrap/>
            <w:vAlign w:val="bottom"/>
            <w:hideMark/>
          </w:tcPr>
          <w:p w14:paraId="05C15286" w14:textId="55359948" w:rsidR="00E94DE1" w:rsidRPr="00A076CB" w:rsidRDefault="00E94DE1" w:rsidP="006576AA">
            <w:pPr>
              <w:spacing w:before="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-20</w:t>
            </w:r>
            <w:r w:rsidR="006576AA"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599</w:t>
            </w:r>
          </w:p>
        </w:tc>
        <w:tc>
          <w:tcPr>
            <w:tcW w:w="1300" w:type="dxa"/>
            <w:tcBorders>
              <w:top w:val="nil"/>
              <w:left w:val="nil"/>
              <w:right w:val="nil"/>
            </w:tcBorders>
            <w:shd w:val="clear" w:color="auto" w:fill="auto"/>
            <w:noWrap/>
            <w:vAlign w:val="bottom"/>
            <w:hideMark/>
          </w:tcPr>
          <w:p w14:paraId="64878E08" w14:textId="6D0388A6" w:rsidR="00E94DE1" w:rsidRPr="00A076CB" w:rsidRDefault="00E94DE1" w:rsidP="006576AA">
            <w:pPr>
              <w:spacing w:before="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-20</w:t>
            </w:r>
            <w:r w:rsidR="00A076CB"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961</w:t>
            </w:r>
          </w:p>
        </w:tc>
      </w:tr>
      <w:tr w:rsidR="00E94DE1" w:rsidRPr="00A076CB" w14:paraId="7D35C803" w14:textId="77777777" w:rsidTr="002A0BB3">
        <w:trPr>
          <w:trHeight w:val="320"/>
        </w:trPr>
        <w:tc>
          <w:tcPr>
            <w:tcW w:w="3195" w:type="dxa"/>
            <w:tcBorders>
              <w:top w:val="nil"/>
              <w:left w:val="nil"/>
              <w:bottom w:val="nil"/>
              <w:right w:val="nil"/>
            </w:tcBorders>
            <w:shd w:val="clear" w:color="auto" w:fill="auto"/>
            <w:noWrap/>
            <w:vAlign w:val="bottom"/>
            <w:hideMark/>
          </w:tcPr>
          <w:p w14:paraId="7DE5164A" w14:textId="77777777" w:rsidR="00E94DE1" w:rsidRPr="00A076CB" w:rsidRDefault="00E94DE1" w:rsidP="006576AA">
            <w:pPr>
              <w:spacing w:before="0" w:after="0"/>
              <w:rPr>
                <w:rFonts w:ascii="Calibri" w:eastAsia="Times New Roman" w:hAnsi="Calibri" w:cs="Calibri"/>
                <w:color w:val="000000"/>
                <w:sz w:val="20"/>
                <w:szCs w:val="20"/>
                <w:lang w:eastAsia="en-GB"/>
              </w:rPr>
            </w:pPr>
            <w:r w:rsidRPr="00A076CB">
              <w:rPr>
                <w:rFonts w:ascii="Calibri" w:eastAsia="Times New Roman" w:hAnsi="Calibri" w:cs="Calibri"/>
                <w:b/>
                <w:bCs/>
                <w:color w:val="000000"/>
                <w:sz w:val="20"/>
                <w:szCs w:val="20"/>
                <w:lang w:eastAsia="en-GB"/>
              </w:rPr>
              <w:t>Health</w:t>
            </w:r>
          </w:p>
        </w:tc>
        <w:tc>
          <w:tcPr>
            <w:tcW w:w="1300" w:type="dxa"/>
            <w:tcBorders>
              <w:top w:val="nil"/>
              <w:left w:val="nil"/>
              <w:bottom w:val="nil"/>
              <w:right w:val="nil"/>
            </w:tcBorders>
            <w:shd w:val="clear" w:color="auto" w:fill="auto"/>
            <w:noWrap/>
            <w:vAlign w:val="bottom"/>
            <w:hideMark/>
          </w:tcPr>
          <w:p w14:paraId="58951B3A" w14:textId="77777777" w:rsidR="00E94DE1" w:rsidRPr="00A076CB" w:rsidRDefault="00E94DE1" w:rsidP="006576AA">
            <w:pPr>
              <w:spacing w:before="0" w:after="0"/>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Offset</w:t>
            </w:r>
          </w:p>
        </w:tc>
        <w:tc>
          <w:tcPr>
            <w:tcW w:w="1300" w:type="dxa"/>
            <w:tcBorders>
              <w:top w:val="nil"/>
              <w:left w:val="nil"/>
              <w:bottom w:val="nil"/>
              <w:right w:val="nil"/>
            </w:tcBorders>
            <w:shd w:val="clear" w:color="auto" w:fill="auto"/>
            <w:noWrap/>
            <w:vAlign w:val="bottom"/>
            <w:hideMark/>
          </w:tcPr>
          <w:p w14:paraId="6B427422" w14:textId="03843890" w:rsidR="00E94DE1" w:rsidRPr="00A076CB" w:rsidRDefault="00E94DE1" w:rsidP="006576AA">
            <w:pPr>
              <w:spacing w:before="0" w:after="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-5</w:t>
            </w:r>
            <w:r w:rsidR="006576AA"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530</w:t>
            </w:r>
          </w:p>
        </w:tc>
        <w:tc>
          <w:tcPr>
            <w:tcW w:w="1300" w:type="dxa"/>
            <w:tcBorders>
              <w:top w:val="nil"/>
              <w:left w:val="nil"/>
              <w:bottom w:val="nil"/>
              <w:right w:val="nil"/>
            </w:tcBorders>
            <w:shd w:val="clear" w:color="auto" w:fill="auto"/>
            <w:noWrap/>
            <w:vAlign w:val="bottom"/>
            <w:hideMark/>
          </w:tcPr>
          <w:p w14:paraId="6F6E240D" w14:textId="5FADB099" w:rsidR="00E94DE1" w:rsidRPr="00A076CB" w:rsidRDefault="00E94DE1" w:rsidP="006576AA">
            <w:pPr>
              <w:spacing w:before="0" w:after="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-66</w:t>
            </w:r>
            <w:r w:rsidR="006576AA"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785</w:t>
            </w:r>
          </w:p>
        </w:tc>
        <w:tc>
          <w:tcPr>
            <w:tcW w:w="1300" w:type="dxa"/>
            <w:tcBorders>
              <w:top w:val="nil"/>
              <w:left w:val="nil"/>
              <w:bottom w:val="nil"/>
              <w:right w:val="nil"/>
            </w:tcBorders>
            <w:shd w:val="clear" w:color="auto" w:fill="auto"/>
            <w:noWrap/>
            <w:vAlign w:val="bottom"/>
            <w:hideMark/>
          </w:tcPr>
          <w:p w14:paraId="6F69EF8B" w14:textId="044636C0" w:rsidR="00E94DE1" w:rsidRPr="00A076CB" w:rsidRDefault="00E94DE1" w:rsidP="006576AA">
            <w:pPr>
              <w:spacing w:before="0" w:after="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-133</w:t>
            </w:r>
            <w:r w:rsidR="006576AA"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527</w:t>
            </w:r>
          </w:p>
        </w:tc>
        <w:tc>
          <w:tcPr>
            <w:tcW w:w="1300" w:type="dxa"/>
            <w:tcBorders>
              <w:top w:val="nil"/>
              <w:left w:val="nil"/>
              <w:bottom w:val="nil"/>
              <w:right w:val="nil"/>
            </w:tcBorders>
            <w:shd w:val="clear" w:color="auto" w:fill="auto"/>
            <w:noWrap/>
            <w:vAlign w:val="bottom"/>
            <w:hideMark/>
          </w:tcPr>
          <w:p w14:paraId="4E17AC32" w14:textId="3B9E498E" w:rsidR="00E94DE1" w:rsidRPr="00A076CB" w:rsidRDefault="00E94DE1" w:rsidP="006576AA">
            <w:pPr>
              <w:spacing w:before="0" w:after="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-179</w:t>
            </w:r>
            <w:r w:rsidR="00A076CB"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723</w:t>
            </w:r>
          </w:p>
        </w:tc>
      </w:tr>
      <w:tr w:rsidR="00E94DE1" w:rsidRPr="00A076CB" w14:paraId="0C4752AF" w14:textId="77777777" w:rsidTr="006576AA">
        <w:trPr>
          <w:trHeight w:val="320"/>
        </w:trPr>
        <w:tc>
          <w:tcPr>
            <w:tcW w:w="3195" w:type="dxa"/>
            <w:tcBorders>
              <w:top w:val="nil"/>
              <w:left w:val="nil"/>
              <w:right w:val="nil"/>
            </w:tcBorders>
            <w:shd w:val="clear" w:color="auto" w:fill="auto"/>
            <w:noWrap/>
            <w:vAlign w:val="bottom"/>
            <w:hideMark/>
          </w:tcPr>
          <w:p w14:paraId="134710BB" w14:textId="77777777" w:rsidR="00E94DE1" w:rsidRPr="00A076CB" w:rsidRDefault="00E94DE1" w:rsidP="006576AA">
            <w:pPr>
              <w:spacing w:before="0" w:after="160"/>
              <w:rPr>
                <w:rFonts w:ascii="Calibri" w:eastAsia="Times New Roman" w:hAnsi="Calibri" w:cs="Calibri"/>
                <w:b/>
                <w:bCs/>
                <w:color w:val="000000"/>
                <w:sz w:val="20"/>
                <w:szCs w:val="20"/>
                <w:lang w:eastAsia="en-GB"/>
              </w:rPr>
            </w:pPr>
          </w:p>
        </w:tc>
        <w:tc>
          <w:tcPr>
            <w:tcW w:w="1300" w:type="dxa"/>
            <w:tcBorders>
              <w:top w:val="nil"/>
              <w:left w:val="nil"/>
              <w:right w:val="nil"/>
            </w:tcBorders>
            <w:shd w:val="clear" w:color="auto" w:fill="auto"/>
            <w:noWrap/>
            <w:vAlign w:val="bottom"/>
            <w:hideMark/>
          </w:tcPr>
          <w:p w14:paraId="2859904E" w14:textId="77777777" w:rsidR="00E94DE1" w:rsidRPr="00A076CB" w:rsidRDefault="00E94DE1" w:rsidP="006576AA">
            <w:pPr>
              <w:spacing w:before="0" w:after="160"/>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Savings</w:t>
            </w:r>
          </w:p>
        </w:tc>
        <w:tc>
          <w:tcPr>
            <w:tcW w:w="1300" w:type="dxa"/>
            <w:tcBorders>
              <w:top w:val="nil"/>
              <w:left w:val="nil"/>
              <w:right w:val="nil"/>
            </w:tcBorders>
            <w:shd w:val="clear" w:color="auto" w:fill="auto"/>
            <w:noWrap/>
            <w:vAlign w:val="bottom"/>
            <w:hideMark/>
          </w:tcPr>
          <w:p w14:paraId="0F01C6EC" w14:textId="77777777" w:rsidR="00E94DE1" w:rsidRPr="00A076CB" w:rsidRDefault="00E94DE1" w:rsidP="006576AA">
            <w:pPr>
              <w:spacing w:before="0" w:after="16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-171</w:t>
            </w:r>
          </w:p>
        </w:tc>
        <w:tc>
          <w:tcPr>
            <w:tcW w:w="1300" w:type="dxa"/>
            <w:tcBorders>
              <w:top w:val="nil"/>
              <w:left w:val="nil"/>
              <w:right w:val="nil"/>
            </w:tcBorders>
            <w:shd w:val="clear" w:color="auto" w:fill="auto"/>
            <w:noWrap/>
            <w:vAlign w:val="bottom"/>
            <w:hideMark/>
          </w:tcPr>
          <w:p w14:paraId="52390341" w14:textId="77777777" w:rsidR="00E94DE1" w:rsidRPr="00A076CB" w:rsidRDefault="00E94DE1" w:rsidP="006576AA">
            <w:pPr>
              <w:spacing w:before="0" w:after="16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-176</w:t>
            </w:r>
          </w:p>
        </w:tc>
        <w:tc>
          <w:tcPr>
            <w:tcW w:w="1300" w:type="dxa"/>
            <w:tcBorders>
              <w:top w:val="nil"/>
              <w:left w:val="nil"/>
              <w:right w:val="nil"/>
            </w:tcBorders>
            <w:shd w:val="clear" w:color="auto" w:fill="auto"/>
            <w:noWrap/>
            <w:vAlign w:val="bottom"/>
            <w:hideMark/>
          </w:tcPr>
          <w:p w14:paraId="703EC54E" w14:textId="77777777" w:rsidR="00E94DE1" w:rsidRPr="00A076CB" w:rsidRDefault="00E94DE1" w:rsidP="006576AA">
            <w:pPr>
              <w:spacing w:before="0" w:after="16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-180</w:t>
            </w:r>
          </w:p>
        </w:tc>
        <w:tc>
          <w:tcPr>
            <w:tcW w:w="1300" w:type="dxa"/>
            <w:tcBorders>
              <w:top w:val="nil"/>
              <w:left w:val="nil"/>
              <w:right w:val="nil"/>
            </w:tcBorders>
            <w:shd w:val="clear" w:color="auto" w:fill="auto"/>
            <w:noWrap/>
            <w:vAlign w:val="bottom"/>
            <w:hideMark/>
          </w:tcPr>
          <w:p w14:paraId="3324225F" w14:textId="77777777" w:rsidR="00E94DE1" w:rsidRPr="00A076CB" w:rsidRDefault="00E94DE1" w:rsidP="006576AA">
            <w:pPr>
              <w:spacing w:before="0" w:after="16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-185</w:t>
            </w:r>
          </w:p>
        </w:tc>
      </w:tr>
      <w:tr w:rsidR="00E94DE1" w:rsidRPr="00A076CB" w14:paraId="6238AD50" w14:textId="77777777" w:rsidTr="006576AA">
        <w:trPr>
          <w:trHeight w:val="320"/>
        </w:trPr>
        <w:tc>
          <w:tcPr>
            <w:tcW w:w="3195" w:type="dxa"/>
            <w:tcBorders>
              <w:top w:val="nil"/>
              <w:left w:val="nil"/>
              <w:right w:val="nil"/>
            </w:tcBorders>
            <w:shd w:val="clear" w:color="auto" w:fill="auto"/>
            <w:noWrap/>
            <w:vAlign w:val="bottom"/>
            <w:hideMark/>
          </w:tcPr>
          <w:p w14:paraId="273BB195" w14:textId="77777777" w:rsidR="00E94DE1" w:rsidRPr="00A076CB" w:rsidRDefault="00E94DE1" w:rsidP="006576AA">
            <w:pPr>
              <w:spacing w:before="0" w:after="160"/>
              <w:rPr>
                <w:rFonts w:ascii="Calibri" w:eastAsia="Times New Roman" w:hAnsi="Calibri" w:cs="Calibri"/>
                <w:color w:val="000000"/>
                <w:sz w:val="20"/>
                <w:szCs w:val="20"/>
                <w:lang w:eastAsia="en-GB"/>
              </w:rPr>
            </w:pPr>
            <w:r w:rsidRPr="00A076CB">
              <w:rPr>
                <w:rFonts w:ascii="Calibri" w:eastAsia="Times New Roman" w:hAnsi="Calibri" w:cs="Calibri"/>
                <w:b/>
                <w:bCs/>
                <w:color w:val="000000"/>
                <w:sz w:val="20"/>
                <w:szCs w:val="20"/>
                <w:lang w:eastAsia="en-GB"/>
              </w:rPr>
              <w:t>Housing and home</w:t>
            </w:r>
          </w:p>
        </w:tc>
        <w:tc>
          <w:tcPr>
            <w:tcW w:w="1300" w:type="dxa"/>
            <w:tcBorders>
              <w:top w:val="nil"/>
              <w:left w:val="nil"/>
              <w:right w:val="nil"/>
            </w:tcBorders>
            <w:shd w:val="clear" w:color="auto" w:fill="auto"/>
            <w:noWrap/>
            <w:vAlign w:val="bottom"/>
            <w:hideMark/>
          </w:tcPr>
          <w:p w14:paraId="381868D6" w14:textId="77777777" w:rsidR="00E94DE1" w:rsidRPr="00A076CB" w:rsidRDefault="00E94DE1" w:rsidP="006576AA">
            <w:pPr>
              <w:spacing w:before="0" w:after="160"/>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Offset</w:t>
            </w:r>
          </w:p>
        </w:tc>
        <w:tc>
          <w:tcPr>
            <w:tcW w:w="1300" w:type="dxa"/>
            <w:tcBorders>
              <w:top w:val="nil"/>
              <w:left w:val="nil"/>
              <w:right w:val="nil"/>
            </w:tcBorders>
            <w:shd w:val="clear" w:color="auto" w:fill="auto"/>
            <w:noWrap/>
            <w:vAlign w:val="bottom"/>
            <w:hideMark/>
          </w:tcPr>
          <w:p w14:paraId="1B7AAD11" w14:textId="027AAD48" w:rsidR="00E94DE1" w:rsidRPr="00A076CB" w:rsidRDefault="00E94DE1" w:rsidP="006576AA">
            <w:pPr>
              <w:spacing w:before="0" w:after="16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-10</w:t>
            </w:r>
            <w:r w:rsidR="006576AA"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172</w:t>
            </w:r>
          </w:p>
        </w:tc>
        <w:tc>
          <w:tcPr>
            <w:tcW w:w="1300" w:type="dxa"/>
            <w:tcBorders>
              <w:top w:val="nil"/>
              <w:left w:val="nil"/>
              <w:right w:val="nil"/>
            </w:tcBorders>
            <w:shd w:val="clear" w:color="auto" w:fill="auto"/>
            <w:noWrap/>
            <w:vAlign w:val="bottom"/>
            <w:hideMark/>
          </w:tcPr>
          <w:p w14:paraId="4C4E180D" w14:textId="255CC596" w:rsidR="00E94DE1" w:rsidRPr="00A076CB" w:rsidRDefault="00E94DE1" w:rsidP="006576AA">
            <w:pPr>
              <w:spacing w:before="0" w:after="16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-5</w:t>
            </w:r>
            <w:r w:rsidR="006576AA"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424</w:t>
            </w:r>
          </w:p>
        </w:tc>
        <w:tc>
          <w:tcPr>
            <w:tcW w:w="1300" w:type="dxa"/>
            <w:tcBorders>
              <w:top w:val="nil"/>
              <w:left w:val="nil"/>
              <w:right w:val="nil"/>
            </w:tcBorders>
            <w:shd w:val="clear" w:color="auto" w:fill="auto"/>
            <w:noWrap/>
            <w:vAlign w:val="bottom"/>
            <w:hideMark/>
          </w:tcPr>
          <w:p w14:paraId="6AFD915F" w14:textId="14AF2431" w:rsidR="00E94DE1" w:rsidRPr="00A076CB" w:rsidRDefault="00E94DE1" w:rsidP="006576AA">
            <w:pPr>
              <w:spacing w:before="0" w:after="16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-8</w:t>
            </w:r>
            <w:r w:rsidR="006576AA"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893</w:t>
            </w:r>
          </w:p>
        </w:tc>
        <w:tc>
          <w:tcPr>
            <w:tcW w:w="1300" w:type="dxa"/>
            <w:tcBorders>
              <w:top w:val="nil"/>
              <w:left w:val="nil"/>
              <w:right w:val="nil"/>
            </w:tcBorders>
            <w:shd w:val="clear" w:color="auto" w:fill="auto"/>
            <w:noWrap/>
            <w:vAlign w:val="bottom"/>
            <w:hideMark/>
          </w:tcPr>
          <w:p w14:paraId="1CBEE3DF" w14:textId="4278B32A" w:rsidR="00E94DE1" w:rsidRPr="00A076CB" w:rsidRDefault="00E94DE1" w:rsidP="006576AA">
            <w:pPr>
              <w:spacing w:before="0" w:after="16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-3</w:t>
            </w:r>
            <w:r w:rsidR="00A076CB"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873</w:t>
            </w:r>
          </w:p>
        </w:tc>
      </w:tr>
      <w:tr w:rsidR="00E94DE1" w:rsidRPr="00A076CB" w14:paraId="5FAED134" w14:textId="77777777" w:rsidTr="006576AA">
        <w:trPr>
          <w:trHeight w:val="320"/>
        </w:trPr>
        <w:tc>
          <w:tcPr>
            <w:tcW w:w="3195" w:type="dxa"/>
            <w:tcBorders>
              <w:top w:val="nil"/>
              <w:left w:val="nil"/>
              <w:right w:val="nil"/>
            </w:tcBorders>
            <w:shd w:val="clear" w:color="auto" w:fill="auto"/>
            <w:noWrap/>
            <w:vAlign w:val="bottom"/>
            <w:hideMark/>
          </w:tcPr>
          <w:p w14:paraId="335DC4F5" w14:textId="77777777" w:rsidR="00E94DE1" w:rsidRPr="00A076CB" w:rsidRDefault="00E94DE1" w:rsidP="006576AA">
            <w:pPr>
              <w:spacing w:before="0" w:after="160"/>
              <w:rPr>
                <w:rFonts w:ascii="Calibri" w:eastAsia="Times New Roman" w:hAnsi="Calibri" w:cs="Calibri"/>
                <w:color w:val="000000"/>
                <w:sz w:val="20"/>
                <w:szCs w:val="20"/>
                <w:lang w:eastAsia="en-GB"/>
              </w:rPr>
            </w:pPr>
            <w:r w:rsidRPr="00A076CB">
              <w:rPr>
                <w:rFonts w:ascii="Calibri" w:eastAsia="Times New Roman" w:hAnsi="Calibri" w:cs="Calibri"/>
                <w:b/>
                <w:bCs/>
                <w:color w:val="000000"/>
                <w:sz w:val="20"/>
                <w:szCs w:val="20"/>
                <w:lang w:eastAsia="en-GB"/>
              </w:rPr>
              <w:t>Identity and belonging</w:t>
            </w:r>
          </w:p>
        </w:tc>
        <w:tc>
          <w:tcPr>
            <w:tcW w:w="1300" w:type="dxa"/>
            <w:tcBorders>
              <w:top w:val="nil"/>
              <w:left w:val="nil"/>
              <w:right w:val="nil"/>
            </w:tcBorders>
            <w:shd w:val="clear" w:color="auto" w:fill="auto"/>
            <w:noWrap/>
            <w:vAlign w:val="bottom"/>
            <w:hideMark/>
          </w:tcPr>
          <w:p w14:paraId="2F59BE40" w14:textId="77777777" w:rsidR="00E94DE1" w:rsidRPr="00A076CB" w:rsidRDefault="00E94DE1" w:rsidP="006576AA">
            <w:pPr>
              <w:spacing w:before="0" w:after="160"/>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Offset</w:t>
            </w:r>
          </w:p>
        </w:tc>
        <w:tc>
          <w:tcPr>
            <w:tcW w:w="1300" w:type="dxa"/>
            <w:tcBorders>
              <w:top w:val="nil"/>
              <w:left w:val="nil"/>
              <w:right w:val="nil"/>
            </w:tcBorders>
            <w:shd w:val="clear" w:color="auto" w:fill="auto"/>
            <w:noWrap/>
            <w:vAlign w:val="bottom"/>
            <w:hideMark/>
          </w:tcPr>
          <w:p w14:paraId="20E46F86" w14:textId="77777777" w:rsidR="00E94DE1" w:rsidRPr="00A076CB" w:rsidRDefault="00E94DE1" w:rsidP="006576AA">
            <w:pPr>
              <w:spacing w:before="0" w:after="16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-511</w:t>
            </w:r>
          </w:p>
        </w:tc>
        <w:tc>
          <w:tcPr>
            <w:tcW w:w="1300" w:type="dxa"/>
            <w:tcBorders>
              <w:top w:val="nil"/>
              <w:left w:val="nil"/>
              <w:right w:val="nil"/>
            </w:tcBorders>
            <w:shd w:val="clear" w:color="auto" w:fill="auto"/>
            <w:noWrap/>
            <w:vAlign w:val="bottom"/>
            <w:hideMark/>
          </w:tcPr>
          <w:p w14:paraId="76972C16" w14:textId="77777777" w:rsidR="00E94DE1" w:rsidRPr="00A076CB" w:rsidRDefault="00E94DE1" w:rsidP="006576AA">
            <w:pPr>
              <w:spacing w:before="0" w:after="16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-413</w:t>
            </w:r>
          </w:p>
        </w:tc>
        <w:tc>
          <w:tcPr>
            <w:tcW w:w="1300" w:type="dxa"/>
            <w:tcBorders>
              <w:top w:val="nil"/>
              <w:left w:val="nil"/>
              <w:right w:val="nil"/>
            </w:tcBorders>
            <w:shd w:val="clear" w:color="auto" w:fill="auto"/>
            <w:noWrap/>
            <w:vAlign w:val="bottom"/>
            <w:hideMark/>
          </w:tcPr>
          <w:p w14:paraId="208341FA" w14:textId="77777777" w:rsidR="00E94DE1" w:rsidRPr="00A076CB" w:rsidRDefault="00E94DE1" w:rsidP="006576AA">
            <w:pPr>
              <w:spacing w:before="0" w:after="16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-415</w:t>
            </w:r>
          </w:p>
        </w:tc>
        <w:tc>
          <w:tcPr>
            <w:tcW w:w="1300" w:type="dxa"/>
            <w:tcBorders>
              <w:top w:val="nil"/>
              <w:left w:val="nil"/>
              <w:right w:val="nil"/>
            </w:tcBorders>
            <w:shd w:val="clear" w:color="auto" w:fill="auto"/>
            <w:noWrap/>
            <w:vAlign w:val="bottom"/>
            <w:hideMark/>
          </w:tcPr>
          <w:p w14:paraId="6686E291" w14:textId="77777777" w:rsidR="00E94DE1" w:rsidRPr="00A076CB" w:rsidRDefault="00E94DE1" w:rsidP="006576AA">
            <w:pPr>
              <w:spacing w:before="0" w:after="16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-417</w:t>
            </w:r>
          </w:p>
        </w:tc>
      </w:tr>
      <w:tr w:rsidR="00E94DE1" w:rsidRPr="00A076CB" w14:paraId="427BD980" w14:textId="77777777" w:rsidTr="006576AA">
        <w:trPr>
          <w:trHeight w:val="320"/>
        </w:trPr>
        <w:tc>
          <w:tcPr>
            <w:tcW w:w="3195" w:type="dxa"/>
            <w:tcBorders>
              <w:top w:val="nil"/>
              <w:left w:val="nil"/>
              <w:right w:val="nil"/>
            </w:tcBorders>
            <w:shd w:val="clear" w:color="auto" w:fill="auto"/>
            <w:noWrap/>
            <w:vAlign w:val="bottom"/>
            <w:hideMark/>
          </w:tcPr>
          <w:p w14:paraId="509CB3BF" w14:textId="77777777" w:rsidR="00E94DE1" w:rsidRPr="00A076CB" w:rsidRDefault="00E94DE1" w:rsidP="006576AA">
            <w:pPr>
              <w:spacing w:before="0" w:after="160"/>
              <w:rPr>
                <w:rFonts w:ascii="Calibri" w:eastAsia="Times New Roman" w:hAnsi="Calibri" w:cs="Calibri"/>
                <w:color w:val="000000"/>
                <w:sz w:val="20"/>
                <w:szCs w:val="20"/>
                <w:lang w:eastAsia="en-GB"/>
              </w:rPr>
            </w:pPr>
            <w:r w:rsidRPr="00A076CB">
              <w:rPr>
                <w:rFonts w:ascii="Calibri" w:eastAsia="Times New Roman" w:hAnsi="Calibri" w:cs="Calibri"/>
                <w:b/>
                <w:bCs/>
                <w:color w:val="000000"/>
                <w:sz w:val="20"/>
                <w:szCs w:val="20"/>
                <w:lang w:eastAsia="en-GB"/>
              </w:rPr>
              <w:t>Living standards</w:t>
            </w:r>
          </w:p>
        </w:tc>
        <w:tc>
          <w:tcPr>
            <w:tcW w:w="1300" w:type="dxa"/>
            <w:tcBorders>
              <w:top w:val="nil"/>
              <w:left w:val="nil"/>
              <w:right w:val="nil"/>
            </w:tcBorders>
            <w:shd w:val="clear" w:color="auto" w:fill="auto"/>
            <w:noWrap/>
            <w:vAlign w:val="bottom"/>
            <w:hideMark/>
          </w:tcPr>
          <w:p w14:paraId="26A889E5" w14:textId="77777777" w:rsidR="00E94DE1" w:rsidRPr="00A076CB" w:rsidRDefault="00E94DE1" w:rsidP="006576AA">
            <w:pPr>
              <w:spacing w:before="0" w:after="160"/>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Offset</w:t>
            </w:r>
          </w:p>
        </w:tc>
        <w:tc>
          <w:tcPr>
            <w:tcW w:w="1300" w:type="dxa"/>
            <w:tcBorders>
              <w:top w:val="nil"/>
              <w:left w:val="nil"/>
              <w:right w:val="nil"/>
            </w:tcBorders>
            <w:shd w:val="clear" w:color="auto" w:fill="auto"/>
            <w:noWrap/>
            <w:vAlign w:val="bottom"/>
            <w:hideMark/>
          </w:tcPr>
          <w:p w14:paraId="2ABED210" w14:textId="77777777" w:rsidR="00E94DE1" w:rsidRPr="00A076CB" w:rsidRDefault="00E94DE1" w:rsidP="006576AA">
            <w:pPr>
              <w:spacing w:before="0" w:after="16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-240</w:t>
            </w:r>
          </w:p>
        </w:tc>
        <w:tc>
          <w:tcPr>
            <w:tcW w:w="1300" w:type="dxa"/>
            <w:tcBorders>
              <w:top w:val="nil"/>
              <w:left w:val="nil"/>
              <w:right w:val="nil"/>
            </w:tcBorders>
            <w:shd w:val="clear" w:color="auto" w:fill="auto"/>
            <w:noWrap/>
            <w:vAlign w:val="bottom"/>
            <w:hideMark/>
          </w:tcPr>
          <w:p w14:paraId="758D684E" w14:textId="77777777" w:rsidR="00E94DE1" w:rsidRPr="00A076CB" w:rsidRDefault="00E94DE1" w:rsidP="006576AA">
            <w:pPr>
              <w:spacing w:before="0" w:after="16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0</w:t>
            </w:r>
          </w:p>
        </w:tc>
        <w:tc>
          <w:tcPr>
            <w:tcW w:w="1300" w:type="dxa"/>
            <w:tcBorders>
              <w:top w:val="nil"/>
              <w:left w:val="nil"/>
              <w:right w:val="nil"/>
            </w:tcBorders>
            <w:shd w:val="clear" w:color="auto" w:fill="auto"/>
            <w:noWrap/>
            <w:vAlign w:val="bottom"/>
            <w:hideMark/>
          </w:tcPr>
          <w:p w14:paraId="4CE776E4" w14:textId="77777777" w:rsidR="00E94DE1" w:rsidRPr="00A076CB" w:rsidRDefault="00E94DE1" w:rsidP="006576AA">
            <w:pPr>
              <w:spacing w:before="0" w:after="16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0</w:t>
            </w:r>
          </w:p>
        </w:tc>
        <w:tc>
          <w:tcPr>
            <w:tcW w:w="1300" w:type="dxa"/>
            <w:tcBorders>
              <w:top w:val="nil"/>
              <w:left w:val="nil"/>
              <w:right w:val="nil"/>
            </w:tcBorders>
            <w:shd w:val="clear" w:color="auto" w:fill="auto"/>
            <w:noWrap/>
            <w:vAlign w:val="bottom"/>
            <w:hideMark/>
          </w:tcPr>
          <w:p w14:paraId="66C8DAB9" w14:textId="77777777" w:rsidR="00E94DE1" w:rsidRPr="00A076CB" w:rsidRDefault="00E94DE1" w:rsidP="006576AA">
            <w:pPr>
              <w:spacing w:before="0" w:after="16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0</w:t>
            </w:r>
          </w:p>
        </w:tc>
      </w:tr>
      <w:tr w:rsidR="00E94DE1" w:rsidRPr="00A076CB" w14:paraId="7D9D738B" w14:textId="77777777" w:rsidTr="006576AA">
        <w:trPr>
          <w:trHeight w:val="320"/>
        </w:trPr>
        <w:tc>
          <w:tcPr>
            <w:tcW w:w="3195" w:type="dxa"/>
            <w:tcBorders>
              <w:top w:val="nil"/>
              <w:left w:val="nil"/>
              <w:right w:val="nil"/>
            </w:tcBorders>
            <w:shd w:val="clear" w:color="auto" w:fill="auto"/>
            <w:noWrap/>
            <w:vAlign w:val="bottom"/>
            <w:hideMark/>
          </w:tcPr>
          <w:p w14:paraId="2453EBBA" w14:textId="77777777" w:rsidR="00E94DE1" w:rsidRPr="00A076CB" w:rsidRDefault="00E94DE1" w:rsidP="006576AA">
            <w:pPr>
              <w:spacing w:before="0" w:after="160"/>
              <w:rPr>
                <w:rFonts w:ascii="Calibri" w:eastAsia="Times New Roman" w:hAnsi="Calibri" w:cs="Calibri"/>
                <w:color w:val="000000"/>
                <w:sz w:val="20"/>
                <w:szCs w:val="20"/>
                <w:lang w:eastAsia="en-GB"/>
              </w:rPr>
            </w:pPr>
            <w:r w:rsidRPr="00A076CB">
              <w:rPr>
                <w:rFonts w:ascii="Calibri" w:eastAsia="Times New Roman" w:hAnsi="Calibri" w:cs="Calibri"/>
                <w:b/>
                <w:bCs/>
                <w:color w:val="000000"/>
                <w:sz w:val="20"/>
                <w:szCs w:val="20"/>
                <w:lang w:eastAsia="en-GB"/>
              </w:rPr>
              <w:t>Safety</w:t>
            </w:r>
          </w:p>
        </w:tc>
        <w:tc>
          <w:tcPr>
            <w:tcW w:w="1300" w:type="dxa"/>
            <w:tcBorders>
              <w:top w:val="nil"/>
              <w:left w:val="nil"/>
              <w:right w:val="nil"/>
            </w:tcBorders>
            <w:shd w:val="clear" w:color="auto" w:fill="auto"/>
            <w:noWrap/>
            <w:vAlign w:val="bottom"/>
            <w:hideMark/>
          </w:tcPr>
          <w:p w14:paraId="42870B72" w14:textId="77777777" w:rsidR="00E94DE1" w:rsidRPr="00A076CB" w:rsidRDefault="00E94DE1" w:rsidP="006576AA">
            <w:pPr>
              <w:spacing w:before="0" w:after="160"/>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Offset</w:t>
            </w:r>
          </w:p>
        </w:tc>
        <w:tc>
          <w:tcPr>
            <w:tcW w:w="1300" w:type="dxa"/>
            <w:tcBorders>
              <w:top w:val="nil"/>
              <w:left w:val="nil"/>
              <w:right w:val="nil"/>
            </w:tcBorders>
            <w:shd w:val="clear" w:color="auto" w:fill="auto"/>
            <w:noWrap/>
            <w:vAlign w:val="bottom"/>
            <w:hideMark/>
          </w:tcPr>
          <w:p w14:paraId="51CEFC30" w14:textId="375642C7" w:rsidR="00E94DE1" w:rsidRPr="00A076CB" w:rsidRDefault="00E94DE1" w:rsidP="006576AA">
            <w:pPr>
              <w:spacing w:before="0" w:after="16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-6</w:t>
            </w:r>
            <w:r w:rsidR="006576AA" w:rsidRPr="00A076CB">
              <w:rPr>
                <w:rFonts w:ascii="Calibri" w:eastAsia="Times New Roman" w:hAnsi="Calibri" w:cs="Calibri"/>
                <w:color w:val="000000"/>
                <w:sz w:val="20"/>
                <w:szCs w:val="20"/>
                <w:lang w:eastAsia="en-GB"/>
              </w:rPr>
              <w:t>,</w:t>
            </w:r>
            <w:r w:rsidRPr="00A076CB">
              <w:rPr>
                <w:rFonts w:ascii="Calibri" w:eastAsia="Times New Roman" w:hAnsi="Calibri" w:cs="Calibri"/>
                <w:color w:val="000000"/>
                <w:sz w:val="20"/>
                <w:szCs w:val="20"/>
                <w:lang w:eastAsia="en-GB"/>
              </w:rPr>
              <w:t>747</w:t>
            </w:r>
          </w:p>
        </w:tc>
        <w:tc>
          <w:tcPr>
            <w:tcW w:w="1300" w:type="dxa"/>
            <w:tcBorders>
              <w:top w:val="nil"/>
              <w:left w:val="nil"/>
              <w:right w:val="nil"/>
            </w:tcBorders>
            <w:shd w:val="clear" w:color="auto" w:fill="auto"/>
            <w:noWrap/>
            <w:vAlign w:val="bottom"/>
            <w:hideMark/>
          </w:tcPr>
          <w:p w14:paraId="0CADAD3C" w14:textId="77777777" w:rsidR="00E94DE1" w:rsidRPr="00A076CB" w:rsidRDefault="00E94DE1" w:rsidP="006576AA">
            <w:pPr>
              <w:spacing w:before="0" w:after="16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-776</w:t>
            </w:r>
          </w:p>
        </w:tc>
        <w:tc>
          <w:tcPr>
            <w:tcW w:w="1300" w:type="dxa"/>
            <w:tcBorders>
              <w:top w:val="nil"/>
              <w:left w:val="nil"/>
              <w:right w:val="nil"/>
            </w:tcBorders>
            <w:shd w:val="clear" w:color="auto" w:fill="auto"/>
            <w:noWrap/>
            <w:vAlign w:val="bottom"/>
            <w:hideMark/>
          </w:tcPr>
          <w:p w14:paraId="7DDB8A92" w14:textId="77777777" w:rsidR="00E94DE1" w:rsidRPr="00A076CB" w:rsidRDefault="00E94DE1" w:rsidP="006576AA">
            <w:pPr>
              <w:spacing w:before="0" w:after="16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-749</w:t>
            </w:r>
          </w:p>
        </w:tc>
        <w:tc>
          <w:tcPr>
            <w:tcW w:w="1300" w:type="dxa"/>
            <w:tcBorders>
              <w:top w:val="nil"/>
              <w:left w:val="nil"/>
              <w:right w:val="nil"/>
            </w:tcBorders>
            <w:shd w:val="clear" w:color="auto" w:fill="auto"/>
            <w:noWrap/>
            <w:vAlign w:val="bottom"/>
            <w:hideMark/>
          </w:tcPr>
          <w:p w14:paraId="6A5FF095" w14:textId="77777777" w:rsidR="00E94DE1" w:rsidRPr="00A076CB" w:rsidRDefault="00E94DE1" w:rsidP="006576AA">
            <w:pPr>
              <w:spacing w:before="0" w:after="16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-572</w:t>
            </w:r>
          </w:p>
        </w:tc>
      </w:tr>
      <w:tr w:rsidR="00E94DE1" w:rsidRPr="00A076CB" w14:paraId="6E477A6A" w14:textId="77777777" w:rsidTr="006576AA">
        <w:trPr>
          <w:trHeight w:val="320"/>
        </w:trPr>
        <w:tc>
          <w:tcPr>
            <w:tcW w:w="3195" w:type="dxa"/>
            <w:tcBorders>
              <w:top w:val="nil"/>
              <w:left w:val="nil"/>
              <w:bottom w:val="single" w:sz="18" w:space="0" w:color="auto"/>
              <w:right w:val="nil"/>
            </w:tcBorders>
            <w:shd w:val="clear" w:color="auto" w:fill="auto"/>
            <w:noWrap/>
            <w:vAlign w:val="bottom"/>
            <w:hideMark/>
          </w:tcPr>
          <w:p w14:paraId="1C669F86" w14:textId="77777777" w:rsidR="00E94DE1" w:rsidRPr="00A076CB" w:rsidRDefault="00E94DE1" w:rsidP="006576AA">
            <w:pPr>
              <w:spacing w:before="0" w:after="160"/>
              <w:rPr>
                <w:rFonts w:ascii="Calibri" w:eastAsia="Times New Roman" w:hAnsi="Calibri" w:cs="Calibri"/>
                <w:color w:val="000000"/>
                <w:sz w:val="20"/>
                <w:szCs w:val="20"/>
                <w:lang w:eastAsia="en-GB"/>
              </w:rPr>
            </w:pPr>
            <w:r w:rsidRPr="00A076CB">
              <w:rPr>
                <w:rFonts w:ascii="Calibri" w:eastAsia="Times New Roman" w:hAnsi="Calibri" w:cs="Calibri"/>
                <w:b/>
                <w:bCs/>
                <w:color w:val="000000"/>
                <w:sz w:val="20"/>
                <w:szCs w:val="20"/>
                <w:lang w:eastAsia="en-GB"/>
              </w:rPr>
              <w:t>Social connection</w:t>
            </w:r>
          </w:p>
        </w:tc>
        <w:tc>
          <w:tcPr>
            <w:tcW w:w="1300" w:type="dxa"/>
            <w:tcBorders>
              <w:top w:val="nil"/>
              <w:left w:val="nil"/>
              <w:bottom w:val="single" w:sz="18" w:space="0" w:color="auto"/>
              <w:right w:val="nil"/>
            </w:tcBorders>
            <w:shd w:val="clear" w:color="auto" w:fill="auto"/>
            <w:noWrap/>
            <w:vAlign w:val="bottom"/>
            <w:hideMark/>
          </w:tcPr>
          <w:p w14:paraId="28028D41" w14:textId="77777777" w:rsidR="00E94DE1" w:rsidRPr="00A076CB" w:rsidRDefault="00E94DE1" w:rsidP="006576AA">
            <w:pPr>
              <w:spacing w:before="0" w:after="160"/>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Offset</w:t>
            </w:r>
          </w:p>
        </w:tc>
        <w:tc>
          <w:tcPr>
            <w:tcW w:w="1300" w:type="dxa"/>
            <w:tcBorders>
              <w:top w:val="nil"/>
              <w:left w:val="nil"/>
              <w:bottom w:val="single" w:sz="18" w:space="0" w:color="auto"/>
              <w:right w:val="nil"/>
            </w:tcBorders>
            <w:shd w:val="clear" w:color="auto" w:fill="auto"/>
            <w:noWrap/>
            <w:vAlign w:val="bottom"/>
            <w:hideMark/>
          </w:tcPr>
          <w:p w14:paraId="04F1CB96" w14:textId="77777777" w:rsidR="00E94DE1" w:rsidRPr="00A076CB" w:rsidRDefault="00E94DE1" w:rsidP="006576AA">
            <w:pPr>
              <w:spacing w:before="0" w:after="16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-825</w:t>
            </w:r>
          </w:p>
        </w:tc>
        <w:tc>
          <w:tcPr>
            <w:tcW w:w="1300" w:type="dxa"/>
            <w:tcBorders>
              <w:top w:val="nil"/>
              <w:left w:val="nil"/>
              <w:bottom w:val="single" w:sz="18" w:space="0" w:color="auto"/>
              <w:right w:val="nil"/>
            </w:tcBorders>
            <w:shd w:val="clear" w:color="auto" w:fill="auto"/>
            <w:noWrap/>
            <w:vAlign w:val="bottom"/>
            <w:hideMark/>
          </w:tcPr>
          <w:p w14:paraId="4B1BEC38" w14:textId="77777777" w:rsidR="00E94DE1" w:rsidRPr="00A076CB" w:rsidRDefault="00E94DE1" w:rsidP="006576AA">
            <w:pPr>
              <w:spacing w:before="0" w:after="16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0</w:t>
            </w:r>
          </w:p>
        </w:tc>
        <w:tc>
          <w:tcPr>
            <w:tcW w:w="1300" w:type="dxa"/>
            <w:tcBorders>
              <w:top w:val="nil"/>
              <w:left w:val="nil"/>
              <w:bottom w:val="single" w:sz="18" w:space="0" w:color="auto"/>
              <w:right w:val="nil"/>
            </w:tcBorders>
            <w:shd w:val="clear" w:color="auto" w:fill="auto"/>
            <w:noWrap/>
            <w:vAlign w:val="bottom"/>
            <w:hideMark/>
          </w:tcPr>
          <w:p w14:paraId="0941F910" w14:textId="77777777" w:rsidR="00E94DE1" w:rsidRPr="00A076CB" w:rsidRDefault="00E94DE1" w:rsidP="006576AA">
            <w:pPr>
              <w:spacing w:before="0" w:after="16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0</w:t>
            </w:r>
          </w:p>
        </w:tc>
        <w:tc>
          <w:tcPr>
            <w:tcW w:w="1300" w:type="dxa"/>
            <w:tcBorders>
              <w:top w:val="nil"/>
              <w:left w:val="nil"/>
              <w:bottom w:val="single" w:sz="18" w:space="0" w:color="auto"/>
              <w:right w:val="nil"/>
            </w:tcBorders>
            <w:shd w:val="clear" w:color="auto" w:fill="auto"/>
            <w:noWrap/>
            <w:vAlign w:val="bottom"/>
            <w:hideMark/>
          </w:tcPr>
          <w:p w14:paraId="42FC90B0" w14:textId="77777777" w:rsidR="00E94DE1" w:rsidRPr="00A076CB" w:rsidRDefault="00E94DE1" w:rsidP="006576AA">
            <w:pPr>
              <w:spacing w:before="0" w:after="160"/>
              <w:jc w:val="right"/>
              <w:rPr>
                <w:rFonts w:ascii="Calibri" w:eastAsia="Times New Roman" w:hAnsi="Calibri" w:cs="Calibri"/>
                <w:color w:val="000000"/>
                <w:sz w:val="20"/>
                <w:szCs w:val="20"/>
                <w:lang w:eastAsia="en-GB"/>
              </w:rPr>
            </w:pPr>
            <w:r w:rsidRPr="00A076CB">
              <w:rPr>
                <w:rFonts w:ascii="Calibri" w:eastAsia="Times New Roman" w:hAnsi="Calibri" w:cs="Calibri"/>
                <w:color w:val="000000"/>
                <w:sz w:val="20"/>
                <w:szCs w:val="20"/>
                <w:lang w:eastAsia="en-GB"/>
              </w:rPr>
              <w:t>0</w:t>
            </w:r>
          </w:p>
        </w:tc>
      </w:tr>
    </w:tbl>
    <w:p w14:paraId="4B660901" w14:textId="65CEDDFC" w:rsidR="00DD15B2" w:rsidRDefault="00DD15B2" w:rsidP="00DD15B2">
      <w:pPr>
        <w:rPr>
          <w:rFonts w:cstheme="minorHAnsi"/>
          <w:i/>
          <w:iCs/>
          <w:sz w:val="20"/>
          <w:szCs w:val="20"/>
        </w:rPr>
      </w:pPr>
      <w:r>
        <w:rPr>
          <w:rFonts w:cstheme="minorHAnsi"/>
          <w:sz w:val="20"/>
          <w:szCs w:val="20"/>
        </w:rPr>
        <w:t xml:space="preserve">Note:  </w:t>
      </w:r>
      <w:r w:rsidRPr="007B3A68">
        <w:rPr>
          <w:rFonts w:cstheme="minorHAnsi"/>
          <w:i/>
          <w:iCs/>
          <w:sz w:val="20"/>
          <w:szCs w:val="20"/>
        </w:rPr>
        <w:t xml:space="preserve">The primary domains are those attached to each measure in section 3.2 of the Budget Outlook. </w:t>
      </w:r>
      <w:r>
        <w:rPr>
          <w:rFonts w:cstheme="minorHAnsi"/>
          <w:i/>
          <w:iCs/>
          <w:sz w:val="20"/>
          <w:szCs w:val="20"/>
        </w:rPr>
        <w:t xml:space="preserve">This table includes expense offsets and savings.  Offsets or savings against provisions or revenue have not been included.  Totals in this table may vary slightly from aggregate numbers in Section 3.2. </w:t>
      </w:r>
    </w:p>
    <w:p w14:paraId="6E9495B6" w14:textId="0CD3BCEA" w:rsidR="00DD15B2" w:rsidRPr="003F0A18" w:rsidRDefault="00DD15B2" w:rsidP="003F0A18">
      <w:pPr>
        <w:spacing w:before="0"/>
        <w:rPr>
          <w:rFonts w:cstheme="minorHAnsi"/>
          <w:sz w:val="20"/>
          <w:szCs w:val="20"/>
        </w:rPr>
      </w:pPr>
      <w:r>
        <w:rPr>
          <w:rFonts w:cstheme="minorHAnsi"/>
          <w:sz w:val="20"/>
          <w:szCs w:val="20"/>
        </w:rPr>
        <w:t>Source</w:t>
      </w:r>
      <w:r w:rsidRPr="00D151E8">
        <w:rPr>
          <w:rFonts w:cstheme="minorHAnsi"/>
          <w:sz w:val="20"/>
          <w:szCs w:val="20"/>
        </w:rPr>
        <w:t xml:space="preserve">: ACT </w:t>
      </w:r>
      <w:r>
        <w:rPr>
          <w:rFonts w:cstheme="minorHAnsi"/>
          <w:sz w:val="20"/>
          <w:szCs w:val="20"/>
        </w:rPr>
        <w:t xml:space="preserve">Budget </w:t>
      </w:r>
      <w:r w:rsidRPr="00D151E8">
        <w:rPr>
          <w:rFonts w:cstheme="minorHAnsi"/>
          <w:sz w:val="20"/>
          <w:szCs w:val="20"/>
        </w:rPr>
        <w:t>202</w:t>
      </w:r>
      <w:r>
        <w:rPr>
          <w:rFonts w:cstheme="minorHAnsi"/>
          <w:sz w:val="20"/>
          <w:szCs w:val="20"/>
        </w:rPr>
        <w:t>4</w:t>
      </w:r>
      <w:r w:rsidRPr="00D151E8">
        <w:rPr>
          <w:rFonts w:cstheme="minorHAnsi"/>
          <w:sz w:val="20"/>
          <w:szCs w:val="20"/>
        </w:rPr>
        <w:t xml:space="preserve">, pp. </w:t>
      </w:r>
      <w:r>
        <w:rPr>
          <w:rFonts w:cstheme="minorHAnsi"/>
          <w:sz w:val="20"/>
          <w:szCs w:val="20"/>
        </w:rPr>
        <w:t>9</w:t>
      </w:r>
      <w:r w:rsidRPr="00D151E8">
        <w:rPr>
          <w:rFonts w:cstheme="minorHAnsi"/>
          <w:sz w:val="20"/>
          <w:szCs w:val="20"/>
        </w:rPr>
        <w:t>1-1</w:t>
      </w:r>
      <w:r>
        <w:rPr>
          <w:rFonts w:cstheme="minorHAnsi"/>
          <w:sz w:val="20"/>
          <w:szCs w:val="20"/>
        </w:rPr>
        <w:t>78.</w:t>
      </w:r>
    </w:p>
    <w:p w14:paraId="4730237A" w14:textId="5BC0DCC8" w:rsidR="00E94DE1" w:rsidRDefault="00FA6903" w:rsidP="00A076CB">
      <w:pPr>
        <w:spacing w:before="240"/>
      </w:pPr>
      <w:r>
        <w:t>Significant</w:t>
      </w:r>
      <w:r w:rsidR="00E94DE1">
        <w:t xml:space="preserve"> offsets and savings have been identified against the Health</w:t>
      </w:r>
      <w:r w:rsidR="00366ADB">
        <w:t>,</w:t>
      </w:r>
      <w:r w:rsidR="00E94DE1">
        <w:t xml:space="preserve"> Education and Governance and institutions</w:t>
      </w:r>
      <w:r w:rsidR="00366ADB">
        <w:t xml:space="preserve"> domains</w:t>
      </w:r>
      <w:r w:rsidR="00E94DE1">
        <w:t xml:space="preserve">.  </w:t>
      </w:r>
      <w:r w:rsidR="00E94DE1" w:rsidRPr="002734A1">
        <w:t>The largest single</w:t>
      </w:r>
      <w:r w:rsidR="00E94DE1">
        <w:t xml:space="preserve"> savings measure relates to a Whole of Government initiative to reduce spending on specified cost centres across a range of agencies and directorates.  The measure is intended to have no impact on front line service delivery or employee expenses.  </w:t>
      </w:r>
    </w:p>
    <w:p w14:paraId="1CCDD99D" w14:textId="4AF89D67" w:rsidR="00E94DE1" w:rsidRDefault="00E94DE1" w:rsidP="00E94DE1">
      <w:r>
        <w:t xml:space="preserve">In many other cases where </w:t>
      </w:r>
      <w:r w:rsidR="002C6DBB">
        <w:t>offset</w:t>
      </w:r>
      <w:r>
        <w:t xml:space="preserve">s and savings are identified, limited information is provided on how the </w:t>
      </w:r>
      <w:r w:rsidR="002C6DBB">
        <w:t>offset</w:t>
      </w:r>
      <w:r>
        <w:t xml:space="preserve">s are to be achieved and their potential impacts on services. </w:t>
      </w:r>
    </w:p>
    <w:p w14:paraId="1BC82684" w14:textId="06FEC087" w:rsidR="00521C7B" w:rsidRDefault="00521C7B" w:rsidP="00521C7B">
      <w:pPr>
        <w:pStyle w:val="Heading2"/>
        <w:spacing w:after="240"/>
      </w:pPr>
      <w:bookmarkStart w:id="155" w:name="_Toc171949018"/>
      <w:r>
        <w:t>6.</w:t>
      </w:r>
      <w:r w:rsidR="00757A12">
        <w:t>4</w:t>
      </w:r>
      <w:r>
        <w:tab/>
      </w:r>
      <w:r w:rsidR="00844A85">
        <w:t>R</w:t>
      </w:r>
      <w:r w:rsidR="00205D91">
        <w:t xml:space="preserve">eporting </w:t>
      </w:r>
      <w:r w:rsidR="00A93FD1">
        <w:t>the cost of</w:t>
      </w:r>
      <w:r w:rsidR="00844A85">
        <w:t xml:space="preserve"> </w:t>
      </w:r>
      <w:r w:rsidR="003E0F54">
        <w:t>new</w:t>
      </w:r>
      <w:r w:rsidR="00827526">
        <w:t xml:space="preserve"> initiatives</w:t>
      </w:r>
      <w:bookmarkEnd w:id="155"/>
    </w:p>
    <w:p w14:paraId="0542E449" w14:textId="226EDD47" w:rsidR="00521C7B" w:rsidRDefault="004211FA" w:rsidP="00E94DE1">
      <w:r>
        <w:t>S</w:t>
      </w:r>
      <w:r w:rsidR="00521C7B">
        <w:t xml:space="preserve">ection 3.2 of the Budget Outlook </w:t>
      </w:r>
      <w:r>
        <w:t xml:space="preserve">and the Wellbeing statement </w:t>
      </w:r>
      <w:r w:rsidR="00521C7B">
        <w:t xml:space="preserve">employ </w:t>
      </w:r>
      <w:r w:rsidR="00181CA1">
        <w:t>protocols</w:t>
      </w:r>
      <w:r w:rsidR="00521C7B">
        <w:t xml:space="preserve"> that are different from other parts of the Budget, which generally follow the Australian System of Government Finance Statistics. </w:t>
      </w:r>
    </w:p>
    <w:p w14:paraId="492B9747" w14:textId="0B4AEC1F" w:rsidR="00A511BC" w:rsidRDefault="00A511BC" w:rsidP="00E94DE1">
      <w:r>
        <w:t xml:space="preserve">The individual measures set out on pp 91-178 of the Budget Outlook are presented in terms of the “net cost of services”, which </w:t>
      </w:r>
      <w:r w:rsidR="00552A96">
        <w:t xml:space="preserve">is intended to </w:t>
      </w:r>
      <w:r>
        <w:t xml:space="preserve">represent the overall cost to the Government of providing the service.  The net cost of services is calculated by adding all the expense, expense provisions, revenue foregone and depreciation less any expense offsets, savings or revenue.  This is different from the normal presentation of information in Australian Budgets, which treat revenue and expenses as separate items, and which generally focus on the impact on the fiscal balance rather than on the “net cost of services”. </w:t>
      </w:r>
      <w:r w:rsidR="00552A96">
        <w:t xml:space="preserve"> </w:t>
      </w:r>
      <w:r>
        <w:t xml:space="preserve">To the extent that a provision has already been included in the forward estimates, </w:t>
      </w:r>
      <w:r w:rsidR="0032780F">
        <w:t>contemporary</w:t>
      </w:r>
      <w:r>
        <w:t xml:space="preserve"> Budget </w:t>
      </w:r>
      <w:r w:rsidR="0032780F">
        <w:t xml:space="preserve">and accounting </w:t>
      </w:r>
      <w:r>
        <w:t xml:space="preserve">practice would </w:t>
      </w:r>
      <w:r w:rsidR="0032780F">
        <w:t xml:space="preserve">not </w:t>
      </w:r>
      <w:r w:rsidR="00C50DBE">
        <w:t xml:space="preserve">normally </w:t>
      </w:r>
      <w:r w:rsidR="0032780F">
        <w:t xml:space="preserve">count that provision </w:t>
      </w:r>
      <w:r w:rsidR="00C50DBE">
        <w:t xml:space="preserve">again </w:t>
      </w:r>
      <w:r w:rsidR="0032780F">
        <w:t xml:space="preserve">as a savings against </w:t>
      </w:r>
      <w:r>
        <w:t>a new measure.</w:t>
      </w:r>
    </w:p>
    <w:p w14:paraId="372E492A" w14:textId="5E54441D" w:rsidR="00003FB2" w:rsidRDefault="00552A96" w:rsidP="00552A96">
      <w:r>
        <w:lastRenderedPageBreak/>
        <w:t>By contrast, the</w:t>
      </w:r>
      <w:r w:rsidR="00521C7B">
        <w:t xml:space="preserve"> headline figures </w:t>
      </w:r>
      <w:r>
        <w:t xml:space="preserve">provided in section 3.2 showing </w:t>
      </w:r>
      <w:r w:rsidR="00521C7B">
        <w:t>new spending against the six categories that broadly align to the wellbeing domains</w:t>
      </w:r>
      <w:r>
        <w:t xml:space="preserve"> </w:t>
      </w:r>
      <w:r w:rsidR="00521C7B">
        <w:t>are gross estimates over four years</w:t>
      </w:r>
      <w:r w:rsidR="00013B4B">
        <w:t>,</w:t>
      </w:r>
      <w:r w:rsidR="00521C7B">
        <w:t xml:space="preserve"> includ</w:t>
      </w:r>
      <w:r>
        <w:t>ing</w:t>
      </w:r>
      <w:r w:rsidR="00521C7B">
        <w:t xml:space="preserve"> a mix of capital, expense and revenue but exclud</w:t>
      </w:r>
      <w:r>
        <w:t>ing</w:t>
      </w:r>
      <w:r w:rsidR="00521C7B">
        <w:t xml:space="preserve"> offsets and savings.  The headline numbers represent the gross </w:t>
      </w:r>
      <w:r>
        <w:t xml:space="preserve">value </w:t>
      </w:r>
      <w:r w:rsidR="00521C7B">
        <w:t xml:space="preserve">of the measures committed in the Budget, but do not reflect the total net cost of the initiatives as set out in descriptions of the individual measures or the net impact on the Budget as described in other sections of the Budget papers. </w:t>
      </w:r>
      <w:bookmarkEnd w:id="147"/>
    </w:p>
    <w:p w14:paraId="4B3D4A43" w14:textId="051D2283" w:rsidR="00013B4B" w:rsidRDefault="00FE3417" w:rsidP="00FE3417">
      <w:r>
        <w:t>The various presentations of the wellbeing initiatives</w:t>
      </w:r>
      <w:r w:rsidR="00013B4B">
        <w:t xml:space="preserve"> </w:t>
      </w:r>
      <w:r>
        <w:t xml:space="preserve">are useful in </w:t>
      </w:r>
      <w:r w:rsidR="00013B4B">
        <w:t xml:space="preserve">understanding the frameworks which have informed Government decision-making, but the differences between these reporting frameworks, and the different counting conventions employed, make it difficult to assess the relative investment in each category and therefore the extent to which the Government has achieved </w:t>
      </w:r>
      <w:r w:rsidR="00C50DBE">
        <w:t xml:space="preserve">its stated </w:t>
      </w:r>
      <w:r w:rsidR="00013B4B">
        <w:t xml:space="preserve">priorities. </w:t>
      </w:r>
    </w:p>
    <w:p w14:paraId="60BE673A" w14:textId="400926A5" w:rsidR="00013B4B" w:rsidRDefault="00C50DBE" w:rsidP="00FE3417">
      <w:r>
        <w:t xml:space="preserve">Because different </w:t>
      </w:r>
      <w:r w:rsidR="004B5C1F">
        <w:t>protocols</w:t>
      </w:r>
      <w:r>
        <w:t xml:space="preserve"> are employed in section 3.2 from the rest of the Budget Outlook, there is no one-to-one correspondence between the presentation of the new wellbeing initiatives and the expense, revenue and capital figures reported elsewhere in the Budget Outlook. </w:t>
      </w:r>
    </w:p>
    <w:p w14:paraId="40CFA0AB" w14:textId="67F3A019" w:rsidR="00363525" w:rsidRDefault="00003FB2" w:rsidP="00003FB2">
      <w:r>
        <w:t xml:space="preserve">Budget transparency, and </w:t>
      </w:r>
      <w:r w:rsidR="00F71181">
        <w:t xml:space="preserve">clarity for </w:t>
      </w:r>
      <w:r>
        <w:t>reader</w:t>
      </w:r>
      <w:r w:rsidR="00F71181">
        <w:t>s</w:t>
      </w:r>
      <w:r w:rsidR="00E05427">
        <w:t>,</w:t>
      </w:r>
      <w:r>
        <w:t xml:space="preserve"> would be improved if consistent counting conventions were used throughout the Budget documents.  </w:t>
      </w:r>
      <w:r w:rsidR="00363525">
        <w:br w:type="page"/>
      </w:r>
    </w:p>
    <w:p w14:paraId="3A47B876" w14:textId="57427C2A" w:rsidR="00FF376E" w:rsidRDefault="00FF376E" w:rsidP="00FF376E">
      <w:pPr>
        <w:pStyle w:val="Heading1"/>
      </w:pPr>
      <w:bookmarkStart w:id="156" w:name="_Toc171949019"/>
      <w:bookmarkEnd w:id="125"/>
      <w:r>
        <w:lastRenderedPageBreak/>
        <w:t>7</w:t>
      </w:r>
      <w:r w:rsidRPr="006967FF">
        <w:t>.</w:t>
      </w:r>
      <w:r w:rsidRPr="006967FF">
        <w:tab/>
      </w:r>
      <w:r w:rsidRPr="00CA19C6">
        <w:t>Infrastructure</w:t>
      </w:r>
      <w:r>
        <w:t xml:space="preserve"> and capital</w:t>
      </w:r>
      <w:bookmarkEnd w:id="156"/>
    </w:p>
    <w:p w14:paraId="53BA6F3F" w14:textId="6DC62760" w:rsidR="00FF376E" w:rsidRPr="00FF376E" w:rsidRDefault="00FF376E" w:rsidP="00FF376E">
      <w:pPr>
        <w:rPr>
          <w:i/>
          <w:iCs/>
          <w:color w:val="5B9BD5"/>
          <w:sz w:val="24"/>
          <w:szCs w:val="24"/>
        </w:rPr>
      </w:pPr>
      <w:r w:rsidRPr="00FF376E">
        <w:rPr>
          <w:i/>
          <w:iCs/>
          <w:color w:val="5B9BD5"/>
          <w:sz w:val="24"/>
          <w:szCs w:val="24"/>
        </w:rPr>
        <w:t xml:space="preserve">The Budget includes </w:t>
      </w:r>
      <w:r w:rsidR="00E32DC2">
        <w:rPr>
          <w:i/>
          <w:iCs/>
          <w:color w:val="5B9BD5"/>
          <w:sz w:val="24"/>
          <w:szCs w:val="24"/>
        </w:rPr>
        <w:t xml:space="preserve">funding for </w:t>
      </w:r>
      <w:r w:rsidRPr="00FF376E">
        <w:rPr>
          <w:i/>
          <w:iCs/>
          <w:color w:val="5B9BD5"/>
          <w:sz w:val="24"/>
          <w:szCs w:val="24"/>
        </w:rPr>
        <w:t>substantial major projects, infrastructure and capital works program across the Budget and forward years through the Infrastructure Investment Program, and the overarching ACT Infrastructure Plan. The program is over five years out to 2028-29.  The ACT government intends to invest $1.4 billion in 2024-25 and approximately $8.1 billion out to 2028-29.</w:t>
      </w:r>
    </w:p>
    <w:p w14:paraId="33AD12AE" w14:textId="73E0DA79" w:rsidR="00FF376E" w:rsidRPr="00FF376E" w:rsidRDefault="00FF376E" w:rsidP="00FF376E">
      <w:pPr>
        <w:rPr>
          <w:i/>
          <w:iCs/>
          <w:color w:val="5B9BD5"/>
          <w:sz w:val="24"/>
          <w:szCs w:val="24"/>
        </w:rPr>
      </w:pPr>
      <w:r w:rsidRPr="00FF376E">
        <w:rPr>
          <w:i/>
          <w:iCs/>
          <w:color w:val="5B9BD5"/>
          <w:sz w:val="24"/>
          <w:szCs w:val="24"/>
        </w:rPr>
        <w:t xml:space="preserve">Key projects include hospitals, </w:t>
      </w:r>
      <w:r w:rsidR="005D73F3">
        <w:rPr>
          <w:i/>
          <w:iCs/>
          <w:color w:val="5B9BD5"/>
          <w:sz w:val="24"/>
          <w:szCs w:val="24"/>
        </w:rPr>
        <w:t xml:space="preserve">health centres, </w:t>
      </w:r>
      <w:r w:rsidRPr="00FF376E">
        <w:rPr>
          <w:i/>
          <w:iCs/>
          <w:color w:val="5B9BD5"/>
          <w:sz w:val="24"/>
          <w:szCs w:val="24"/>
        </w:rPr>
        <w:t>schools, public housing, urban renewal, transport and roads, community and services, and climate action.</w:t>
      </w:r>
    </w:p>
    <w:p w14:paraId="6C7C6B32" w14:textId="77777777" w:rsidR="00FF376E" w:rsidRDefault="00FF376E" w:rsidP="00FF376E">
      <w:pPr>
        <w:pStyle w:val="Heading2"/>
        <w:spacing w:after="240"/>
      </w:pPr>
      <w:bookmarkStart w:id="157" w:name="_Toc171949020"/>
      <w:r>
        <w:t>7</w:t>
      </w:r>
      <w:r w:rsidRPr="00F84BEA">
        <w:t>.1</w:t>
      </w:r>
      <w:r w:rsidRPr="00F84BEA">
        <w:tab/>
        <w:t>Overview</w:t>
      </w:r>
      <w:bookmarkEnd w:id="157"/>
    </w:p>
    <w:p w14:paraId="7C293F51" w14:textId="77777777" w:rsidR="00FF376E" w:rsidRDefault="00FF376E" w:rsidP="00FF376E">
      <w:r>
        <w:t>The Budget Papers indicate that the ACT Government (2024, p. 247) intends to invest $8.1 billion in infrastructure in the ACT over the next five years to 2028-29. The program is split between the General Government Sector (GGS) and the Public Trading Enterprise Sector (PTE).</w:t>
      </w:r>
    </w:p>
    <w:p w14:paraId="556F04D4" w14:textId="003E8646" w:rsidR="00FF376E" w:rsidRDefault="00103F85" w:rsidP="00FF376E">
      <w:r>
        <w:fldChar w:fldCharType="begin"/>
      </w:r>
      <w:r>
        <w:instrText xml:space="preserve"> REF _Ref170908038 \h </w:instrText>
      </w:r>
      <w:r>
        <w:fldChar w:fldCharType="separate"/>
      </w:r>
      <w:r w:rsidR="000B62ED" w:rsidRPr="00BA27B5">
        <w:t xml:space="preserve">Table </w:t>
      </w:r>
      <w:r w:rsidR="000B62ED">
        <w:rPr>
          <w:noProof/>
        </w:rPr>
        <w:t>9</w:t>
      </w:r>
      <w:r>
        <w:fldChar w:fldCharType="end"/>
      </w:r>
      <w:r w:rsidR="00FF376E">
        <w:t xml:space="preserve"> below summarises the infrastructure, capital works and investment program.</w:t>
      </w:r>
    </w:p>
    <w:p w14:paraId="1F192357" w14:textId="3FF3183C" w:rsidR="00FF376E" w:rsidRDefault="00FF376E" w:rsidP="00FF376E">
      <w:pPr>
        <w:pStyle w:val="Caption"/>
      </w:pPr>
      <w:bookmarkStart w:id="158" w:name="_Ref170908038"/>
      <w:bookmarkStart w:id="159" w:name="_Toc64529087"/>
      <w:bookmarkStart w:id="160" w:name="_Toc110939294"/>
      <w:bookmarkStart w:id="161" w:name="_Toc171949057"/>
      <w:r w:rsidRPr="00BA27B5">
        <w:t xml:space="preserve">Table </w:t>
      </w:r>
      <w:r>
        <w:fldChar w:fldCharType="begin"/>
      </w:r>
      <w:r>
        <w:instrText xml:space="preserve"> SEQ Table \* ARABIC </w:instrText>
      </w:r>
      <w:r>
        <w:fldChar w:fldCharType="separate"/>
      </w:r>
      <w:r w:rsidR="000B62ED">
        <w:rPr>
          <w:noProof/>
        </w:rPr>
        <w:t>9</w:t>
      </w:r>
      <w:r>
        <w:rPr>
          <w:noProof/>
        </w:rPr>
        <w:fldChar w:fldCharType="end"/>
      </w:r>
      <w:bookmarkEnd w:id="158"/>
      <w:r w:rsidRPr="00BA27B5">
        <w:t xml:space="preserve">: </w:t>
      </w:r>
      <w:r>
        <w:t>Summary of Infrastructure Investment Program –</w:t>
      </w:r>
      <w:r w:rsidRPr="00BA27B5">
        <w:t xml:space="preserve"> </w:t>
      </w:r>
      <w:r>
        <w:t>2</w:t>
      </w:r>
      <w:r w:rsidRPr="00BA27B5">
        <w:t>0</w:t>
      </w:r>
      <w:r>
        <w:t>24-25</w:t>
      </w:r>
      <w:r w:rsidRPr="00BA27B5">
        <w:t xml:space="preserve"> to 20</w:t>
      </w:r>
      <w:r>
        <w:t>28-2</w:t>
      </w:r>
      <w:bookmarkEnd w:id="159"/>
      <w:bookmarkEnd w:id="160"/>
      <w:r>
        <w:t>9</w:t>
      </w:r>
      <w:bookmarkEnd w:id="161"/>
    </w:p>
    <w:tbl>
      <w:tblPr>
        <w:tblStyle w:val="TableGrid"/>
        <w:tblW w:w="9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1502"/>
        <w:gridCol w:w="1503"/>
        <w:gridCol w:w="1503"/>
        <w:gridCol w:w="1503"/>
        <w:gridCol w:w="1503"/>
      </w:tblGrid>
      <w:tr w:rsidR="00FF376E" w14:paraId="45BF41E6" w14:textId="77777777" w:rsidTr="002A0BB3">
        <w:tc>
          <w:tcPr>
            <w:tcW w:w="2268" w:type="dxa"/>
            <w:tcBorders>
              <w:top w:val="single" w:sz="4" w:space="0" w:color="auto"/>
              <w:bottom w:val="single" w:sz="4" w:space="0" w:color="auto"/>
            </w:tcBorders>
          </w:tcPr>
          <w:p w14:paraId="226D90C8" w14:textId="77777777" w:rsidR="00FF376E" w:rsidRDefault="00FF376E" w:rsidP="002A0BB3">
            <w:pPr>
              <w:spacing w:before="0"/>
              <w:rPr>
                <w:sz w:val="20"/>
                <w:szCs w:val="20"/>
              </w:rPr>
            </w:pPr>
          </w:p>
        </w:tc>
        <w:tc>
          <w:tcPr>
            <w:tcW w:w="1502" w:type="dxa"/>
            <w:tcBorders>
              <w:top w:val="single" w:sz="4" w:space="0" w:color="auto"/>
              <w:bottom w:val="single" w:sz="4" w:space="0" w:color="auto"/>
            </w:tcBorders>
          </w:tcPr>
          <w:p w14:paraId="605809C4" w14:textId="77777777" w:rsidR="00FF376E" w:rsidRDefault="00FF376E" w:rsidP="002A0BB3">
            <w:pPr>
              <w:spacing w:before="0"/>
              <w:jc w:val="center"/>
            </w:pPr>
            <w:r w:rsidRPr="00211397">
              <w:t>202</w:t>
            </w:r>
            <w:r>
              <w:t>4-</w:t>
            </w:r>
            <w:r w:rsidRPr="00211397">
              <w:t>Allocation</w:t>
            </w:r>
          </w:p>
          <w:p w14:paraId="2C7B9E7D" w14:textId="77777777" w:rsidR="00FF376E" w:rsidRDefault="00FF376E" w:rsidP="002A0BB3">
            <w:pPr>
              <w:spacing w:before="0"/>
              <w:jc w:val="center"/>
              <w:rPr>
                <w:sz w:val="20"/>
                <w:szCs w:val="20"/>
              </w:rPr>
            </w:pPr>
            <w:r w:rsidRPr="00211397">
              <w:t>$’000</w:t>
            </w:r>
          </w:p>
        </w:tc>
        <w:tc>
          <w:tcPr>
            <w:tcW w:w="1503" w:type="dxa"/>
            <w:tcBorders>
              <w:top w:val="single" w:sz="4" w:space="0" w:color="auto"/>
              <w:bottom w:val="single" w:sz="4" w:space="0" w:color="auto"/>
            </w:tcBorders>
          </w:tcPr>
          <w:p w14:paraId="1D7BE5AC" w14:textId="77777777" w:rsidR="00FF376E" w:rsidRDefault="00FF376E" w:rsidP="002A0BB3">
            <w:pPr>
              <w:spacing w:before="0"/>
              <w:jc w:val="center"/>
            </w:pPr>
            <w:r w:rsidRPr="001156E3">
              <w:t>202</w:t>
            </w:r>
            <w:r>
              <w:t>5</w:t>
            </w:r>
            <w:r w:rsidRPr="001156E3">
              <w:t>-2</w:t>
            </w:r>
            <w:r>
              <w:t>6</w:t>
            </w:r>
            <w:r w:rsidRPr="00211397">
              <w:t xml:space="preserve"> Allocation</w:t>
            </w:r>
          </w:p>
          <w:p w14:paraId="3526BD2B" w14:textId="77777777" w:rsidR="00FF376E" w:rsidRDefault="00FF376E" w:rsidP="002A0BB3">
            <w:pPr>
              <w:spacing w:before="0"/>
              <w:jc w:val="center"/>
              <w:rPr>
                <w:sz w:val="20"/>
                <w:szCs w:val="20"/>
              </w:rPr>
            </w:pPr>
            <w:r w:rsidRPr="00211397">
              <w:t>$’000</w:t>
            </w:r>
          </w:p>
        </w:tc>
        <w:tc>
          <w:tcPr>
            <w:tcW w:w="1503" w:type="dxa"/>
            <w:tcBorders>
              <w:top w:val="single" w:sz="4" w:space="0" w:color="auto"/>
              <w:bottom w:val="single" w:sz="4" w:space="0" w:color="auto"/>
            </w:tcBorders>
          </w:tcPr>
          <w:p w14:paraId="2A33F19D" w14:textId="77777777" w:rsidR="00FF376E" w:rsidRDefault="00FF376E" w:rsidP="002A0BB3">
            <w:pPr>
              <w:spacing w:before="0"/>
              <w:jc w:val="center"/>
            </w:pPr>
            <w:r w:rsidRPr="001156E3">
              <w:t>202</w:t>
            </w:r>
            <w:r>
              <w:t>6</w:t>
            </w:r>
            <w:r w:rsidRPr="001156E3">
              <w:t>-2</w:t>
            </w:r>
            <w:r>
              <w:t>7</w:t>
            </w:r>
            <w:r w:rsidRPr="00211397">
              <w:t xml:space="preserve"> Allocation</w:t>
            </w:r>
          </w:p>
          <w:p w14:paraId="25C8E975" w14:textId="77777777" w:rsidR="00FF376E" w:rsidRDefault="00FF376E" w:rsidP="002A0BB3">
            <w:pPr>
              <w:spacing w:before="0"/>
              <w:jc w:val="center"/>
              <w:rPr>
                <w:sz w:val="20"/>
                <w:szCs w:val="20"/>
              </w:rPr>
            </w:pPr>
            <w:r w:rsidRPr="00211397">
              <w:t>$’000</w:t>
            </w:r>
          </w:p>
        </w:tc>
        <w:tc>
          <w:tcPr>
            <w:tcW w:w="1503" w:type="dxa"/>
            <w:tcBorders>
              <w:top w:val="single" w:sz="4" w:space="0" w:color="auto"/>
              <w:bottom w:val="single" w:sz="4" w:space="0" w:color="auto"/>
            </w:tcBorders>
          </w:tcPr>
          <w:p w14:paraId="27B0E3AE" w14:textId="77777777" w:rsidR="00FF376E" w:rsidRDefault="00FF376E" w:rsidP="002A0BB3">
            <w:pPr>
              <w:spacing w:before="0"/>
              <w:jc w:val="center"/>
            </w:pPr>
            <w:r w:rsidRPr="001156E3">
              <w:t>202</w:t>
            </w:r>
            <w:r>
              <w:t>7</w:t>
            </w:r>
            <w:r w:rsidRPr="001156E3">
              <w:t>-2</w:t>
            </w:r>
            <w:r>
              <w:t>8</w:t>
            </w:r>
            <w:r w:rsidRPr="00211397">
              <w:t xml:space="preserve"> Allocation</w:t>
            </w:r>
          </w:p>
          <w:p w14:paraId="481B4A33" w14:textId="77777777" w:rsidR="00FF376E" w:rsidRDefault="00FF376E" w:rsidP="002A0BB3">
            <w:pPr>
              <w:spacing w:before="0"/>
              <w:jc w:val="center"/>
              <w:rPr>
                <w:sz w:val="20"/>
                <w:szCs w:val="20"/>
              </w:rPr>
            </w:pPr>
            <w:r w:rsidRPr="00211397">
              <w:t>$’000</w:t>
            </w:r>
          </w:p>
        </w:tc>
        <w:tc>
          <w:tcPr>
            <w:tcW w:w="1503" w:type="dxa"/>
            <w:tcBorders>
              <w:top w:val="single" w:sz="4" w:space="0" w:color="auto"/>
              <w:bottom w:val="single" w:sz="4" w:space="0" w:color="auto"/>
            </w:tcBorders>
          </w:tcPr>
          <w:p w14:paraId="59FA6503" w14:textId="77777777" w:rsidR="00FF376E" w:rsidRDefault="00FF376E" w:rsidP="002A0BB3">
            <w:pPr>
              <w:spacing w:before="0"/>
              <w:jc w:val="center"/>
            </w:pPr>
            <w:r w:rsidRPr="001156E3">
              <w:t>202</w:t>
            </w:r>
            <w:r>
              <w:t>8</w:t>
            </w:r>
            <w:r w:rsidRPr="001156E3">
              <w:t>-2</w:t>
            </w:r>
            <w:r>
              <w:t>9</w:t>
            </w:r>
            <w:r w:rsidRPr="00211397">
              <w:t xml:space="preserve"> Allocation</w:t>
            </w:r>
          </w:p>
          <w:p w14:paraId="7601FFCD" w14:textId="77777777" w:rsidR="00FF376E" w:rsidRDefault="00FF376E" w:rsidP="002A0BB3">
            <w:pPr>
              <w:spacing w:before="0"/>
              <w:jc w:val="center"/>
              <w:rPr>
                <w:sz w:val="20"/>
                <w:szCs w:val="20"/>
              </w:rPr>
            </w:pPr>
            <w:r w:rsidRPr="00211397">
              <w:t>$’000</w:t>
            </w:r>
          </w:p>
        </w:tc>
      </w:tr>
      <w:tr w:rsidR="00FF376E" w14:paraId="4CBDC87B" w14:textId="77777777" w:rsidTr="002A0BB3">
        <w:tc>
          <w:tcPr>
            <w:tcW w:w="2268" w:type="dxa"/>
            <w:tcBorders>
              <w:top w:val="single" w:sz="4" w:space="0" w:color="auto"/>
            </w:tcBorders>
          </w:tcPr>
          <w:p w14:paraId="554FFA15" w14:textId="77777777" w:rsidR="00FF376E" w:rsidRDefault="00FF376E" w:rsidP="002A0BB3">
            <w:pPr>
              <w:spacing w:before="0"/>
              <w:rPr>
                <w:sz w:val="20"/>
                <w:szCs w:val="20"/>
              </w:rPr>
            </w:pPr>
            <w:r>
              <w:rPr>
                <w:sz w:val="20"/>
                <w:szCs w:val="20"/>
              </w:rPr>
              <w:t>New Capital Works</w:t>
            </w:r>
          </w:p>
        </w:tc>
        <w:tc>
          <w:tcPr>
            <w:tcW w:w="1502" w:type="dxa"/>
            <w:tcBorders>
              <w:top w:val="single" w:sz="4" w:space="0" w:color="auto"/>
            </w:tcBorders>
          </w:tcPr>
          <w:p w14:paraId="7839D62F" w14:textId="77777777" w:rsidR="00FF376E" w:rsidRDefault="00FF376E" w:rsidP="002A0BB3">
            <w:pPr>
              <w:spacing w:before="0"/>
              <w:jc w:val="right"/>
              <w:rPr>
                <w:sz w:val="20"/>
                <w:szCs w:val="20"/>
              </w:rPr>
            </w:pPr>
            <w:r>
              <w:rPr>
                <w:sz w:val="20"/>
                <w:szCs w:val="20"/>
              </w:rPr>
              <w:t>36,138</w:t>
            </w:r>
          </w:p>
        </w:tc>
        <w:tc>
          <w:tcPr>
            <w:tcW w:w="1503" w:type="dxa"/>
            <w:tcBorders>
              <w:top w:val="single" w:sz="4" w:space="0" w:color="auto"/>
            </w:tcBorders>
          </w:tcPr>
          <w:p w14:paraId="5DDAD21E" w14:textId="77777777" w:rsidR="00FF376E" w:rsidRDefault="00FF376E" w:rsidP="002A0BB3">
            <w:pPr>
              <w:spacing w:before="0"/>
              <w:jc w:val="right"/>
              <w:rPr>
                <w:sz w:val="20"/>
                <w:szCs w:val="20"/>
              </w:rPr>
            </w:pPr>
            <w:r>
              <w:rPr>
                <w:sz w:val="20"/>
                <w:szCs w:val="20"/>
              </w:rPr>
              <w:t>15,596</w:t>
            </w:r>
          </w:p>
        </w:tc>
        <w:tc>
          <w:tcPr>
            <w:tcW w:w="1503" w:type="dxa"/>
            <w:tcBorders>
              <w:top w:val="single" w:sz="4" w:space="0" w:color="auto"/>
            </w:tcBorders>
          </w:tcPr>
          <w:p w14:paraId="2EBBAB48" w14:textId="77777777" w:rsidR="00FF376E" w:rsidRDefault="00FF376E" w:rsidP="002A0BB3">
            <w:pPr>
              <w:spacing w:before="0"/>
              <w:jc w:val="right"/>
              <w:rPr>
                <w:sz w:val="20"/>
                <w:szCs w:val="20"/>
              </w:rPr>
            </w:pPr>
            <w:r>
              <w:rPr>
                <w:sz w:val="20"/>
                <w:szCs w:val="20"/>
              </w:rPr>
              <w:t>3,035</w:t>
            </w:r>
          </w:p>
        </w:tc>
        <w:tc>
          <w:tcPr>
            <w:tcW w:w="1503" w:type="dxa"/>
            <w:tcBorders>
              <w:top w:val="single" w:sz="4" w:space="0" w:color="auto"/>
            </w:tcBorders>
          </w:tcPr>
          <w:p w14:paraId="70A6AF96" w14:textId="77777777" w:rsidR="00FF376E" w:rsidRDefault="00FF376E" w:rsidP="002A0BB3">
            <w:pPr>
              <w:spacing w:before="0"/>
              <w:jc w:val="right"/>
              <w:rPr>
                <w:sz w:val="20"/>
                <w:szCs w:val="20"/>
              </w:rPr>
            </w:pPr>
            <w:r>
              <w:rPr>
                <w:sz w:val="20"/>
                <w:szCs w:val="20"/>
              </w:rPr>
              <w:t>2,307</w:t>
            </w:r>
          </w:p>
        </w:tc>
        <w:tc>
          <w:tcPr>
            <w:tcW w:w="1503" w:type="dxa"/>
            <w:tcBorders>
              <w:top w:val="single" w:sz="4" w:space="0" w:color="auto"/>
            </w:tcBorders>
          </w:tcPr>
          <w:p w14:paraId="45AB03CE" w14:textId="77777777" w:rsidR="00FF376E" w:rsidRDefault="00FF376E" w:rsidP="002A0BB3">
            <w:pPr>
              <w:spacing w:before="0"/>
              <w:jc w:val="right"/>
              <w:rPr>
                <w:sz w:val="20"/>
                <w:szCs w:val="20"/>
              </w:rPr>
            </w:pPr>
            <w:r>
              <w:rPr>
                <w:sz w:val="20"/>
                <w:szCs w:val="20"/>
              </w:rPr>
              <w:t>0</w:t>
            </w:r>
          </w:p>
        </w:tc>
      </w:tr>
      <w:tr w:rsidR="00FF376E" w14:paraId="1E37C0FB" w14:textId="77777777" w:rsidTr="002A0BB3">
        <w:tc>
          <w:tcPr>
            <w:tcW w:w="2268" w:type="dxa"/>
          </w:tcPr>
          <w:p w14:paraId="27C0FDF0" w14:textId="77777777" w:rsidR="00FF376E" w:rsidRDefault="00FF376E" w:rsidP="002A0BB3">
            <w:pPr>
              <w:spacing w:before="0"/>
              <w:rPr>
                <w:sz w:val="20"/>
                <w:szCs w:val="20"/>
              </w:rPr>
            </w:pPr>
            <w:r>
              <w:rPr>
                <w:sz w:val="20"/>
                <w:szCs w:val="20"/>
              </w:rPr>
              <w:t>Asset Renewal Program</w:t>
            </w:r>
          </w:p>
        </w:tc>
        <w:tc>
          <w:tcPr>
            <w:tcW w:w="1502" w:type="dxa"/>
          </w:tcPr>
          <w:p w14:paraId="31DA9F34" w14:textId="77777777" w:rsidR="00FF376E" w:rsidRDefault="00FF376E" w:rsidP="002A0BB3">
            <w:pPr>
              <w:spacing w:before="0"/>
              <w:jc w:val="right"/>
              <w:rPr>
                <w:sz w:val="20"/>
                <w:szCs w:val="20"/>
              </w:rPr>
            </w:pPr>
            <w:r>
              <w:rPr>
                <w:sz w:val="20"/>
                <w:szCs w:val="20"/>
              </w:rPr>
              <w:t>111,415</w:t>
            </w:r>
          </w:p>
        </w:tc>
        <w:tc>
          <w:tcPr>
            <w:tcW w:w="1503" w:type="dxa"/>
          </w:tcPr>
          <w:p w14:paraId="2B1A5E84" w14:textId="77777777" w:rsidR="00FF376E" w:rsidRDefault="00FF376E" w:rsidP="002A0BB3">
            <w:pPr>
              <w:spacing w:before="0"/>
              <w:jc w:val="right"/>
              <w:rPr>
                <w:sz w:val="20"/>
                <w:szCs w:val="20"/>
              </w:rPr>
            </w:pPr>
            <w:r>
              <w:rPr>
                <w:sz w:val="20"/>
                <w:szCs w:val="20"/>
              </w:rPr>
              <w:t>117,476</w:t>
            </w:r>
          </w:p>
        </w:tc>
        <w:tc>
          <w:tcPr>
            <w:tcW w:w="1503" w:type="dxa"/>
          </w:tcPr>
          <w:p w14:paraId="2DA8B284" w14:textId="77777777" w:rsidR="00FF376E" w:rsidRDefault="00FF376E" w:rsidP="002A0BB3">
            <w:pPr>
              <w:spacing w:before="0"/>
              <w:jc w:val="right"/>
              <w:rPr>
                <w:sz w:val="20"/>
                <w:szCs w:val="20"/>
              </w:rPr>
            </w:pPr>
            <w:r>
              <w:rPr>
                <w:sz w:val="20"/>
                <w:szCs w:val="20"/>
              </w:rPr>
              <w:t>119,205</w:t>
            </w:r>
          </w:p>
        </w:tc>
        <w:tc>
          <w:tcPr>
            <w:tcW w:w="1503" w:type="dxa"/>
          </w:tcPr>
          <w:p w14:paraId="3BD52D26" w14:textId="77777777" w:rsidR="00FF376E" w:rsidRDefault="00FF376E" w:rsidP="002A0BB3">
            <w:pPr>
              <w:spacing w:before="0"/>
              <w:jc w:val="right"/>
              <w:rPr>
                <w:sz w:val="20"/>
                <w:szCs w:val="20"/>
              </w:rPr>
            </w:pPr>
            <w:r>
              <w:rPr>
                <w:sz w:val="20"/>
                <w:szCs w:val="20"/>
              </w:rPr>
              <w:t>123,971</w:t>
            </w:r>
          </w:p>
        </w:tc>
        <w:tc>
          <w:tcPr>
            <w:tcW w:w="1503" w:type="dxa"/>
          </w:tcPr>
          <w:p w14:paraId="7C31D14F" w14:textId="77777777" w:rsidR="00FF376E" w:rsidRDefault="00FF376E" w:rsidP="002A0BB3">
            <w:pPr>
              <w:spacing w:before="0"/>
              <w:jc w:val="right"/>
              <w:rPr>
                <w:sz w:val="20"/>
                <w:szCs w:val="20"/>
              </w:rPr>
            </w:pPr>
            <w:r>
              <w:rPr>
                <w:sz w:val="20"/>
                <w:szCs w:val="20"/>
              </w:rPr>
              <w:t>128,927</w:t>
            </w:r>
          </w:p>
        </w:tc>
      </w:tr>
      <w:tr w:rsidR="00FF376E" w14:paraId="0D14305C" w14:textId="77777777" w:rsidTr="002A0BB3">
        <w:tc>
          <w:tcPr>
            <w:tcW w:w="2268" w:type="dxa"/>
          </w:tcPr>
          <w:p w14:paraId="5BF32BA2" w14:textId="77777777" w:rsidR="00FF376E" w:rsidRDefault="00FF376E" w:rsidP="002A0BB3">
            <w:pPr>
              <w:spacing w:before="0"/>
              <w:rPr>
                <w:sz w:val="20"/>
                <w:szCs w:val="20"/>
              </w:rPr>
            </w:pPr>
            <w:r>
              <w:rPr>
                <w:sz w:val="20"/>
                <w:szCs w:val="20"/>
              </w:rPr>
              <w:t>Works-in-progress</w:t>
            </w:r>
          </w:p>
        </w:tc>
        <w:tc>
          <w:tcPr>
            <w:tcW w:w="1502" w:type="dxa"/>
          </w:tcPr>
          <w:p w14:paraId="1ADDC683" w14:textId="77777777" w:rsidR="00FF376E" w:rsidRDefault="00FF376E" w:rsidP="002A0BB3">
            <w:pPr>
              <w:spacing w:before="0"/>
              <w:jc w:val="right"/>
              <w:rPr>
                <w:sz w:val="20"/>
                <w:szCs w:val="20"/>
              </w:rPr>
            </w:pPr>
            <w:r>
              <w:rPr>
                <w:sz w:val="20"/>
                <w:szCs w:val="20"/>
              </w:rPr>
              <w:t>1,233,101</w:t>
            </w:r>
          </w:p>
        </w:tc>
        <w:tc>
          <w:tcPr>
            <w:tcW w:w="1503" w:type="dxa"/>
          </w:tcPr>
          <w:p w14:paraId="49154F34" w14:textId="77777777" w:rsidR="00FF376E" w:rsidRDefault="00FF376E" w:rsidP="002A0BB3">
            <w:pPr>
              <w:spacing w:before="0"/>
              <w:jc w:val="right"/>
              <w:rPr>
                <w:sz w:val="20"/>
                <w:szCs w:val="20"/>
              </w:rPr>
            </w:pPr>
            <w:r>
              <w:rPr>
                <w:sz w:val="20"/>
                <w:szCs w:val="20"/>
              </w:rPr>
              <w:t>997,122</w:t>
            </w:r>
          </w:p>
        </w:tc>
        <w:tc>
          <w:tcPr>
            <w:tcW w:w="1503" w:type="dxa"/>
          </w:tcPr>
          <w:p w14:paraId="518C5FE5" w14:textId="77777777" w:rsidR="00FF376E" w:rsidRDefault="00FF376E" w:rsidP="002A0BB3">
            <w:pPr>
              <w:spacing w:before="0"/>
              <w:jc w:val="right"/>
              <w:rPr>
                <w:sz w:val="20"/>
                <w:szCs w:val="20"/>
              </w:rPr>
            </w:pPr>
            <w:r>
              <w:rPr>
                <w:sz w:val="20"/>
                <w:szCs w:val="20"/>
              </w:rPr>
              <w:t>747,469</w:t>
            </w:r>
          </w:p>
        </w:tc>
        <w:tc>
          <w:tcPr>
            <w:tcW w:w="1503" w:type="dxa"/>
          </w:tcPr>
          <w:p w14:paraId="1147C483" w14:textId="77777777" w:rsidR="00FF376E" w:rsidRDefault="00FF376E" w:rsidP="002A0BB3">
            <w:pPr>
              <w:spacing w:before="0"/>
              <w:jc w:val="right"/>
              <w:rPr>
                <w:sz w:val="20"/>
                <w:szCs w:val="20"/>
              </w:rPr>
            </w:pPr>
            <w:r>
              <w:rPr>
                <w:sz w:val="20"/>
                <w:szCs w:val="20"/>
              </w:rPr>
              <w:t>861,009</w:t>
            </w:r>
          </w:p>
        </w:tc>
        <w:tc>
          <w:tcPr>
            <w:tcW w:w="1503" w:type="dxa"/>
          </w:tcPr>
          <w:p w14:paraId="094A93C9" w14:textId="77777777" w:rsidR="00FF376E" w:rsidRDefault="00FF376E" w:rsidP="002A0BB3">
            <w:pPr>
              <w:spacing w:before="0"/>
              <w:jc w:val="right"/>
              <w:rPr>
                <w:sz w:val="20"/>
                <w:szCs w:val="20"/>
              </w:rPr>
            </w:pPr>
            <w:r>
              <w:rPr>
                <w:sz w:val="20"/>
                <w:szCs w:val="20"/>
              </w:rPr>
              <w:t>50,628</w:t>
            </w:r>
          </w:p>
        </w:tc>
      </w:tr>
      <w:tr w:rsidR="00FF376E" w14:paraId="7B5EAD34" w14:textId="77777777" w:rsidTr="002A0BB3">
        <w:tc>
          <w:tcPr>
            <w:tcW w:w="2268" w:type="dxa"/>
          </w:tcPr>
          <w:p w14:paraId="5A8FDE96" w14:textId="77777777" w:rsidR="00FF376E" w:rsidRDefault="00FF376E" w:rsidP="002A0BB3">
            <w:pPr>
              <w:spacing w:before="0"/>
              <w:rPr>
                <w:sz w:val="20"/>
                <w:szCs w:val="20"/>
              </w:rPr>
            </w:pPr>
            <w:r>
              <w:rPr>
                <w:sz w:val="20"/>
                <w:szCs w:val="20"/>
              </w:rPr>
              <w:t>Central Capital Provisions</w:t>
            </w:r>
          </w:p>
        </w:tc>
        <w:tc>
          <w:tcPr>
            <w:tcW w:w="1502" w:type="dxa"/>
          </w:tcPr>
          <w:p w14:paraId="5C5AFDED" w14:textId="77777777" w:rsidR="00FF376E" w:rsidRDefault="00FF376E" w:rsidP="002A0BB3">
            <w:pPr>
              <w:spacing w:before="0"/>
              <w:jc w:val="right"/>
              <w:rPr>
                <w:sz w:val="20"/>
                <w:szCs w:val="20"/>
              </w:rPr>
            </w:pPr>
            <w:r>
              <w:rPr>
                <w:sz w:val="20"/>
                <w:szCs w:val="20"/>
              </w:rPr>
              <w:t>48,239</w:t>
            </w:r>
          </w:p>
        </w:tc>
        <w:tc>
          <w:tcPr>
            <w:tcW w:w="1503" w:type="dxa"/>
          </w:tcPr>
          <w:p w14:paraId="29CC5A58" w14:textId="77777777" w:rsidR="00FF376E" w:rsidRDefault="00FF376E" w:rsidP="002A0BB3">
            <w:pPr>
              <w:spacing w:before="0"/>
              <w:jc w:val="right"/>
              <w:rPr>
                <w:sz w:val="20"/>
                <w:szCs w:val="20"/>
              </w:rPr>
            </w:pPr>
            <w:r>
              <w:rPr>
                <w:sz w:val="20"/>
                <w:szCs w:val="20"/>
              </w:rPr>
              <w:t>253,157</w:t>
            </w:r>
          </w:p>
        </w:tc>
        <w:tc>
          <w:tcPr>
            <w:tcW w:w="1503" w:type="dxa"/>
          </w:tcPr>
          <w:p w14:paraId="1FB2B55E" w14:textId="77777777" w:rsidR="00FF376E" w:rsidRDefault="00FF376E" w:rsidP="002A0BB3">
            <w:pPr>
              <w:spacing w:before="0"/>
              <w:jc w:val="right"/>
              <w:rPr>
                <w:sz w:val="20"/>
                <w:szCs w:val="20"/>
              </w:rPr>
            </w:pPr>
            <w:r>
              <w:rPr>
                <w:sz w:val="20"/>
                <w:szCs w:val="20"/>
              </w:rPr>
              <w:t>412,674</w:t>
            </w:r>
          </w:p>
        </w:tc>
        <w:tc>
          <w:tcPr>
            <w:tcW w:w="1503" w:type="dxa"/>
          </w:tcPr>
          <w:p w14:paraId="25E490FF" w14:textId="77777777" w:rsidR="00FF376E" w:rsidRDefault="00FF376E" w:rsidP="002A0BB3">
            <w:pPr>
              <w:spacing w:before="0"/>
              <w:jc w:val="right"/>
              <w:rPr>
                <w:sz w:val="20"/>
                <w:szCs w:val="20"/>
              </w:rPr>
            </w:pPr>
            <w:r>
              <w:rPr>
                <w:sz w:val="20"/>
                <w:szCs w:val="20"/>
              </w:rPr>
              <w:t>575,143</w:t>
            </w:r>
          </w:p>
        </w:tc>
        <w:tc>
          <w:tcPr>
            <w:tcW w:w="1503" w:type="dxa"/>
          </w:tcPr>
          <w:p w14:paraId="4C9B42CE" w14:textId="77777777" w:rsidR="00FF376E" w:rsidRDefault="00FF376E" w:rsidP="002A0BB3">
            <w:pPr>
              <w:spacing w:before="0"/>
              <w:jc w:val="right"/>
              <w:rPr>
                <w:sz w:val="20"/>
                <w:szCs w:val="20"/>
              </w:rPr>
            </w:pPr>
            <w:r>
              <w:rPr>
                <w:sz w:val="20"/>
                <w:szCs w:val="20"/>
              </w:rPr>
              <w:t>573,648</w:t>
            </w:r>
          </w:p>
        </w:tc>
      </w:tr>
      <w:tr w:rsidR="00FF376E" w:rsidRPr="003A6917" w14:paraId="24E7037D" w14:textId="77777777" w:rsidTr="002A0BB3">
        <w:tc>
          <w:tcPr>
            <w:tcW w:w="2268" w:type="dxa"/>
          </w:tcPr>
          <w:p w14:paraId="7A2791F5" w14:textId="77777777" w:rsidR="00FF376E" w:rsidRPr="00B343B6" w:rsidRDefault="00FF376E" w:rsidP="002A0BB3">
            <w:pPr>
              <w:spacing w:before="0"/>
              <w:rPr>
                <w:b/>
                <w:bCs/>
                <w:sz w:val="20"/>
                <w:szCs w:val="20"/>
              </w:rPr>
            </w:pPr>
            <w:r w:rsidRPr="00B343B6">
              <w:rPr>
                <w:b/>
                <w:bCs/>
                <w:sz w:val="20"/>
                <w:szCs w:val="20"/>
              </w:rPr>
              <w:t xml:space="preserve">Total </w:t>
            </w:r>
            <w:r>
              <w:rPr>
                <w:b/>
                <w:bCs/>
                <w:sz w:val="20"/>
                <w:szCs w:val="20"/>
              </w:rPr>
              <w:t xml:space="preserve">GGS </w:t>
            </w:r>
            <w:r w:rsidRPr="00B343B6">
              <w:rPr>
                <w:b/>
                <w:bCs/>
                <w:sz w:val="20"/>
                <w:szCs w:val="20"/>
              </w:rPr>
              <w:t>Capital Works Program (including provisions)</w:t>
            </w:r>
          </w:p>
        </w:tc>
        <w:tc>
          <w:tcPr>
            <w:tcW w:w="1502" w:type="dxa"/>
          </w:tcPr>
          <w:p w14:paraId="5B175DC3" w14:textId="77777777" w:rsidR="00FF376E" w:rsidRPr="003A6917" w:rsidRDefault="00FF376E" w:rsidP="002A0BB3">
            <w:pPr>
              <w:spacing w:before="0"/>
              <w:jc w:val="right"/>
              <w:rPr>
                <w:b/>
                <w:bCs/>
                <w:sz w:val="20"/>
                <w:szCs w:val="20"/>
              </w:rPr>
            </w:pPr>
            <w:r w:rsidRPr="003A6917">
              <w:rPr>
                <w:b/>
                <w:bCs/>
                <w:sz w:val="20"/>
                <w:szCs w:val="20"/>
              </w:rPr>
              <w:t>1,</w:t>
            </w:r>
            <w:r>
              <w:rPr>
                <w:b/>
                <w:bCs/>
                <w:sz w:val="20"/>
                <w:szCs w:val="20"/>
              </w:rPr>
              <w:t>428,893</w:t>
            </w:r>
          </w:p>
        </w:tc>
        <w:tc>
          <w:tcPr>
            <w:tcW w:w="1503" w:type="dxa"/>
          </w:tcPr>
          <w:p w14:paraId="2A74E220" w14:textId="77777777" w:rsidR="00FF376E" w:rsidRPr="003A6917" w:rsidRDefault="00FF376E" w:rsidP="002A0BB3">
            <w:pPr>
              <w:spacing w:before="0"/>
              <w:jc w:val="right"/>
              <w:rPr>
                <w:b/>
                <w:bCs/>
                <w:sz w:val="20"/>
                <w:szCs w:val="20"/>
              </w:rPr>
            </w:pPr>
            <w:r>
              <w:rPr>
                <w:b/>
                <w:bCs/>
                <w:sz w:val="20"/>
                <w:szCs w:val="20"/>
              </w:rPr>
              <w:t>1,383,351</w:t>
            </w:r>
          </w:p>
        </w:tc>
        <w:tc>
          <w:tcPr>
            <w:tcW w:w="1503" w:type="dxa"/>
          </w:tcPr>
          <w:p w14:paraId="6113A8C2" w14:textId="77777777" w:rsidR="00FF376E" w:rsidRPr="003A6917" w:rsidRDefault="00FF376E" w:rsidP="002A0BB3">
            <w:pPr>
              <w:spacing w:before="0"/>
              <w:jc w:val="right"/>
              <w:rPr>
                <w:b/>
                <w:bCs/>
                <w:sz w:val="20"/>
                <w:szCs w:val="20"/>
              </w:rPr>
            </w:pPr>
            <w:r>
              <w:rPr>
                <w:b/>
                <w:bCs/>
                <w:sz w:val="20"/>
                <w:szCs w:val="20"/>
              </w:rPr>
              <w:t>1,282,383</w:t>
            </w:r>
          </w:p>
        </w:tc>
        <w:tc>
          <w:tcPr>
            <w:tcW w:w="1503" w:type="dxa"/>
          </w:tcPr>
          <w:p w14:paraId="4A3E1116" w14:textId="77777777" w:rsidR="00FF376E" w:rsidRPr="003A6917" w:rsidRDefault="00FF376E" w:rsidP="002A0BB3">
            <w:pPr>
              <w:spacing w:before="0"/>
              <w:jc w:val="right"/>
              <w:rPr>
                <w:b/>
                <w:bCs/>
                <w:sz w:val="20"/>
                <w:szCs w:val="20"/>
              </w:rPr>
            </w:pPr>
            <w:r>
              <w:rPr>
                <w:b/>
                <w:bCs/>
                <w:sz w:val="20"/>
                <w:szCs w:val="20"/>
              </w:rPr>
              <w:t>1,562,430</w:t>
            </w:r>
          </w:p>
        </w:tc>
        <w:tc>
          <w:tcPr>
            <w:tcW w:w="1503" w:type="dxa"/>
          </w:tcPr>
          <w:p w14:paraId="4A226770" w14:textId="77777777" w:rsidR="00FF376E" w:rsidRPr="003A6917" w:rsidRDefault="00FF376E" w:rsidP="002A0BB3">
            <w:pPr>
              <w:spacing w:before="0"/>
              <w:jc w:val="right"/>
              <w:rPr>
                <w:b/>
                <w:bCs/>
                <w:sz w:val="20"/>
                <w:szCs w:val="20"/>
              </w:rPr>
            </w:pPr>
            <w:r>
              <w:rPr>
                <w:b/>
                <w:bCs/>
                <w:sz w:val="20"/>
                <w:szCs w:val="20"/>
              </w:rPr>
              <w:t>717,203</w:t>
            </w:r>
          </w:p>
        </w:tc>
      </w:tr>
      <w:tr w:rsidR="00FF376E" w14:paraId="465C6EC9" w14:textId="77777777" w:rsidTr="002A0BB3">
        <w:tc>
          <w:tcPr>
            <w:tcW w:w="2268" w:type="dxa"/>
          </w:tcPr>
          <w:p w14:paraId="4D7D970B" w14:textId="77777777" w:rsidR="00FF376E" w:rsidRDefault="00FF376E" w:rsidP="002A0BB3">
            <w:pPr>
              <w:spacing w:before="0"/>
              <w:rPr>
                <w:sz w:val="20"/>
                <w:szCs w:val="20"/>
              </w:rPr>
            </w:pPr>
            <w:r>
              <w:rPr>
                <w:sz w:val="20"/>
                <w:szCs w:val="20"/>
              </w:rPr>
              <w:t>Capital Delivery Provision</w:t>
            </w:r>
          </w:p>
        </w:tc>
        <w:tc>
          <w:tcPr>
            <w:tcW w:w="1502" w:type="dxa"/>
          </w:tcPr>
          <w:p w14:paraId="66186985" w14:textId="77777777" w:rsidR="00FF376E" w:rsidRDefault="00FF376E" w:rsidP="002A0BB3">
            <w:pPr>
              <w:spacing w:before="0"/>
              <w:jc w:val="right"/>
              <w:rPr>
                <w:sz w:val="20"/>
                <w:szCs w:val="20"/>
              </w:rPr>
            </w:pPr>
            <w:r>
              <w:rPr>
                <w:sz w:val="20"/>
                <w:szCs w:val="20"/>
              </w:rPr>
              <w:t>-250,000</w:t>
            </w:r>
          </w:p>
        </w:tc>
        <w:tc>
          <w:tcPr>
            <w:tcW w:w="1503" w:type="dxa"/>
          </w:tcPr>
          <w:p w14:paraId="5194FC11" w14:textId="77777777" w:rsidR="00FF376E" w:rsidRDefault="00FF376E" w:rsidP="002A0BB3">
            <w:pPr>
              <w:spacing w:before="0"/>
              <w:jc w:val="right"/>
              <w:rPr>
                <w:sz w:val="20"/>
                <w:szCs w:val="20"/>
              </w:rPr>
            </w:pPr>
            <w:r>
              <w:rPr>
                <w:sz w:val="20"/>
                <w:szCs w:val="20"/>
              </w:rPr>
              <w:t>-125,000</w:t>
            </w:r>
          </w:p>
        </w:tc>
        <w:tc>
          <w:tcPr>
            <w:tcW w:w="1503" w:type="dxa"/>
          </w:tcPr>
          <w:p w14:paraId="5B96EF77" w14:textId="77777777" w:rsidR="00FF376E" w:rsidRDefault="00FF376E" w:rsidP="002A0BB3">
            <w:pPr>
              <w:spacing w:before="0"/>
              <w:jc w:val="right"/>
              <w:rPr>
                <w:sz w:val="20"/>
                <w:szCs w:val="20"/>
              </w:rPr>
            </w:pPr>
            <w:r>
              <w:rPr>
                <w:sz w:val="20"/>
                <w:szCs w:val="20"/>
              </w:rPr>
              <w:t>0</w:t>
            </w:r>
          </w:p>
        </w:tc>
        <w:tc>
          <w:tcPr>
            <w:tcW w:w="1503" w:type="dxa"/>
          </w:tcPr>
          <w:p w14:paraId="486D9986" w14:textId="77777777" w:rsidR="00FF376E" w:rsidRDefault="00FF376E" w:rsidP="002A0BB3">
            <w:pPr>
              <w:spacing w:before="0"/>
              <w:jc w:val="right"/>
              <w:rPr>
                <w:sz w:val="20"/>
                <w:szCs w:val="20"/>
              </w:rPr>
            </w:pPr>
            <w:r>
              <w:rPr>
                <w:sz w:val="20"/>
                <w:szCs w:val="20"/>
              </w:rPr>
              <w:t>125,000</w:t>
            </w:r>
          </w:p>
        </w:tc>
        <w:tc>
          <w:tcPr>
            <w:tcW w:w="1503" w:type="dxa"/>
          </w:tcPr>
          <w:p w14:paraId="2FA775BC" w14:textId="77777777" w:rsidR="00FF376E" w:rsidRDefault="00FF376E" w:rsidP="002A0BB3">
            <w:pPr>
              <w:spacing w:before="0"/>
              <w:jc w:val="right"/>
              <w:rPr>
                <w:sz w:val="20"/>
                <w:szCs w:val="20"/>
              </w:rPr>
            </w:pPr>
            <w:r>
              <w:rPr>
                <w:sz w:val="20"/>
                <w:szCs w:val="20"/>
              </w:rPr>
              <w:t>250,000</w:t>
            </w:r>
          </w:p>
        </w:tc>
      </w:tr>
      <w:tr w:rsidR="00FF376E" w:rsidRPr="003A6917" w14:paraId="0ED48846" w14:textId="77777777" w:rsidTr="002A0BB3">
        <w:tc>
          <w:tcPr>
            <w:tcW w:w="2268" w:type="dxa"/>
          </w:tcPr>
          <w:p w14:paraId="6312E56A" w14:textId="77777777" w:rsidR="00FF376E" w:rsidRPr="00687C0D" w:rsidRDefault="00FF376E" w:rsidP="002A0BB3">
            <w:pPr>
              <w:spacing w:before="0"/>
              <w:rPr>
                <w:b/>
                <w:bCs/>
                <w:sz w:val="20"/>
                <w:szCs w:val="20"/>
              </w:rPr>
            </w:pPr>
            <w:r w:rsidRPr="00687C0D">
              <w:rPr>
                <w:b/>
                <w:bCs/>
                <w:sz w:val="20"/>
                <w:szCs w:val="20"/>
              </w:rPr>
              <w:t>Total Capital Program Forecasts (including provisions)</w:t>
            </w:r>
          </w:p>
        </w:tc>
        <w:tc>
          <w:tcPr>
            <w:tcW w:w="1502" w:type="dxa"/>
          </w:tcPr>
          <w:p w14:paraId="66F80FE3" w14:textId="77777777" w:rsidR="00FF376E" w:rsidRPr="003A6917" w:rsidRDefault="00FF376E" w:rsidP="002A0BB3">
            <w:pPr>
              <w:spacing w:before="0"/>
              <w:jc w:val="right"/>
              <w:rPr>
                <w:b/>
                <w:bCs/>
                <w:sz w:val="20"/>
                <w:szCs w:val="20"/>
              </w:rPr>
            </w:pPr>
            <w:r w:rsidRPr="003A6917">
              <w:rPr>
                <w:b/>
                <w:bCs/>
                <w:sz w:val="20"/>
                <w:szCs w:val="20"/>
              </w:rPr>
              <w:t>1,1</w:t>
            </w:r>
            <w:r>
              <w:rPr>
                <w:b/>
                <w:bCs/>
                <w:sz w:val="20"/>
                <w:szCs w:val="20"/>
              </w:rPr>
              <w:t>78,893</w:t>
            </w:r>
          </w:p>
        </w:tc>
        <w:tc>
          <w:tcPr>
            <w:tcW w:w="1503" w:type="dxa"/>
          </w:tcPr>
          <w:p w14:paraId="55866562" w14:textId="77777777" w:rsidR="00FF376E" w:rsidRPr="003A6917" w:rsidRDefault="00FF376E" w:rsidP="002A0BB3">
            <w:pPr>
              <w:spacing w:before="0"/>
              <w:jc w:val="right"/>
              <w:rPr>
                <w:b/>
                <w:bCs/>
                <w:sz w:val="20"/>
                <w:szCs w:val="20"/>
              </w:rPr>
            </w:pPr>
            <w:r w:rsidRPr="003A6917">
              <w:rPr>
                <w:b/>
                <w:bCs/>
                <w:sz w:val="20"/>
                <w:szCs w:val="20"/>
              </w:rPr>
              <w:t>1,2</w:t>
            </w:r>
            <w:r>
              <w:rPr>
                <w:b/>
                <w:bCs/>
                <w:sz w:val="20"/>
                <w:szCs w:val="20"/>
              </w:rPr>
              <w:t>58,351</w:t>
            </w:r>
          </w:p>
        </w:tc>
        <w:tc>
          <w:tcPr>
            <w:tcW w:w="1503" w:type="dxa"/>
          </w:tcPr>
          <w:p w14:paraId="1FEC4C5A" w14:textId="77777777" w:rsidR="00FF376E" w:rsidRPr="003A6917" w:rsidRDefault="00FF376E" w:rsidP="002A0BB3">
            <w:pPr>
              <w:spacing w:before="0"/>
              <w:jc w:val="right"/>
              <w:rPr>
                <w:b/>
                <w:bCs/>
                <w:sz w:val="20"/>
                <w:szCs w:val="20"/>
              </w:rPr>
            </w:pPr>
            <w:r w:rsidRPr="003A6917">
              <w:rPr>
                <w:b/>
                <w:bCs/>
                <w:sz w:val="20"/>
                <w:szCs w:val="20"/>
              </w:rPr>
              <w:t>1,</w:t>
            </w:r>
            <w:r>
              <w:rPr>
                <w:b/>
                <w:bCs/>
                <w:sz w:val="20"/>
                <w:szCs w:val="20"/>
              </w:rPr>
              <w:t>282,383</w:t>
            </w:r>
          </w:p>
        </w:tc>
        <w:tc>
          <w:tcPr>
            <w:tcW w:w="1503" w:type="dxa"/>
          </w:tcPr>
          <w:p w14:paraId="4739D3D0" w14:textId="77777777" w:rsidR="00FF376E" w:rsidRPr="003A6917" w:rsidRDefault="00FF376E" w:rsidP="002A0BB3">
            <w:pPr>
              <w:spacing w:before="0"/>
              <w:jc w:val="right"/>
              <w:rPr>
                <w:b/>
                <w:bCs/>
                <w:sz w:val="20"/>
                <w:szCs w:val="20"/>
              </w:rPr>
            </w:pPr>
            <w:r w:rsidRPr="003A6917">
              <w:rPr>
                <w:b/>
                <w:bCs/>
                <w:sz w:val="20"/>
                <w:szCs w:val="20"/>
              </w:rPr>
              <w:t>1,</w:t>
            </w:r>
            <w:r>
              <w:rPr>
                <w:b/>
                <w:bCs/>
                <w:sz w:val="20"/>
                <w:szCs w:val="20"/>
              </w:rPr>
              <w:t>687,430</w:t>
            </w:r>
          </w:p>
        </w:tc>
        <w:tc>
          <w:tcPr>
            <w:tcW w:w="1503" w:type="dxa"/>
          </w:tcPr>
          <w:p w14:paraId="107FB878" w14:textId="77777777" w:rsidR="00FF376E" w:rsidRPr="003A6917" w:rsidRDefault="00FF376E" w:rsidP="002A0BB3">
            <w:pPr>
              <w:spacing w:before="0"/>
              <w:jc w:val="right"/>
              <w:rPr>
                <w:b/>
                <w:bCs/>
                <w:sz w:val="20"/>
                <w:szCs w:val="20"/>
              </w:rPr>
            </w:pPr>
            <w:r>
              <w:rPr>
                <w:b/>
                <w:bCs/>
                <w:sz w:val="20"/>
                <w:szCs w:val="20"/>
              </w:rPr>
              <w:t>967,203</w:t>
            </w:r>
          </w:p>
        </w:tc>
      </w:tr>
      <w:tr w:rsidR="00FF376E" w14:paraId="43089EA7" w14:textId="77777777" w:rsidTr="002A0BB3">
        <w:tc>
          <w:tcPr>
            <w:tcW w:w="2268" w:type="dxa"/>
          </w:tcPr>
          <w:p w14:paraId="0A7C8D25" w14:textId="77777777" w:rsidR="00FF376E" w:rsidRDefault="00FF376E" w:rsidP="002A0BB3">
            <w:pPr>
              <w:spacing w:before="0"/>
              <w:rPr>
                <w:sz w:val="20"/>
                <w:szCs w:val="20"/>
              </w:rPr>
            </w:pPr>
            <w:r>
              <w:rPr>
                <w:sz w:val="20"/>
                <w:szCs w:val="20"/>
              </w:rPr>
              <w:t>Public Trading Enterprises</w:t>
            </w:r>
          </w:p>
        </w:tc>
        <w:tc>
          <w:tcPr>
            <w:tcW w:w="1502" w:type="dxa"/>
          </w:tcPr>
          <w:p w14:paraId="673F8241" w14:textId="77777777" w:rsidR="00FF376E" w:rsidRDefault="00FF376E" w:rsidP="002A0BB3">
            <w:pPr>
              <w:spacing w:before="0"/>
              <w:jc w:val="right"/>
              <w:rPr>
                <w:sz w:val="20"/>
                <w:szCs w:val="20"/>
              </w:rPr>
            </w:pPr>
            <w:r>
              <w:rPr>
                <w:sz w:val="20"/>
                <w:szCs w:val="20"/>
              </w:rPr>
              <w:t>255,278</w:t>
            </w:r>
          </w:p>
        </w:tc>
        <w:tc>
          <w:tcPr>
            <w:tcW w:w="1503" w:type="dxa"/>
          </w:tcPr>
          <w:p w14:paraId="0A74F233" w14:textId="77777777" w:rsidR="00FF376E" w:rsidRDefault="00FF376E" w:rsidP="002A0BB3">
            <w:pPr>
              <w:spacing w:before="0"/>
              <w:jc w:val="right"/>
              <w:rPr>
                <w:sz w:val="20"/>
                <w:szCs w:val="20"/>
              </w:rPr>
            </w:pPr>
            <w:r>
              <w:rPr>
                <w:sz w:val="20"/>
                <w:szCs w:val="20"/>
              </w:rPr>
              <w:t>426,344</w:t>
            </w:r>
          </w:p>
        </w:tc>
        <w:tc>
          <w:tcPr>
            <w:tcW w:w="1503" w:type="dxa"/>
          </w:tcPr>
          <w:p w14:paraId="437C484C" w14:textId="77777777" w:rsidR="00FF376E" w:rsidRDefault="00FF376E" w:rsidP="002A0BB3">
            <w:pPr>
              <w:spacing w:before="0"/>
              <w:jc w:val="right"/>
              <w:rPr>
                <w:sz w:val="20"/>
                <w:szCs w:val="20"/>
              </w:rPr>
            </w:pPr>
            <w:r>
              <w:rPr>
                <w:sz w:val="20"/>
                <w:szCs w:val="20"/>
              </w:rPr>
              <w:t>408,265</w:t>
            </w:r>
          </w:p>
        </w:tc>
        <w:tc>
          <w:tcPr>
            <w:tcW w:w="1503" w:type="dxa"/>
          </w:tcPr>
          <w:p w14:paraId="11EE672D" w14:textId="77777777" w:rsidR="00FF376E" w:rsidRDefault="00FF376E" w:rsidP="002A0BB3">
            <w:pPr>
              <w:spacing w:before="0"/>
              <w:jc w:val="right"/>
              <w:rPr>
                <w:sz w:val="20"/>
                <w:szCs w:val="20"/>
              </w:rPr>
            </w:pPr>
            <w:r>
              <w:rPr>
                <w:sz w:val="20"/>
                <w:szCs w:val="20"/>
              </w:rPr>
              <w:t>396,994</w:t>
            </w:r>
          </w:p>
        </w:tc>
        <w:tc>
          <w:tcPr>
            <w:tcW w:w="1503" w:type="dxa"/>
          </w:tcPr>
          <w:p w14:paraId="01F8DB7B" w14:textId="77777777" w:rsidR="00FF376E" w:rsidRDefault="00FF376E" w:rsidP="002A0BB3">
            <w:pPr>
              <w:spacing w:before="0"/>
              <w:jc w:val="right"/>
              <w:rPr>
                <w:sz w:val="20"/>
                <w:szCs w:val="20"/>
              </w:rPr>
            </w:pPr>
            <w:r>
              <w:rPr>
                <w:sz w:val="20"/>
                <w:szCs w:val="20"/>
              </w:rPr>
              <w:t>262,811</w:t>
            </w:r>
          </w:p>
        </w:tc>
      </w:tr>
      <w:tr w:rsidR="00FF376E" w:rsidRPr="003A6917" w14:paraId="1454C10B" w14:textId="77777777" w:rsidTr="002A0BB3">
        <w:tc>
          <w:tcPr>
            <w:tcW w:w="2268" w:type="dxa"/>
            <w:tcBorders>
              <w:bottom w:val="single" w:sz="4" w:space="0" w:color="auto"/>
            </w:tcBorders>
          </w:tcPr>
          <w:p w14:paraId="3CBB4383" w14:textId="77777777" w:rsidR="00FF376E" w:rsidRDefault="00FF376E" w:rsidP="002A0BB3">
            <w:pPr>
              <w:spacing w:before="0"/>
              <w:rPr>
                <w:sz w:val="20"/>
                <w:szCs w:val="20"/>
              </w:rPr>
            </w:pPr>
            <w:r w:rsidRPr="00687C0D">
              <w:rPr>
                <w:b/>
                <w:bCs/>
                <w:sz w:val="20"/>
                <w:szCs w:val="20"/>
              </w:rPr>
              <w:t xml:space="preserve">Total </w:t>
            </w:r>
            <w:r>
              <w:rPr>
                <w:b/>
                <w:bCs/>
                <w:sz w:val="20"/>
                <w:szCs w:val="20"/>
              </w:rPr>
              <w:t xml:space="preserve">GGS and PTE </w:t>
            </w:r>
            <w:r w:rsidRPr="00687C0D">
              <w:rPr>
                <w:b/>
                <w:bCs/>
                <w:sz w:val="20"/>
                <w:szCs w:val="20"/>
              </w:rPr>
              <w:t>Capital Program Forecasts (including provisions)</w:t>
            </w:r>
          </w:p>
        </w:tc>
        <w:tc>
          <w:tcPr>
            <w:tcW w:w="1502" w:type="dxa"/>
            <w:tcBorders>
              <w:bottom w:val="single" w:sz="4" w:space="0" w:color="auto"/>
            </w:tcBorders>
          </w:tcPr>
          <w:p w14:paraId="7719D712" w14:textId="77777777" w:rsidR="00FF376E" w:rsidRPr="003A6917" w:rsidRDefault="00FF376E" w:rsidP="002A0BB3">
            <w:pPr>
              <w:spacing w:before="0"/>
              <w:jc w:val="right"/>
              <w:rPr>
                <w:b/>
                <w:bCs/>
                <w:sz w:val="20"/>
                <w:szCs w:val="20"/>
              </w:rPr>
            </w:pPr>
            <w:r w:rsidRPr="003A6917">
              <w:rPr>
                <w:b/>
                <w:bCs/>
                <w:sz w:val="20"/>
                <w:szCs w:val="20"/>
              </w:rPr>
              <w:t>1,</w:t>
            </w:r>
            <w:r>
              <w:rPr>
                <w:b/>
                <w:bCs/>
                <w:sz w:val="20"/>
                <w:szCs w:val="20"/>
              </w:rPr>
              <w:t>434,171</w:t>
            </w:r>
          </w:p>
        </w:tc>
        <w:tc>
          <w:tcPr>
            <w:tcW w:w="1503" w:type="dxa"/>
            <w:tcBorders>
              <w:bottom w:val="single" w:sz="4" w:space="0" w:color="auto"/>
            </w:tcBorders>
          </w:tcPr>
          <w:p w14:paraId="355CCF9E" w14:textId="77777777" w:rsidR="00FF376E" w:rsidRPr="003A6917" w:rsidRDefault="00FF376E" w:rsidP="002A0BB3">
            <w:pPr>
              <w:spacing w:before="0"/>
              <w:jc w:val="right"/>
              <w:rPr>
                <w:b/>
                <w:bCs/>
                <w:sz w:val="20"/>
                <w:szCs w:val="20"/>
              </w:rPr>
            </w:pPr>
            <w:r w:rsidRPr="003A6917">
              <w:rPr>
                <w:b/>
                <w:bCs/>
                <w:sz w:val="20"/>
                <w:szCs w:val="20"/>
              </w:rPr>
              <w:t>1,6</w:t>
            </w:r>
            <w:r>
              <w:rPr>
                <w:b/>
                <w:bCs/>
                <w:sz w:val="20"/>
                <w:szCs w:val="20"/>
              </w:rPr>
              <w:t>84,695</w:t>
            </w:r>
          </w:p>
        </w:tc>
        <w:tc>
          <w:tcPr>
            <w:tcW w:w="1503" w:type="dxa"/>
            <w:tcBorders>
              <w:bottom w:val="single" w:sz="4" w:space="0" w:color="auto"/>
            </w:tcBorders>
          </w:tcPr>
          <w:p w14:paraId="4495A076" w14:textId="77777777" w:rsidR="00FF376E" w:rsidRPr="003A6917" w:rsidRDefault="00FF376E" w:rsidP="002A0BB3">
            <w:pPr>
              <w:spacing w:before="0"/>
              <w:jc w:val="right"/>
              <w:rPr>
                <w:b/>
                <w:bCs/>
                <w:sz w:val="20"/>
                <w:szCs w:val="20"/>
              </w:rPr>
            </w:pPr>
            <w:r w:rsidRPr="003A6917">
              <w:rPr>
                <w:b/>
                <w:bCs/>
                <w:sz w:val="20"/>
                <w:szCs w:val="20"/>
              </w:rPr>
              <w:t>1,6</w:t>
            </w:r>
            <w:r>
              <w:rPr>
                <w:b/>
                <w:bCs/>
                <w:sz w:val="20"/>
                <w:szCs w:val="20"/>
              </w:rPr>
              <w:t>90,648</w:t>
            </w:r>
          </w:p>
        </w:tc>
        <w:tc>
          <w:tcPr>
            <w:tcW w:w="1503" w:type="dxa"/>
            <w:tcBorders>
              <w:bottom w:val="single" w:sz="4" w:space="0" w:color="auto"/>
            </w:tcBorders>
          </w:tcPr>
          <w:p w14:paraId="3B39B452" w14:textId="77777777" w:rsidR="00FF376E" w:rsidRPr="003A6917" w:rsidRDefault="00FF376E" w:rsidP="002A0BB3">
            <w:pPr>
              <w:spacing w:before="0"/>
              <w:jc w:val="right"/>
              <w:rPr>
                <w:b/>
                <w:bCs/>
                <w:sz w:val="20"/>
                <w:szCs w:val="20"/>
              </w:rPr>
            </w:pPr>
            <w:r>
              <w:rPr>
                <w:b/>
                <w:bCs/>
                <w:sz w:val="20"/>
                <w:szCs w:val="20"/>
              </w:rPr>
              <w:t>2,084,424</w:t>
            </w:r>
          </w:p>
        </w:tc>
        <w:tc>
          <w:tcPr>
            <w:tcW w:w="1503" w:type="dxa"/>
            <w:tcBorders>
              <w:bottom w:val="single" w:sz="4" w:space="0" w:color="auto"/>
            </w:tcBorders>
          </w:tcPr>
          <w:p w14:paraId="2FC78562" w14:textId="77777777" w:rsidR="00FF376E" w:rsidRPr="003A6917" w:rsidRDefault="00FF376E" w:rsidP="002A0BB3">
            <w:pPr>
              <w:spacing w:before="0"/>
              <w:jc w:val="right"/>
              <w:rPr>
                <w:b/>
                <w:bCs/>
                <w:sz w:val="20"/>
                <w:szCs w:val="20"/>
              </w:rPr>
            </w:pPr>
            <w:r w:rsidRPr="003A6917">
              <w:rPr>
                <w:b/>
                <w:bCs/>
                <w:sz w:val="20"/>
                <w:szCs w:val="20"/>
              </w:rPr>
              <w:t>1,</w:t>
            </w:r>
            <w:r>
              <w:rPr>
                <w:b/>
                <w:bCs/>
                <w:sz w:val="20"/>
                <w:szCs w:val="20"/>
              </w:rPr>
              <w:t>230,014</w:t>
            </w:r>
          </w:p>
        </w:tc>
      </w:tr>
    </w:tbl>
    <w:p w14:paraId="3D94A20D" w14:textId="069E0591" w:rsidR="00FF376E" w:rsidRPr="00FF376E" w:rsidRDefault="00FF376E" w:rsidP="00FF376E">
      <w:pPr>
        <w:spacing w:before="0"/>
        <w:rPr>
          <w:sz w:val="20"/>
          <w:szCs w:val="20"/>
        </w:rPr>
      </w:pPr>
      <w:r w:rsidRPr="00454FAF">
        <w:rPr>
          <w:sz w:val="20"/>
          <w:szCs w:val="20"/>
        </w:rPr>
        <w:t xml:space="preserve">Source: ACT </w:t>
      </w:r>
      <w:r>
        <w:rPr>
          <w:sz w:val="20"/>
          <w:szCs w:val="20"/>
        </w:rPr>
        <w:t xml:space="preserve">Budget, Table 3.7.1 </w:t>
      </w:r>
      <w:bookmarkStart w:id="162" w:name="_Toc64529049"/>
      <w:bookmarkStart w:id="163" w:name="_Toc110939259"/>
    </w:p>
    <w:p w14:paraId="13B34406" w14:textId="3620FD92" w:rsidR="00FF376E" w:rsidRDefault="00FF376E" w:rsidP="00FF376E">
      <w:r w:rsidRPr="00FF376E">
        <w:t>The Committee should note the Asset Renewal Program replaces the previous Better Infrastructure Fund.</w:t>
      </w:r>
    </w:p>
    <w:p w14:paraId="7F929311" w14:textId="0A199D46" w:rsidR="00FF376E" w:rsidRDefault="00FF376E" w:rsidP="00FF376E">
      <w:r>
        <w:t>Under the Infrastructure Investment Program, the Government has committed to over:</w:t>
      </w:r>
    </w:p>
    <w:p w14:paraId="3520E9DD" w14:textId="77777777" w:rsidR="00FF376E" w:rsidRDefault="00FF376E" w:rsidP="00FF376E">
      <w:pPr>
        <w:pStyle w:val="ListParagraph"/>
        <w:numPr>
          <w:ilvl w:val="0"/>
          <w:numId w:val="36"/>
        </w:numPr>
      </w:pPr>
      <w:r>
        <w:t>$1.0 billion on health</w:t>
      </w:r>
    </w:p>
    <w:p w14:paraId="4AB89256" w14:textId="77777777" w:rsidR="00FF376E" w:rsidRDefault="00FF376E" w:rsidP="00FF376E">
      <w:pPr>
        <w:pStyle w:val="ListParagraph"/>
        <w:numPr>
          <w:ilvl w:val="0"/>
          <w:numId w:val="36"/>
        </w:numPr>
      </w:pPr>
      <w:r>
        <w:t>$1.1 billion on education and skills</w:t>
      </w:r>
    </w:p>
    <w:p w14:paraId="25D2B8EC" w14:textId="77777777" w:rsidR="00FF376E" w:rsidRDefault="00FF376E" w:rsidP="00FF376E">
      <w:pPr>
        <w:pStyle w:val="ListParagraph"/>
        <w:numPr>
          <w:ilvl w:val="0"/>
          <w:numId w:val="36"/>
        </w:numPr>
        <w:spacing w:after="240"/>
      </w:pPr>
      <w:r>
        <w:t>$2.0 billion on transport</w:t>
      </w:r>
    </w:p>
    <w:p w14:paraId="200CFABF" w14:textId="77777777" w:rsidR="00FF376E" w:rsidRDefault="00FF376E" w:rsidP="00FF376E">
      <w:pPr>
        <w:pStyle w:val="ListParagraph"/>
        <w:numPr>
          <w:ilvl w:val="0"/>
          <w:numId w:val="36"/>
        </w:numPr>
        <w:spacing w:after="240"/>
      </w:pPr>
      <w:r>
        <w:t>$540 million for entertainment, arts and sport</w:t>
      </w:r>
    </w:p>
    <w:p w14:paraId="2CFC3007" w14:textId="77777777" w:rsidR="00FF376E" w:rsidRDefault="00FF376E" w:rsidP="00FF376E">
      <w:pPr>
        <w:pStyle w:val="ListParagraph"/>
        <w:numPr>
          <w:ilvl w:val="0"/>
          <w:numId w:val="36"/>
        </w:numPr>
        <w:spacing w:after="240"/>
      </w:pPr>
      <w:r>
        <w:t>$570 million for city services and community facilities</w:t>
      </w:r>
    </w:p>
    <w:p w14:paraId="61CB50B0" w14:textId="77777777" w:rsidR="00FF376E" w:rsidRDefault="00FF376E" w:rsidP="00FF376E">
      <w:pPr>
        <w:pStyle w:val="ListParagraph"/>
        <w:numPr>
          <w:ilvl w:val="0"/>
          <w:numId w:val="36"/>
        </w:numPr>
        <w:spacing w:after="240"/>
      </w:pPr>
      <w:r>
        <w:t xml:space="preserve">$520 million for housing infrastructure, and </w:t>
      </w:r>
    </w:p>
    <w:p w14:paraId="4FE3491A" w14:textId="77777777" w:rsidR="00FF376E" w:rsidRDefault="00FF376E" w:rsidP="00FF376E">
      <w:pPr>
        <w:pStyle w:val="ListParagraph"/>
        <w:numPr>
          <w:ilvl w:val="0"/>
          <w:numId w:val="36"/>
        </w:numPr>
        <w:spacing w:after="240"/>
      </w:pPr>
      <w:r>
        <w:t>$225 million for climate action and environment infrastructure.</w:t>
      </w:r>
    </w:p>
    <w:p w14:paraId="5D784A21" w14:textId="77777777" w:rsidR="00FF376E" w:rsidRPr="00347EC6" w:rsidRDefault="00FF376E" w:rsidP="00FF376E">
      <w:pPr>
        <w:spacing w:after="240"/>
        <w:rPr>
          <w:rFonts w:asciiTheme="majorHAnsi" w:hAnsiTheme="majorHAnsi" w:cstheme="majorHAnsi"/>
          <w:color w:val="0070C0"/>
        </w:rPr>
      </w:pPr>
      <w:r w:rsidRPr="00347EC6">
        <w:rPr>
          <w:rFonts w:asciiTheme="majorHAnsi" w:hAnsiTheme="majorHAnsi" w:cstheme="majorHAnsi"/>
          <w:color w:val="0070C0"/>
        </w:rPr>
        <w:lastRenderedPageBreak/>
        <w:t>7.2</w:t>
      </w:r>
      <w:r w:rsidRPr="00347EC6">
        <w:rPr>
          <w:rFonts w:asciiTheme="majorHAnsi" w:hAnsiTheme="majorHAnsi" w:cstheme="majorHAnsi"/>
          <w:color w:val="0070C0"/>
        </w:rPr>
        <w:tab/>
        <w:t>Capital Works Program</w:t>
      </w:r>
      <w:bookmarkEnd w:id="162"/>
      <w:bookmarkEnd w:id="163"/>
      <w:r w:rsidRPr="00347EC6">
        <w:rPr>
          <w:rFonts w:asciiTheme="majorHAnsi" w:hAnsiTheme="majorHAnsi" w:cstheme="majorHAnsi"/>
          <w:color w:val="0070C0"/>
        </w:rPr>
        <w:t xml:space="preserve"> – General Government</w:t>
      </w:r>
    </w:p>
    <w:p w14:paraId="6AC0AC1A" w14:textId="77777777" w:rsidR="00FF376E" w:rsidRDefault="00FF376E" w:rsidP="00FF376E">
      <w:r>
        <w:t>The Capital Works Program forms the largest component of the Infrastructure Investment Program, with funding of $1.4 billion in 2024-25 and $6.4 billion over the five years to 2028-29. This includes:</w:t>
      </w:r>
    </w:p>
    <w:p w14:paraId="7C9752A9" w14:textId="77777777" w:rsidR="00FF376E" w:rsidRDefault="00FF376E" w:rsidP="00FF376E">
      <w:pPr>
        <w:pStyle w:val="ListParagraph"/>
        <w:numPr>
          <w:ilvl w:val="0"/>
          <w:numId w:val="4"/>
        </w:numPr>
        <w:spacing w:before="0" w:after="160" w:line="256" w:lineRule="auto"/>
      </w:pPr>
      <w:r>
        <w:t>$36 million in 2024-25 and $57 billion over five years for new capital works</w:t>
      </w:r>
    </w:p>
    <w:p w14:paraId="544B08D7" w14:textId="77777777" w:rsidR="00FF376E" w:rsidRDefault="00FF376E" w:rsidP="00FF376E">
      <w:pPr>
        <w:pStyle w:val="ListParagraph"/>
        <w:numPr>
          <w:ilvl w:val="0"/>
          <w:numId w:val="4"/>
        </w:numPr>
        <w:spacing w:before="0" w:after="160" w:line="256" w:lineRule="auto"/>
      </w:pPr>
      <w:r>
        <w:t>$1.2 billion in 2024-25 and $3.9 billion over five years for works-in-progress</w:t>
      </w:r>
    </w:p>
    <w:p w14:paraId="5D9F0C3A" w14:textId="77777777" w:rsidR="00FF376E" w:rsidRDefault="00FF376E" w:rsidP="00FF376E">
      <w:pPr>
        <w:pStyle w:val="ListParagraph"/>
        <w:numPr>
          <w:ilvl w:val="0"/>
          <w:numId w:val="4"/>
        </w:numPr>
        <w:spacing w:before="0" w:after="160" w:line="256" w:lineRule="auto"/>
      </w:pPr>
      <w:r>
        <w:t>$111.4 million in 2024-25 and $601 million over five years for the Asset Renewal Program, and</w:t>
      </w:r>
    </w:p>
    <w:p w14:paraId="39A4EB08" w14:textId="77777777" w:rsidR="00FF376E" w:rsidRDefault="00FF376E" w:rsidP="00FF376E">
      <w:pPr>
        <w:pStyle w:val="ListParagraph"/>
        <w:numPr>
          <w:ilvl w:val="0"/>
          <w:numId w:val="4"/>
        </w:numPr>
        <w:spacing w:before="0" w:after="160" w:line="256" w:lineRule="auto"/>
      </w:pPr>
      <w:r>
        <w:t>$1.8 billion over five years for Central Capital Provisions.</w:t>
      </w:r>
    </w:p>
    <w:p w14:paraId="06D96335" w14:textId="43A318DC" w:rsidR="00FF376E" w:rsidRDefault="00FF376E" w:rsidP="00FF376E">
      <w:r>
        <w:t>These allocations include approximately $2.1 billion for health, education and skills infrastructure, $2</w:t>
      </w:r>
      <w:r w:rsidR="001016EB">
        <w:t> </w:t>
      </w:r>
      <w:r>
        <w:t>billion for transport and road investments, approximately $540 million for entertainment, arts and sport, $520 million for housing infrastructure, including social housing, $570 million for city services and community facilities, and $225 million for climate action.</w:t>
      </w:r>
    </w:p>
    <w:p w14:paraId="5CBF9ECD" w14:textId="77777777" w:rsidR="00FF376E" w:rsidRDefault="00FF376E" w:rsidP="00FF376E">
      <w:r>
        <w:t>The Capital Delivery Provision has a net zero impact over the five years to 2028-29.</w:t>
      </w:r>
    </w:p>
    <w:p w14:paraId="520B02A8" w14:textId="4F62D449" w:rsidR="00347EC6" w:rsidRDefault="00FF376E" w:rsidP="00FF376E">
      <w:r>
        <w:t>This Budget reflects a total</w:t>
      </w:r>
      <w:r w:rsidRPr="00B638A7">
        <w:t xml:space="preserve"> </w:t>
      </w:r>
      <w:r>
        <w:t xml:space="preserve">funding envelope </w:t>
      </w:r>
      <w:r w:rsidRPr="00B638A7">
        <w:t>of $</w:t>
      </w:r>
      <w:r>
        <w:t>6.4</w:t>
      </w:r>
      <w:r w:rsidRPr="00B638A7">
        <w:t xml:space="preserve"> billion over the </w:t>
      </w:r>
      <w:r>
        <w:t>five</w:t>
      </w:r>
      <w:r w:rsidRPr="00B638A7">
        <w:t xml:space="preserve"> years</w:t>
      </w:r>
      <w:r>
        <w:t>, a slight reduction from the $6.5 billion forecast in 2023-24</w:t>
      </w:r>
      <w:r w:rsidRPr="00B638A7">
        <w:t xml:space="preserve">. </w:t>
      </w:r>
      <w:r w:rsidR="006B3121">
        <w:t xml:space="preserve"> The forecast capital spend increases over the Budget and forward years and then drops significantly in 2028-29.  On the experience of previous years, the forecast spending in 2028-29</w:t>
      </w:r>
      <w:r w:rsidR="00E51DD0">
        <w:t xml:space="preserve"> could be expected to be revised upwards in the future. </w:t>
      </w:r>
    </w:p>
    <w:p w14:paraId="3E3C014E" w14:textId="4D0DFB53" w:rsidR="00FF376E" w:rsidRDefault="006B3121" w:rsidP="00FF376E">
      <w:r>
        <w:t xml:space="preserve">Trends in </w:t>
      </w:r>
      <w:r w:rsidR="00FF376E" w:rsidRPr="00347EC6">
        <w:t xml:space="preserve">capital works program forecasts in the last five ACT Budgets </w:t>
      </w:r>
      <w:r>
        <w:t>are</w:t>
      </w:r>
      <w:r w:rsidR="00FF376E" w:rsidRPr="00347EC6">
        <w:t xml:space="preserve"> outlined in </w:t>
      </w:r>
      <w:r w:rsidR="00103F85">
        <w:fldChar w:fldCharType="begin"/>
      </w:r>
      <w:r w:rsidR="00103F85">
        <w:instrText xml:space="preserve"> REF _Ref170908072 \h </w:instrText>
      </w:r>
      <w:r w:rsidR="00103F85">
        <w:fldChar w:fldCharType="separate"/>
      </w:r>
      <w:r w:rsidR="000B62ED" w:rsidRPr="000E4089">
        <w:t xml:space="preserve">Figure </w:t>
      </w:r>
      <w:r w:rsidR="000B62ED">
        <w:rPr>
          <w:noProof/>
        </w:rPr>
        <w:t>24</w:t>
      </w:r>
      <w:r w:rsidR="00103F85">
        <w:fldChar w:fldCharType="end"/>
      </w:r>
      <w:r w:rsidR="00103F85">
        <w:t xml:space="preserve"> </w:t>
      </w:r>
      <w:r w:rsidR="00FF376E" w:rsidRPr="00347EC6">
        <w:t>below.</w:t>
      </w:r>
    </w:p>
    <w:p w14:paraId="1F0AD738" w14:textId="0BB8E281" w:rsidR="00FF376E" w:rsidRPr="00680C75" w:rsidRDefault="00FF376E" w:rsidP="00FF376E">
      <w:pPr>
        <w:pStyle w:val="Caption"/>
        <w:spacing w:before="0"/>
        <w:rPr>
          <w:highlight w:val="red"/>
        </w:rPr>
      </w:pPr>
      <w:bookmarkStart w:id="164" w:name="_Ref170908072"/>
      <w:bookmarkStart w:id="165" w:name="_Toc110939318"/>
      <w:bookmarkStart w:id="166" w:name="_Hlk11010962"/>
      <w:bookmarkStart w:id="167" w:name="_Toc171949083"/>
      <w:r w:rsidRPr="000E4089">
        <w:t xml:space="preserve">Figure </w:t>
      </w:r>
      <w:r w:rsidRPr="000E4089">
        <w:rPr>
          <w:noProof/>
        </w:rPr>
        <w:fldChar w:fldCharType="begin"/>
      </w:r>
      <w:r w:rsidRPr="000E4089">
        <w:rPr>
          <w:noProof/>
        </w:rPr>
        <w:instrText xml:space="preserve"> SEQ Figure \* ARABIC </w:instrText>
      </w:r>
      <w:r w:rsidRPr="000E4089">
        <w:rPr>
          <w:noProof/>
        </w:rPr>
        <w:fldChar w:fldCharType="separate"/>
      </w:r>
      <w:r w:rsidR="000B62ED">
        <w:rPr>
          <w:noProof/>
        </w:rPr>
        <w:t>24</w:t>
      </w:r>
      <w:r w:rsidRPr="000E4089">
        <w:rPr>
          <w:noProof/>
        </w:rPr>
        <w:fldChar w:fldCharType="end"/>
      </w:r>
      <w:bookmarkEnd w:id="164"/>
      <w:r w:rsidRPr="000E4089">
        <w:t>: Capital Works Program Forecasts</w:t>
      </w:r>
      <w:bookmarkEnd w:id="167"/>
      <w:r w:rsidRPr="000E4089">
        <w:t xml:space="preserve"> </w:t>
      </w:r>
      <w:bookmarkEnd w:id="165"/>
    </w:p>
    <w:p w14:paraId="7DEF3690" w14:textId="00D5EA74" w:rsidR="00FF376E" w:rsidRDefault="00F82CAA" w:rsidP="00FF376E">
      <w:pPr>
        <w:spacing w:before="0"/>
      </w:pPr>
      <w:r>
        <w:rPr>
          <w:noProof/>
        </w:rPr>
        <w:drawing>
          <wp:inline distT="0" distB="0" distL="0" distR="0" wp14:anchorId="2990209C" wp14:editId="193FCA8E">
            <wp:extent cx="5727700" cy="3737610"/>
            <wp:effectExtent l="0" t="0" r="0" b="0"/>
            <wp:docPr id="1319992761" name="Picture 1319992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27700" cy="3737610"/>
                    </a:xfrm>
                    <a:prstGeom prst="rect">
                      <a:avLst/>
                    </a:prstGeom>
                  </pic:spPr>
                </pic:pic>
              </a:graphicData>
            </a:graphic>
          </wp:inline>
        </w:drawing>
      </w:r>
      <w:r w:rsidR="00FF376E" w:rsidRPr="00680C75">
        <w:rPr>
          <w:highlight w:val="red"/>
        </w:rPr>
        <w:br/>
      </w:r>
      <w:r w:rsidR="00FF376E" w:rsidRPr="000E4089">
        <w:rPr>
          <w:sz w:val="20"/>
          <w:szCs w:val="20"/>
        </w:rPr>
        <w:t xml:space="preserve">Source: ACT </w:t>
      </w:r>
      <w:r w:rsidR="00FF376E">
        <w:rPr>
          <w:sz w:val="20"/>
          <w:szCs w:val="20"/>
        </w:rPr>
        <w:t xml:space="preserve">Budget Papers </w:t>
      </w:r>
    </w:p>
    <w:bookmarkEnd w:id="166"/>
    <w:p w14:paraId="0B8AF3D8" w14:textId="3A365032" w:rsidR="00FF376E" w:rsidRDefault="00FF376E" w:rsidP="00FF376E">
      <w:r>
        <w:t xml:space="preserve">Infrastructure Provisions increase substantially across the four forward years with a total funding envelope of $1.8 billion (Central Capital Provisions). The Central Capital Provisions sets aside funding for significant capital works projects for which budgets are yet to be settled, or which are commercially sensitive, including unallocated funding for the Asset Renewal Program. The Capital </w:t>
      </w:r>
      <w:r>
        <w:lastRenderedPageBreak/>
        <w:t>Delivery Provision re-profiles approximately 30</w:t>
      </w:r>
      <w:r w:rsidR="00AF00A5">
        <w:t xml:space="preserve"> percent</w:t>
      </w:r>
      <w:r>
        <w:t xml:space="preserve"> of the 2023-24 and approximately 28</w:t>
      </w:r>
      <w:r w:rsidR="00AF00A5">
        <w:t xml:space="preserve"> percent</w:t>
      </w:r>
      <w:r>
        <w:t xml:space="preserve"> of the 2024-25 Capital Works Program to the last three out-years.</w:t>
      </w:r>
    </w:p>
    <w:p w14:paraId="6CB95A97" w14:textId="07CA6A53" w:rsidR="00FF376E" w:rsidRDefault="00FF376E" w:rsidP="00FF376E">
      <w:pPr>
        <w:rPr>
          <w:rFonts w:cstheme="minorHAnsi"/>
        </w:rPr>
      </w:pPr>
      <w:r w:rsidRPr="00EE2C9D">
        <w:rPr>
          <w:rFonts w:cstheme="minorHAnsi"/>
        </w:rPr>
        <w:t xml:space="preserve">The key elements of the </w:t>
      </w:r>
      <w:r>
        <w:rPr>
          <w:rFonts w:cstheme="minorHAnsi"/>
        </w:rPr>
        <w:t xml:space="preserve">General Government </w:t>
      </w:r>
      <w:r w:rsidRPr="00EE2C9D">
        <w:rPr>
          <w:rFonts w:cstheme="minorHAnsi"/>
        </w:rPr>
        <w:t xml:space="preserve">Capital Works Program </w:t>
      </w:r>
      <w:r>
        <w:rPr>
          <w:rFonts w:cstheme="minorHAnsi"/>
        </w:rPr>
        <w:t xml:space="preserve">for 2024-25 </w:t>
      </w:r>
      <w:r w:rsidRPr="00EE2C9D">
        <w:rPr>
          <w:rFonts w:cstheme="minorHAnsi"/>
        </w:rPr>
        <w:t>are</w:t>
      </w:r>
      <w:r>
        <w:rPr>
          <w:rFonts w:cstheme="minorHAnsi"/>
        </w:rPr>
        <w:t xml:space="preserve"> (ACT Government, 2024, Chapter 3.2)</w:t>
      </w:r>
      <w:r w:rsidRPr="00EE2C9D">
        <w:rPr>
          <w:rFonts w:cstheme="minorHAnsi"/>
        </w:rPr>
        <w:t>:</w:t>
      </w:r>
    </w:p>
    <w:p w14:paraId="1DD54ABE" w14:textId="77777777" w:rsidR="00FF376E" w:rsidRPr="00AF00A5" w:rsidRDefault="00FF376E" w:rsidP="00FF376E">
      <w:pPr>
        <w:ind w:firstLine="720"/>
        <w:rPr>
          <w:rFonts w:cstheme="minorHAnsi"/>
          <w:color w:val="000000" w:themeColor="text1"/>
        </w:rPr>
      </w:pPr>
      <w:r w:rsidRPr="00AF00A5">
        <w:rPr>
          <w:rFonts w:cstheme="minorHAnsi"/>
          <w:color w:val="000000" w:themeColor="text1"/>
        </w:rPr>
        <w:t>Health</w:t>
      </w:r>
    </w:p>
    <w:p w14:paraId="1AA1267B" w14:textId="77777777" w:rsidR="00FF376E" w:rsidRPr="00AF00A5" w:rsidRDefault="00FF376E" w:rsidP="00FF376E">
      <w:pPr>
        <w:rPr>
          <w:rFonts w:cstheme="minorHAnsi"/>
          <w:color w:val="000000" w:themeColor="text1"/>
        </w:rPr>
      </w:pPr>
      <w:r w:rsidRPr="00AF00A5">
        <w:rPr>
          <w:rFonts w:cstheme="minorHAnsi"/>
          <w:color w:val="000000" w:themeColor="text1"/>
        </w:rPr>
        <w:t>The Budget provides over $1 billion across five years, including $920 million in 2024-25 ($700 million in public health care, $78 million in better community care and $131 million for health infrastructure).</w:t>
      </w:r>
    </w:p>
    <w:p w14:paraId="334DECCA" w14:textId="77777777" w:rsidR="00FF376E" w:rsidRPr="00AF00A5" w:rsidRDefault="00FF376E" w:rsidP="00FF376E">
      <w:pPr>
        <w:pStyle w:val="ListParagraph"/>
        <w:numPr>
          <w:ilvl w:val="0"/>
          <w:numId w:val="6"/>
        </w:numPr>
        <w:rPr>
          <w:rFonts w:cstheme="minorHAnsi"/>
          <w:color w:val="000000" w:themeColor="text1"/>
        </w:rPr>
      </w:pPr>
      <w:r w:rsidRPr="00AF00A5">
        <w:rPr>
          <w:rFonts w:cstheme="minorHAnsi"/>
          <w:color w:val="000000" w:themeColor="text1"/>
        </w:rPr>
        <w:t>Continuing the transition of the new Northside Hospital to Canberra Health Services, refurbishments at Northside Hospital and a second endoscopy suite at Northside Hospital</w:t>
      </w:r>
    </w:p>
    <w:p w14:paraId="4D7F9234" w14:textId="3C5A851D" w:rsidR="005D73F3" w:rsidRDefault="005D73F3" w:rsidP="00FF376E">
      <w:pPr>
        <w:pStyle w:val="ListParagraph"/>
        <w:numPr>
          <w:ilvl w:val="0"/>
          <w:numId w:val="6"/>
        </w:numPr>
        <w:rPr>
          <w:rFonts w:cstheme="minorHAnsi"/>
          <w:color w:val="000000" w:themeColor="text1"/>
        </w:rPr>
      </w:pPr>
      <w:r>
        <w:rPr>
          <w:rFonts w:cstheme="minorHAnsi"/>
          <w:color w:val="000000" w:themeColor="text1"/>
        </w:rPr>
        <w:t>Health centres for Garran and Casey</w:t>
      </w:r>
    </w:p>
    <w:p w14:paraId="4F81CC63" w14:textId="059202BC" w:rsidR="00FF376E" w:rsidRPr="00AF00A5" w:rsidRDefault="00FF376E" w:rsidP="00FF376E">
      <w:pPr>
        <w:pStyle w:val="ListParagraph"/>
        <w:numPr>
          <w:ilvl w:val="0"/>
          <w:numId w:val="6"/>
        </w:numPr>
        <w:rPr>
          <w:rFonts w:cstheme="minorHAnsi"/>
          <w:color w:val="000000" w:themeColor="text1"/>
        </w:rPr>
      </w:pPr>
      <w:r w:rsidRPr="00AF00A5">
        <w:rPr>
          <w:rFonts w:cstheme="minorHAnsi"/>
          <w:color w:val="000000" w:themeColor="text1"/>
        </w:rPr>
        <w:t>Nursery and neonatal intensive care for critically unwell children</w:t>
      </w:r>
    </w:p>
    <w:p w14:paraId="418AC4FC" w14:textId="77777777" w:rsidR="00FF376E" w:rsidRPr="00AF00A5" w:rsidRDefault="00FF376E" w:rsidP="00FF376E">
      <w:pPr>
        <w:pStyle w:val="ListParagraph"/>
        <w:numPr>
          <w:ilvl w:val="0"/>
          <w:numId w:val="6"/>
        </w:numPr>
        <w:rPr>
          <w:rFonts w:cstheme="minorHAnsi"/>
          <w:color w:val="000000" w:themeColor="text1"/>
        </w:rPr>
      </w:pPr>
      <w:r w:rsidRPr="00AF00A5">
        <w:rPr>
          <w:rFonts w:cstheme="minorHAnsi"/>
          <w:color w:val="000000" w:themeColor="text1"/>
        </w:rPr>
        <w:t xml:space="preserve">Palliative and cognitive impaired care </w:t>
      </w:r>
    </w:p>
    <w:p w14:paraId="03B3DB48" w14:textId="77777777" w:rsidR="00FF376E" w:rsidRPr="00AF00A5" w:rsidRDefault="00FF376E" w:rsidP="00FF376E">
      <w:pPr>
        <w:pStyle w:val="ListParagraph"/>
        <w:numPr>
          <w:ilvl w:val="0"/>
          <w:numId w:val="6"/>
        </w:numPr>
        <w:rPr>
          <w:rFonts w:cstheme="minorHAnsi"/>
          <w:color w:val="000000" w:themeColor="text1"/>
        </w:rPr>
      </w:pPr>
      <w:r w:rsidRPr="00AF00A5">
        <w:rPr>
          <w:rFonts w:cstheme="minorHAnsi"/>
          <w:color w:val="000000" w:themeColor="text1"/>
        </w:rPr>
        <w:t>Improve digital health services</w:t>
      </w:r>
    </w:p>
    <w:p w14:paraId="25F00391" w14:textId="77777777" w:rsidR="00FF376E" w:rsidRPr="00AF00A5" w:rsidRDefault="00FF376E" w:rsidP="00FF376E">
      <w:pPr>
        <w:pStyle w:val="ListParagraph"/>
        <w:numPr>
          <w:ilvl w:val="0"/>
          <w:numId w:val="6"/>
        </w:numPr>
        <w:rPr>
          <w:rFonts w:cstheme="minorHAnsi"/>
          <w:color w:val="000000" w:themeColor="text1"/>
        </w:rPr>
      </w:pPr>
      <w:r w:rsidRPr="00AF00A5">
        <w:rPr>
          <w:rFonts w:cstheme="minorHAnsi"/>
          <w:color w:val="000000" w:themeColor="text1"/>
        </w:rPr>
        <w:t>Expand mental health services, including the Step up, Step down home program</w:t>
      </w:r>
    </w:p>
    <w:p w14:paraId="03C5A42D" w14:textId="77777777" w:rsidR="00FF376E" w:rsidRPr="00AF00A5" w:rsidRDefault="00FF376E" w:rsidP="00FF376E">
      <w:pPr>
        <w:pStyle w:val="ListParagraph"/>
        <w:numPr>
          <w:ilvl w:val="0"/>
          <w:numId w:val="6"/>
        </w:numPr>
        <w:rPr>
          <w:rFonts w:cstheme="minorHAnsi"/>
          <w:color w:val="000000" w:themeColor="text1"/>
        </w:rPr>
      </w:pPr>
      <w:r w:rsidRPr="00AF00A5">
        <w:rPr>
          <w:rFonts w:cstheme="minorHAnsi"/>
          <w:color w:val="000000" w:themeColor="text1"/>
        </w:rPr>
        <w:t>Commencing the second phase of the Canberra Hospital master plan.</w:t>
      </w:r>
    </w:p>
    <w:p w14:paraId="5038054C" w14:textId="77777777" w:rsidR="00FF376E" w:rsidRPr="00AF00A5" w:rsidRDefault="00FF376E" w:rsidP="00FF376E">
      <w:pPr>
        <w:ind w:left="720"/>
        <w:rPr>
          <w:rFonts w:cstheme="minorHAnsi"/>
          <w:color w:val="000000" w:themeColor="text1"/>
        </w:rPr>
      </w:pPr>
      <w:r w:rsidRPr="00AF00A5">
        <w:rPr>
          <w:rFonts w:cstheme="minorHAnsi"/>
          <w:color w:val="000000" w:themeColor="text1"/>
        </w:rPr>
        <w:t xml:space="preserve">Education </w:t>
      </w:r>
    </w:p>
    <w:p w14:paraId="1030223C" w14:textId="77777777" w:rsidR="00FF376E" w:rsidRPr="00AF00A5" w:rsidRDefault="00FF376E" w:rsidP="00FF376E">
      <w:pPr>
        <w:rPr>
          <w:rFonts w:cstheme="minorHAnsi"/>
          <w:color w:val="000000" w:themeColor="text1"/>
        </w:rPr>
      </w:pPr>
      <w:r w:rsidRPr="00AF00A5">
        <w:rPr>
          <w:rFonts w:cstheme="minorHAnsi"/>
          <w:color w:val="000000" w:themeColor="text1"/>
        </w:rPr>
        <w:t xml:space="preserve">The Budget provides approximately $1.8 billion across five years for new education and skills initiatives, and infrastructure.  </w:t>
      </w:r>
    </w:p>
    <w:p w14:paraId="219E014F" w14:textId="77777777" w:rsidR="00FF376E" w:rsidRPr="00AF00A5" w:rsidRDefault="00FF376E" w:rsidP="00FF376E">
      <w:pPr>
        <w:pStyle w:val="ListParagraph"/>
        <w:numPr>
          <w:ilvl w:val="0"/>
          <w:numId w:val="6"/>
        </w:numPr>
        <w:rPr>
          <w:rFonts w:cstheme="minorHAnsi"/>
          <w:color w:val="000000" w:themeColor="text1"/>
        </w:rPr>
      </w:pPr>
      <w:r w:rsidRPr="00AF00A5">
        <w:rPr>
          <w:rFonts w:cstheme="minorHAnsi"/>
          <w:color w:val="000000" w:themeColor="text1"/>
        </w:rPr>
        <w:t>Public education and early childhood, $37 million</w:t>
      </w:r>
    </w:p>
    <w:p w14:paraId="45A4FF4D" w14:textId="77777777" w:rsidR="00FF376E" w:rsidRPr="00AF00A5" w:rsidRDefault="00FF376E" w:rsidP="00FF376E">
      <w:pPr>
        <w:pStyle w:val="ListParagraph"/>
        <w:numPr>
          <w:ilvl w:val="0"/>
          <w:numId w:val="6"/>
        </w:numPr>
        <w:rPr>
          <w:rFonts w:cstheme="minorHAnsi"/>
          <w:color w:val="000000" w:themeColor="text1"/>
        </w:rPr>
      </w:pPr>
      <w:r w:rsidRPr="00AF00A5">
        <w:rPr>
          <w:rFonts w:cstheme="minorHAnsi"/>
          <w:color w:val="000000" w:themeColor="text1"/>
        </w:rPr>
        <w:t>New schools and refurbishments, $22 million</w:t>
      </w:r>
    </w:p>
    <w:p w14:paraId="65E31160" w14:textId="77777777" w:rsidR="00FF376E" w:rsidRPr="00AF00A5" w:rsidRDefault="00FF376E" w:rsidP="00FF376E">
      <w:pPr>
        <w:pStyle w:val="ListParagraph"/>
        <w:numPr>
          <w:ilvl w:val="0"/>
          <w:numId w:val="6"/>
        </w:numPr>
        <w:rPr>
          <w:rFonts w:cstheme="minorHAnsi"/>
          <w:color w:val="000000" w:themeColor="text1"/>
        </w:rPr>
      </w:pPr>
      <w:r w:rsidRPr="00AF00A5">
        <w:rPr>
          <w:rFonts w:cstheme="minorHAnsi"/>
          <w:color w:val="000000" w:themeColor="text1"/>
        </w:rPr>
        <w:t>Skills development, $41.0 million.</w:t>
      </w:r>
    </w:p>
    <w:p w14:paraId="531E7900" w14:textId="77777777" w:rsidR="00FF376E" w:rsidRPr="00AF00A5" w:rsidRDefault="00FF376E" w:rsidP="00FF376E">
      <w:pPr>
        <w:ind w:left="720"/>
        <w:rPr>
          <w:rFonts w:cstheme="minorHAnsi"/>
          <w:color w:val="000000" w:themeColor="text1"/>
        </w:rPr>
      </w:pPr>
      <w:r w:rsidRPr="00AF00A5">
        <w:rPr>
          <w:rFonts w:cstheme="minorHAnsi"/>
          <w:color w:val="000000" w:themeColor="text1"/>
        </w:rPr>
        <w:t>Housing</w:t>
      </w:r>
    </w:p>
    <w:p w14:paraId="5314C8C5" w14:textId="728D97BE" w:rsidR="00FF376E" w:rsidRPr="003B10DB" w:rsidRDefault="003B10DB" w:rsidP="00FF376E">
      <w:pPr>
        <w:pStyle w:val="ListParagraph"/>
        <w:numPr>
          <w:ilvl w:val="0"/>
          <w:numId w:val="6"/>
        </w:numPr>
        <w:rPr>
          <w:rFonts w:cstheme="minorHAnsi"/>
          <w:color w:val="000000" w:themeColor="text1"/>
        </w:rPr>
      </w:pPr>
      <w:r w:rsidRPr="00557134">
        <w:rPr>
          <w:rFonts w:cstheme="minorHAnsi"/>
          <w:color w:val="000000" w:themeColor="text1"/>
        </w:rPr>
        <w:t>Social housing</w:t>
      </w:r>
      <w:r w:rsidR="00FF376E" w:rsidRPr="003B10DB">
        <w:rPr>
          <w:rFonts w:cstheme="minorHAnsi"/>
          <w:color w:val="000000" w:themeColor="text1"/>
        </w:rPr>
        <w:t>, $1</w:t>
      </w:r>
      <w:r w:rsidRPr="00557134">
        <w:rPr>
          <w:rFonts w:cstheme="minorHAnsi"/>
          <w:color w:val="000000" w:themeColor="text1"/>
        </w:rPr>
        <w:t>08</w:t>
      </w:r>
      <w:r w:rsidR="00FF376E" w:rsidRPr="003B10DB">
        <w:rPr>
          <w:rFonts w:cstheme="minorHAnsi"/>
          <w:color w:val="000000" w:themeColor="text1"/>
        </w:rPr>
        <w:t xml:space="preserve"> million</w:t>
      </w:r>
      <w:r w:rsidRPr="00557134">
        <w:rPr>
          <w:rFonts w:cstheme="minorHAnsi"/>
          <w:color w:val="000000" w:themeColor="text1"/>
        </w:rPr>
        <w:t xml:space="preserve"> (in gross terms; that is, before offsets) over four years</w:t>
      </w:r>
    </w:p>
    <w:p w14:paraId="5F670A40" w14:textId="77777777" w:rsidR="00FF376E" w:rsidRPr="00AF00A5" w:rsidRDefault="00FF376E" w:rsidP="00FF376E">
      <w:pPr>
        <w:pStyle w:val="ListParagraph"/>
        <w:numPr>
          <w:ilvl w:val="0"/>
          <w:numId w:val="6"/>
        </w:numPr>
        <w:rPr>
          <w:rFonts w:cstheme="minorHAnsi"/>
          <w:color w:val="000000" w:themeColor="text1"/>
        </w:rPr>
      </w:pPr>
      <w:r w:rsidRPr="00AF00A5">
        <w:rPr>
          <w:rFonts w:cstheme="minorHAnsi"/>
          <w:color w:val="000000" w:themeColor="text1"/>
        </w:rPr>
        <w:t>Affordable rental and home ownership through the Affordable Housing Project Fund, $20 million</w:t>
      </w:r>
    </w:p>
    <w:p w14:paraId="0F012D8B" w14:textId="77777777" w:rsidR="00FF376E" w:rsidRPr="00AF00A5" w:rsidRDefault="00FF376E" w:rsidP="00FF376E">
      <w:pPr>
        <w:pStyle w:val="ListParagraph"/>
        <w:numPr>
          <w:ilvl w:val="0"/>
          <w:numId w:val="6"/>
        </w:numPr>
        <w:rPr>
          <w:rFonts w:cstheme="minorHAnsi"/>
          <w:color w:val="000000" w:themeColor="text1"/>
        </w:rPr>
      </w:pPr>
      <w:r w:rsidRPr="00AF00A5">
        <w:rPr>
          <w:rFonts w:cstheme="minorHAnsi"/>
          <w:color w:val="000000" w:themeColor="text1"/>
        </w:rPr>
        <w:t>Housing choice and quality and land release, $80 million over four years.</w:t>
      </w:r>
    </w:p>
    <w:p w14:paraId="3B3CDD60" w14:textId="77777777" w:rsidR="00FF376E" w:rsidRPr="00AF00A5" w:rsidRDefault="00FF376E" w:rsidP="00FF376E">
      <w:pPr>
        <w:rPr>
          <w:rFonts w:cstheme="minorHAnsi"/>
          <w:color w:val="000000" w:themeColor="text1"/>
        </w:rPr>
      </w:pPr>
      <w:r w:rsidRPr="00AF00A5">
        <w:rPr>
          <w:rFonts w:cstheme="minorHAnsi"/>
          <w:color w:val="000000" w:themeColor="text1"/>
        </w:rPr>
        <w:t xml:space="preserve">In respect to social housing the Committee should note the ACT is to receive $157.4 million from the Australian Government over five years as part of its National Agreement on Social Housing and Homelessness arrangements. </w:t>
      </w:r>
    </w:p>
    <w:p w14:paraId="29058857" w14:textId="77777777" w:rsidR="00FF376E" w:rsidRPr="00AF00A5" w:rsidRDefault="00FF376E" w:rsidP="00FF376E">
      <w:pPr>
        <w:ind w:left="720"/>
        <w:rPr>
          <w:rFonts w:cstheme="minorHAnsi"/>
          <w:color w:val="000000" w:themeColor="text1"/>
        </w:rPr>
      </w:pPr>
      <w:r w:rsidRPr="00AF00A5">
        <w:rPr>
          <w:rFonts w:cstheme="minorHAnsi"/>
          <w:color w:val="000000" w:themeColor="text1"/>
        </w:rPr>
        <w:t>Emergency Services</w:t>
      </w:r>
    </w:p>
    <w:p w14:paraId="544C2AA0" w14:textId="77777777" w:rsidR="00FF376E" w:rsidRPr="00AF00A5" w:rsidRDefault="00FF376E" w:rsidP="00FF376E">
      <w:pPr>
        <w:pStyle w:val="ListParagraph"/>
        <w:numPr>
          <w:ilvl w:val="0"/>
          <w:numId w:val="6"/>
        </w:numPr>
        <w:rPr>
          <w:rFonts w:cstheme="minorHAnsi"/>
          <w:color w:val="000000" w:themeColor="text1"/>
        </w:rPr>
      </w:pPr>
      <w:r w:rsidRPr="00AF00A5">
        <w:rPr>
          <w:rFonts w:cstheme="minorHAnsi"/>
          <w:color w:val="000000" w:themeColor="text1"/>
        </w:rPr>
        <w:t>Planning for a new emergency services site in Casey and improvements to police stations, $4.5 million.</w:t>
      </w:r>
    </w:p>
    <w:p w14:paraId="090C1EBC" w14:textId="77777777" w:rsidR="00FF376E" w:rsidRPr="00AF00A5" w:rsidRDefault="00FF376E" w:rsidP="00FF376E">
      <w:pPr>
        <w:ind w:left="720"/>
        <w:rPr>
          <w:rFonts w:cstheme="minorHAnsi"/>
          <w:color w:val="000000" w:themeColor="text1"/>
        </w:rPr>
      </w:pPr>
      <w:r w:rsidRPr="00AF00A5">
        <w:rPr>
          <w:rFonts w:cstheme="minorHAnsi"/>
          <w:color w:val="000000" w:themeColor="text1"/>
        </w:rPr>
        <w:t>Transport, Environment and Climate</w:t>
      </w:r>
    </w:p>
    <w:p w14:paraId="3103C746" w14:textId="77777777" w:rsidR="00FF376E" w:rsidRPr="00AF00A5" w:rsidRDefault="00FF376E" w:rsidP="00FF376E">
      <w:pPr>
        <w:rPr>
          <w:rFonts w:cstheme="minorHAnsi"/>
          <w:color w:val="000000" w:themeColor="text1"/>
        </w:rPr>
      </w:pPr>
      <w:r w:rsidRPr="00AF00A5">
        <w:rPr>
          <w:rFonts w:cstheme="minorHAnsi"/>
          <w:color w:val="000000" w:themeColor="text1"/>
        </w:rPr>
        <w:t>Investments in infrastructure are approximately $500 million in 2024-25, including $71 million over four years for new transport initiatives, and $2.2 billion over five years.</w:t>
      </w:r>
    </w:p>
    <w:p w14:paraId="79008C03" w14:textId="77777777" w:rsidR="00FF376E" w:rsidRPr="00AF00A5" w:rsidRDefault="00FF376E" w:rsidP="00FF376E">
      <w:pPr>
        <w:pStyle w:val="ListParagraph"/>
        <w:numPr>
          <w:ilvl w:val="0"/>
          <w:numId w:val="6"/>
        </w:numPr>
        <w:rPr>
          <w:rFonts w:cstheme="minorHAnsi"/>
          <w:color w:val="000000" w:themeColor="text1"/>
        </w:rPr>
      </w:pPr>
      <w:r w:rsidRPr="00AF00A5">
        <w:rPr>
          <w:rFonts w:cstheme="minorHAnsi"/>
          <w:color w:val="000000" w:themeColor="text1"/>
        </w:rPr>
        <w:t>Sustainable Household Scheme, Vulnerable Household Energy Support Scheme and the Integrated Energy Plan, $190 million</w:t>
      </w:r>
    </w:p>
    <w:p w14:paraId="25084926" w14:textId="77777777" w:rsidR="00FF376E" w:rsidRPr="00AF00A5" w:rsidRDefault="00FF376E" w:rsidP="00FF376E">
      <w:pPr>
        <w:pStyle w:val="ListParagraph"/>
        <w:numPr>
          <w:ilvl w:val="0"/>
          <w:numId w:val="6"/>
        </w:numPr>
        <w:rPr>
          <w:rFonts w:cstheme="minorHAnsi"/>
          <w:color w:val="000000" w:themeColor="text1"/>
        </w:rPr>
      </w:pPr>
      <w:r w:rsidRPr="00AF00A5">
        <w:rPr>
          <w:rFonts w:cstheme="minorHAnsi"/>
          <w:color w:val="000000" w:themeColor="text1"/>
        </w:rPr>
        <w:t>Protection of Canberra’s environment, $83 million</w:t>
      </w:r>
    </w:p>
    <w:p w14:paraId="49EB0C99" w14:textId="77777777" w:rsidR="00FF376E" w:rsidRPr="00AF00A5" w:rsidRDefault="00FF376E" w:rsidP="00FF376E">
      <w:pPr>
        <w:pStyle w:val="ListParagraph"/>
        <w:numPr>
          <w:ilvl w:val="0"/>
          <w:numId w:val="6"/>
        </w:numPr>
        <w:rPr>
          <w:rFonts w:cstheme="minorHAnsi"/>
          <w:color w:val="000000" w:themeColor="text1"/>
        </w:rPr>
      </w:pPr>
      <w:r w:rsidRPr="00AF00A5">
        <w:rPr>
          <w:rFonts w:cstheme="minorHAnsi"/>
          <w:color w:val="000000" w:themeColor="text1"/>
        </w:rPr>
        <w:t>90 battery electric buses</w:t>
      </w:r>
    </w:p>
    <w:p w14:paraId="594F2298" w14:textId="77777777" w:rsidR="00FF376E" w:rsidRPr="00AF00A5" w:rsidRDefault="00FF376E" w:rsidP="00FF376E">
      <w:pPr>
        <w:pStyle w:val="ListParagraph"/>
        <w:numPr>
          <w:ilvl w:val="0"/>
          <w:numId w:val="6"/>
        </w:numPr>
        <w:rPr>
          <w:rFonts w:cstheme="minorHAnsi"/>
          <w:color w:val="000000" w:themeColor="text1"/>
        </w:rPr>
      </w:pPr>
      <w:r w:rsidRPr="00AF00A5">
        <w:rPr>
          <w:rFonts w:cstheme="minorHAnsi"/>
          <w:color w:val="000000" w:themeColor="text1"/>
        </w:rPr>
        <w:t>Duplication of Athllon drive</w:t>
      </w:r>
    </w:p>
    <w:p w14:paraId="4BEF1954" w14:textId="77777777" w:rsidR="00FF376E" w:rsidRPr="00AF00A5" w:rsidRDefault="00FF376E" w:rsidP="00FF376E">
      <w:pPr>
        <w:pStyle w:val="ListParagraph"/>
        <w:numPr>
          <w:ilvl w:val="0"/>
          <w:numId w:val="6"/>
        </w:numPr>
        <w:rPr>
          <w:rFonts w:cstheme="minorHAnsi"/>
          <w:color w:val="000000" w:themeColor="text1"/>
        </w:rPr>
      </w:pPr>
      <w:r w:rsidRPr="00AF00A5">
        <w:rPr>
          <w:rFonts w:cstheme="minorHAnsi"/>
          <w:color w:val="000000" w:themeColor="text1"/>
        </w:rPr>
        <w:t>Monaro Highway upgrade continuation</w:t>
      </w:r>
    </w:p>
    <w:p w14:paraId="2EAB8BE0" w14:textId="77777777" w:rsidR="00FF376E" w:rsidRPr="00AF00A5" w:rsidRDefault="00FF376E" w:rsidP="00FF376E">
      <w:pPr>
        <w:pStyle w:val="ListParagraph"/>
        <w:numPr>
          <w:ilvl w:val="0"/>
          <w:numId w:val="6"/>
        </w:numPr>
        <w:rPr>
          <w:rFonts w:cstheme="minorHAnsi"/>
          <w:color w:val="000000" w:themeColor="text1"/>
        </w:rPr>
      </w:pPr>
      <w:r w:rsidRPr="00AF00A5">
        <w:rPr>
          <w:rFonts w:cstheme="minorHAnsi"/>
          <w:color w:val="000000" w:themeColor="text1"/>
        </w:rPr>
        <w:t>Molonglo river bridge</w:t>
      </w:r>
    </w:p>
    <w:p w14:paraId="0621DA7C" w14:textId="785167CA" w:rsidR="00FF376E" w:rsidRPr="00AF00A5" w:rsidRDefault="00FF376E" w:rsidP="00FF376E">
      <w:pPr>
        <w:pStyle w:val="ListParagraph"/>
        <w:numPr>
          <w:ilvl w:val="0"/>
          <w:numId w:val="6"/>
        </w:numPr>
        <w:rPr>
          <w:rFonts w:cstheme="minorHAnsi"/>
          <w:color w:val="000000" w:themeColor="text1"/>
        </w:rPr>
      </w:pPr>
      <w:r w:rsidRPr="00AF00A5">
        <w:rPr>
          <w:rFonts w:cstheme="minorHAnsi"/>
          <w:color w:val="000000" w:themeColor="text1"/>
        </w:rPr>
        <w:t>John Gort</w:t>
      </w:r>
      <w:r w:rsidR="00CB7B9D">
        <w:rPr>
          <w:rFonts w:cstheme="minorHAnsi"/>
          <w:color w:val="000000" w:themeColor="text1"/>
        </w:rPr>
        <w:t>o</w:t>
      </w:r>
      <w:r w:rsidRPr="00AF00A5">
        <w:rPr>
          <w:rFonts w:cstheme="minorHAnsi"/>
          <w:color w:val="000000" w:themeColor="text1"/>
        </w:rPr>
        <w:t>n drive extension</w:t>
      </w:r>
    </w:p>
    <w:p w14:paraId="5BC76CCF" w14:textId="77777777" w:rsidR="00FF376E" w:rsidRPr="00AF00A5" w:rsidRDefault="00FF376E" w:rsidP="00FF376E">
      <w:pPr>
        <w:pStyle w:val="ListParagraph"/>
        <w:numPr>
          <w:ilvl w:val="0"/>
          <w:numId w:val="6"/>
        </w:numPr>
        <w:rPr>
          <w:rFonts w:cstheme="minorHAnsi"/>
          <w:color w:val="000000" w:themeColor="text1"/>
        </w:rPr>
      </w:pPr>
      <w:r w:rsidRPr="00AF00A5">
        <w:rPr>
          <w:rFonts w:cstheme="minorHAnsi"/>
          <w:color w:val="000000" w:themeColor="text1"/>
        </w:rPr>
        <w:lastRenderedPageBreak/>
        <w:t>Duplication of Pialligo and Yass roads</w:t>
      </w:r>
    </w:p>
    <w:p w14:paraId="0CA63006" w14:textId="77777777" w:rsidR="00FF376E" w:rsidRPr="00AF00A5" w:rsidRDefault="00FF376E" w:rsidP="00FF376E">
      <w:pPr>
        <w:pStyle w:val="ListParagraph"/>
        <w:numPr>
          <w:ilvl w:val="0"/>
          <w:numId w:val="6"/>
        </w:numPr>
        <w:rPr>
          <w:rFonts w:cstheme="minorHAnsi"/>
          <w:color w:val="000000" w:themeColor="text1"/>
        </w:rPr>
      </w:pPr>
      <w:r w:rsidRPr="00AF00A5">
        <w:rPr>
          <w:rFonts w:cstheme="minorHAnsi"/>
          <w:color w:val="000000" w:themeColor="text1"/>
        </w:rPr>
        <w:t>Light Rail to Woden and William Hovell Drive upgrades</w:t>
      </w:r>
    </w:p>
    <w:p w14:paraId="5E8CFC18" w14:textId="77777777" w:rsidR="00FF376E" w:rsidRPr="00AF00A5" w:rsidRDefault="00FF376E" w:rsidP="00FF376E">
      <w:pPr>
        <w:pStyle w:val="ListParagraph"/>
        <w:numPr>
          <w:ilvl w:val="0"/>
          <w:numId w:val="6"/>
        </w:numPr>
        <w:rPr>
          <w:rFonts w:cstheme="minorHAnsi"/>
          <w:color w:val="000000" w:themeColor="text1"/>
        </w:rPr>
      </w:pPr>
      <w:r w:rsidRPr="00AF00A5">
        <w:rPr>
          <w:rFonts w:cstheme="minorHAnsi"/>
          <w:color w:val="000000" w:themeColor="text1"/>
        </w:rPr>
        <w:t>Progress toward the Big Canberra Battery.</w:t>
      </w:r>
    </w:p>
    <w:p w14:paraId="61AFFB1C" w14:textId="77777777" w:rsidR="00FF376E" w:rsidRPr="00AF00A5" w:rsidRDefault="00FF376E" w:rsidP="00FF376E">
      <w:pPr>
        <w:rPr>
          <w:rFonts w:cstheme="minorHAnsi"/>
          <w:color w:val="000000" w:themeColor="text1"/>
        </w:rPr>
      </w:pPr>
      <w:r w:rsidRPr="00AF00A5">
        <w:rPr>
          <w:rFonts w:cstheme="minorHAnsi"/>
          <w:color w:val="000000" w:themeColor="text1"/>
        </w:rPr>
        <w:t xml:space="preserve">The Committee should note that some of these projects carry over from previous budgets. </w:t>
      </w:r>
    </w:p>
    <w:p w14:paraId="37414B92" w14:textId="77777777" w:rsidR="00FF376E" w:rsidRPr="00AF00A5" w:rsidRDefault="00FF376E" w:rsidP="00FF376E">
      <w:pPr>
        <w:pStyle w:val="ListParagraph"/>
        <w:rPr>
          <w:rFonts w:cstheme="minorHAnsi"/>
          <w:color w:val="000000" w:themeColor="text1"/>
        </w:rPr>
      </w:pPr>
      <w:r w:rsidRPr="00AF00A5">
        <w:rPr>
          <w:rFonts w:cstheme="minorHAnsi"/>
          <w:color w:val="000000" w:themeColor="text1"/>
        </w:rPr>
        <w:t>Communities</w:t>
      </w:r>
    </w:p>
    <w:p w14:paraId="5EFCF72E" w14:textId="77777777" w:rsidR="00FF376E" w:rsidRPr="00AF00A5" w:rsidRDefault="00FF376E" w:rsidP="00FF376E">
      <w:pPr>
        <w:rPr>
          <w:rFonts w:cstheme="minorHAnsi"/>
          <w:color w:val="000000" w:themeColor="text1"/>
        </w:rPr>
      </w:pPr>
      <w:r w:rsidRPr="00AF00A5">
        <w:rPr>
          <w:rFonts w:cstheme="minorHAnsi"/>
          <w:color w:val="000000" w:themeColor="text1"/>
        </w:rPr>
        <w:t>For 2024-25 the Budget provides $47 million for community infrastructure.</w:t>
      </w:r>
    </w:p>
    <w:p w14:paraId="29A38311" w14:textId="77777777" w:rsidR="00FF376E" w:rsidRPr="00AF00A5" w:rsidRDefault="00FF376E" w:rsidP="00FF376E">
      <w:pPr>
        <w:pStyle w:val="ListParagraph"/>
        <w:numPr>
          <w:ilvl w:val="0"/>
          <w:numId w:val="6"/>
        </w:numPr>
        <w:rPr>
          <w:rFonts w:cstheme="minorHAnsi"/>
          <w:color w:val="000000" w:themeColor="text1"/>
        </w:rPr>
      </w:pPr>
      <w:r w:rsidRPr="00AF00A5">
        <w:rPr>
          <w:rFonts w:cstheme="minorHAnsi"/>
          <w:color w:val="000000" w:themeColor="text1"/>
        </w:rPr>
        <w:t>Upgrade of Phillip district enclosed oval</w:t>
      </w:r>
    </w:p>
    <w:p w14:paraId="00E7F779" w14:textId="77777777" w:rsidR="00FF376E" w:rsidRPr="00AF00A5" w:rsidRDefault="00FF376E" w:rsidP="00FF376E">
      <w:pPr>
        <w:pStyle w:val="ListParagraph"/>
        <w:numPr>
          <w:ilvl w:val="0"/>
          <w:numId w:val="6"/>
        </w:numPr>
        <w:rPr>
          <w:rFonts w:cstheme="minorHAnsi"/>
          <w:color w:val="000000" w:themeColor="text1"/>
        </w:rPr>
      </w:pPr>
      <w:r w:rsidRPr="00AF00A5">
        <w:rPr>
          <w:rFonts w:cstheme="minorHAnsi"/>
          <w:color w:val="000000" w:themeColor="text1"/>
        </w:rPr>
        <w:t>Expansion of the Belconnen basketball stadium</w:t>
      </w:r>
    </w:p>
    <w:p w14:paraId="5E0D9DB2" w14:textId="77777777" w:rsidR="00FF376E" w:rsidRPr="00AF00A5" w:rsidRDefault="00FF376E" w:rsidP="00FF376E">
      <w:pPr>
        <w:pStyle w:val="ListParagraph"/>
        <w:numPr>
          <w:ilvl w:val="0"/>
          <w:numId w:val="6"/>
        </w:numPr>
        <w:rPr>
          <w:rFonts w:cstheme="minorHAnsi"/>
          <w:color w:val="000000" w:themeColor="text1"/>
        </w:rPr>
      </w:pPr>
      <w:r w:rsidRPr="00AF00A5">
        <w:rPr>
          <w:rFonts w:cstheme="minorHAnsi"/>
          <w:color w:val="000000" w:themeColor="text1"/>
        </w:rPr>
        <w:t>Funding for GIO stadium, Manuka oval and other district sports fields</w:t>
      </w:r>
    </w:p>
    <w:p w14:paraId="4B678D1B" w14:textId="77777777" w:rsidR="00FF376E" w:rsidRPr="00AF00A5" w:rsidRDefault="00FF376E" w:rsidP="00FF376E">
      <w:pPr>
        <w:pStyle w:val="ListParagraph"/>
        <w:numPr>
          <w:ilvl w:val="0"/>
          <w:numId w:val="6"/>
        </w:numPr>
        <w:rPr>
          <w:rFonts w:cstheme="minorHAnsi"/>
          <w:color w:val="000000" w:themeColor="text1"/>
        </w:rPr>
      </w:pPr>
      <w:r w:rsidRPr="00AF00A5">
        <w:rPr>
          <w:rFonts w:cstheme="minorHAnsi"/>
          <w:color w:val="000000" w:themeColor="text1"/>
        </w:rPr>
        <w:t>New Woden community centre.</w:t>
      </w:r>
    </w:p>
    <w:p w14:paraId="5E9D2923" w14:textId="77777777" w:rsidR="00FF376E" w:rsidRDefault="00FF376E" w:rsidP="00FF376E">
      <w:pPr>
        <w:pStyle w:val="Heading2"/>
      </w:pPr>
      <w:bookmarkStart w:id="168" w:name="_Toc110939260"/>
      <w:bookmarkStart w:id="169" w:name="_Toc171949021"/>
      <w:r>
        <w:t>7.3</w:t>
      </w:r>
      <w:r>
        <w:tab/>
      </w:r>
      <w:bookmarkEnd w:id="168"/>
      <w:r>
        <w:t>Asset Renewal Program</w:t>
      </w:r>
      <w:bookmarkEnd w:id="169"/>
    </w:p>
    <w:p w14:paraId="4E4005DF" w14:textId="514ADAD1" w:rsidR="00FF376E" w:rsidRDefault="00FF376E" w:rsidP="00FF376E">
      <w:pPr>
        <w:rPr>
          <w:rFonts w:cstheme="minorHAnsi"/>
        </w:rPr>
      </w:pPr>
      <w:r>
        <w:rPr>
          <w:rFonts w:cstheme="minorHAnsi"/>
        </w:rPr>
        <w:t>The Asset Renewal Program provides Government agencies with an annual funding pool for works that extend the useful life or improve service delivery capacity of infrastructure assets.  Pegasus notes this program replaces the Better Infrastructure Fund. For 2024-25, the Budget provides $111.4</w:t>
      </w:r>
      <w:r w:rsidR="00D54379">
        <w:rPr>
          <w:rFonts w:cstheme="minorHAnsi"/>
        </w:rPr>
        <w:t> </w:t>
      </w:r>
      <w:r>
        <w:rPr>
          <w:rFonts w:cstheme="minorHAnsi"/>
        </w:rPr>
        <w:t>million for projects. In summary, key allocations include (ACT Government, 2024, Appendix B, pp 295-299):</w:t>
      </w:r>
    </w:p>
    <w:p w14:paraId="092E13E8" w14:textId="77777777" w:rsidR="00FF376E" w:rsidRDefault="00FF376E" w:rsidP="00FF376E">
      <w:pPr>
        <w:pStyle w:val="ListParagraph"/>
        <w:numPr>
          <w:ilvl w:val="0"/>
          <w:numId w:val="6"/>
        </w:numPr>
        <w:rPr>
          <w:rFonts w:cstheme="minorHAnsi"/>
        </w:rPr>
      </w:pPr>
      <w:r>
        <w:rPr>
          <w:rFonts w:cstheme="minorHAnsi"/>
        </w:rPr>
        <w:t>Health, including remediation works and Canberra Health Services, $9.78 million</w:t>
      </w:r>
    </w:p>
    <w:p w14:paraId="47BE613B" w14:textId="77777777" w:rsidR="00FF376E" w:rsidRDefault="00FF376E" w:rsidP="00FF376E">
      <w:pPr>
        <w:pStyle w:val="ListParagraph"/>
        <w:numPr>
          <w:ilvl w:val="0"/>
          <w:numId w:val="6"/>
        </w:numPr>
        <w:rPr>
          <w:rFonts w:cstheme="minorHAnsi"/>
        </w:rPr>
      </w:pPr>
      <w:r>
        <w:rPr>
          <w:rFonts w:cstheme="minorHAnsi"/>
        </w:rPr>
        <w:t xml:space="preserve">Property upgrades and improved venues, $4.3 million </w:t>
      </w:r>
    </w:p>
    <w:p w14:paraId="6DA4E5E1" w14:textId="77777777" w:rsidR="00FF376E" w:rsidRDefault="00FF376E" w:rsidP="00FF376E">
      <w:pPr>
        <w:pStyle w:val="ListParagraph"/>
        <w:numPr>
          <w:ilvl w:val="0"/>
          <w:numId w:val="6"/>
        </w:numPr>
        <w:rPr>
          <w:rFonts w:cstheme="minorHAnsi"/>
        </w:rPr>
      </w:pPr>
      <w:r>
        <w:rPr>
          <w:rFonts w:cstheme="minorHAnsi"/>
        </w:rPr>
        <w:t>CIT, $3.6 million</w:t>
      </w:r>
    </w:p>
    <w:p w14:paraId="6A13D395" w14:textId="77777777" w:rsidR="00FF376E" w:rsidRDefault="00FF376E" w:rsidP="00FF376E">
      <w:pPr>
        <w:pStyle w:val="ListParagraph"/>
        <w:numPr>
          <w:ilvl w:val="0"/>
          <w:numId w:val="6"/>
        </w:numPr>
        <w:rPr>
          <w:rFonts w:cstheme="minorHAnsi"/>
        </w:rPr>
      </w:pPr>
      <w:r>
        <w:rPr>
          <w:rFonts w:cstheme="minorHAnsi"/>
        </w:rPr>
        <w:t>Cultural, $707 thousand</w:t>
      </w:r>
    </w:p>
    <w:p w14:paraId="15A8FC3C" w14:textId="77777777" w:rsidR="00FF376E" w:rsidRDefault="00FF376E" w:rsidP="00FF376E">
      <w:pPr>
        <w:pStyle w:val="ListParagraph"/>
        <w:numPr>
          <w:ilvl w:val="0"/>
          <w:numId w:val="6"/>
        </w:numPr>
        <w:rPr>
          <w:rFonts w:cstheme="minorHAnsi"/>
        </w:rPr>
      </w:pPr>
      <w:r>
        <w:rPr>
          <w:rFonts w:cstheme="minorHAnsi"/>
        </w:rPr>
        <w:t>Community Service, $614 thousand</w:t>
      </w:r>
    </w:p>
    <w:p w14:paraId="0EE13C01" w14:textId="77777777" w:rsidR="00FF376E" w:rsidRDefault="00FF376E" w:rsidP="00FF376E">
      <w:pPr>
        <w:pStyle w:val="ListParagraph"/>
        <w:numPr>
          <w:ilvl w:val="0"/>
          <w:numId w:val="6"/>
        </w:numPr>
        <w:rPr>
          <w:rFonts w:cstheme="minorHAnsi"/>
        </w:rPr>
      </w:pPr>
      <w:r>
        <w:rPr>
          <w:rFonts w:cstheme="minorHAnsi"/>
        </w:rPr>
        <w:t>Education, $32.6 million</w:t>
      </w:r>
    </w:p>
    <w:p w14:paraId="71C79A4C" w14:textId="77777777" w:rsidR="00FF376E" w:rsidRDefault="00FF376E" w:rsidP="00FF376E">
      <w:pPr>
        <w:pStyle w:val="ListParagraph"/>
        <w:numPr>
          <w:ilvl w:val="0"/>
          <w:numId w:val="6"/>
        </w:numPr>
        <w:rPr>
          <w:rFonts w:cstheme="minorHAnsi"/>
        </w:rPr>
      </w:pPr>
      <w:r>
        <w:rPr>
          <w:rFonts w:cstheme="minorHAnsi"/>
        </w:rPr>
        <w:t>Justice, $6.9 million</w:t>
      </w:r>
    </w:p>
    <w:p w14:paraId="11774EB2" w14:textId="77777777" w:rsidR="00FF376E" w:rsidRDefault="00FF376E" w:rsidP="00FF376E">
      <w:pPr>
        <w:pStyle w:val="ListParagraph"/>
        <w:numPr>
          <w:ilvl w:val="0"/>
          <w:numId w:val="6"/>
        </w:numPr>
        <w:rPr>
          <w:rFonts w:cstheme="minorHAnsi"/>
        </w:rPr>
      </w:pPr>
      <w:r>
        <w:rPr>
          <w:rFonts w:cstheme="minorHAnsi"/>
        </w:rPr>
        <w:t>Environment, $1.7 million</w:t>
      </w:r>
    </w:p>
    <w:p w14:paraId="2912CA86" w14:textId="77777777" w:rsidR="00FF376E" w:rsidRDefault="00FF376E" w:rsidP="00FF376E">
      <w:pPr>
        <w:pStyle w:val="ListParagraph"/>
        <w:numPr>
          <w:ilvl w:val="0"/>
          <w:numId w:val="6"/>
        </w:numPr>
        <w:rPr>
          <w:rFonts w:cstheme="minorHAnsi"/>
        </w:rPr>
      </w:pPr>
      <w:r>
        <w:rPr>
          <w:rFonts w:cstheme="minorHAnsi"/>
        </w:rPr>
        <w:t>Major Projects, property upgrades, $7.4 million</w:t>
      </w:r>
    </w:p>
    <w:p w14:paraId="50F03193" w14:textId="77777777" w:rsidR="00FF376E" w:rsidRDefault="00FF376E" w:rsidP="00FF376E">
      <w:pPr>
        <w:pStyle w:val="ListParagraph"/>
        <w:numPr>
          <w:ilvl w:val="0"/>
          <w:numId w:val="6"/>
        </w:numPr>
        <w:rPr>
          <w:rFonts w:cstheme="minorHAnsi"/>
        </w:rPr>
      </w:pPr>
      <w:r>
        <w:rPr>
          <w:rFonts w:cstheme="minorHAnsi"/>
        </w:rPr>
        <w:t>Transport, $42.3 million.</w:t>
      </w:r>
    </w:p>
    <w:p w14:paraId="29AAA567" w14:textId="77777777" w:rsidR="00FF376E" w:rsidRDefault="00FF376E" w:rsidP="00FF376E">
      <w:pPr>
        <w:pStyle w:val="Heading2"/>
      </w:pPr>
      <w:bookmarkStart w:id="170" w:name="_Toc110939261"/>
      <w:bookmarkStart w:id="171" w:name="_Toc110939262"/>
      <w:bookmarkStart w:id="172" w:name="_Toc171949022"/>
      <w:r>
        <w:t>7.4</w:t>
      </w:r>
      <w:r>
        <w:tab/>
        <w:t>Works-In-Progress</w:t>
      </w:r>
      <w:bookmarkEnd w:id="170"/>
      <w:bookmarkEnd w:id="172"/>
    </w:p>
    <w:p w14:paraId="12982175" w14:textId="77777777" w:rsidR="00FF376E" w:rsidRDefault="00FF376E" w:rsidP="00FF376E">
      <w:pPr>
        <w:rPr>
          <w:rFonts w:cstheme="minorHAnsi"/>
        </w:rPr>
      </w:pPr>
      <w:r>
        <w:rPr>
          <w:rFonts w:cstheme="minorHAnsi"/>
        </w:rPr>
        <w:t>A total of $1.2 billion is allocated for 2024-25 and a total of $3.9 billion across the five years.  In summary, key components for 2024-25 include (ACT Government, 2024, Appendix C, pp 301 - 314):</w:t>
      </w:r>
    </w:p>
    <w:p w14:paraId="71485274" w14:textId="77777777" w:rsidR="00FF376E" w:rsidRDefault="00FF376E" w:rsidP="00FF376E">
      <w:pPr>
        <w:pStyle w:val="ListParagraph"/>
        <w:numPr>
          <w:ilvl w:val="0"/>
          <w:numId w:val="7"/>
        </w:numPr>
        <w:rPr>
          <w:rFonts w:cstheme="minorHAnsi"/>
        </w:rPr>
      </w:pPr>
      <w:r>
        <w:rPr>
          <w:rFonts w:cstheme="minorHAnsi"/>
        </w:rPr>
        <w:t>Health, including ACT Health and Canberra Health, $114.9 million</w:t>
      </w:r>
    </w:p>
    <w:p w14:paraId="7E901AE2" w14:textId="77777777" w:rsidR="00FF376E" w:rsidRDefault="00FF376E" w:rsidP="00FF376E">
      <w:pPr>
        <w:pStyle w:val="ListParagraph"/>
        <w:numPr>
          <w:ilvl w:val="0"/>
          <w:numId w:val="7"/>
        </w:numPr>
        <w:rPr>
          <w:rFonts w:cstheme="minorHAnsi"/>
        </w:rPr>
      </w:pPr>
      <w:r>
        <w:rPr>
          <w:rFonts w:cstheme="minorHAnsi"/>
        </w:rPr>
        <w:t>Chief Minister, Treasury and Economic Development, $23.5 million</w:t>
      </w:r>
    </w:p>
    <w:p w14:paraId="79643BEC" w14:textId="77777777" w:rsidR="00FF376E" w:rsidRDefault="00FF376E" w:rsidP="00FF376E">
      <w:pPr>
        <w:pStyle w:val="ListParagraph"/>
        <w:numPr>
          <w:ilvl w:val="0"/>
          <w:numId w:val="7"/>
        </w:numPr>
        <w:rPr>
          <w:rFonts w:cstheme="minorHAnsi"/>
        </w:rPr>
      </w:pPr>
      <w:r>
        <w:rPr>
          <w:rFonts w:cstheme="minorHAnsi"/>
        </w:rPr>
        <w:t>City Renewal, $7.8 million</w:t>
      </w:r>
    </w:p>
    <w:p w14:paraId="155BB543" w14:textId="77777777" w:rsidR="00FF376E" w:rsidRDefault="00FF376E" w:rsidP="00FF376E">
      <w:pPr>
        <w:pStyle w:val="ListParagraph"/>
        <w:numPr>
          <w:ilvl w:val="0"/>
          <w:numId w:val="7"/>
        </w:numPr>
        <w:rPr>
          <w:rFonts w:cstheme="minorHAnsi"/>
        </w:rPr>
      </w:pPr>
      <w:r>
        <w:rPr>
          <w:rFonts w:cstheme="minorHAnsi"/>
        </w:rPr>
        <w:t>Education, $180.7 million</w:t>
      </w:r>
    </w:p>
    <w:p w14:paraId="7A458DCC" w14:textId="77777777" w:rsidR="00FF376E" w:rsidRDefault="00FF376E" w:rsidP="00FF376E">
      <w:pPr>
        <w:pStyle w:val="ListParagraph"/>
        <w:numPr>
          <w:ilvl w:val="0"/>
          <w:numId w:val="7"/>
        </w:numPr>
        <w:rPr>
          <w:rFonts w:cstheme="minorHAnsi"/>
        </w:rPr>
      </w:pPr>
      <w:r>
        <w:rPr>
          <w:rFonts w:cstheme="minorHAnsi"/>
        </w:rPr>
        <w:t>Environment, $16 million</w:t>
      </w:r>
    </w:p>
    <w:p w14:paraId="595DCFBB" w14:textId="77777777" w:rsidR="00FF376E" w:rsidRDefault="00FF376E" w:rsidP="00FF376E">
      <w:pPr>
        <w:pStyle w:val="ListParagraph"/>
        <w:numPr>
          <w:ilvl w:val="0"/>
          <w:numId w:val="7"/>
        </w:numPr>
        <w:rPr>
          <w:rFonts w:cstheme="minorHAnsi"/>
        </w:rPr>
      </w:pPr>
      <w:r>
        <w:rPr>
          <w:rFonts w:cstheme="minorHAnsi"/>
        </w:rPr>
        <w:t>Housing, $120.7 million</w:t>
      </w:r>
    </w:p>
    <w:p w14:paraId="7EF72640" w14:textId="77777777" w:rsidR="00FF376E" w:rsidRDefault="00FF376E" w:rsidP="00FF376E">
      <w:pPr>
        <w:pStyle w:val="ListParagraph"/>
        <w:numPr>
          <w:ilvl w:val="0"/>
          <w:numId w:val="7"/>
        </w:numPr>
        <w:rPr>
          <w:rFonts w:cstheme="minorHAnsi"/>
        </w:rPr>
      </w:pPr>
      <w:r>
        <w:rPr>
          <w:rFonts w:cstheme="minorHAnsi"/>
        </w:rPr>
        <w:t>Justice, $42.7 million</w:t>
      </w:r>
    </w:p>
    <w:p w14:paraId="6A8365F9" w14:textId="77777777" w:rsidR="00FF376E" w:rsidRDefault="00FF376E" w:rsidP="00FF376E">
      <w:pPr>
        <w:pStyle w:val="ListParagraph"/>
        <w:numPr>
          <w:ilvl w:val="0"/>
          <w:numId w:val="7"/>
        </w:numPr>
        <w:rPr>
          <w:rFonts w:cstheme="minorHAnsi"/>
        </w:rPr>
      </w:pPr>
      <w:r>
        <w:rPr>
          <w:rFonts w:cstheme="minorHAnsi"/>
        </w:rPr>
        <w:t>Major Projects Canberra, $320.2 million</w:t>
      </w:r>
    </w:p>
    <w:p w14:paraId="4DEC040E" w14:textId="77777777" w:rsidR="00FF376E" w:rsidRDefault="00FF376E" w:rsidP="00FF376E">
      <w:pPr>
        <w:pStyle w:val="ListParagraph"/>
        <w:numPr>
          <w:ilvl w:val="0"/>
          <w:numId w:val="7"/>
        </w:numPr>
        <w:rPr>
          <w:rFonts w:cstheme="minorHAnsi"/>
        </w:rPr>
      </w:pPr>
      <w:r>
        <w:rPr>
          <w:rFonts w:cstheme="minorHAnsi"/>
        </w:rPr>
        <w:t>Transport, $306.5 million.</w:t>
      </w:r>
    </w:p>
    <w:p w14:paraId="72647DED" w14:textId="77777777" w:rsidR="00FF376E" w:rsidRPr="0040602C" w:rsidRDefault="00FF376E" w:rsidP="00FF376E">
      <w:pPr>
        <w:rPr>
          <w:rFonts w:cstheme="minorHAnsi"/>
        </w:rPr>
      </w:pPr>
      <w:r>
        <w:rPr>
          <w:rFonts w:cstheme="minorHAnsi"/>
        </w:rPr>
        <w:t>In summary, key projects include Light Rail phases 2A and 2B, CIT Woden Campus and Interchange, Canberra Hospital expansion, Northside hospital development, Healthcare services, Public transport ticketing system upgrade, Monaro highway upgrade, Digitising Government Services, school upgrades, Woden bus depot, and the Canberra Theatre Centre redevelopment.</w:t>
      </w:r>
    </w:p>
    <w:p w14:paraId="143FDC12" w14:textId="77777777" w:rsidR="00FF376E" w:rsidRDefault="00FF376E" w:rsidP="00FF376E">
      <w:pPr>
        <w:pStyle w:val="Heading2"/>
      </w:pPr>
      <w:bookmarkStart w:id="173" w:name="_Toc171949023"/>
      <w:r>
        <w:lastRenderedPageBreak/>
        <w:t>7.5</w:t>
      </w:r>
      <w:r>
        <w:tab/>
        <w:t>Major Projects</w:t>
      </w:r>
      <w:bookmarkEnd w:id="171"/>
      <w:bookmarkEnd w:id="173"/>
    </w:p>
    <w:p w14:paraId="70EA5276" w14:textId="2C8B7F9B" w:rsidR="00FF376E" w:rsidRDefault="00FF376E" w:rsidP="00FF376E">
      <w:pPr>
        <w:rPr>
          <w:rFonts w:cstheme="minorHAnsi"/>
        </w:rPr>
      </w:pPr>
      <w:r>
        <w:rPr>
          <w:rFonts w:cstheme="minorHAnsi"/>
        </w:rPr>
        <w:t>Major Projects Canberra is responsible for delivering major infrastructure projects and to support other Government agencies deliver infrastructure work programs. For 2024-25 the total Infrastructure investment is not fully transparent, except for the Asset Renewal Program, $7.4</w:t>
      </w:r>
      <w:r w:rsidR="001730E8">
        <w:rPr>
          <w:rFonts w:cstheme="minorHAnsi"/>
        </w:rPr>
        <w:t> </w:t>
      </w:r>
      <w:r>
        <w:rPr>
          <w:rFonts w:cstheme="minorHAnsi"/>
        </w:rPr>
        <w:t xml:space="preserve">million, and Work-In-Progress of $320 million. Over 2024-25 and the out-years, the key projects include those indicated above. </w:t>
      </w:r>
    </w:p>
    <w:p w14:paraId="56FE615B" w14:textId="78C794E1" w:rsidR="00FF376E" w:rsidRDefault="00FF376E" w:rsidP="00C97203">
      <w:pPr>
        <w:rPr>
          <w:rFonts w:cstheme="minorHAnsi"/>
        </w:rPr>
      </w:pPr>
      <w:r>
        <w:rPr>
          <w:rFonts w:cstheme="minorHAnsi"/>
        </w:rPr>
        <w:t>Other major projects include</w:t>
      </w:r>
      <w:r w:rsidR="00A75002">
        <w:rPr>
          <w:rFonts w:cstheme="minorHAnsi"/>
        </w:rPr>
        <w:t>:</w:t>
      </w:r>
      <w:r>
        <w:rPr>
          <w:rFonts w:cstheme="minorHAnsi"/>
        </w:rPr>
        <w:t xml:space="preserve"> upgrades to public buildings, Canberra Theatre expansion, Light Rail Stages 2A and 2B, CIT Woden Campus and bus interchange, Canberra hospital expansion and design of the new Northside Hospital, better transport services between Belconnen and Gungahlin, and electrification of Government gas assets.</w:t>
      </w:r>
    </w:p>
    <w:p w14:paraId="60E5EC2D" w14:textId="20952D7F" w:rsidR="00FF376E" w:rsidRDefault="00FF376E" w:rsidP="00C97203">
      <w:pPr>
        <w:rPr>
          <w:rFonts w:cstheme="minorHAnsi"/>
        </w:rPr>
      </w:pPr>
      <w:r>
        <w:rPr>
          <w:rFonts w:cstheme="minorHAnsi"/>
        </w:rPr>
        <w:t>It appears that many of these projects are re-phased from previous Budgets.</w:t>
      </w:r>
    </w:p>
    <w:p w14:paraId="6FA26438" w14:textId="77777777" w:rsidR="00FF376E" w:rsidRPr="00C97203" w:rsidRDefault="00FF376E" w:rsidP="00FF376E">
      <w:pPr>
        <w:pStyle w:val="Heading2"/>
        <w:spacing w:after="240"/>
      </w:pPr>
      <w:bookmarkStart w:id="174" w:name="_Toc171949024"/>
      <w:r w:rsidRPr="00C97203">
        <w:t>7.6</w:t>
      </w:r>
      <w:r w:rsidRPr="00C97203">
        <w:tab/>
        <w:t>Capital Works Reserve</w:t>
      </w:r>
      <w:bookmarkEnd w:id="174"/>
    </w:p>
    <w:p w14:paraId="43EBAB6F" w14:textId="77777777" w:rsidR="00FF376E" w:rsidRDefault="00FF376E" w:rsidP="00FF376E">
      <w:pPr>
        <w:rPr>
          <w:i/>
        </w:rPr>
      </w:pPr>
      <w:r>
        <w:t xml:space="preserve">In 2019 the ACT Government amended the </w:t>
      </w:r>
      <w:r w:rsidRPr="00656B5C">
        <w:rPr>
          <w:i/>
        </w:rPr>
        <w:t>Financial Management Act 1996</w:t>
      </w:r>
      <w:r>
        <w:rPr>
          <w:i/>
        </w:rPr>
        <w:t xml:space="preserve"> </w:t>
      </w:r>
      <w:r>
        <w:t xml:space="preserve">to introduce a new mechanism, the Capital Works Reserve, to allow agencies with multi-year allocations to manage their capital program by advancing funds during the financial year should their capital appropriation be exceeded.  Funds drawn from the Reserve are deducted from the forward estimates for the project(s) concerned in later years. The 2024-25 Budget has allocated $285 million to the Reserve, with unused funds lapsing at the end of the financial year. The Treasurer is required to provide the Legislative Assembly with a reconciliation of any amounts approved for payment from the Reserve (under section 26 of the </w:t>
      </w:r>
      <w:r>
        <w:rPr>
          <w:i/>
        </w:rPr>
        <w:t>Financial Management Act 1996</w:t>
      </w:r>
      <w:r w:rsidRPr="0047124B">
        <w:rPr>
          <w:iCs/>
        </w:rPr>
        <w:t>)</w:t>
      </w:r>
      <w:r>
        <w:rPr>
          <w:i/>
        </w:rPr>
        <w:t>.</w:t>
      </w:r>
    </w:p>
    <w:p w14:paraId="215672E4" w14:textId="280929A7" w:rsidR="00FF376E" w:rsidRPr="00AF00A5" w:rsidRDefault="00FF376E" w:rsidP="00AF00A5">
      <w:r>
        <w:t>The Budget papers indicate the Reserve was not accessed in 2023-24.</w:t>
      </w:r>
    </w:p>
    <w:p w14:paraId="0C824F5A" w14:textId="77777777" w:rsidR="00FF376E" w:rsidRDefault="00FF376E" w:rsidP="00FF376E">
      <w:pPr>
        <w:pStyle w:val="Heading2"/>
        <w:spacing w:after="240"/>
      </w:pPr>
      <w:bookmarkStart w:id="175" w:name="_Toc171949025"/>
      <w:r>
        <w:t>7.7</w:t>
      </w:r>
      <w:r>
        <w:tab/>
        <w:t xml:space="preserve">Capital Works </w:t>
      </w:r>
      <w:r w:rsidRPr="00656B5C">
        <w:t>Program</w:t>
      </w:r>
      <w:r>
        <w:t xml:space="preserve"> – Public Trading Enterprises</w:t>
      </w:r>
      <w:bookmarkEnd w:id="175"/>
    </w:p>
    <w:p w14:paraId="7E2ADDD9" w14:textId="77777777" w:rsidR="00FF376E" w:rsidRDefault="00FF376E" w:rsidP="00FF376E">
      <w:pPr>
        <w:spacing w:before="0" w:after="160" w:line="256" w:lineRule="auto"/>
        <w:rPr>
          <w:rFonts w:cstheme="minorHAnsi"/>
          <w:color w:val="000000" w:themeColor="text1"/>
        </w:rPr>
      </w:pPr>
      <w:r>
        <w:rPr>
          <w:rFonts w:cstheme="minorHAnsi"/>
          <w:color w:val="000000" w:themeColor="text1"/>
        </w:rPr>
        <w:t>The Public Trading Enterprises</w:t>
      </w:r>
      <w:r>
        <w:rPr>
          <w:rFonts w:cstheme="minorHAnsi"/>
          <w:color w:val="5B9BD5" w:themeColor="accent1"/>
        </w:rPr>
        <w:t xml:space="preserve"> </w:t>
      </w:r>
      <w:r w:rsidRPr="005329E2">
        <w:rPr>
          <w:rFonts w:cstheme="minorHAnsi"/>
          <w:color w:val="000000" w:themeColor="text1"/>
        </w:rPr>
        <w:t>(PTEs</w:t>
      </w:r>
      <w:r>
        <w:rPr>
          <w:rFonts w:cstheme="minorHAnsi"/>
          <w:color w:val="000000" w:themeColor="text1"/>
        </w:rPr>
        <w:t>) capital works program is outside the Budget as each entity funds their projects from own-sourced revenue and borrowings. New works are projected in 2024-25 totalling $255 million and a total of $1.7 billion across the five years to 2028-29.  The programs include:</w:t>
      </w:r>
    </w:p>
    <w:p w14:paraId="4D8DC9D6" w14:textId="77777777" w:rsidR="00FF376E" w:rsidRDefault="00FF376E" w:rsidP="00FF376E">
      <w:pPr>
        <w:pStyle w:val="ListParagraph"/>
        <w:numPr>
          <w:ilvl w:val="0"/>
          <w:numId w:val="16"/>
        </w:numPr>
        <w:spacing w:before="0" w:after="160" w:line="256" w:lineRule="auto"/>
      </w:pPr>
      <w:r>
        <w:t>Cemeteries and Crematoria Authority, $0.4 million in 2024-25 and $6.6 million over five years</w:t>
      </w:r>
    </w:p>
    <w:p w14:paraId="53850842" w14:textId="77777777" w:rsidR="00FF376E" w:rsidRDefault="00FF376E" w:rsidP="00FF376E">
      <w:pPr>
        <w:pStyle w:val="ListParagraph"/>
        <w:numPr>
          <w:ilvl w:val="0"/>
          <w:numId w:val="16"/>
        </w:numPr>
        <w:spacing w:before="0" w:after="160" w:line="256" w:lineRule="auto"/>
      </w:pPr>
      <w:r>
        <w:t>City Renewal Authority, $9.3 million in 2024-25 and $13.9 million over five years</w:t>
      </w:r>
    </w:p>
    <w:p w14:paraId="319AACEF" w14:textId="77777777" w:rsidR="00FF376E" w:rsidRDefault="00FF376E" w:rsidP="00FF376E">
      <w:pPr>
        <w:pStyle w:val="ListParagraph"/>
        <w:numPr>
          <w:ilvl w:val="0"/>
          <w:numId w:val="16"/>
        </w:numPr>
        <w:spacing w:before="0" w:after="160" w:line="256" w:lineRule="auto"/>
      </w:pPr>
      <w:r>
        <w:t>Housing ACT, $24.2 million in 2024-25 and $124 million over five years</w:t>
      </w:r>
    </w:p>
    <w:p w14:paraId="15E92851" w14:textId="77777777" w:rsidR="00FF376E" w:rsidRDefault="00FF376E" w:rsidP="00FF376E">
      <w:pPr>
        <w:pStyle w:val="ListParagraph"/>
        <w:numPr>
          <w:ilvl w:val="0"/>
          <w:numId w:val="16"/>
        </w:numPr>
        <w:spacing w:before="0" w:after="160" w:line="256" w:lineRule="auto"/>
      </w:pPr>
      <w:r>
        <w:t>Icon Water, $89 million in 2024-25 and $969 million over five years</w:t>
      </w:r>
    </w:p>
    <w:p w14:paraId="2CBC5696" w14:textId="77777777" w:rsidR="00FF376E" w:rsidRDefault="00FF376E" w:rsidP="00FF376E">
      <w:pPr>
        <w:pStyle w:val="ListParagraph"/>
        <w:numPr>
          <w:ilvl w:val="0"/>
          <w:numId w:val="16"/>
        </w:numPr>
        <w:spacing w:before="0" w:after="160" w:line="256" w:lineRule="auto"/>
      </w:pPr>
      <w:r>
        <w:t>Suburban Land Agency, $132 million in 2024-25 and $635.7 million over five years.</w:t>
      </w:r>
    </w:p>
    <w:p w14:paraId="505283F2" w14:textId="77777777" w:rsidR="00FF376E" w:rsidRPr="00FB4289" w:rsidRDefault="00FF376E" w:rsidP="00FF376E">
      <w:pPr>
        <w:rPr>
          <w:iCs/>
        </w:rPr>
      </w:pPr>
    </w:p>
    <w:p w14:paraId="2A2238F6" w14:textId="77777777" w:rsidR="00FF376E" w:rsidRDefault="00FF376E" w:rsidP="00FF376E"/>
    <w:p w14:paraId="7BA14BA6" w14:textId="77777777" w:rsidR="00FF376E" w:rsidRDefault="00FF376E" w:rsidP="00FF376E"/>
    <w:p w14:paraId="325F0D63" w14:textId="77777777" w:rsidR="00FF376E" w:rsidRDefault="00FF376E" w:rsidP="00FF376E"/>
    <w:p w14:paraId="7C90F6F4" w14:textId="77777777" w:rsidR="00FF376E" w:rsidRDefault="00FF376E" w:rsidP="00FF376E"/>
    <w:p w14:paraId="6FD571AB" w14:textId="058827E6" w:rsidR="00AF00A5" w:rsidRDefault="000A31B3" w:rsidP="00AF00A5">
      <w:pPr>
        <w:pStyle w:val="Heading1"/>
      </w:pPr>
      <w:r>
        <w:br w:type="page"/>
      </w:r>
      <w:bookmarkStart w:id="176" w:name="_Toc171949026"/>
      <w:r w:rsidR="00137833">
        <w:lastRenderedPageBreak/>
        <w:t>8</w:t>
      </w:r>
      <w:r w:rsidR="00FA70C9" w:rsidRPr="00CD44A4">
        <w:t>.</w:t>
      </w:r>
      <w:r w:rsidR="00FA70C9" w:rsidRPr="00CD44A4">
        <w:tab/>
      </w:r>
      <w:r w:rsidR="00FA70C9" w:rsidRPr="008E20C8">
        <w:t>Assets and Liabilities</w:t>
      </w:r>
      <w:bookmarkEnd w:id="176"/>
    </w:p>
    <w:p w14:paraId="761C2B35" w14:textId="77777777" w:rsidR="00AF00A5" w:rsidRPr="00AF00A5" w:rsidRDefault="00AF00A5" w:rsidP="00AF00A5">
      <w:pPr>
        <w:rPr>
          <w:i/>
          <w:iCs/>
          <w:color w:val="5B9BD5"/>
        </w:rPr>
      </w:pPr>
      <w:r w:rsidRPr="00AF00A5">
        <w:rPr>
          <w:i/>
          <w:iCs/>
          <w:color w:val="5B9BD5"/>
        </w:rPr>
        <w:t>Net debt and net financial liabilities are increasing across the Budget and forward years in absolute terms and as a proportion of GSP.  Net worth is falling in absolute terms, with a marked decline across the forward years when measured as a proportion of GSP.</w:t>
      </w:r>
    </w:p>
    <w:p w14:paraId="31B296D4" w14:textId="77777777" w:rsidR="00AF00A5" w:rsidRPr="00AF00A5" w:rsidRDefault="00AF00A5" w:rsidP="00AF00A5">
      <w:pPr>
        <w:rPr>
          <w:i/>
          <w:iCs/>
          <w:color w:val="5B9BD5"/>
        </w:rPr>
      </w:pPr>
      <w:r w:rsidRPr="00AF00A5">
        <w:rPr>
          <w:i/>
          <w:iCs/>
          <w:color w:val="5B9BD5"/>
        </w:rPr>
        <w:t>The ACT has moved from the position of being a net creditor at the beginning of the last decade to having a substantial and increasing debt and interest burden in the Budget and forward years.</w:t>
      </w:r>
    </w:p>
    <w:p w14:paraId="622CA5A1" w14:textId="2662834D" w:rsidR="00AF00A5" w:rsidRPr="00AF00A5" w:rsidRDefault="00AF00A5" w:rsidP="00AF00A5">
      <w:pPr>
        <w:rPr>
          <w:i/>
          <w:iCs/>
          <w:color w:val="5B9BD5"/>
        </w:rPr>
      </w:pPr>
      <w:r w:rsidRPr="00AF00A5">
        <w:rPr>
          <w:i/>
          <w:iCs/>
          <w:color w:val="5B9BD5"/>
        </w:rPr>
        <w:t>The Government continues to make progress in building a pool of assets to cover its superannuation liability and on present trends could be expected to have fully funded the liability by the mid-2030s.</w:t>
      </w:r>
    </w:p>
    <w:p w14:paraId="6D9B1B8A" w14:textId="472FCD30" w:rsidR="00DF01FF" w:rsidRDefault="00DF01FF" w:rsidP="008E20C8">
      <w:pPr>
        <w:pStyle w:val="Heading2"/>
      </w:pPr>
      <w:bookmarkStart w:id="177" w:name="_Toc110939267"/>
      <w:bookmarkStart w:id="178" w:name="_Toc171949027"/>
      <w:r>
        <w:t>8.1</w:t>
      </w:r>
      <w:r>
        <w:tab/>
        <w:t>Overview</w:t>
      </w:r>
      <w:bookmarkEnd w:id="177"/>
      <w:bookmarkEnd w:id="178"/>
    </w:p>
    <w:p w14:paraId="35BA9450" w14:textId="77777777" w:rsidR="00AF00A5" w:rsidRPr="00387155" w:rsidRDefault="00AF00A5" w:rsidP="00AF00A5">
      <w:pPr>
        <w:rPr>
          <w:rFonts w:ascii="Calibri" w:hAnsi="Calibri" w:cs="Calibri"/>
        </w:rPr>
      </w:pPr>
      <w:r>
        <w:rPr>
          <w:rFonts w:ascii="Calibri" w:hAnsi="Calibri" w:cs="Calibri"/>
        </w:rPr>
        <w:t>N</w:t>
      </w:r>
      <w:r w:rsidRPr="00387155">
        <w:rPr>
          <w:rFonts w:ascii="Calibri" w:hAnsi="Calibri" w:cs="Calibri"/>
        </w:rPr>
        <w:t xml:space="preserve">et debt and net financial liabilities </w:t>
      </w:r>
      <w:r>
        <w:rPr>
          <w:rFonts w:ascii="Calibri" w:hAnsi="Calibri" w:cs="Calibri"/>
        </w:rPr>
        <w:t xml:space="preserve">are forecast to rise over the Budget and forward estimates while net worth is forecast to </w:t>
      </w:r>
      <w:r w:rsidRPr="00387155">
        <w:rPr>
          <w:rFonts w:ascii="Calibri" w:hAnsi="Calibri" w:cs="Calibri"/>
        </w:rPr>
        <w:t xml:space="preserve">decline </w:t>
      </w:r>
      <w:r>
        <w:rPr>
          <w:rFonts w:ascii="Calibri" w:hAnsi="Calibri" w:cs="Calibri"/>
        </w:rPr>
        <w:t>over the same period.  Net debt and net financial liabilities have been increasing over the past two decades.  Net worth had been increasing until 2023-24 but is now forecast to decline over the Budget and forward estimates</w:t>
      </w:r>
      <w:r w:rsidRPr="00387155">
        <w:rPr>
          <w:rFonts w:ascii="Calibri" w:hAnsi="Calibri" w:cs="Calibri"/>
        </w:rPr>
        <w:t xml:space="preserve">.  </w:t>
      </w:r>
    </w:p>
    <w:p w14:paraId="51D89E92" w14:textId="77777777" w:rsidR="00AF00A5" w:rsidRPr="00AF00A5" w:rsidRDefault="00AF00A5" w:rsidP="00AF00A5">
      <w:pPr>
        <w:pStyle w:val="Heading2"/>
      </w:pPr>
      <w:bookmarkStart w:id="179" w:name="_Toc110939268"/>
      <w:bookmarkStart w:id="180" w:name="_Toc171949028"/>
      <w:r w:rsidRPr="00AF00A5">
        <w:t>8.2</w:t>
      </w:r>
      <w:r w:rsidRPr="00AF00A5">
        <w:tab/>
        <w:t>Net debt</w:t>
      </w:r>
      <w:bookmarkEnd w:id="179"/>
      <w:bookmarkEnd w:id="180"/>
    </w:p>
    <w:p w14:paraId="7E483B40" w14:textId="77777777" w:rsidR="00AF00A5" w:rsidRPr="00387155" w:rsidRDefault="00AF00A5" w:rsidP="00AF00A5">
      <w:pPr>
        <w:rPr>
          <w:rFonts w:ascii="Calibri" w:hAnsi="Calibri" w:cs="Calibri"/>
        </w:rPr>
      </w:pPr>
      <w:r w:rsidRPr="00387155">
        <w:rPr>
          <w:rFonts w:ascii="Calibri" w:hAnsi="Calibri" w:cs="Calibri"/>
        </w:rPr>
        <w:t xml:space="preserve">Net debt </w:t>
      </w:r>
      <w:r>
        <w:rPr>
          <w:rFonts w:ascii="Calibri" w:hAnsi="Calibri" w:cs="Calibri"/>
        </w:rPr>
        <w:t>r</w:t>
      </w:r>
      <w:r w:rsidRPr="00387155">
        <w:rPr>
          <w:rFonts w:ascii="Calibri" w:hAnsi="Calibri" w:cs="Calibri"/>
        </w:rPr>
        <w:t>epresents the sum of deposits held, advances received and borrowings less the sum of cash and deposits, advances paid, investments, loans and placements</w:t>
      </w:r>
      <w:r>
        <w:rPr>
          <w:rFonts w:ascii="Calibri" w:hAnsi="Calibri" w:cs="Calibri"/>
        </w:rPr>
        <w:t xml:space="preserve"> but </w:t>
      </w:r>
      <w:r w:rsidRPr="00387155">
        <w:rPr>
          <w:rFonts w:ascii="Calibri" w:hAnsi="Calibri" w:cs="Calibri"/>
        </w:rPr>
        <w:t>excludes super liabilities.</w:t>
      </w:r>
      <w:r w:rsidRPr="00387155">
        <w:rPr>
          <w:rFonts w:ascii="Calibri" w:hAnsi="Calibri" w:cs="Calibri"/>
          <w:i/>
        </w:rPr>
        <w:t xml:space="preserve"> </w:t>
      </w:r>
    </w:p>
    <w:p w14:paraId="3415FBE3" w14:textId="77777777" w:rsidR="00AF00A5" w:rsidRDefault="00AF00A5" w:rsidP="00AF00A5">
      <w:pPr>
        <w:rPr>
          <w:rFonts w:ascii="Calibri" w:hAnsi="Calibri" w:cs="Calibri"/>
        </w:rPr>
      </w:pPr>
      <w:r>
        <w:rPr>
          <w:rFonts w:ascii="Calibri" w:hAnsi="Calibri" w:cs="Calibri"/>
        </w:rPr>
        <w:t>T</w:t>
      </w:r>
      <w:r w:rsidRPr="00387155">
        <w:rPr>
          <w:rFonts w:ascii="Calibri" w:hAnsi="Calibri" w:cs="Calibri"/>
        </w:rPr>
        <w:t>he ACT’s net debt in 202</w:t>
      </w:r>
      <w:r>
        <w:rPr>
          <w:rFonts w:ascii="Calibri" w:hAnsi="Calibri" w:cs="Calibri"/>
        </w:rPr>
        <w:t>4</w:t>
      </w:r>
      <w:r w:rsidRPr="00387155">
        <w:rPr>
          <w:rFonts w:ascii="Calibri" w:hAnsi="Calibri" w:cs="Calibri"/>
        </w:rPr>
        <w:t>-2</w:t>
      </w:r>
      <w:r>
        <w:rPr>
          <w:rFonts w:ascii="Calibri" w:hAnsi="Calibri" w:cs="Calibri"/>
        </w:rPr>
        <w:t>5</w:t>
      </w:r>
      <w:r w:rsidRPr="00387155">
        <w:rPr>
          <w:rFonts w:ascii="Calibri" w:hAnsi="Calibri" w:cs="Calibri"/>
        </w:rPr>
        <w:t xml:space="preserve"> is higher </w:t>
      </w:r>
      <w:r>
        <w:rPr>
          <w:rFonts w:ascii="Calibri" w:hAnsi="Calibri" w:cs="Calibri"/>
        </w:rPr>
        <w:t>i</w:t>
      </w:r>
      <w:r w:rsidRPr="00387155">
        <w:rPr>
          <w:rFonts w:ascii="Calibri" w:hAnsi="Calibri" w:cs="Calibri"/>
        </w:rPr>
        <w:t xml:space="preserve">n both absolute </w:t>
      </w:r>
      <w:r>
        <w:rPr>
          <w:rFonts w:ascii="Calibri" w:hAnsi="Calibri" w:cs="Calibri"/>
        </w:rPr>
        <w:t xml:space="preserve">terms </w:t>
      </w:r>
      <w:r w:rsidRPr="00387155">
        <w:rPr>
          <w:rFonts w:ascii="Calibri" w:hAnsi="Calibri" w:cs="Calibri"/>
        </w:rPr>
        <w:t xml:space="preserve">and relative </w:t>
      </w:r>
      <w:r>
        <w:rPr>
          <w:rFonts w:ascii="Calibri" w:hAnsi="Calibri" w:cs="Calibri"/>
        </w:rPr>
        <w:t>to GSP</w:t>
      </w:r>
      <w:r w:rsidRPr="00387155">
        <w:rPr>
          <w:rFonts w:ascii="Calibri" w:hAnsi="Calibri" w:cs="Calibri"/>
        </w:rPr>
        <w:t xml:space="preserve"> than had been forecast in the 202</w:t>
      </w:r>
      <w:r>
        <w:rPr>
          <w:rFonts w:ascii="Calibri" w:hAnsi="Calibri" w:cs="Calibri"/>
        </w:rPr>
        <w:t>3</w:t>
      </w:r>
      <w:r w:rsidRPr="00387155">
        <w:rPr>
          <w:rFonts w:ascii="Calibri" w:hAnsi="Calibri" w:cs="Calibri"/>
        </w:rPr>
        <w:t>-2</w:t>
      </w:r>
      <w:r>
        <w:rPr>
          <w:rFonts w:ascii="Calibri" w:hAnsi="Calibri" w:cs="Calibri"/>
        </w:rPr>
        <w:t>4</w:t>
      </w:r>
      <w:r w:rsidRPr="00387155">
        <w:rPr>
          <w:rFonts w:ascii="Calibri" w:hAnsi="Calibri" w:cs="Calibri"/>
        </w:rPr>
        <w:t xml:space="preserve"> Budget, and the</w:t>
      </w:r>
      <w:r>
        <w:rPr>
          <w:rFonts w:ascii="Calibri" w:hAnsi="Calibri" w:cs="Calibri"/>
        </w:rPr>
        <w:t>re is an upward</w:t>
      </w:r>
      <w:r w:rsidRPr="00387155">
        <w:rPr>
          <w:rFonts w:ascii="Calibri" w:hAnsi="Calibri" w:cs="Calibri"/>
        </w:rPr>
        <w:t xml:space="preserve"> trend </w:t>
      </w:r>
      <w:r>
        <w:rPr>
          <w:rFonts w:ascii="Calibri" w:hAnsi="Calibri" w:cs="Calibri"/>
        </w:rPr>
        <w:t>over the forward estimates.</w:t>
      </w:r>
      <w:r w:rsidRPr="00387155">
        <w:rPr>
          <w:rFonts w:ascii="Calibri" w:hAnsi="Calibri" w:cs="Calibri"/>
        </w:rPr>
        <w:t xml:space="preserve"> </w:t>
      </w:r>
      <w:r>
        <w:rPr>
          <w:rFonts w:ascii="Calibri" w:hAnsi="Calibri" w:cs="Calibri"/>
        </w:rPr>
        <w:t xml:space="preserve"> I</w:t>
      </w:r>
      <w:r w:rsidRPr="00387155">
        <w:rPr>
          <w:rFonts w:ascii="Calibri" w:hAnsi="Calibri" w:cs="Calibri"/>
        </w:rPr>
        <w:t xml:space="preserve">n absolute terms, net debt </w:t>
      </w:r>
      <w:r>
        <w:rPr>
          <w:rFonts w:ascii="Calibri" w:hAnsi="Calibri" w:cs="Calibri"/>
        </w:rPr>
        <w:t xml:space="preserve">in </w:t>
      </w:r>
      <w:r w:rsidRPr="00387155">
        <w:rPr>
          <w:rFonts w:ascii="Calibri" w:hAnsi="Calibri" w:cs="Calibri"/>
        </w:rPr>
        <w:t>202</w:t>
      </w:r>
      <w:r>
        <w:rPr>
          <w:rFonts w:ascii="Calibri" w:hAnsi="Calibri" w:cs="Calibri"/>
        </w:rPr>
        <w:t>7</w:t>
      </w:r>
      <w:r w:rsidRPr="00387155">
        <w:rPr>
          <w:rFonts w:ascii="Calibri" w:hAnsi="Calibri" w:cs="Calibri"/>
        </w:rPr>
        <w:t>-2</w:t>
      </w:r>
      <w:r>
        <w:rPr>
          <w:rFonts w:ascii="Calibri" w:hAnsi="Calibri" w:cs="Calibri"/>
        </w:rPr>
        <w:t>8</w:t>
      </w:r>
      <w:r w:rsidRPr="00387155">
        <w:rPr>
          <w:rFonts w:ascii="Calibri" w:hAnsi="Calibri" w:cs="Calibri"/>
        </w:rPr>
        <w:t xml:space="preserve"> is forecast to </w:t>
      </w:r>
      <w:r>
        <w:rPr>
          <w:rFonts w:ascii="Calibri" w:hAnsi="Calibri" w:cs="Calibri"/>
        </w:rPr>
        <w:t>be 70 percent</w:t>
      </w:r>
      <w:r w:rsidRPr="00387155">
        <w:rPr>
          <w:rFonts w:ascii="Calibri" w:hAnsi="Calibri" w:cs="Calibri"/>
        </w:rPr>
        <w:t xml:space="preserve"> </w:t>
      </w:r>
      <w:r>
        <w:rPr>
          <w:rFonts w:ascii="Calibri" w:hAnsi="Calibri" w:cs="Calibri"/>
        </w:rPr>
        <w:t>higher than the estimated debt in 2023-24 and almost 14 times higher than in 2014-15.</w:t>
      </w:r>
    </w:p>
    <w:p w14:paraId="4A6D1432" w14:textId="77777777" w:rsidR="00AF00A5" w:rsidRDefault="00AF00A5" w:rsidP="00AF00A5">
      <w:pPr>
        <w:rPr>
          <w:rFonts w:ascii="Calibri" w:hAnsi="Calibri" w:cs="Calibri"/>
        </w:rPr>
      </w:pPr>
      <w:r w:rsidRPr="00387155">
        <w:rPr>
          <w:rFonts w:ascii="Calibri" w:hAnsi="Calibri" w:cs="Calibri"/>
        </w:rPr>
        <w:t xml:space="preserve">The ratio of net debt to GSP is a broad indicator of a jurisdiction’s ability to meet its debt obligations and its medium-term financial sustainability. </w:t>
      </w:r>
      <w:r>
        <w:rPr>
          <w:rFonts w:ascii="Calibri" w:hAnsi="Calibri" w:cs="Calibri"/>
        </w:rPr>
        <w:t xml:space="preserve"> </w:t>
      </w:r>
      <w:r w:rsidRPr="00387155">
        <w:rPr>
          <w:rFonts w:ascii="Calibri" w:hAnsi="Calibri" w:cs="Calibri"/>
        </w:rPr>
        <w:t xml:space="preserve">The Budget Papers forecast continued growth in this indicator, in line with the trend </w:t>
      </w:r>
      <w:r>
        <w:rPr>
          <w:rFonts w:ascii="Calibri" w:hAnsi="Calibri" w:cs="Calibri"/>
        </w:rPr>
        <w:t>over the past decade</w:t>
      </w:r>
      <w:r w:rsidRPr="00387155">
        <w:rPr>
          <w:rFonts w:ascii="Calibri" w:hAnsi="Calibri" w:cs="Calibri"/>
        </w:rPr>
        <w:t>, from an estimated 1</w:t>
      </w:r>
      <w:r>
        <w:rPr>
          <w:rFonts w:ascii="Calibri" w:hAnsi="Calibri" w:cs="Calibri"/>
        </w:rPr>
        <w:t>3.5 percent at the end of June 20</w:t>
      </w:r>
      <w:r w:rsidRPr="00387155">
        <w:rPr>
          <w:rFonts w:ascii="Calibri" w:hAnsi="Calibri" w:cs="Calibri"/>
        </w:rPr>
        <w:t>2</w:t>
      </w:r>
      <w:r>
        <w:rPr>
          <w:rFonts w:ascii="Calibri" w:hAnsi="Calibri" w:cs="Calibri"/>
        </w:rPr>
        <w:t>4</w:t>
      </w:r>
      <w:r w:rsidRPr="00387155">
        <w:rPr>
          <w:rFonts w:ascii="Calibri" w:hAnsi="Calibri" w:cs="Calibri"/>
        </w:rPr>
        <w:t xml:space="preserve"> to </w:t>
      </w:r>
      <w:r>
        <w:rPr>
          <w:rFonts w:ascii="Calibri" w:hAnsi="Calibri" w:cs="Calibri"/>
        </w:rPr>
        <w:t>18.1 percent</w:t>
      </w:r>
      <w:r w:rsidRPr="00387155">
        <w:rPr>
          <w:rFonts w:ascii="Calibri" w:hAnsi="Calibri" w:cs="Calibri"/>
        </w:rPr>
        <w:t xml:space="preserve"> by </w:t>
      </w:r>
      <w:r>
        <w:rPr>
          <w:rFonts w:ascii="Calibri" w:hAnsi="Calibri" w:cs="Calibri"/>
        </w:rPr>
        <w:t>30 June 20</w:t>
      </w:r>
      <w:r w:rsidRPr="00387155">
        <w:rPr>
          <w:rFonts w:ascii="Calibri" w:hAnsi="Calibri" w:cs="Calibri"/>
        </w:rPr>
        <w:t>2</w:t>
      </w:r>
      <w:r>
        <w:rPr>
          <w:rFonts w:ascii="Calibri" w:hAnsi="Calibri" w:cs="Calibri"/>
        </w:rPr>
        <w:t>8</w:t>
      </w:r>
      <w:r w:rsidRPr="00387155">
        <w:rPr>
          <w:rFonts w:ascii="Calibri" w:hAnsi="Calibri" w:cs="Calibri"/>
        </w:rPr>
        <w:t xml:space="preserve">. </w:t>
      </w:r>
    </w:p>
    <w:p w14:paraId="55ACAF1C" w14:textId="5D2F825C" w:rsidR="00AF00A5" w:rsidRPr="00387155" w:rsidRDefault="00103F85" w:rsidP="00AF00A5">
      <w:pPr>
        <w:rPr>
          <w:rFonts w:ascii="Calibri" w:hAnsi="Calibri" w:cs="Calibri"/>
        </w:rPr>
      </w:pPr>
      <w:r>
        <w:rPr>
          <w:rFonts w:ascii="Calibri" w:hAnsi="Calibri" w:cs="Calibri"/>
        </w:rPr>
        <w:fldChar w:fldCharType="begin"/>
      </w:r>
      <w:r>
        <w:rPr>
          <w:rFonts w:ascii="Calibri" w:hAnsi="Calibri" w:cs="Calibri"/>
        </w:rPr>
        <w:instrText xml:space="preserve"> REF _Ref170908125 \h </w:instrText>
      </w:r>
      <w:r>
        <w:rPr>
          <w:rFonts w:ascii="Calibri" w:hAnsi="Calibri" w:cs="Calibri"/>
        </w:rPr>
      </w:r>
      <w:r>
        <w:rPr>
          <w:rFonts w:ascii="Calibri" w:hAnsi="Calibri" w:cs="Calibri"/>
        </w:rPr>
        <w:fldChar w:fldCharType="separate"/>
      </w:r>
      <w:r w:rsidR="000B62ED" w:rsidRPr="00387155">
        <w:rPr>
          <w:rFonts w:ascii="Calibri" w:hAnsi="Calibri" w:cs="Calibri"/>
        </w:rPr>
        <w:t xml:space="preserve">Figure </w:t>
      </w:r>
      <w:r w:rsidR="000B62ED">
        <w:rPr>
          <w:rFonts w:ascii="Calibri" w:hAnsi="Calibri" w:cs="Calibri"/>
          <w:noProof/>
        </w:rPr>
        <w:t>25</w:t>
      </w:r>
      <w:r>
        <w:rPr>
          <w:rFonts w:ascii="Calibri" w:hAnsi="Calibri" w:cs="Calibri"/>
        </w:rPr>
        <w:fldChar w:fldCharType="end"/>
      </w:r>
      <w:r w:rsidR="00AF00A5" w:rsidRPr="00387155">
        <w:rPr>
          <w:rFonts w:ascii="Calibri" w:hAnsi="Calibri" w:cs="Calibri"/>
        </w:rPr>
        <w:t xml:space="preserve"> illustrates the growth in net debt since 2010-11 as a percentage of the Gross State Product (GSP).</w:t>
      </w:r>
    </w:p>
    <w:p w14:paraId="5CC6A30E" w14:textId="4DEBFED4" w:rsidR="00AF00A5" w:rsidRPr="00387155" w:rsidRDefault="00AF00A5" w:rsidP="0047124B">
      <w:pPr>
        <w:pStyle w:val="Caption"/>
        <w:keepNext/>
        <w:rPr>
          <w:rFonts w:ascii="Calibri" w:hAnsi="Calibri" w:cs="Calibri"/>
        </w:rPr>
      </w:pPr>
      <w:bookmarkStart w:id="181" w:name="_Ref170908125"/>
      <w:bookmarkStart w:id="182" w:name="_Toc110939319"/>
      <w:bookmarkStart w:id="183" w:name="_Toc171949084"/>
      <w:r w:rsidRPr="00387155">
        <w:rPr>
          <w:rFonts w:ascii="Calibri" w:hAnsi="Calibri" w:cs="Calibri"/>
        </w:rPr>
        <w:lastRenderedPageBreak/>
        <w:t xml:space="preserve">Figure </w:t>
      </w:r>
      <w:r w:rsidRPr="00387155">
        <w:rPr>
          <w:rFonts w:ascii="Calibri" w:hAnsi="Calibri" w:cs="Calibri"/>
        </w:rPr>
        <w:fldChar w:fldCharType="begin"/>
      </w:r>
      <w:r w:rsidRPr="00387155">
        <w:rPr>
          <w:rFonts w:ascii="Calibri" w:hAnsi="Calibri" w:cs="Calibri"/>
        </w:rPr>
        <w:instrText xml:space="preserve"> SEQ Figure \* ARABIC </w:instrText>
      </w:r>
      <w:r w:rsidRPr="00387155">
        <w:rPr>
          <w:rFonts w:ascii="Calibri" w:hAnsi="Calibri" w:cs="Calibri"/>
        </w:rPr>
        <w:fldChar w:fldCharType="separate"/>
      </w:r>
      <w:r w:rsidR="000B62ED">
        <w:rPr>
          <w:rFonts w:ascii="Calibri" w:hAnsi="Calibri" w:cs="Calibri"/>
          <w:noProof/>
        </w:rPr>
        <w:t>25</w:t>
      </w:r>
      <w:r w:rsidRPr="00387155">
        <w:rPr>
          <w:rFonts w:ascii="Calibri" w:hAnsi="Calibri" w:cs="Calibri"/>
          <w:noProof/>
        </w:rPr>
        <w:fldChar w:fldCharType="end"/>
      </w:r>
      <w:bookmarkEnd w:id="181"/>
      <w:r w:rsidRPr="00387155">
        <w:rPr>
          <w:rFonts w:ascii="Calibri" w:hAnsi="Calibri" w:cs="Calibri"/>
        </w:rPr>
        <w:t>: Net debt as a proportion of Gross State Product</w:t>
      </w:r>
      <w:bookmarkEnd w:id="183"/>
      <w:r w:rsidRPr="00387155">
        <w:rPr>
          <w:rFonts w:ascii="Calibri" w:hAnsi="Calibri" w:cs="Calibri"/>
        </w:rPr>
        <w:t xml:space="preserve"> </w:t>
      </w:r>
      <w:bookmarkEnd w:id="182"/>
    </w:p>
    <w:p w14:paraId="4B6A40C7" w14:textId="236DF54F" w:rsidR="00AF00A5" w:rsidRPr="00387155" w:rsidRDefault="00912083" w:rsidP="00AF00A5">
      <w:pPr>
        <w:spacing w:before="0"/>
        <w:rPr>
          <w:rFonts w:ascii="Calibri" w:hAnsi="Calibri" w:cs="Calibri"/>
          <w:i/>
          <w:iCs/>
        </w:rPr>
      </w:pPr>
      <w:r w:rsidRPr="00912083">
        <w:rPr>
          <w:noProof/>
        </w:rPr>
        <w:t xml:space="preserve"> </w:t>
      </w:r>
      <w:r>
        <w:rPr>
          <w:noProof/>
        </w:rPr>
        <w:drawing>
          <wp:inline distT="0" distB="0" distL="0" distR="0" wp14:anchorId="5519E976" wp14:editId="360732A6">
            <wp:extent cx="5731510" cy="3737610"/>
            <wp:effectExtent l="0" t="0" r="0" b="0"/>
            <wp:docPr id="631643926" name="Picture 1" descr="A graph with a line go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643926" name="Picture 1" descr="A graph with a line going up&#10;&#10;Description automatically generated"/>
                    <pic:cNvPicPr/>
                  </pic:nvPicPr>
                  <pic:blipFill>
                    <a:blip r:embed="rId43"/>
                    <a:stretch>
                      <a:fillRect/>
                    </a:stretch>
                  </pic:blipFill>
                  <pic:spPr>
                    <a:xfrm>
                      <a:off x="0" y="0"/>
                      <a:ext cx="5731510" cy="3737610"/>
                    </a:xfrm>
                    <a:prstGeom prst="rect">
                      <a:avLst/>
                    </a:prstGeom>
                  </pic:spPr>
                </pic:pic>
              </a:graphicData>
            </a:graphic>
          </wp:inline>
        </w:drawing>
      </w:r>
      <w:r w:rsidR="00AF00A5" w:rsidRPr="00387155">
        <w:rPr>
          <w:rFonts w:ascii="Calibri" w:hAnsi="Calibri" w:cs="Calibri"/>
        </w:rPr>
        <w:t xml:space="preserve">Sources: </w:t>
      </w:r>
      <w:r w:rsidR="00AF00A5">
        <w:rPr>
          <w:rFonts w:ascii="Calibri" w:hAnsi="Calibri" w:cs="Calibri"/>
        </w:rPr>
        <w:t>Budget Outlook, Table F.9, ABS Catalogue Number 5220.0, Table 1</w:t>
      </w:r>
      <w:r w:rsidR="00AF00A5" w:rsidRPr="00387155">
        <w:rPr>
          <w:rFonts w:ascii="Calibri" w:hAnsi="Calibri" w:cs="Calibri"/>
          <w:noProof/>
        </w:rPr>
        <w:br/>
      </w:r>
      <w:r w:rsidR="00AF00A5" w:rsidRPr="00387155">
        <w:rPr>
          <w:rFonts w:ascii="Calibri" w:hAnsi="Calibri" w:cs="Calibri"/>
          <w:i/>
          <w:iCs/>
          <w:noProof/>
        </w:rPr>
        <w:t xml:space="preserve">Note: From 2019-20, net debt includes the impact of accounting changes in relation to the treatment of leases.  The ACT Government has indicated that for this reason net debt from 2019-20 is not directrly comparable to prior years. </w:t>
      </w:r>
    </w:p>
    <w:p w14:paraId="4643F353" w14:textId="77777777" w:rsidR="00AF00A5" w:rsidRPr="00387155" w:rsidRDefault="00AF00A5" w:rsidP="00AF00A5">
      <w:pPr>
        <w:rPr>
          <w:rFonts w:ascii="Calibri" w:hAnsi="Calibri" w:cs="Calibri"/>
        </w:rPr>
      </w:pPr>
      <w:r w:rsidRPr="00387155">
        <w:rPr>
          <w:rFonts w:ascii="Calibri" w:hAnsi="Calibri" w:cs="Calibri"/>
        </w:rPr>
        <w:t>The large increase in net debt to GSP in 2015-16 was related to the</w:t>
      </w:r>
      <w:r w:rsidRPr="00387155">
        <w:rPr>
          <w:rFonts w:ascii="Calibri" w:hAnsi="Calibri" w:cs="Calibri"/>
          <w:color w:val="000000"/>
          <w:lang w:val="en-NZ" w:bidi="he-IL"/>
        </w:rPr>
        <w:t xml:space="preserve"> loan provided by the Commonwealth to support the Asbestos Eradication Scheme and a provision for the Light Rail Stage 1 project. The subsequent reduction in net debt reflected the effect of decisions to procure the Light Rail through a Service Concession arrangement, which removed the requirement to debt fund the capital cost of the project</w:t>
      </w:r>
      <w:r w:rsidRPr="00387155">
        <w:rPr>
          <w:rFonts w:ascii="Calibri" w:hAnsi="Calibri" w:cs="Calibri"/>
          <w:noProof/>
          <w:color w:val="000000"/>
          <w:lang w:val="en-NZ" w:bidi="he-IL"/>
        </w:rPr>
        <w:t xml:space="preserve"> (ACT Government, 2015, p. 251; ACT Government, 2016, p. 288)</w:t>
      </w:r>
      <w:r w:rsidRPr="00387155">
        <w:rPr>
          <w:rFonts w:ascii="Calibri" w:hAnsi="Calibri" w:cs="Calibri"/>
          <w:color w:val="000000"/>
          <w:lang w:val="en-NZ" w:bidi="he-IL"/>
        </w:rPr>
        <w:t>.</w:t>
      </w:r>
    </w:p>
    <w:p w14:paraId="37DA999C" w14:textId="77777777" w:rsidR="00AF00A5" w:rsidRPr="00387155" w:rsidRDefault="00AF00A5" w:rsidP="00AF00A5">
      <w:pPr>
        <w:rPr>
          <w:rFonts w:ascii="Calibri" w:hAnsi="Calibri" w:cs="Calibri"/>
        </w:rPr>
      </w:pPr>
      <w:r>
        <w:rPr>
          <w:rFonts w:ascii="Calibri" w:hAnsi="Calibri" w:cs="Calibri"/>
        </w:rPr>
        <w:t>Growth in debt over the period has been driven by persistent Government deficits and a large infrastructure program.  The</w:t>
      </w:r>
      <w:r w:rsidRPr="00387155">
        <w:rPr>
          <w:rFonts w:ascii="Calibri" w:hAnsi="Calibri" w:cs="Calibri"/>
        </w:rPr>
        <w:t xml:space="preserve"> ACT has gone from being a net creditor </w:t>
      </w:r>
      <w:r>
        <w:rPr>
          <w:rFonts w:ascii="Calibri" w:hAnsi="Calibri" w:cs="Calibri"/>
        </w:rPr>
        <w:t xml:space="preserve">at the beginning of the last decade </w:t>
      </w:r>
      <w:r w:rsidRPr="00387155">
        <w:rPr>
          <w:rFonts w:ascii="Calibri" w:hAnsi="Calibri" w:cs="Calibri"/>
        </w:rPr>
        <w:t xml:space="preserve">to </w:t>
      </w:r>
      <w:r>
        <w:rPr>
          <w:rFonts w:ascii="Calibri" w:hAnsi="Calibri" w:cs="Calibri"/>
        </w:rPr>
        <w:t>having a substantial at the end of the forward estimates period.</w:t>
      </w:r>
    </w:p>
    <w:p w14:paraId="5843C312" w14:textId="08C51C52" w:rsidR="00AF00A5" w:rsidRPr="00387155" w:rsidRDefault="00AF00A5" w:rsidP="00AF00A5">
      <w:pPr>
        <w:rPr>
          <w:rFonts w:ascii="Calibri" w:hAnsi="Calibri" w:cs="Calibri"/>
        </w:rPr>
      </w:pPr>
      <w:r w:rsidRPr="00387155">
        <w:rPr>
          <w:rFonts w:ascii="Calibri" w:hAnsi="Calibri" w:cs="Calibri"/>
        </w:rPr>
        <w:t>A short-term increase in net debt can be a sensible response to adverse economic shocks</w:t>
      </w:r>
      <w:r>
        <w:rPr>
          <w:rFonts w:ascii="Calibri" w:hAnsi="Calibri" w:cs="Calibri"/>
        </w:rPr>
        <w:t>, such as the COVID19 pandemic, and can be justified when investing in future wealth generating assets</w:t>
      </w:r>
      <w:r w:rsidRPr="00387155">
        <w:rPr>
          <w:rFonts w:ascii="Calibri" w:hAnsi="Calibri" w:cs="Calibri"/>
        </w:rPr>
        <w:t xml:space="preserve">. </w:t>
      </w:r>
      <w:r>
        <w:rPr>
          <w:rFonts w:ascii="Calibri" w:hAnsi="Calibri" w:cs="Calibri"/>
        </w:rPr>
        <w:t xml:space="preserve"> </w:t>
      </w:r>
      <w:r w:rsidRPr="00387155">
        <w:rPr>
          <w:rFonts w:ascii="Calibri" w:hAnsi="Calibri" w:cs="Calibri"/>
        </w:rPr>
        <w:t>However, continuing high levels of debt are undesirable as they impose debt servicing costs and can reduce future budget flexibility.</w:t>
      </w:r>
    </w:p>
    <w:p w14:paraId="3A9F7BBB" w14:textId="77777777" w:rsidR="00AF00A5" w:rsidRPr="00AF00A5" w:rsidRDefault="00AF00A5" w:rsidP="00AF00A5">
      <w:pPr>
        <w:pStyle w:val="Heading2"/>
      </w:pPr>
      <w:bookmarkStart w:id="184" w:name="_Toc110939269"/>
      <w:bookmarkStart w:id="185" w:name="_Toc171949029"/>
      <w:r w:rsidRPr="00AF00A5">
        <w:t>8.3</w:t>
      </w:r>
      <w:r w:rsidRPr="00AF00A5">
        <w:tab/>
        <w:t>Net financial liabilities</w:t>
      </w:r>
      <w:bookmarkEnd w:id="184"/>
      <w:bookmarkEnd w:id="185"/>
    </w:p>
    <w:p w14:paraId="131B9F81" w14:textId="049028EF" w:rsidR="00AF00A5" w:rsidRPr="00387155" w:rsidRDefault="00AF00A5" w:rsidP="00060857">
      <w:pPr>
        <w:rPr>
          <w:rFonts w:ascii="Calibri" w:hAnsi="Calibri" w:cs="Calibri"/>
        </w:rPr>
      </w:pPr>
      <w:r w:rsidRPr="00387155">
        <w:rPr>
          <w:rFonts w:ascii="Calibri" w:hAnsi="Calibri" w:cs="Calibri"/>
        </w:rPr>
        <w:t xml:space="preserve">Net financial liabilities </w:t>
      </w:r>
      <w:r w:rsidR="00060857">
        <w:rPr>
          <w:rFonts w:ascii="Calibri" w:hAnsi="Calibri" w:cs="Calibri"/>
        </w:rPr>
        <w:t xml:space="preserve">is a broader </w:t>
      </w:r>
      <w:r w:rsidRPr="00387155">
        <w:rPr>
          <w:rFonts w:ascii="Calibri" w:hAnsi="Calibri" w:cs="Calibri"/>
        </w:rPr>
        <w:t xml:space="preserve">measure </w:t>
      </w:r>
      <w:r w:rsidR="00060857">
        <w:rPr>
          <w:rFonts w:ascii="Calibri" w:hAnsi="Calibri" w:cs="Calibri"/>
        </w:rPr>
        <w:t xml:space="preserve">than net debt as it includes significant liabilities other than borrowings, such as unfunded superannuation and long service leave entitlements, but excludes </w:t>
      </w:r>
      <w:r w:rsidRPr="00387155">
        <w:rPr>
          <w:rFonts w:ascii="Calibri" w:hAnsi="Calibri" w:cs="Calibri"/>
        </w:rPr>
        <w:t xml:space="preserve">the value of equity held by the General Government sector in public corporations. </w:t>
      </w:r>
      <w:r>
        <w:rPr>
          <w:rFonts w:ascii="Calibri" w:hAnsi="Calibri" w:cs="Calibri"/>
        </w:rPr>
        <w:t xml:space="preserve"> </w:t>
      </w:r>
      <w:r w:rsidRPr="00387155">
        <w:rPr>
          <w:rFonts w:ascii="Calibri" w:hAnsi="Calibri" w:cs="Calibri"/>
        </w:rPr>
        <w:t xml:space="preserve">Changes in net financial liabilities are therefore influenced by variations in the net debt figures discussed above. </w:t>
      </w:r>
    </w:p>
    <w:p w14:paraId="25C2C665" w14:textId="56829C16" w:rsidR="00AF00A5" w:rsidRPr="00387155" w:rsidRDefault="00AF00A5" w:rsidP="00AF00A5">
      <w:pPr>
        <w:pStyle w:val="BodyText"/>
        <w:rPr>
          <w:rFonts w:cs="Calibri"/>
          <w:szCs w:val="22"/>
        </w:rPr>
      </w:pPr>
      <w:r w:rsidRPr="00387155">
        <w:rPr>
          <w:rFonts w:cs="Calibri"/>
          <w:szCs w:val="22"/>
        </w:rPr>
        <w:t>The Territory’s net financial liabilities have increased since the 202</w:t>
      </w:r>
      <w:r>
        <w:rPr>
          <w:rFonts w:cs="Calibri"/>
          <w:szCs w:val="22"/>
        </w:rPr>
        <w:t>3</w:t>
      </w:r>
      <w:r w:rsidRPr="00387155">
        <w:rPr>
          <w:rFonts w:cs="Calibri"/>
          <w:szCs w:val="22"/>
        </w:rPr>
        <w:t>-2</w:t>
      </w:r>
      <w:r>
        <w:rPr>
          <w:rFonts w:cs="Calibri"/>
          <w:szCs w:val="22"/>
        </w:rPr>
        <w:t>4</w:t>
      </w:r>
      <w:r w:rsidRPr="00387155">
        <w:rPr>
          <w:rFonts w:cs="Calibri"/>
          <w:szCs w:val="22"/>
        </w:rPr>
        <w:t xml:space="preserve"> Budget and are projected to continue to grow into the </w:t>
      </w:r>
      <w:r w:rsidR="00215683">
        <w:rPr>
          <w:rFonts w:cs="Calibri"/>
          <w:szCs w:val="22"/>
        </w:rPr>
        <w:t>out-year</w:t>
      </w:r>
      <w:r w:rsidRPr="00387155">
        <w:rPr>
          <w:rFonts w:cs="Calibri"/>
          <w:szCs w:val="22"/>
        </w:rPr>
        <w:t xml:space="preserve">s.  Net financial liabilities </w:t>
      </w:r>
      <w:r>
        <w:rPr>
          <w:rFonts w:cs="Calibri"/>
          <w:szCs w:val="22"/>
        </w:rPr>
        <w:t xml:space="preserve">grew from $12.3 billion to $13.1 billion </w:t>
      </w:r>
      <w:r>
        <w:rPr>
          <w:rFonts w:cs="Calibri"/>
          <w:szCs w:val="22"/>
        </w:rPr>
        <w:lastRenderedPageBreak/>
        <w:t xml:space="preserve">over the </w:t>
      </w:r>
      <w:r w:rsidRPr="00387155">
        <w:rPr>
          <w:rFonts w:cs="Calibri"/>
          <w:szCs w:val="22"/>
        </w:rPr>
        <w:t>202</w:t>
      </w:r>
      <w:r>
        <w:rPr>
          <w:rFonts w:cs="Calibri"/>
          <w:szCs w:val="22"/>
        </w:rPr>
        <w:t>3</w:t>
      </w:r>
      <w:r w:rsidRPr="00387155">
        <w:rPr>
          <w:rFonts w:cs="Calibri"/>
          <w:szCs w:val="22"/>
        </w:rPr>
        <w:t>-2</w:t>
      </w:r>
      <w:r>
        <w:rPr>
          <w:rFonts w:cs="Calibri"/>
          <w:szCs w:val="22"/>
        </w:rPr>
        <w:t>4 financial year, primarily due to an increase in the superannuation liability, and</w:t>
      </w:r>
      <w:r w:rsidRPr="00387155">
        <w:rPr>
          <w:rFonts w:cs="Calibri"/>
          <w:szCs w:val="22"/>
        </w:rPr>
        <w:t xml:space="preserve"> are estimated to</w:t>
      </w:r>
      <w:r>
        <w:rPr>
          <w:rFonts w:cs="Calibri"/>
          <w:szCs w:val="22"/>
        </w:rPr>
        <w:t xml:space="preserve"> reach</w:t>
      </w:r>
      <w:r w:rsidRPr="00387155">
        <w:rPr>
          <w:rFonts w:cs="Calibri"/>
          <w:szCs w:val="22"/>
        </w:rPr>
        <w:t xml:space="preserve"> $1</w:t>
      </w:r>
      <w:r>
        <w:rPr>
          <w:rFonts w:cs="Calibri"/>
          <w:szCs w:val="22"/>
        </w:rPr>
        <w:t>7.0</w:t>
      </w:r>
      <w:r w:rsidRPr="00387155">
        <w:rPr>
          <w:rFonts w:cs="Calibri"/>
          <w:szCs w:val="22"/>
        </w:rPr>
        <w:t xml:space="preserve"> billion by </w:t>
      </w:r>
      <w:r>
        <w:rPr>
          <w:rFonts w:cs="Calibri"/>
          <w:szCs w:val="22"/>
        </w:rPr>
        <w:t xml:space="preserve">30 June </w:t>
      </w:r>
      <w:r w:rsidRPr="00387155">
        <w:rPr>
          <w:rFonts w:cs="Calibri"/>
          <w:szCs w:val="22"/>
        </w:rPr>
        <w:t>202</w:t>
      </w:r>
      <w:r>
        <w:rPr>
          <w:rFonts w:cs="Calibri"/>
          <w:szCs w:val="22"/>
        </w:rPr>
        <w:t>8</w:t>
      </w:r>
      <w:r w:rsidRPr="00387155">
        <w:rPr>
          <w:rFonts w:cs="Calibri"/>
          <w:szCs w:val="22"/>
        </w:rPr>
        <w:t>.</w:t>
      </w:r>
    </w:p>
    <w:p w14:paraId="3C41E2D0" w14:textId="6BAAD9D9" w:rsidR="00AF00A5" w:rsidRPr="00387155" w:rsidRDefault="00AF00A5" w:rsidP="00AF00A5">
      <w:pPr>
        <w:pStyle w:val="BodyText"/>
        <w:rPr>
          <w:rFonts w:cs="Calibri"/>
          <w:szCs w:val="22"/>
        </w:rPr>
      </w:pPr>
      <w:r w:rsidRPr="00387155">
        <w:rPr>
          <w:rFonts w:cs="Calibri"/>
          <w:szCs w:val="22"/>
        </w:rPr>
        <w:t xml:space="preserve">Relative to GSP, net financial liabilities </w:t>
      </w:r>
      <w:r>
        <w:rPr>
          <w:rFonts w:cs="Calibri"/>
          <w:szCs w:val="22"/>
        </w:rPr>
        <w:t>are</w:t>
      </w:r>
      <w:r w:rsidRPr="00387155">
        <w:rPr>
          <w:rFonts w:cs="Calibri"/>
          <w:szCs w:val="22"/>
        </w:rPr>
        <w:t xml:space="preserve"> forecast to rise gradually </w:t>
      </w:r>
      <w:r>
        <w:rPr>
          <w:rFonts w:cs="Calibri"/>
          <w:szCs w:val="22"/>
        </w:rPr>
        <w:t>over</w:t>
      </w:r>
      <w:r w:rsidRPr="00387155">
        <w:rPr>
          <w:rFonts w:cs="Calibri"/>
          <w:szCs w:val="22"/>
        </w:rPr>
        <w:t xml:space="preserve"> the </w:t>
      </w:r>
      <w:r>
        <w:rPr>
          <w:rFonts w:cs="Calibri"/>
          <w:szCs w:val="22"/>
        </w:rPr>
        <w:t xml:space="preserve">period to 2026-27, and then decline slightly in the final </w:t>
      </w:r>
      <w:r w:rsidR="00215683">
        <w:rPr>
          <w:rFonts w:cs="Calibri"/>
          <w:szCs w:val="22"/>
        </w:rPr>
        <w:t>out-year</w:t>
      </w:r>
      <w:r w:rsidRPr="00387155">
        <w:rPr>
          <w:rFonts w:cs="Calibri"/>
          <w:szCs w:val="22"/>
        </w:rPr>
        <w:t>.</w:t>
      </w:r>
      <w:r>
        <w:rPr>
          <w:rFonts w:cs="Calibri"/>
          <w:szCs w:val="22"/>
        </w:rPr>
        <w:t xml:space="preserve"> </w:t>
      </w:r>
      <w:r w:rsidRPr="00387155">
        <w:rPr>
          <w:rFonts w:cs="Calibri"/>
          <w:szCs w:val="22"/>
        </w:rPr>
        <w:t xml:space="preserve"> The Budget Papers suggest that growth forecast in the ratio of net financial liabilities to GSP over the forward years is related to </w:t>
      </w:r>
      <w:r>
        <w:rPr>
          <w:rFonts w:cs="Calibri"/>
          <w:szCs w:val="22"/>
        </w:rPr>
        <w:t>the increase in</w:t>
      </w:r>
      <w:r w:rsidRPr="00387155">
        <w:rPr>
          <w:rFonts w:cs="Calibri"/>
          <w:szCs w:val="22"/>
        </w:rPr>
        <w:t xml:space="preserve"> the </w:t>
      </w:r>
      <w:r>
        <w:rPr>
          <w:rFonts w:cs="Calibri"/>
          <w:szCs w:val="22"/>
        </w:rPr>
        <w:t xml:space="preserve">unfunded </w:t>
      </w:r>
      <w:r w:rsidRPr="00387155">
        <w:rPr>
          <w:rFonts w:cs="Calibri"/>
          <w:szCs w:val="22"/>
        </w:rPr>
        <w:t>superannuation liability.</w:t>
      </w:r>
      <w:r>
        <w:rPr>
          <w:rFonts w:cs="Calibri"/>
          <w:szCs w:val="22"/>
        </w:rPr>
        <w:t xml:space="preserve"> This is discussed further in the section below dealing with superannuation.</w:t>
      </w:r>
    </w:p>
    <w:bookmarkStart w:id="186" w:name="_Toc110939320"/>
    <w:p w14:paraId="46A72266" w14:textId="1619E8BA" w:rsidR="00AF00A5" w:rsidRPr="00387155" w:rsidRDefault="00103F85" w:rsidP="00AF00A5">
      <w:pPr>
        <w:pStyle w:val="BodyText"/>
        <w:rPr>
          <w:rFonts w:cs="Calibri"/>
          <w:szCs w:val="22"/>
        </w:rPr>
      </w:pPr>
      <w:r>
        <w:rPr>
          <w:rFonts w:cs="Calibri"/>
          <w:szCs w:val="22"/>
        </w:rPr>
        <w:fldChar w:fldCharType="begin"/>
      </w:r>
      <w:r>
        <w:rPr>
          <w:rFonts w:cs="Calibri"/>
          <w:szCs w:val="22"/>
        </w:rPr>
        <w:instrText xml:space="preserve"> REF _Ref170908147 \h </w:instrText>
      </w:r>
      <w:r>
        <w:rPr>
          <w:rFonts w:cs="Calibri"/>
          <w:szCs w:val="22"/>
        </w:rPr>
      </w:r>
      <w:r>
        <w:rPr>
          <w:rFonts w:cs="Calibri"/>
          <w:szCs w:val="22"/>
        </w:rPr>
        <w:fldChar w:fldCharType="separate"/>
      </w:r>
      <w:r w:rsidR="000B62ED" w:rsidRPr="00387155">
        <w:rPr>
          <w:rFonts w:cs="Calibri"/>
        </w:rPr>
        <w:t xml:space="preserve">Figure </w:t>
      </w:r>
      <w:r w:rsidR="000B62ED">
        <w:rPr>
          <w:rFonts w:cs="Calibri"/>
          <w:noProof/>
        </w:rPr>
        <w:t>26</w:t>
      </w:r>
      <w:r>
        <w:rPr>
          <w:rFonts w:cs="Calibri"/>
          <w:szCs w:val="22"/>
        </w:rPr>
        <w:fldChar w:fldCharType="end"/>
      </w:r>
      <w:r>
        <w:rPr>
          <w:rFonts w:cs="Calibri"/>
          <w:szCs w:val="22"/>
        </w:rPr>
        <w:t xml:space="preserve"> </w:t>
      </w:r>
      <w:r w:rsidR="00AF00A5" w:rsidRPr="00387155">
        <w:rPr>
          <w:rFonts w:cs="Calibri"/>
          <w:szCs w:val="22"/>
        </w:rPr>
        <w:t>below illustrates the growth in net financial liabilities as a proportion of GSP since 201</w:t>
      </w:r>
      <w:r w:rsidR="00AF00A5">
        <w:rPr>
          <w:rFonts w:cs="Calibri"/>
          <w:szCs w:val="22"/>
        </w:rPr>
        <w:t>1</w:t>
      </w:r>
      <w:r w:rsidR="00AF00A5" w:rsidRPr="00387155">
        <w:rPr>
          <w:rFonts w:cs="Calibri"/>
          <w:szCs w:val="22"/>
        </w:rPr>
        <w:t>-1</w:t>
      </w:r>
      <w:r w:rsidR="00AF00A5">
        <w:rPr>
          <w:rFonts w:cs="Calibri"/>
          <w:szCs w:val="22"/>
        </w:rPr>
        <w:t>2</w:t>
      </w:r>
      <w:r w:rsidR="00AF00A5" w:rsidRPr="00387155">
        <w:rPr>
          <w:rFonts w:cs="Calibri"/>
          <w:szCs w:val="22"/>
        </w:rPr>
        <w:t>.</w:t>
      </w:r>
    </w:p>
    <w:p w14:paraId="14DF7EEB" w14:textId="5DB45D56" w:rsidR="00AF00A5" w:rsidRPr="00387155" w:rsidRDefault="00AF00A5" w:rsidP="00AF00A5">
      <w:pPr>
        <w:pStyle w:val="Caption"/>
        <w:rPr>
          <w:rFonts w:ascii="Calibri" w:hAnsi="Calibri" w:cs="Calibri"/>
        </w:rPr>
      </w:pPr>
      <w:bookmarkStart w:id="187" w:name="_Ref170908147"/>
      <w:bookmarkStart w:id="188" w:name="_Toc171949085"/>
      <w:r w:rsidRPr="00387155">
        <w:rPr>
          <w:rFonts w:ascii="Calibri" w:hAnsi="Calibri" w:cs="Calibri"/>
        </w:rPr>
        <w:t xml:space="preserve">Figure </w:t>
      </w:r>
      <w:r w:rsidRPr="00387155">
        <w:rPr>
          <w:rFonts w:ascii="Calibri" w:hAnsi="Calibri" w:cs="Calibri"/>
        </w:rPr>
        <w:fldChar w:fldCharType="begin"/>
      </w:r>
      <w:r w:rsidRPr="00387155">
        <w:rPr>
          <w:rFonts w:ascii="Calibri" w:hAnsi="Calibri" w:cs="Calibri"/>
        </w:rPr>
        <w:instrText xml:space="preserve"> SEQ Figure \* ARABIC </w:instrText>
      </w:r>
      <w:r w:rsidRPr="00387155">
        <w:rPr>
          <w:rFonts w:ascii="Calibri" w:hAnsi="Calibri" w:cs="Calibri"/>
        </w:rPr>
        <w:fldChar w:fldCharType="separate"/>
      </w:r>
      <w:r w:rsidR="000B62ED">
        <w:rPr>
          <w:rFonts w:ascii="Calibri" w:hAnsi="Calibri" w:cs="Calibri"/>
          <w:noProof/>
        </w:rPr>
        <w:t>26</w:t>
      </w:r>
      <w:r w:rsidRPr="00387155">
        <w:rPr>
          <w:rFonts w:ascii="Calibri" w:hAnsi="Calibri" w:cs="Calibri"/>
          <w:noProof/>
        </w:rPr>
        <w:fldChar w:fldCharType="end"/>
      </w:r>
      <w:bookmarkEnd w:id="187"/>
      <w:r w:rsidRPr="00387155">
        <w:rPr>
          <w:rFonts w:ascii="Calibri" w:hAnsi="Calibri" w:cs="Calibri"/>
        </w:rPr>
        <w:t>: Net financial liabilities as a proportion of Gross State Product</w:t>
      </w:r>
      <w:bookmarkEnd w:id="186"/>
      <w:bookmarkEnd w:id="188"/>
      <w:r w:rsidRPr="00387155">
        <w:rPr>
          <w:rFonts w:ascii="Calibri" w:hAnsi="Calibri" w:cs="Calibri"/>
        </w:rPr>
        <w:t xml:space="preserve"> </w:t>
      </w:r>
    </w:p>
    <w:p w14:paraId="5D14CB5F" w14:textId="2F7AB2FB" w:rsidR="00AF00A5" w:rsidRPr="00387155" w:rsidRDefault="00912083" w:rsidP="00AF00A5">
      <w:pPr>
        <w:autoSpaceDE w:val="0"/>
        <w:autoSpaceDN w:val="0"/>
        <w:adjustRightInd w:val="0"/>
        <w:spacing w:before="0" w:after="0"/>
        <w:rPr>
          <w:rFonts w:ascii="Calibri" w:hAnsi="Calibri" w:cs="Calibri"/>
        </w:rPr>
      </w:pPr>
      <w:r w:rsidRPr="00912083">
        <w:rPr>
          <w:noProof/>
        </w:rPr>
        <w:t xml:space="preserve"> </w:t>
      </w:r>
      <w:r>
        <w:rPr>
          <w:noProof/>
        </w:rPr>
        <w:drawing>
          <wp:inline distT="0" distB="0" distL="0" distR="0" wp14:anchorId="5775C356" wp14:editId="5985E372">
            <wp:extent cx="5731510" cy="3737610"/>
            <wp:effectExtent l="0" t="0" r="0" b="0"/>
            <wp:docPr id="698407216" name="Picture 1" descr="A graph with a line go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407216" name="Picture 1" descr="A graph with a line going up&#10;&#10;Description automatically generated"/>
                    <pic:cNvPicPr/>
                  </pic:nvPicPr>
                  <pic:blipFill>
                    <a:blip r:embed="rId44"/>
                    <a:stretch>
                      <a:fillRect/>
                    </a:stretch>
                  </pic:blipFill>
                  <pic:spPr>
                    <a:xfrm>
                      <a:off x="0" y="0"/>
                      <a:ext cx="5731510" cy="3737610"/>
                    </a:xfrm>
                    <a:prstGeom prst="rect">
                      <a:avLst/>
                    </a:prstGeom>
                  </pic:spPr>
                </pic:pic>
              </a:graphicData>
            </a:graphic>
          </wp:inline>
        </w:drawing>
      </w:r>
    </w:p>
    <w:p w14:paraId="01CAD8BA" w14:textId="3F8EDE52" w:rsidR="00AF00A5" w:rsidRPr="00387155" w:rsidRDefault="00AF00A5" w:rsidP="00AF00A5">
      <w:pPr>
        <w:autoSpaceDE w:val="0"/>
        <w:autoSpaceDN w:val="0"/>
        <w:adjustRightInd w:val="0"/>
        <w:spacing w:before="0"/>
        <w:rPr>
          <w:rFonts w:ascii="Calibri" w:hAnsi="Calibri" w:cs="Calibri"/>
        </w:rPr>
      </w:pPr>
      <w:r w:rsidRPr="00387155">
        <w:rPr>
          <w:rFonts w:ascii="Calibri" w:hAnsi="Calibri" w:cs="Calibri"/>
        </w:rPr>
        <w:t xml:space="preserve">Sources: </w:t>
      </w:r>
      <w:r>
        <w:rPr>
          <w:rFonts w:ascii="Calibri" w:hAnsi="Calibri" w:cs="Calibri"/>
        </w:rPr>
        <w:t>Budget Outlook, Table F.9, ABS</w:t>
      </w:r>
      <w:r w:rsidR="003C1388">
        <w:rPr>
          <w:rFonts w:ascii="Calibri" w:hAnsi="Calibri" w:cs="Calibri"/>
        </w:rPr>
        <w:t xml:space="preserve"> </w:t>
      </w:r>
      <w:sdt>
        <w:sdtPr>
          <w:rPr>
            <w:rFonts w:ascii="Calibri" w:hAnsi="Calibri" w:cs="Calibri"/>
          </w:rPr>
          <w:id w:val="-1175641803"/>
          <w:citation/>
        </w:sdtPr>
        <w:sdtContent>
          <w:r w:rsidR="003C1388">
            <w:rPr>
              <w:rFonts w:ascii="Calibri" w:hAnsi="Calibri" w:cs="Calibri"/>
            </w:rPr>
            <w:fldChar w:fldCharType="begin"/>
          </w:r>
          <w:r w:rsidR="003C1388">
            <w:rPr>
              <w:rFonts w:ascii="Calibri" w:hAnsi="Calibri" w:cs="Calibri"/>
            </w:rPr>
            <w:instrText xml:space="preserve">CITATION Aus231 \n  \t  \l 3081 </w:instrText>
          </w:r>
          <w:r w:rsidR="003C1388">
            <w:rPr>
              <w:rFonts w:ascii="Calibri" w:hAnsi="Calibri" w:cs="Calibri"/>
            </w:rPr>
            <w:fldChar w:fldCharType="separate"/>
          </w:r>
          <w:r w:rsidR="003C1388" w:rsidRPr="0000389F">
            <w:rPr>
              <w:rFonts w:ascii="Calibri" w:hAnsi="Calibri" w:cs="Calibri"/>
              <w:noProof/>
            </w:rPr>
            <w:t>(2023)</w:t>
          </w:r>
          <w:r w:rsidR="003C1388">
            <w:rPr>
              <w:rFonts w:ascii="Calibri" w:hAnsi="Calibri" w:cs="Calibri"/>
            </w:rPr>
            <w:fldChar w:fldCharType="end"/>
          </w:r>
        </w:sdtContent>
      </w:sdt>
      <w:r w:rsidRPr="00387155">
        <w:rPr>
          <w:rFonts w:ascii="Calibri" w:hAnsi="Calibri" w:cs="Calibri"/>
          <w:noProof/>
        </w:rPr>
        <w:t>.</w:t>
      </w:r>
    </w:p>
    <w:p w14:paraId="5DE9098C" w14:textId="64124879" w:rsidR="00AF00A5" w:rsidRPr="00387155" w:rsidRDefault="00103F85" w:rsidP="00AF00A5">
      <w:pPr>
        <w:pStyle w:val="BodyText"/>
        <w:rPr>
          <w:rFonts w:cs="Calibri"/>
          <w:szCs w:val="22"/>
        </w:rPr>
      </w:pPr>
      <w:r>
        <w:rPr>
          <w:rFonts w:cs="Calibri"/>
          <w:szCs w:val="22"/>
        </w:rPr>
        <w:fldChar w:fldCharType="begin"/>
      </w:r>
      <w:r>
        <w:rPr>
          <w:rFonts w:cs="Calibri"/>
          <w:szCs w:val="22"/>
        </w:rPr>
        <w:instrText xml:space="preserve"> REF _Ref170908147 \h </w:instrText>
      </w:r>
      <w:r>
        <w:rPr>
          <w:rFonts w:cs="Calibri"/>
          <w:szCs w:val="22"/>
        </w:rPr>
      </w:r>
      <w:r>
        <w:rPr>
          <w:rFonts w:cs="Calibri"/>
          <w:szCs w:val="22"/>
        </w:rPr>
        <w:fldChar w:fldCharType="separate"/>
      </w:r>
      <w:r w:rsidR="000B62ED" w:rsidRPr="00387155">
        <w:rPr>
          <w:rFonts w:cs="Calibri"/>
        </w:rPr>
        <w:t xml:space="preserve">Figure </w:t>
      </w:r>
      <w:r w:rsidR="000B62ED">
        <w:rPr>
          <w:rFonts w:cs="Calibri"/>
          <w:noProof/>
        </w:rPr>
        <w:t>26</w:t>
      </w:r>
      <w:r>
        <w:rPr>
          <w:rFonts w:cs="Calibri"/>
          <w:szCs w:val="22"/>
        </w:rPr>
        <w:fldChar w:fldCharType="end"/>
      </w:r>
      <w:r w:rsidR="00AF00A5" w:rsidRPr="00387155">
        <w:rPr>
          <w:rFonts w:cs="Calibri"/>
          <w:szCs w:val="22"/>
        </w:rPr>
        <w:t xml:space="preserve"> shows that while there has been some fluctuation in the ratio of net financial liabilities to GSP over time, the overall trend </w:t>
      </w:r>
      <w:r w:rsidR="00AF00A5">
        <w:rPr>
          <w:rFonts w:cs="Calibri"/>
          <w:szCs w:val="22"/>
        </w:rPr>
        <w:t>over the last decade</w:t>
      </w:r>
      <w:r w:rsidR="00AF00A5" w:rsidRPr="00387155">
        <w:rPr>
          <w:rFonts w:cs="Calibri"/>
          <w:szCs w:val="22"/>
        </w:rPr>
        <w:t xml:space="preserve"> has been upwards.  </w:t>
      </w:r>
    </w:p>
    <w:p w14:paraId="7B69E67B" w14:textId="637AF940" w:rsidR="00AF00A5" w:rsidRPr="00387155" w:rsidRDefault="00AF00A5" w:rsidP="00AF00A5">
      <w:pPr>
        <w:pStyle w:val="BodyText"/>
        <w:rPr>
          <w:rFonts w:cs="Calibri"/>
          <w:szCs w:val="22"/>
        </w:rPr>
      </w:pPr>
      <w:r w:rsidRPr="00387155">
        <w:rPr>
          <w:rFonts w:cs="Calibri"/>
          <w:szCs w:val="22"/>
        </w:rPr>
        <w:t xml:space="preserve">A spike in 2015-16 was related to a higher forecast superannuation liability and capital provisions to account for some capital projects that were subsequently procured through Service Concession arrangements </w:t>
      </w:r>
      <w:sdt>
        <w:sdtPr>
          <w:rPr>
            <w:rFonts w:cs="Calibri"/>
            <w:szCs w:val="22"/>
          </w:rPr>
          <w:id w:val="1572617723"/>
          <w:citation/>
        </w:sdtPr>
        <w:sdtContent>
          <w:r w:rsidRPr="00387155">
            <w:rPr>
              <w:rFonts w:cs="Calibri"/>
              <w:szCs w:val="22"/>
            </w:rPr>
            <w:fldChar w:fldCharType="begin"/>
          </w:r>
          <w:r w:rsidRPr="00387155">
            <w:rPr>
              <w:rFonts w:cs="Calibri"/>
              <w:szCs w:val="22"/>
            </w:rPr>
            <w:instrText xml:space="preserve">CITATION Placeholder2 \p 289 \l 5129 </w:instrText>
          </w:r>
          <w:r w:rsidRPr="00387155">
            <w:rPr>
              <w:rFonts w:cs="Calibri"/>
              <w:szCs w:val="22"/>
            </w:rPr>
            <w:fldChar w:fldCharType="separate"/>
          </w:r>
          <w:r w:rsidRPr="00387155">
            <w:rPr>
              <w:rFonts w:cs="Calibri"/>
              <w:noProof/>
              <w:szCs w:val="22"/>
            </w:rPr>
            <w:t>(ACT Government, 2016, p. 289)</w:t>
          </w:r>
          <w:r w:rsidRPr="00387155">
            <w:rPr>
              <w:rFonts w:cs="Calibri"/>
              <w:szCs w:val="22"/>
            </w:rPr>
            <w:fldChar w:fldCharType="end"/>
          </w:r>
        </w:sdtContent>
      </w:sdt>
      <w:r w:rsidRPr="00387155">
        <w:rPr>
          <w:rFonts w:cs="Calibri"/>
          <w:szCs w:val="22"/>
        </w:rPr>
        <w:t xml:space="preserve">. </w:t>
      </w:r>
      <w:r>
        <w:rPr>
          <w:rFonts w:cs="Calibri"/>
          <w:szCs w:val="22"/>
        </w:rPr>
        <w:t xml:space="preserve"> </w:t>
      </w:r>
      <w:r w:rsidRPr="00387155">
        <w:rPr>
          <w:rFonts w:cs="Calibri"/>
          <w:szCs w:val="22"/>
        </w:rPr>
        <w:t xml:space="preserve">A second </w:t>
      </w:r>
      <w:r>
        <w:rPr>
          <w:rFonts w:cs="Calibri"/>
          <w:szCs w:val="22"/>
        </w:rPr>
        <w:t>peak</w:t>
      </w:r>
      <w:r w:rsidRPr="00387155">
        <w:rPr>
          <w:rFonts w:cs="Calibri"/>
          <w:szCs w:val="22"/>
        </w:rPr>
        <w:t xml:space="preserve"> </w:t>
      </w:r>
      <w:r>
        <w:rPr>
          <w:rFonts w:cs="Calibri"/>
          <w:szCs w:val="22"/>
        </w:rPr>
        <w:t>over 2019 to 2021</w:t>
      </w:r>
      <w:r w:rsidRPr="00387155">
        <w:rPr>
          <w:rFonts w:cs="Calibri"/>
          <w:szCs w:val="22"/>
        </w:rPr>
        <w:t xml:space="preserve"> </w:t>
      </w:r>
      <w:r w:rsidRPr="00387155">
        <w:rPr>
          <w:rFonts w:cs="Calibri"/>
          <w:szCs w:val="22"/>
          <w:lang w:eastAsia="en-GB"/>
        </w:rPr>
        <w:t xml:space="preserve">largely reflected </w:t>
      </w:r>
      <w:r>
        <w:rPr>
          <w:rFonts w:cs="Calibri"/>
          <w:szCs w:val="22"/>
          <w:lang w:eastAsia="en-GB"/>
        </w:rPr>
        <w:t>the lower discount rate used</w:t>
      </w:r>
      <w:r w:rsidRPr="00387155">
        <w:rPr>
          <w:rFonts w:cs="Calibri"/>
          <w:szCs w:val="22"/>
          <w:lang w:eastAsia="en-GB"/>
        </w:rPr>
        <w:t xml:space="preserve"> in </w:t>
      </w:r>
      <w:r>
        <w:rPr>
          <w:rFonts w:cs="Calibri"/>
          <w:szCs w:val="22"/>
          <w:lang w:eastAsia="en-GB"/>
        </w:rPr>
        <w:t xml:space="preserve">valuing </w:t>
      </w:r>
      <w:r w:rsidRPr="00387155">
        <w:rPr>
          <w:rFonts w:cs="Calibri"/>
          <w:szCs w:val="22"/>
          <w:lang w:eastAsia="en-GB"/>
        </w:rPr>
        <w:t>the superannuation liability, higher borrowings and changes in the accounting treatment of operating leases</w:t>
      </w:r>
      <w:r w:rsidRPr="00387155">
        <w:rPr>
          <w:rFonts w:cs="Calibri"/>
          <w:szCs w:val="22"/>
        </w:rPr>
        <w:t>.</w:t>
      </w:r>
      <w:r>
        <w:rPr>
          <w:rFonts w:cs="Calibri"/>
          <w:szCs w:val="22"/>
        </w:rPr>
        <w:t xml:space="preserve">  The move to valuing the superannuation liability using the long-term discount rate of 5 percent per annum in the 2022-23 Budget led to a fall in net financial liabilities by 30 June 2022, while higher growth in GSP in 2022-23 resulted in a further fall.  This downward trend is not projected to continue.</w:t>
      </w:r>
      <w:r w:rsidR="00A83863">
        <w:rPr>
          <w:rFonts w:cs="Calibri"/>
          <w:szCs w:val="22"/>
        </w:rPr>
        <w:t xml:space="preserve"> </w:t>
      </w:r>
      <w:r w:rsidRPr="00387155">
        <w:rPr>
          <w:rFonts w:cs="Calibri"/>
          <w:szCs w:val="22"/>
        </w:rPr>
        <w:t xml:space="preserve">Continued growth in the ratio of net financial liabilities to GSP is not desirable in terms of the sustainability of the ACT Government’s debt. </w:t>
      </w:r>
      <w:r>
        <w:rPr>
          <w:rFonts w:cs="Calibri"/>
          <w:szCs w:val="22"/>
        </w:rPr>
        <w:t xml:space="preserve"> </w:t>
      </w:r>
      <w:r w:rsidRPr="00387155">
        <w:rPr>
          <w:rFonts w:cs="Calibri"/>
          <w:szCs w:val="22"/>
        </w:rPr>
        <w:t xml:space="preserve">The ACT Government has in the past argued that its borrowings should be looked at in the context of a growing economy and budget, rather than as absolute figures in isolation. </w:t>
      </w:r>
      <w:r>
        <w:rPr>
          <w:rFonts w:cs="Calibri"/>
          <w:szCs w:val="22"/>
        </w:rPr>
        <w:t xml:space="preserve"> However, as</w:t>
      </w:r>
      <w:r w:rsidRPr="00387155">
        <w:rPr>
          <w:rFonts w:cs="Calibri"/>
          <w:szCs w:val="22"/>
        </w:rPr>
        <w:t xml:space="preserve"> </w:t>
      </w:r>
      <w:r w:rsidR="00103F85">
        <w:rPr>
          <w:rFonts w:cs="Calibri"/>
          <w:szCs w:val="22"/>
        </w:rPr>
        <w:fldChar w:fldCharType="begin"/>
      </w:r>
      <w:r w:rsidR="00103F85">
        <w:rPr>
          <w:rFonts w:cs="Calibri"/>
          <w:szCs w:val="22"/>
        </w:rPr>
        <w:instrText xml:space="preserve"> REF _Ref170908147 \h </w:instrText>
      </w:r>
      <w:r w:rsidR="00103F85">
        <w:rPr>
          <w:rFonts w:cs="Calibri"/>
          <w:szCs w:val="22"/>
        </w:rPr>
      </w:r>
      <w:r w:rsidR="00103F85">
        <w:rPr>
          <w:rFonts w:cs="Calibri"/>
          <w:szCs w:val="22"/>
        </w:rPr>
        <w:fldChar w:fldCharType="separate"/>
      </w:r>
      <w:r w:rsidR="000B62ED" w:rsidRPr="00387155">
        <w:rPr>
          <w:rFonts w:cs="Calibri"/>
        </w:rPr>
        <w:t xml:space="preserve">Figure </w:t>
      </w:r>
      <w:r w:rsidR="000B62ED">
        <w:rPr>
          <w:rFonts w:cs="Calibri"/>
          <w:noProof/>
        </w:rPr>
        <w:t>26</w:t>
      </w:r>
      <w:r w:rsidR="00103F85">
        <w:rPr>
          <w:rFonts w:cs="Calibri"/>
          <w:szCs w:val="22"/>
        </w:rPr>
        <w:fldChar w:fldCharType="end"/>
      </w:r>
      <w:r>
        <w:rPr>
          <w:rFonts w:cs="Calibri"/>
          <w:szCs w:val="22"/>
        </w:rPr>
        <w:t xml:space="preserve"> shows</w:t>
      </w:r>
      <w:r w:rsidRPr="00387155">
        <w:rPr>
          <w:rFonts w:cs="Calibri"/>
          <w:szCs w:val="22"/>
        </w:rPr>
        <w:t xml:space="preserve">, </w:t>
      </w:r>
      <w:r>
        <w:rPr>
          <w:rFonts w:cs="Calibri"/>
          <w:szCs w:val="22"/>
        </w:rPr>
        <w:t>growth in GSP is not projected to be sufficient to match the rise in net financial liabilities</w:t>
      </w:r>
      <w:r w:rsidRPr="00387155">
        <w:rPr>
          <w:rFonts w:cs="Calibri"/>
          <w:szCs w:val="22"/>
        </w:rPr>
        <w:t xml:space="preserve">.  </w:t>
      </w:r>
    </w:p>
    <w:p w14:paraId="28BC0714" w14:textId="77777777" w:rsidR="00AF00A5" w:rsidRPr="00AF00A5" w:rsidRDefault="00AF00A5" w:rsidP="00AF00A5">
      <w:pPr>
        <w:pStyle w:val="Heading2"/>
      </w:pPr>
      <w:bookmarkStart w:id="189" w:name="_Toc110939270"/>
      <w:bookmarkStart w:id="190" w:name="_Toc171949030"/>
      <w:r w:rsidRPr="00AF00A5">
        <w:lastRenderedPageBreak/>
        <w:t>8.4</w:t>
      </w:r>
      <w:r w:rsidRPr="00AF00A5">
        <w:tab/>
        <w:t>Net worth</w:t>
      </w:r>
      <w:bookmarkEnd w:id="189"/>
      <w:bookmarkEnd w:id="190"/>
    </w:p>
    <w:p w14:paraId="5068509F" w14:textId="77777777" w:rsidR="00AF00A5" w:rsidRPr="00387155" w:rsidRDefault="00AF00A5" w:rsidP="00AF00A5">
      <w:pPr>
        <w:rPr>
          <w:rFonts w:ascii="Calibri" w:hAnsi="Calibri" w:cs="Calibri"/>
        </w:rPr>
      </w:pPr>
      <w:r w:rsidRPr="00387155">
        <w:rPr>
          <w:rFonts w:ascii="Calibri" w:hAnsi="Calibri" w:cs="Calibri"/>
        </w:rPr>
        <w:t>Net worth is an economic measure of wealth that reflects the value of all financial and non</w:t>
      </w:r>
      <w:r w:rsidRPr="00387155">
        <w:rPr>
          <w:rFonts w:ascii="Calibri" w:hAnsi="Calibri" w:cs="Calibri"/>
        </w:rPr>
        <w:noBreakHyphen/>
        <w:t xml:space="preserve">financial assets (such as land, plant and equipment) less liabilities, including superannuation liabilities. </w:t>
      </w:r>
    </w:p>
    <w:p w14:paraId="4CE9D31B" w14:textId="77777777" w:rsidR="00AF00A5" w:rsidRPr="00387155" w:rsidRDefault="00AF00A5" w:rsidP="00AF00A5">
      <w:pPr>
        <w:rPr>
          <w:rFonts w:ascii="Calibri" w:hAnsi="Calibri" w:cs="Calibri"/>
        </w:rPr>
      </w:pPr>
      <w:r w:rsidRPr="00387155">
        <w:rPr>
          <w:rFonts w:ascii="Calibri" w:hAnsi="Calibri" w:cs="Calibri"/>
        </w:rPr>
        <w:t>This indicator is often regarded as the best measure of the sustainability and inter-generational equity of a jurisdiction’s fiscal position</w:t>
      </w:r>
      <w:r>
        <w:rPr>
          <w:rFonts w:ascii="Calibri" w:hAnsi="Calibri" w:cs="Calibri"/>
        </w:rPr>
        <w:t>.</w:t>
      </w:r>
    </w:p>
    <w:p w14:paraId="41548980" w14:textId="77777777" w:rsidR="00AF00A5" w:rsidRPr="00387155" w:rsidRDefault="00AF00A5" w:rsidP="00AF00A5">
      <w:pPr>
        <w:rPr>
          <w:rFonts w:ascii="Calibri" w:hAnsi="Calibri" w:cs="Calibri"/>
        </w:rPr>
      </w:pPr>
      <w:r w:rsidRPr="00387155">
        <w:rPr>
          <w:rFonts w:ascii="Calibri" w:hAnsi="Calibri" w:cs="Calibri"/>
        </w:rPr>
        <w:t xml:space="preserve">The ACT Government’s net worth is positive.  </w:t>
      </w:r>
      <w:r>
        <w:rPr>
          <w:rFonts w:ascii="Calibri" w:hAnsi="Calibri" w:cs="Calibri"/>
        </w:rPr>
        <w:t>The changes since 2011-12 mirror the experience for net financial liabilities.  That is, when liabilities decrease, as occurred in 2021-22, net worth increases and vice versa.  In nominal dollar terms net worth has increased from $13.8 billion as at 30 June 2012 to $19.5 billion as at 30 June 2024</w:t>
      </w:r>
      <w:r w:rsidRPr="00387155">
        <w:rPr>
          <w:rFonts w:ascii="Calibri" w:hAnsi="Calibri" w:cs="Calibri"/>
        </w:rPr>
        <w:t xml:space="preserve">. </w:t>
      </w:r>
      <w:r>
        <w:rPr>
          <w:rFonts w:ascii="Calibri" w:hAnsi="Calibri" w:cs="Calibri"/>
        </w:rPr>
        <w:t>Relative to GSP, however, there has been a downwards trend.</w:t>
      </w:r>
    </w:p>
    <w:p w14:paraId="632BD368" w14:textId="0607F897" w:rsidR="00AF00A5" w:rsidRPr="00387155" w:rsidRDefault="00103F85" w:rsidP="00AF00A5">
      <w:pPr>
        <w:rPr>
          <w:rFonts w:ascii="Calibri" w:hAnsi="Calibri" w:cs="Calibri"/>
        </w:rPr>
      </w:pPr>
      <w:r>
        <w:rPr>
          <w:rFonts w:ascii="Calibri" w:hAnsi="Calibri" w:cs="Calibri"/>
        </w:rPr>
        <w:fldChar w:fldCharType="begin"/>
      </w:r>
      <w:r>
        <w:rPr>
          <w:rFonts w:ascii="Calibri" w:hAnsi="Calibri" w:cs="Calibri"/>
        </w:rPr>
        <w:instrText xml:space="preserve"> REF _Ref170908209 \h </w:instrText>
      </w:r>
      <w:r>
        <w:rPr>
          <w:rFonts w:ascii="Calibri" w:hAnsi="Calibri" w:cs="Calibri"/>
        </w:rPr>
      </w:r>
      <w:r>
        <w:rPr>
          <w:rFonts w:ascii="Calibri" w:hAnsi="Calibri" w:cs="Calibri"/>
        </w:rPr>
        <w:fldChar w:fldCharType="separate"/>
      </w:r>
      <w:r w:rsidR="000B62ED" w:rsidRPr="00387155">
        <w:rPr>
          <w:rFonts w:ascii="Calibri" w:hAnsi="Calibri" w:cs="Calibri"/>
        </w:rPr>
        <w:t xml:space="preserve">Figure </w:t>
      </w:r>
      <w:r w:rsidR="000B62ED">
        <w:rPr>
          <w:rFonts w:ascii="Calibri" w:hAnsi="Calibri" w:cs="Calibri"/>
          <w:noProof/>
        </w:rPr>
        <w:t>27</w:t>
      </w:r>
      <w:r>
        <w:rPr>
          <w:rFonts w:ascii="Calibri" w:hAnsi="Calibri" w:cs="Calibri"/>
        </w:rPr>
        <w:fldChar w:fldCharType="end"/>
      </w:r>
      <w:r>
        <w:rPr>
          <w:rFonts w:ascii="Calibri" w:hAnsi="Calibri" w:cs="Calibri"/>
        </w:rPr>
        <w:t xml:space="preserve"> </w:t>
      </w:r>
      <w:r w:rsidR="00AF00A5" w:rsidRPr="00387155">
        <w:rPr>
          <w:rFonts w:ascii="Calibri" w:hAnsi="Calibri" w:cs="Calibri"/>
        </w:rPr>
        <w:t>illustrates the change in net worth as a proportion of GSP since 201</w:t>
      </w:r>
      <w:r w:rsidR="00AF00A5">
        <w:rPr>
          <w:rFonts w:ascii="Calibri" w:hAnsi="Calibri" w:cs="Calibri"/>
        </w:rPr>
        <w:t>1</w:t>
      </w:r>
      <w:r w:rsidR="00AF00A5" w:rsidRPr="00387155">
        <w:rPr>
          <w:rFonts w:ascii="Calibri" w:hAnsi="Calibri" w:cs="Calibri"/>
        </w:rPr>
        <w:t>-1</w:t>
      </w:r>
      <w:r w:rsidR="00AF00A5">
        <w:rPr>
          <w:rFonts w:ascii="Calibri" w:hAnsi="Calibri" w:cs="Calibri"/>
        </w:rPr>
        <w:t>2</w:t>
      </w:r>
      <w:r w:rsidR="00AF00A5" w:rsidRPr="00387155">
        <w:rPr>
          <w:rFonts w:ascii="Calibri" w:hAnsi="Calibri" w:cs="Calibri"/>
        </w:rPr>
        <w:t>.</w:t>
      </w:r>
    </w:p>
    <w:p w14:paraId="235A29CE" w14:textId="5D88C637" w:rsidR="00AF00A5" w:rsidRPr="00387155" w:rsidRDefault="00AF00A5" w:rsidP="00AF00A5">
      <w:pPr>
        <w:pStyle w:val="Caption"/>
        <w:rPr>
          <w:rFonts w:ascii="Calibri" w:hAnsi="Calibri" w:cs="Calibri"/>
        </w:rPr>
      </w:pPr>
      <w:bookmarkStart w:id="191" w:name="_Ref170908209"/>
      <w:bookmarkStart w:id="192" w:name="_Toc110939321"/>
      <w:bookmarkStart w:id="193" w:name="_Toc171949086"/>
      <w:r w:rsidRPr="00387155">
        <w:rPr>
          <w:rFonts w:ascii="Calibri" w:hAnsi="Calibri" w:cs="Calibri"/>
        </w:rPr>
        <w:t xml:space="preserve">Figure </w:t>
      </w:r>
      <w:r w:rsidRPr="00387155">
        <w:rPr>
          <w:rFonts w:ascii="Calibri" w:hAnsi="Calibri" w:cs="Calibri"/>
        </w:rPr>
        <w:fldChar w:fldCharType="begin"/>
      </w:r>
      <w:r w:rsidRPr="00387155">
        <w:rPr>
          <w:rFonts w:ascii="Calibri" w:hAnsi="Calibri" w:cs="Calibri"/>
        </w:rPr>
        <w:instrText xml:space="preserve"> SEQ Figure \* ARABIC </w:instrText>
      </w:r>
      <w:r w:rsidRPr="00387155">
        <w:rPr>
          <w:rFonts w:ascii="Calibri" w:hAnsi="Calibri" w:cs="Calibri"/>
        </w:rPr>
        <w:fldChar w:fldCharType="separate"/>
      </w:r>
      <w:r w:rsidR="000B62ED">
        <w:rPr>
          <w:rFonts w:ascii="Calibri" w:hAnsi="Calibri" w:cs="Calibri"/>
          <w:noProof/>
        </w:rPr>
        <w:t>27</w:t>
      </w:r>
      <w:r w:rsidRPr="00387155">
        <w:rPr>
          <w:rFonts w:ascii="Calibri" w:hAnsi="Calibri" w:cs="Calibri"/>
          <w:noProof/>
        </w:rPr>
        <w:fldChar w:fldCharType="end"/>
      </w:r>
      <w:bookmarkEnd w:id="191"/>
      <w:r w:rsidRPr="00387155">
        <w:rPr>
          <w:rFonts w:ascii="Calibri" w:hAnsi="Calibri" w:cs="Calibri"/>
        </w:rPr>
        <w:t>: Net worth as a proportion of Gross State Product</w:t>
      </w:r>
      <w:bookmarkEnd w:id="193"/>
      <w:r w:rsidRPr="00387155">
        <w:rPr>
          <w:rFonts w:ascii="Calibri" w:hAnsi="Calibri" w:cs="Calibri"/>
        </w:rPr>
        <w:t xml:space="preserve"> </w:t>
      </w:r>
      <w:bookmarkEnd w:id="192"/>
    </w:p>
    <w:p w14:paraId="55028253" w14:textId="2D84C2D6" w:rsidR="00AF00A5" w:rsidRPr="00387155" w:rsidRDefault="00912083" w:rsidP="00AF00A5">
      <w:pPr>
        <w:rPr>
          <w:rFonts w:ascii="Calibri" w:hAnsi="Calibri" w:cs="Calibri"/>
        </w:rPr>
      </w:pPr>
      <w:r w:rsidRPr="00912083">
        <w:rPr>
          <w:noProof/>
        </w:rPr>
        <w:t xml:space="preserve"> </w:t>
      </w:r>
      <w:r>
        <w:rPr>
          <w:noProof/>
        </w:rPr>
        <w:drawing>
          <wp:inline distT="0" distB="0" distL="0" distR="0" wp14:anchorId="2EEF4CFF" wp14:editId="6A38AC11">
            <wp:extent cx="5731510" cy="3737610"/>
            <wp:effectExtent l="0" t="0" r="0" b="0"/>
            <wp:docPr id="1812203735" name="Picture 1" descr="A graph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203735" name="Picture 1" descr="A graph of a line graph&#10;&#10;Description automatically generated with medium confidence"/>
                    <pic:cNvPicPr/>
                  </pic:nvPicPr>
                  <pic:blipFill>
                    <a:blip r:embed="rId45"/>
                    <a:stretch>
                      <a:fillRect/>
                    </a:stretch>
                  </pic:blipFill>
                  <pic:spPr>
                    <a:xfrm>
                      <a:off x="0" y="0"/>
                      <a:ext cx="5731510" cy="3737610"/>
                    </a:xfrm>
                    <a:prstGeom prst="rect">
                      <a:avLst/>
                    </a:prstGeom>
                  </pic:spPr>
                </pic:pic>
              </a:graphicData>
            </a:graphic>
          </wp:inline>
        </w:drawing>
      </w:r>
    </w:p>
    <w:p w14:paraId="5C4E96B9" w14:textId="77777777" w:rsidR="00AF00A5" w:rsidRPr="00387155" w:rsidRDefault="00AF00A5" w:rsidP="00AF00A5">
      <w:pPr>
        <w:autoSpaceDE w:val="0"/>
        <w:autoSpaceDN w:val="0"/>
        <w:adjustRightInd w:val="0"/>
        <w:spacing w:before="0"/>
        <w:rPr>
          <w:rFonts w:ascii="Calibri" w:hAnsi="Calibri" w:cs="Calibri"/>
        </w:rPr>
      </w:pPr>
      <w:r w:rsidRPr="00387155">
        <w:rPr>
          <w:rFonts w:ascii="Calibri" w:hAnsi="Calibri" w:cs="Calibri"/>
        </w:rPr>
        <w:t xml:space="preserve">Sources: </w:t>
      </w:r>
      <w:r>
        <w:rPr>
          <w:rFonts w:ascii="Calibri" w:hAnsi="Calibri" w:cs="Calibri"/>
        </w:rPr>
        <w:t>Budget Outlook, Table F.9, ABS Catalogue Number 5220.0, Table 1</w:t>
      </w:r>
      <w:r w:rsidRPr="00387155">
        <w:rPr>
          <w:rFonts w:ascii="Calibri" w:hAnsi="Calibri" w:cs="Calibri"/>
          <w:noProof/>
        </w:rPr>
        <w:t>.</w:t>
      </w:r>
    </w:p>
    <w:p w14:paraId="4DF9189D" w14:textId="6EFA77F6" w:rsidR="00AF00A5" w:rsidRPr="00387155" w:rsidRDefault="00103F85" w:rsidP="00AF00A5">
      <w:pPr>
        <w:rPr>
          <w:rFonts w:ascii="Calibri" w:hAnsi="Calibri" w:cs="Calibri"/>
        </w:rPr>
      </w:pPr>
      <w:r>
        <w:rPr>
          <w:rFonts w:ascii="Calibri" w:hAnsi="Calibri" w:cs="Calibri"/>
        </w:rPr>
        <w:fldChar w:fldCharType="begin"/>
      </w:r>
      <w:r>
        <w:rPr>
          <w:rFonts w:ascii="Calibri" w:hAnsi="Calibri" w:cs="Calibri"/>
        </w:rPr>
        <w:instrText xml:space="preserve"> REF _Ref170908209 \h </w:instrText>
      </w:r>
      <w:r>
        <w:rPr>
          <w:rFonts w:ascii="Calibri" w:hAnsi="Calibri" w:cs="Calibri"/>
        </w:rPr>
      </w:r>
      <w:r>
        <w:rPr>
          <w:rFonts w:ascii="Calibri" w:hAnsi="Calibri" w:cs="Calibri"/>
        </w:rPr>
        <w:fldChar w:fldCharType="separate"/>
      </w:r>
      <w:r w:rsidR="000B62ED" w:rsidRPr="00387155">
        <w:rPr>
          <w:rFonts w:ascii="Calibri" w:hAnsi="Calibri" w:cs="Calibri"/>
        </w:rPr>
        <w:t xml:space="preserve">Figure </w:t>
      </w:r>
      <w:r w:rsidR="000B62ED">
        <w:rPr>
          <w:rFonts w:ascii="Calibri" w:hAnsi="Calibri" w:cs="Calibri"/>
          <w:noProof/>
        </w:rPr>
        <w:t>27</w:t>
      </w:r>
      <w:r>
        <w:rPr>
          <w:rFonts w:ascii="Calibri" w:hAnsi="Calibri" w:cs="Calibri"/>
        </w:rPr>
        <w:fldChar w:fldCharType="end"/>
      </w:r>
      <w:r>
        <w:rPr>
          <w:rFonts w:ascii="Calibri" w:hAnsi="Calibri" w:cs="Calibri"/>
        </w:rPr>
        <w:t xml:space="preserve"> </w:t>
      </w:r>
      <w:r w:rsidR="00AF00A5" w:rsidRPr="00387155">
        <w:rPr>
          <w:rFonts w:ascii="Calibri" w:hAnsi="Calibri" w:cs="Calibri"/>
        </w:rPr>
        <w:t>shows a fairly consistent long-term decline in the ACT Government’s net worth expressed as a proportion of GSP</w:t>
      </w:r>
      <w:r w:rsidR="00AF00A5">
        <w:rPr>
          <w:rFonts w:ascii="Calibri" w:hAnsi="Calibri" w:cs="Calibri"/>
        </w:rPr>
        <w:t xml:space="preserve"> over the past decade</w:t>
      </w:r>
      <w:r w:rsidR="00AF00A5" w:rsidRPr="00387155">
        <w:rPr>
          <w:rFonts w:ascii="Calibri" w:hAnsi="Calibri" w:cs="Calibri"/>
        </w:rPr>
        <w:t xml:space="preserve">. </w:t>
      </w:r>
      <w:r w:rsidR="00AF00A5">
        <w:rPr>
          <w:rFonts w:ascii="Calibri" w:hAnsi="Calibri" w:cs="Calibri"/>
        </w:rPr>
        <w:t xml:space="preserve"> </w:t>
      </w:r>
      <w:r w:rsidR="00AF00A5" w:rsidRPr="00387155">
        <w:rPr>
          <w:rFonts w:ascii="Calibri" w:hAnsi="Calibri" w:cs="Calibri"/>
        </w:rPr>
        <w:t xml:space="preserve">The ACT Government’s net worth has fallen from almost </w:t>
      </w:r>
      <w:r w:rsidR="00AF00A5">
        <w:rPr>
          <w:rFonts w:ascii="Calibri" w:hAnsi="Calibri" w:cs="Calibri"/>
        </w:rPr>
        <w:t>5</w:t>
      </w:r>
      <w:r w:rsidR="00AF00A5" w:rsidRPr="00387155">
        <w:rPr>
          <w:rFonts w:ascii="Calibri" w:hAnsi="Calibri" w:cs="Calibri"/>
        </w:rPr>
        <w:t>0</w:t>
      </w:r>
      <w:r w:rsidR="00AF00A5">
        <w:rPr>
          <w:rFonts w:ascii="Calibri" w:hAnsi="Calibri" w:cs="Calibri"/>
        </w:rPr>
        <w:t xml:space="preserve"> percent</w:t>
      </w:r>
      <w:r w:rsidR="00AF00A5" w:rsidRPr="00387155">
        <w:rPr>
          <w:rFonts w:ascii="Calibri" w:hAnsi="Calibri" w:cs="Calibri"/>
        </w:rPr>
        <w:t xml:space="preserve"> of GSP in 201</w:t>
      </w:r>
      <w:r w:rsidR="00AF00A5">
        <w:rPr>
          <w:rFonts w:ascii="Calibri" w:hAnsi="Calibri" w:cs="Calibri"/>
        </w:rPr>
        <w:t>2</w:t>
      </w:r>
      <w:r w:rsidR="00AF00A5" w:rsidRPr="00387155">
        <w:rPr>
          <w:rFonts w:ascii="Calibri" w:hAnsi="Calibri" w:cs="Calibri"/>
        </w:rPr>
        <w:t>-1</w:t>
      </w:r>
      <w:r w:rsidR="00AF00A5">
        <w:rPr>
          <w:rFonts w:ascii="Calibri" w:hAnsi="Calibri" w:cs="Calibri"/>
        </w:rPr>
        <w:t>3</w:t>
      </w:r>
      <w:r w:rsidR="00AF00A5" w:rsidRPr="00387155">
        <w:rPr>
          <w:rFonts w:ascii="Calibri" w:hAnsi="Calibri" w:cs="Calibri"/>
        </w:rPr>
        <w:t xml:space="preserve"> to </w:t>
      </w:r>
      <w:r w:rsidR="00AF00A5">
        <w:rPr>
          <w:rFonts w:ascii="Calibri" w:hAnsi="Calibri" w:cs="Calibri"/>
        </w:rPr>
        <w:t xml:space="preserve">about a third </w:t>
      </w:r>
      <w:r w:rsidR="00AF00A5" w:rsidRPr="00387155">
        <w:rPr>
          <w:rFonts w:ascii="Calibri" w:hAnsi="Calibri" w:cs="Calibri"/>
        </w:rPr>
        <w:t>in 202</w:t>
      </w:r>
      <w:r w:rsidR="00AF00A5">
        <w:rPr>
          <w:rFonts w:ascii="Calibri" w:hAnsi="Calibri" w:cs="Calibri"/>
        </w:rPr>
        <w:t>4</w:t>
      </w:r>
      <w:r w:rsidR="00AF00A5" w:rsidRPr="00387155">
        <w:rPr>
          <w:rFonts w:ascii="Calibri" w:hAnsi="Calibri" w:cs="Calibri"/>
        </w:rPr>
        <w:t>-2</w:t>
      </w:r>
      <w:r w:rsidR="00AF00A5">
        <w:rPr>
          <w:rFonts w:ascii="Calibri" w:hAnsi="Calibri" w:cs="Calibri"/>
        </w:rPr>
        <w:t>5</w:t>
      </w:r>
      <w:r w:rsidR="00AF00A5" w:rsidRPr="00387155">
        <w:rPr>
          <w:rFonts w:ascii="Calibri" w:hAnsi="Calibri" w:cs="Calibri"/>
        </w:rPr>
        <w:t xml:space="preserve"> and is forecast to </w:t>
      </w:r>
      <w:r w:rsidR="00AF00A5">
        <w:rPr>
          <w:rFonts w:ascii="Calibri" w:hAnsi="Calibri" w:cs="Calibri"/>
        </w:rPr>
        <w:t>continue to about a quarter of GSP in</w:t>
      </w:r>
      <w:r w:rsidR="00AF00A5" w:rsidRPr="00387155">
        <w:rPr>
          <w:rFonts w:ascii="Calibri" w:hAnsi="Calibri" w:cs="Calibri"/>
        </w:rPr>
        <w:t xml:space="preserve"> 202</w:t>
      </w:r>
      <w:r w:rsidR="00AF00A5">
        <w:rPr>
          <w:rFonts w:ascii="Calibri" w:hAnsi="Calibri" w:cs="Calibri"/>
        </w:rPr>
        <w:t>7</w:t>
      </w:r>
      <w:r w:rsidR="00AF00A5" w:rsidRPr="00387155">
        <w:rPr>
          <w:rFonts w:ascii="Calibri" w:hAnsi="Calibri" w:cs="Calibri"/>
        </w:rPr>
        <w:t>-2</w:t>
      </w:r>
      <w:r w:rsidR="00AF00A5">
        <w:rPr>
          <w:rFonts w:ascii="Calibri" w:hAnsi="Calibri" w:cs="Calibri"/>
        </w:rPr>
        <w:t>8</w:t>
      </w:r>
      <w:r w:rsidR="00AF00A5" w:rsidRPr="00387155">
        <w:rPr>
          <w:rFonts w:ascii="Calibri" w:hAnsi="Calibri" w:cs="Calibri"/>
        </w:rPr>
        <w:t xml:space="preserve">. </w:t>
      </w:r>
      <w:r w:rsidR="00AF00A5">
        <w:rPr>
          <w:rFonts w:ascii="Calibri" w:hAnsi="Calibri" w:cs="Calibri"/>
        </w:rPr>
        <w:t xml:space="preserve"> </w:t>
      </w:r>
      <w:r w:rsidR="00AF00A5" w:rsidRPr="00387155">
        <w:rPr>
          <w:rFonts w:ascii="Calibri" w:hAnsi="Calibri" w:cs="Calibri"/>
        </w:rPr>
        <w:t xml:space="preserve">In the absence of corrective measures to improve the value of the ACT Government’s assets or reduce liabilities, that trend </w:t>
      </w:r>
      <w:r w:rsidR="00AF00A5">
        <w:rPr>
          <w:rFonts w:ascii="Calibri" w:hAnsi="Calibri" w:cs="Calibri"/>
        </w:rPr>
        <w:t xml:space="preserve">could be expected </w:t>
      </w:r>
      <w:r w:rsidR="00AF00A5" w:rsidRPr="00387155">
        <w:rPr>
          <w:rFonts w:ascii="Calibri" w:hAnsi="Calibri" w:cs="Calibri"/>
        </w:rPr>
        <w:t>is to continue.</w:t>
      </w:r>
    </w:p>
    <w:p w14:paraId="020A5610" w14:textId="75F3322D" w:rsidR="00E0357E" w:rsidRDefault="00AF00A5" w:rsidP="00E0357E">
      <w:pPr>
        <w:pStyle w:val="Heading2"/>
      </w:pPr>
      <w:bookmarkStart w:id="194" w:name="_Toc110939271"/>
      <w:bookmarkStart w:id="195" w:name="_Toc171949031"/>
      <w:r w:rsidRPr="00AF00A5">
        <w:t>8.5</w:t>
      </w:r>
      <w:r w:rsidRPr="00AF00A5">
        <w:tab/>
        <w:t>Superannuation</w:t>
      </w:r>
      <w:bookmarkEnd w:id="194"/>
      <w:bookmarkEnd w:id="195"/>
    </w:p>
    <w:p w14:paraId="6F6E0E10" w14:textId="77777777" w:rsidR="00E0357E" w:rsidRPr="00387155" w:rsidRDefault="00E0357E" w:rsidP="00E0357E">
      <w:pPr>
        <w:rPr>
          <w:rFonts w:ascii="Calibri" w:hAnsi="Calibri" w:cs="Calibri"/>
        </w:rPr>
      </w:pPr>
      <w:r w:rsidRPr="00387155">
        <w:rPr>
          <w:rFonts w:ascii="Calibri" w:hAnsi="Calibri" w:cs="Calibri"/>
          <w:color w:val="000000"/>
        </w:rPr>
        <w:t>For new employees since 2005, the Government has made fortnightly payments to each employee’s designated superannuation fund under a defined contribution arrangement. There are no associated unfunded liabilities for these employees.  However, t</w:t>
      </w:r>
      <w:r w:rsidRPr="00387155">
        <w:rPr>
          <w:rFonts w:ascii="Calibri" w:hAnsi="Calibri" w:cs="Calibri"/>
        </w:rPr>
        <w:t xml:space="preserve">he ACT continues to carry a significant liability associated with the superannuation entitlements of past and present employees who are members </w:t>
      </w:r>
      <w:r w:rsidRPr="00387155">
        <w:rPr>
          <w:rFonts w:ascii="Calibri" w:hAnsi="Calibri" w:cs="Calibri"/>
        </w:rPr>
        <w:lastRenderedPageBreak/>
        <w:t xml:space="preserve">of the Commonwealth defined benefit superannuation schemes, </w:t>
      </w:r>
      <w:r w:rsidRPr="00387155">
        <w:rPr>
          <w:rFonts w:ascii="Calibri" w:hAnsi="Calibri" w:cs="Calibri"/>
          <w:color w:val="000000"/>
        </w:rPr>
        <w:t>the Commonwealth Superannuation Scheme (CSS) and the Public Sector Superannuation Scheme (PSS)</w:t>
      </w:r>
      <w:r w:rsidRPr="00387155">
        <w:rPr>
          <w:rFonts w:ascii="Calibri" w:hAnsi="Calibri" w:cs="Calibri"/>
        </w:rPr>
        <w:t>.</w:t>
      </w:r>
    </w:p>
    <w:p w14:paraId="6C1E6D2D" w14:textId="77777777" w:rsidR="00E0357E" w:rsidRPr="00387155" w:rsidRDefault="00E0357E" w:rsidP="00E0357E">
      <w:pPr>
        <w:autoSpaceDE w:val="0"/>
        <w:autoSpaceDN w:val="0"/>
        <w:adjustRightInd w:val="0"/>
        <w:spacing w:after="0"/>
        <w:rPr>
          <w:rFonts w:ascii="Calibri" w:hAnsi="Calibri" w:cs="Calibri"/>
          <w:color w:val="000000"/>
        </w:rPr>
      </w:pPr>
      <w:r w:rsidRPr="00387155">
        <w:rPr>
          <w:rFonts w:ascii="Calibri" w:hAnsi="Calibri" w:cs="Calibri"/>
          <w:color w:val="000000"/>
        </w:rPr>
        <w:t>Approximately 5,</w:t>
      </w:r>
      <w:r>
        <w:rPr>
          <w:rFonts w:ascii="Calibri" w:hAnsi="Calibri" w:cs="Calibri"/>
          <w:color w:val="000000"/>
        </w:rPr>
        <w:t>3</w:t>
      </w:r>
      <w:r w:rsidRPr="00387155">
        <w:rPr>
          <w:rFonts w:ascii="Calibri" w:hAnsi="Calibri" w:cs="Calibri"/>
          <w:color w:val="000000"/>
        </w:rPr>
        <w:t>00 current employees are members of these schemes. In addition, the ACT has liabilities in the two schemes in relation to a further 29,</w:t>
      </w:r>
      <w:r>
        <w:rPr>
          <w:rFonts w:ascii="Calibri" w:hAnsi="Calibri" w:cs="Calibri"/>
          <w:color w:val="000000"/>
        </w:rPr>
        <w:t>6</w:t>
      </w:r>
      <w:r w:rsidRPr="00387155">
        <w:rPr>
          <w:rFonts w:ascii="Calibri" w:hAnsi="Calibri" w:cs="Calibri"/>
          <w:color w:val="000000"/>
        </w:rPr>
        <w:t xml:space="preserve">00 former ACT Government employees, including around </w:t>
      </w:r>
      <w:r>
        <w:rPr>
          <w:rFonts w:ascii="Calibri" w:hAnsi="Calibri" w:cs="Calibri"/>
          <w:color w:val="000000"/>
        </w:rPr>
        <w:t>17,0</w:t>
      </w:r>
      <w:r w:rsidRPr="00387155">
        <w:rPr>
          <w:rFonts w:ascii="Calibri" w:hAnsi="Calibri" w:cs="Calibri"/>
          <w:color w:val="000000"/>
        </w:rPr>
        <w:t xml:space="preserve">00 pensioners. Both the CSS and PSS schemes are closed to new members. </w:t>
      </w:r>
    </w:p>
    <w:p w14:paraId="664F50CE" w14:textId="77777777" w:rsidR="00E0357E" w:rsidRPr="00387155" w:rsidRDefault="00E0357E" w:rsidP="00E0357E">
      <w:pPr>
        <w:rPr>
          <w:rFonts w:ascii="Calibri" w:hAnsi="Calibri" w:cs="Calibri"/>
        </w:rPr>
      </w:pPr>
      <w:r w:rsidRPr="00387155">
        <w:rPr>
          <w:rFonts w:ascii="Calibri" w:hAnsi="Calibri" w:cs="Calibri"/>
        </w:rPr>
        <w:t xml:space="preserve">The Territory’s estimated defined benefit superannuation liability depends critically upon the discount rate used to calculate the present value of superannuation payments in future years and its relativity to the other financial assumptions regarding future salary growth, pension indexation and crediting rates. Demographic assumptions regarding exit rates and mortality will also impact on the estimated liability.  For financial statement reporting, the discount rate is prescribed under the accounting standards (AASB 119) to be the market yield on Government bonds on the reporting date. This changes from year to year and leads to volatility in the estimated liability. </w:t>
      </w:r>
    </w:p>
    <w:p w14:paraId="0BDBD99D" w14:textId="77777777" w:rsidR="00E0357E" w:rsidRDefault="00E0357E" w:rsidP="00E0357E">
      <w:r>
        <w:t>For forward estimates, therefore, long term financial assumptions are typically adopted to remove this source of volatility.  Since the 2022-23 Budget, consistent financial assumptions have been adopted, which means that changes in the liability reflect deviations in actual experience from the assumptions previously adopted as well as changes in assumptions regarding future outcomes that take account of those changes in experience.  In the interests of transparency, it is desirable that if long term financial assumptions are altered, estimates are produced on both the previous and new assumptions.</w:t>
      </w:r>
    </w:p>
    <w:p w14:paraId="0C38094C" w14:textId="76AE6B37" w:rsidR="00E0357E" w:rsidRDefault="00E0357E" w:rsidP="00E0357E">
      <w:r>
        <w:t xml:space="preserve">The liability estimates included in the current Budget, include the impact of changes in assumptions as a result of the triennial actuarial investigation of the ACT Government’s liability in respect of current and former members of the CSS and PSS.  The most </w:t>
      </w:r>
      <w:r w:rsidR="008044A1">
        <w:t xml:space="preserve">significant </w:t>
      </w:r>
      <w:r>
        <w:t xml:space="preserve">deviations from the previous projections of the liability arose from higher than expected pension indexation in 2022 (7 percent rather than the assumed CPI growth of 2.5 percent per annum) and changes to demographic assumptions, most notably to the rate of pension take-up among PSS members, which is now assumed to be 95 percent, up from 90 percent. </w:t>
      </w:r>
    </w:p>
    <w:p w14:paraId="5CC950FF" w14:textId="36418158" w:rsidR="00E0357E" w:rsidRDefault="00E0357E" w:rsidP="00E0357E">
      <w:r>
        <w:t>Around 95 percent of the estimated CSS liability of $2.8 billion relates to pensions in payment. This component of the liability is very sensitive to indexation rates and were the CPI to remain above 2.5</w:t>
      </w:r>
      <w:r w:rsidR="00102B84">
        <w:t> </w:t>
      </w:r>
      <w:r>
        <w:t xml:space="preserve">percent per annum assumed, the liability would increase more quickly than projected.  </w:t>
      </w:r>
      <w:r w:rsidR="008044A1">
        <w:t>By contrast, close to half of the estimated liability f</w:t>
      </w:r>
      <w:r>
        <w:t xml:space="preserve">or the PSS, </w:t>
      </w:r>
      <w:r w:rsidR="008044A1">
        <w:t xml:space="preserve">arises from </w:t>
      </w:r>
      <w:r>
        <w:t xml:space="preserve">those currently employed, either with the ACT Government or another agency .  While increasing rates of pension take-up since the introduction of the PSS have had a substantial impact of scheme costs, there is limited scope for the pension take-up rate to increase further; the 5 percent who are currently not taking up the pension are likely to be selecting against the scheme. That is, the pension option </w:t>
      </w:r>
      <w:r w:rsidR="008044A1">
        <w:t>i</w:t>
      </w:r>
      <w:r>
        <w:t xml:space="preserve">s less valuable than the lump sum for this small group.  Risks remain in relation to higher than anticipated salary increases and increasing invalidity rates but are likely to have a relatively small impact on the total liability. </w:t>
      </w:r>
    </w:p>
    <w:p w14:paraId="32351CCE" w14:textId="0890AD69" w:rsidR="00E0357E" w:rsidRDefault="00103F85" w:rsidP="00E0357E">
      <w:r>
        <w:rPr>
          <w:highlight w:val="yellow"/>
        </w:rPr>
        <w:fldChar w:fldCharType="begin"/>
      </w:r>
      <w:r>
        <w:rPr>
          <w:highlight w:val="yellow"/>
        </w:rPr>
        <w:instrText xml:space="preserve"> REF _Ref170908263 \h </w:instrText>
      </w:r>
      <w:r>
        <w:rPr>
          <w:highlight w:val="yellow"/>
        </w:rPr>
      </w:r>
      <w:r>
        <w:rPr>
          <w:highlight w:val="yellow"/>
        </w:rPr>
        <w:fldChar w:fldCharType="separate"/>
      </w:r>
      <w:r w:rsidR="000B62ED" w:rsidRPr="00387155">
        <w:rPr>
          <w:rFonts w:ascii="Calibri" w:hAnsi="Calibri" w:cs="Calibri"/>
        </w:rPr>
        <w:t xml:space="preserve">Figure </w:t>
      </w:r>
      <w:r w:rsidR="000B62ED">
        <w:rPr>
          <w:rFonts w:ascii="Calibri" w:hAnsi="Calibri" w:cs="Calibri"/>
          <w:noProof/>
        </w:rPr>
        <w:t>28</w:t>
      </w:r>
      <w:r>
        <w:rPr>
          <w:highlight w:val="yellow"/>
        </w:rPr>
        <w:fldChar w:fldCharType="end"/>
      </w:r>
      <w:r w:rsidR="00E0357E">
        <w:t xml:space="preserve"> shows the estimated superannuation liability for the Budget year and </w:t>
      </w:r>
      <w:r w:rsidR="00215683">
        <w:t>out-year</w:t>
      </w:r>
      <w:r w:rsidR="00E0357E">
        <w:t>s from each of the last three Budgets.  The liability has increased by around 10 percent from the 2023-34 Budget as a result of the changes in experience and assumptions.</w:t>
      </w:r>
    </w:p>
    <w:p w14:paraId="3A9EE054" w14:textId="77777777" w:rsidR="00E0357E" w:rsidRPr="00AF00A5" w:rsidRDefault="00E0357E" w:rsidP="00E0357E"/>
    <w:p w14:paraId="7C10DA04" w14:textId="669D9577" w:rsidR="00E0357E" w:rsidRPr="00387155" w:rsidRDefault="00E0357E" w:rsidP="0047124B">
      <w:pPr>
        <w:pStyle w:val="Caption"/>
        <w:keepNext/>
        <w:rPr>
          <w:rFonts w:ascii="Calibri" w:hAnsi="Calibri" w:cs="Calibri"/>
        </w:rPr>
      </w:pPr>
      <w:bookmarkStart w:id="196" w:name="_Ref170908263"/>
      <w:bookmarkStart w:id="197" w:name="_Toc171949087"/>
      <w:r w:rsidRPr="00387155">
        <w:rPr>
          <w:rFonts w:ascii="Calibri" w:hAnsi="Calibri" w:cs="Calibri"/>
        </w:rPr>
        <w:lastRenderedPageBreak/>
        <w:t xml:space="preserve">Figure </w:t>
      </w:r>
      <w:r w:rsidRPr="00387155">
        <w:rPr>
          <w:rFonts w:ascii="Calibri" w:hAnsi="Calibri" w:cs="Calibri"/>
        </w:rPr>
        <w:fldChar w:fldCharType="begin"/>
      </w:r>
      <w:r w:rsidRPr="00387155">
        <w:rPr>
          <w:rFonts w:ascii="Calibri" w:hAnsi="Calibri" w:cs="Calibri"/>
        </w:rPr>
        <w:instrText xml:space="preserve"> SEQ Figure \* ARABIC </w:instrText>
      </w:r>
      <w:r w:rsidRPr="00387155">
        <w:rPr>
          <w:rFonts w:ascii="Calibri" w:hAnsi="Calibri" w:cs="Calibri"/>
        </w:rPr>
        <w:fldChar w:fldCharType="separate"/>
      </w:r>
      <w:r w:rsidR="000B62ED">
        <w:rPr>
          <w:rFonts w:ascii="Calibri" w:hAnsi="Calibri" w:cs="Calibri"/>
          <w:noProof/>
        </w:rPr>
        <w:t>28</w:t>
      </w:r>
      <w:r w:rsidRPr="00387155">
        <w:rPr>
          <w:rFonts w:ascii="Calibri" w:hAnsi="Calibri" w:cs="Calibri"/>
          <w:noProof/>
        </w:rPr>
        <w:fldChar w:fldCharType="end"/>
      </w:r>
      <w:bookmarkEnd w:id="196"/>
      <w:r w:rsidRPr="00387155">
        <w:rPr>
          <w:rFonts w:ascii="Calibri" w:hAnsi="Calibri" w:cs="Calibri"/>
        </w:rPr>
        <w:t>: Estimated Defined Benefit Superannuation Liabilities</w:t>
      </w:r>
      <w:bookmarkEnd w:id="197"/>
    </w:p>
    <w:p w14:paraId="2D88D40D" w14:textId="77777777" w:rsidR="00E0357E" w:rsidRPr="00387155" w:rsidRDefault="00E0357E" w:rsidP="00E0357E">
      <w:pPr>
        <w:spacing w:before="0"/>
        <w:rPr>
          <w:rFonts w:ascii="Calibri" w:hAnsi="Calibri" w:cs="Calibri"/>
        </w:rPr>
      </w:pPr>
      <w:r>
        <w:rPr>
          <w:noProof/>
        </w:rPr>
        <w:drawing>
          <wp:inline distT="0" distB="0" distL="0" distR="0" wp14:anchorId="05A12C34" wp14:editId="13296D2F">
            <wp:extent cx="5731510" cy="3737610"/>
            <wp:effectExtent l="0" t="0" r="0" b="0"/>
            <wp:docPr id="61541931" name="Picture 6154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31510" cy="3737610"/>
                    </a:xfrm>
                    <a:prstGeom prst="rect">
                      <a:avLst/>
                    </a:prstGeom>
                  </pic:spPr>
                </pic:pic>
              </a:graphicData>
            </a:graphic>
          </wp:inline>
        </w:drawing>
      </w:r>
    </w:p>
    <w:p w14:paraId="753BAF4A" w14:textId="7BAC6B38" w:rsidR="00E0357E" w:rsidRPr="00387155" w:rsidRDefault="00E0357E" w:rsidP="00E0357E">
      <w:pPr>
        <w:spacing w:before="0"/>
        <w:rPr>
          <w:rFonts w:ascii="Calibri" w:hAnsi="Calibri" w:cs="Calibri"/>
        </w:rPr>
      </w:pPr>
      <w:r w:rsidRPr="00387155">
        <w:rPr>
          <w:rFonts w:ascii="Calibri" w:hAnsi="Calibri" w:cs="Calibri"/>
        </w:rPr>
        <w:t xml:space="preserve">Source: </w:t>
      </w:r>
      <w:r w:rsidRPr="00387155">
        <w:rPr>
          <w:rFonts w:ascii="Calibri" w:hAnsi="Calibri" w:cs="Calibri"/>
          <w:noProof/>
        </w:rPr>
        <w:t xml:space="preserve">ACT </w:t>
      </w:r>
      <w:r w:rsidR="00DE49F8">
        <w:rPr>
          <w:rFonts w:ascii="Calibri" w:hAnsi="Calibri" w:cs="Calibri"/>
          <w:noProof/>
        </w:rPr>
        <w:t>Budget Papers</w:t>
      </w:r>
    </w:p>
    <w:p w14:paraId="0DC0AF69" w14:textId="09A46298" w:rsidR="00E0357E" w:rsidRDefault="00E0357E" w:rsidP="00E0357E">
      <w:pPr>
        <w:rPr>
          <w:rFonts w:ascii="Calibri" w:hAnsi="Calibri" w:cs="Calibri"/>
        </w:rPr>
      </w:pPr>
      <w:r>
        <w:rPr>
          <w:rFonts w:ascii="Calibri" w:hAnsi="Calibri" w:cs="Calibri"/>
        </w:rPr>
        <w:t xml:space="preserve">There are three flows associated with the superannuation liability.  The projected service cost represents the additional liability arising from employee service during the year.  The interest cost takes account of the fact that the accrued benefits that make up the liability are now one year closer to payment, and also leads to an increase in the liability.  Benefit payments cover the cost of paying beneficiaries and reduce the total liability. The projections of these three flows are shown in </w:t>
      </w:r>
      <w:r w:rsidR="00103F85">
        <w:rPr>
          <w:rFonts w:ascii="Calibri" w:hAnsi="Calibri" w:cs="Calibri"/>
        </w:rPr>
        <w:fldChar w:fldCharType="begin"/>
      </w:r>
      <w:r w:rsidR="00103F85">
        <w:rPr>
          <w:rFonts w:ascii="Calibri" w:hAnsi="Calibri" w:cs="Calibri"/>
        </w:rPr>
        <w:instrText xml:space="preserve"> REF _Ref170908285 \h </w:instrText>
      </w:r>
      <w:r w:rsidR="00103F85">
        <w:rPr>
          <w:rFonts w:ascii="Calibri" w:hAnsi="Calibri" w:cs="Calibri"/>
        </w:rPr>
      </w:r>
      <w:r w:rsidR="00103F85">
        <w:rPr>
          <w:rFonts w:ascii="Calibri" w:hAnsi="Calibri" w:cs="Calibri"/>
        </w:rPr>
        <w:fldChar w:fldCharType="separate"/>
      </w:r>
      <w:r w:rsidR="000B62ED" w:rsidRPr="00387155">
        <w:rPr>
          <w:rFonts w:ascii="Calibri" w:hAnsi="Calibri" w:cs="Calibri"/>
        </w:rPr>
        <w:t xml:space="preserve">Figure </w:t>
      </w:r>
      <w:r w:rsidR="000B62ED">
        <w:rPr>
          <w:rFonts w:ascii="Calibri" w:hAnsi="Calibri" w:cs="Calibri"/>
          <w:noProof/>
        </w:rPr>
        <w:t>29</w:t>
      </w:r>
      <w:r w:rsidR="00103F85">
        <w:rPr>
          <w:rFonts w:ascii="Calibri" w:hAnsi="Calibri" w:cs="Calibri"/>
        </w:rPr>
        <w:fldChar w:fldCharType="end"/>
      </w:r>
      <w:r>
        <w:rPr>
          <w:rFonts w:ascii="Calibri" w:hAnsi="Calibri" w:cs="Calibri"/>
        </w:rPr>
        <w:t>.</w:t>
      </w:r>
    </w:p>
    <w:p w14:paraId="3415F6A2" w14:textId="7A63B087" w:rsidR="00E0357E" w:rsidRPr="00387155" w:rsidRDefault="00E0357E" w:rsidP="00C1702B">
      <w:pPr>
        <w:pStyle w:val="Caption"/>
        <w:spacing w:before="0"/>
        <w:rPr>
          <w:rFonts w:ascii="Calibri" w:hAnsi="Calibri" w:cs="Calibri"/>
        </w:rPr>
      </w:pPr>
      <w:bookmarkStart w:id="198" w:name="_Ref170908285"/>
      <w:bookmarkStart w:id="199" w:name="_Toc171949088"/>
      <w:r w:rsidRPr="00387155">
        <w:rPr>
          <w:rFonts w:ascii="Calibri" w:hAnsi="Calibri" w:cs="Calibri"/>
        </w:rPr>
        <w:t xml:space="preserve">Figure </w:t>
      </w:r>
      <w:r w:rsidRPr="00387155">
        <w:rPr>
          <w:rFonts w:ascii="Calibri" w:hAnsi="Calibri" w:cs="Calibri"/>
        </w:rPr>
        <w:fldChar w:fldCharType="begin"/>
      </w:r>
      <w:r w:rsidRPr="00387155">
        <w:rPr>
          <w:rFonts w:ascii="Calibri" w:hAnsi="Calibri" w:cs="Calibri"/>
        </w:rPr>
        <w:instrText xml:space="preserve"> SEQ Figure \* ARABIC </w:instrText>
      </w:r>
      <w:r w:rsidRPr="00387155">
        <w:rPr>
          <w:rFonts w:ascii="Calibri" w:hAnsi="Calibri" w:cs="Calibri"/>
        </w:rPr>
        <w:fldChar w:fldCharType="separate"/>
      </w:r>
      <w:r w:rsidR="000B62ED">
        <w:rPr>
          <w:rFonts w:ascii="Calibri" w:hAnsi="Calibri" w:cs="Calibri"/>
          <w:noProof/>
        </w:rPr>
        <w:t>29</w:t>
      </w:r>
      <w:r w:rsidRPr="00387155">
        <w:rPr>
          <w:rFonts w:ascii="Calibri" w:hAnsi="Calibri" w:cs="Calibri"/>
          <w:noProof/>
        </w:rPr>
        <w:fldChar w:fldCharType="end"/>
      </w:r>
      <w:bookmarkEnd w:id="198"/>
      <w:r w:rsidRPr="00387155">
        <w:rPr>
          <w:rFonts w:ascii="Calibri" w:hAnsi="Calibri" w:cs="Calibri"/>
        </w:rPr>
        <w:t>: Estimated Defined Benefit Superannuation Flows</w:t>
      </w:r>
      <w:bookmarkEnd w:id="199"/>
    </w:p>
    <w:p w14:paraId="49A37420" w14:textId="28393FE3" w:rsidR="00E0357E" w:rsidRPr="00387155" w:rsidRDefault="00E0357E" w:rsidP="00C1702B">
      <w:pPr>
        <w:spacing w:before="0" w:after="0"/>
        <w:rPr>
          <w:rFonts w:ascii="Calibri" w:hAnsi="Calibri" w:cs="Calibri"/>
        </w:rPr>
      </w:pPr>
      <w:r w:rsidRPr="00387155">
        <w:rPr>
          <w:rFonts w:ascii="Calibri" w:hAnsi="Calibri" w:cs="Calibri"/>
          <w:noProof/>
          <w:lang w:eastAsia="en-AU"/>
        </w:rPr>
        <w:drawing>
          <wp:inline distT="0" distB="0" distL="0" distR="0" wp14:anchorId="374E5095" wp14:editId="3839B662">
            <wp:extent cx="5556899" cy="3295650"/>
            <wp:effectExtent l="0" t="0" r="5715" b="0"/>
            <wp:docPr id="775049594" name="Picture 14" descr="A picture containing text, line, screenshot,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729280" descr="A picture containing text, line, screenshot, plot&#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642742" cy="3346561"/>
                    </a:xfrm>
                    <a:prstGeom prst="rect">
                      <a:avLst/>
                    </a:prstGeom>
                    <a:noFill/>
                    <a:ln>
                      <a:noFill/>
                    </a:ln>
                  </pic:spPr>
                </pic:pic>
              </a:graphicData>
            </a:graphic>
          </wp:inline>
        </w:drawing>
      </w:r>
      <w:r w:rsidRPr="00387155">
        <w:rPr>
          <w:rFonts w:ascii="Calibri" w:hAnsi="Calibri" w:cs="Calibri"/>
          <w:noProof/>
        </w:rPr>
        <w:t xml:space="preserve">  </w:t>
      </w:r>
    </w:p>
    <w:p w14:paraId="3183F70B" w14:textId="28D60039" w:rsidR="00F91479" w:rsidRDefault="00F91479" w:rsidP="00C1702B">
      <w:pPr>
        <w:spacing w:before="0" w:after="0"/>
        <w:rPr>
          <w:rFonts w:ascii="Calibri" w:hAnsi="Calibri" w:cs="Calibri"/>
        </w:rPr>
      </w:pPr>
      <w:r w:rsidRPr="00387155">
        <w:rPr>
          <w:rFonts w:ascii="Calibri" w:hAnsi="Calibri" w:cs="Calibri"/>
          <w:noProof/>
          <w:lang w:eastAsia="en-AU"/>
        </w:rPr>
        <w:lastRenderedPageBreak/>
        <w:drawing>
          <wp:inline distT="0" distB="0" distL="0" distR="0" wp14:anchorId="34D36333" wp14:editId="0416DCFE">
            <wp:extent cx="5661766" cy="3557588"/>
            <wp:effectExtent l="0" t="0" r="0" b="5080"/>
            <wp:docPr id="927337056" name="Picture 13" descr="A picture containing text, screenshot,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191424" descr="A picture containing text, screenshot, line, plot&#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06570" cy="3585741"/>
                    </a:xfrm>
                    <a:prstGeom prst="rect">
                      <a:avLst/>
                    </a:prstGeom>
                    <a:noFill/>
                    <a:ln>
                      <a:noFill/>
                    </a:ln>
                  </pic:spPr>
                </pic:pic>
              </a:graphicData>
            </a:graphic>
          </wp:inline>
        </w:drawing>
      </w:r>
    </w:p>
    <w:p w14:paraId="2E3FEA09" w14:textId="3754A85B" w:rsidR="00F91479" w:rsidRDefault="00F91479" w:rsidP="002676F6">
      <w:pPr>
        <w:spacing w:before="0" w:after="0"/>
        <w:rPr>
          <w:rFonts w:ascii="Calibri" w:hAnsi="Calibri" w:cs="Calibri"/>
        </w:rPr>
      </w:pPr>
      <w:r w:rsidRPr="00387155">
        <w:rPr>
          <w:rFonts w:ascii="Calibri" w:hAnsi="Calibri" w:cs="Calibri"/>
          <w:noProof/>
          <w:lang w:eastAsia="en-AU"/>
        </w:rPr>
        <w:drawing>
          <wp:inline distT="0" distB="0" distL="0" distR="0" wp14:anchorId="45CB6A13" wp14:editId="223B07F3">
            <wp:extent cx="5723255" cy="3257550"/>
            <wp:effectExtent l="0" t="0" r="0" b="0"/>
            <wp:docPr id="516217472" name="Picture 12" descr="A picture containing text, screenshot,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007285" descr="A picture containing text, screenshot, line, plot&#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47176" cy="3271165"/>
                    </a:xfrm>
                    <a:prstGeom prst="rect">
                      <a:avLst/>
                    </a:prstGeom>
                    <a:noFill/>
                    <a:ln>
                      <a:noFill/>
                    </a:ln>
                  </pic:spPr>
                </pic:pic>
              </a:graphicData>
            </a:graphic>
          </wp:inline>
        </w:drawing>
      </w:r>
    </w:p>
    <w:p w14:paraId="1EAAD036" w14:textId="2AFF2701" w:rsidR="00E0357E" w:rsidRPr="00387155" w:rsidRDefault="00E0357E" w:rsidP="00E0357E">
      <w:pPr>
        <w:spacing w:before="0"/>
        <w:rPr>
          <w:rFonts w:ascii="Calibri" w:hAnsi="Calibri" w:cs="Calibri"/>
        </w:rPr>
      </w:pPr>
      <w:r w:rsidRPr="00387155">
        <w:rPr>
          <w:rFonts w:ascii="Calibri" w:hAnsi="Calibri" w:cs="Calibri"/>
        </w:rPr>
        <w:t xml:space="preserve">Source: </w:t>
      </w:r>
      <w:r w:rsidRPr="00387155">
        <w:rPr>
          <w:rFonts w:ascii="Calibri" w:hAnsi="Calibri" w:cs="Calibri"/>
          <w:noProof/>
        </w:rPr>
        <w:t xml:space="preserve">ACT </w:t>
      </w:r>
      <w:r w:rsidR="00DE49F8">
        <w:rPr>
          <w:rFonts w:ascii="Calibri" w:hAnsi="Calibri" w:cs="Calibri"/>
          <w:noProof/>
        </w:rPr>
        <w:t>Budget Papers</w:t>
      </w:r>
    </w:p>
    <w:p w14:paraId="1A026044" w14:textId="53B1B4F5" w:rsidR="00E0357E" w:rsidRDefault="00E0357E" w:rsidP="00E0357E">
      <w:r>
        <w:t>The</w:t>
      </w:r>
      <w:r w:rsidRPr="00833566">
        <w:t xml:space="preserve"> </w:t>
      </w:r>
      <w:r>
        <w:t xml:space="preserve">projected </w:t>
      </w:r>
      <w:r w:rsidRPr="00833566">
        <w:t>service cost</w:t>
      </w:r>
      <w:r>
        <w:t xml:space="preserve"> (associated with the accrual of employee benefits) and interest cost (due to the unwinding of the discount rate as accrued benefits come closer to payment) are also sensitive to the financial assumptions. In the 2021-22 and 2022-23 Budgets, these costs were estimated for the Budget year using the market yield.  As a result, the service cost was higher and the interest cost lower than the figures for the out</w:t>
      </w:r>
      <w:r w:rsidR="00A156ED">
        <w:t>-</w:t>
      </w:r>
      <w:r>
        <w:t xml:space="preserve">years which were derived using the long-term discount rate. </w:t>
      </w:r>
      <w:r w:rsidRPr="00833566">
        <w:t xml:space="preserve"> </w:t>
      </w:r>
      <w:r>
        <w:t xml:space="preserve">With the move to using the long-term discount rate for the Budget year, the service cost and interest cost are more stable; the small increase in the service cost reflects the impact of the changes in demographic assumptions while the higher interest cost is a function of the increase in the estimated liability.  </w:t>
      </w:r>
    </w:p>
    <w:p w14:paraId="6833D077" w14:textId="77777777" w:rsidR="00E0357E" w:rsidRDefault="00E0357E" w:rsidP="00E0357E">
      <w:r>
        <w:lastRenderedPageBreak/>
        <w:t xml:space="preserve">In contrast to the service and interest costs, projected benefit payments are relatively insensitive to changes in the valuation discount rate and, in the absence of changes in experience, are expected to change only slowly.  The increase in the projected benefit payments observed in the 2023-24 Budget and again in the 2024-25 Budget represent a real increase in future outlays and are the practical manifestation of the growth in the estimated liability. </w:t>
      </w:r>
    </w:p>
    <w:p w14:paraId="26D1552D" w14:textId="34BBF200" w:rsidR="00E0357E" w:rsidRPr="00387155" w:rsidRDefault="00E0357E" w:rsidP="00E0357E">
      <w:pPr>
        <w:pStyle w:val="Bbodytext"/>
        <w:rPr>
          <w:rFonts w:ascii="Calibri" w:hAnsi="Calibri" w:cs="Calibri"/>
        </w:rPr>
      </w:pPr>
      <w:r w:rsidRPr="00387155">
        <w:rPr>
          <w:rFonts w:ascii="Calibri" w:hAnsi="Calibri" w:cs="Calibri"/>
        </w:rPr>
        <w:t>The ACT Government established a Superannuation Provision Account in 1991 as a vehicle for accumulating funds to meet the Territory’s unfunded defined benefit superannuation liability. As at 30 June 202</w:t>
      </w:r>
      <w:r>
        <w:rPr>
          <w:rFonts w:ascii="Calibri" w:hAnsi="Calibri" w:cs="Calibri"/>
        </w:rPr>
        <w:t>4</w:t>
      </w:r>
      <w:r w:rsidRPr="00387155">
        <w:rPr>
          <w:rFonts w:ascii="Calibri" w:hAnsi="Calibri" w:cs="Calibri"/>
        </w:rPr>
        <w:t xml:space="preserve">, the assets in the Account are estimated to cover </w:t>
      </w:r>
      <w:r>
        <w:rPr>
          <w:rFonts w:ascii="Calibri" w:hAnsi="Calibri" w:cs="Calibri"/>
        </w:rPr>
        <w:t>60</w:t>
      </w:r>
      <w:r w:rsidRPr="00387155">
        <w:rPr>
          <w:rFonts w:ascii="Calibri" w:hAnsi="Calibri" w:cs="Calibri"/>
        </w:rPr>
        <w:t xml:space="preserve">% of the total superannuation liability and this proportion is expected to increase over the forward years as shown in </w:t>
      </w:r>
      <w:r w:rsidR="00103F85">
        <w:rPr>
          <w:rFonts w:ascii="Calibri" w:hAnsi="Calibri" w:cs="Calibri"/>
        </w:rPr>
        <w:fldChar w:fldCharType="begin"/>
      </w:r>
      <w:r w:rsidR="00103F85">
        <w:rPr>
          <w:rFonts w:ascii="Calibri" w:hAnsi="Calibri" w:cs="Calibri"/>
        </w:rPr>
        <w:instrText xml:space="preserve"> REF _Ref170908306 \h </w:instrText>
      </w:r>
      <w:r w:rsidR="00103F85">
        <w:rPr>
          <w:rFonts w:ascii="Calibri" w:hAnsi="Calibri" w:cs="Calibri"/>
        </w:rPr>
      </w:r>
      <w:r w:rsidR="00103F85">
        <w:rPr>
          <w:rFonts w:ascii="Calibri" w:hAnsi="Calibri" w:cs="Calibri"/>
        </w:rPr>
        <w:fldChar w:fldCharType="separate"/>
      </w:r>
      <w:r w:rsidR="000B62ED" w:rsidRPr="00387155">
        <w:rPr>
          <w:rFonts w:ascii="Calibri" w:hAnsi="Calibri" w:cs="Calibri"/>
        </w:rPr>
        <w:t xml:space="preserve">Figure </w:t>
      </w:r>
      <w:r w:rsidR="000B62ED">
        <w:rPr>
          <w:rFonts w:ascii="Calibri" w:hAnsi="Calibri" w:cs="Calibri"/>
          <w:noProof/>
        </w:rPr>
        <w:t>30</w:t>
      </w:r>
      <w:r w:rsidR="00103F85">
        <w:rPr>
          <w:rFonts w:ascii="Calibri" w:hAnsi="Calibri" w:cs="Calibri"/>
        </w:rPr>
        <w:fldChar w:fldCharType="end"/>
      </w:r>
      <w:r w:rsidRPr="00387155">
        <w:rPr>
          <w:rFonts w:ascii="Calibri" w:hAnsi="Calibri" w:cs="Calibri"/>
        </w:rPr>
        <w:t>.</w:t>
      </w:r>
    </w:p>
    <w:p w14:paraId="47BD610F" w14:textId="1F6DDE61" w:rsidR="00E0357E" w:rsidRPr="00387155" w:rsidRDefault="00E0357E" w:rsidP="00E0357E">
      <w:pPr>
        <w:pStyle w:val="Caption"/>
        <w:rPr>
          <w:rFonts w:ascii="Calibri" w:hAnsi="Calibri" w:cs="Calibri"/>
        </w:rPr>
      </w:pPr>
      <w:bookmarkStart w:id="200" w:name="_Ref170908306"/>
      <w:bookmarkStart w:id="201" w:name="_Toc171949089"/>
      <w:r w:rsidRPr="00387155">
        <w:rPr>
          <w:rFonts w:ascii="Calibri" w:hAnsi="Calibri" w:cs="Calibri"/>
        </w:rPr>
        <w:t xml:space="preserve">Figure </w:t>
      </w:r>
      <w:r w:rsidRPr="00387155">
        <w:rPr>
          <w:rFonts w:ascii="Calibri" w:hAnsi="Calibri" w:cs="Calibri"/>
        </w:rPr>
        <w:fldChar w:fldCharType="begin"/>
      </w:r>
      <w:r w:rsidRPr="00387155">
        <w:rPr>
          <w:rFonts w:ascii="Calibri" w:hAnsi="Calibri" w:cs="Calibri"/>
        </w:rPr>
        <w:instrText xml:space="preserve"> SEQ Figure \* ARABIC </w:instrText>
      </w:r>
      <w:r w:rsidRPr="00387155">
        <w:rPr>
          <w:rFonts w:ascii="Calibri" w:hAnsi="Calibri" w:cs="Calibri"/>
        </w:rPr>
        <w:fldChar w:fldCharType="separate"/>
      </w:r>
      <w:r w:rsidR="000B62ED">
        <w:rPr>
          <w:rFonts w:ascii="Calibri" w:hAnsi="Calibri" w:cs="Calibri"/>
          <w:noProof/>
        </w:rPr>
        <w:t>30</w:t>
      </w:r>
      <w:r w:rsidRPr="00387155">
        <w:rPr>
          <w:rFonts w:ascii="Calibri" w:hAnsi="Calibri" w:cs="Calibri"/>
          <w:noProof/>
        </w:rPr>
        <w:fldChar w:fldCharType="end"/>
      </w:r>
      <w:bookmarkEnd w:id="200"/>
      <w:r w:rsidRPr="00387155">
        <w:rPr>
          <w:rFonts w:ascii="Calibri" w:hAnsi="Calibri" w:cs="Calibri"/>
        </w:rPr>
        <w:t>: Defined Benefit Superannuation Unfunded Liability and Investment Assets</w:t>
      </w:r>
      <w:bookmarkEnd w:id="201"/>
    </w:p>
    <w:p w14:paraId="474161C1" w14:textId="521A8D16" w:rsidR="00E0357E" w:rsidRPr="00387155" w:rsidRDefault="00E0357E" w:rsidP="00E0357E">
      <w:pPr>
        <w:spacing w:after="0"/>
        <w:rPr>
          <w:rFonts w:ascii="Calibri" w:hAnsi="Calibri" w:cs="Calibri"/>
        </w:rPr>
      </w:pPr>
      <w:r>
        <w:rPr>
          <w:noProof/>
          <w14:ligatures w14:val="standardContextual"/>
        </w:rPr>
        <w:drawing>
          <wp:inline distT="0" distB="0" distL="0" distR="0" wp14:anchorId="5B5356A6" wp14:editId="27300D20">
            <wp:extent cx="5731510" cy="3737610"/>
            <wp:effectExtent l="0" t="0" r="0" b="0"/>
            <wp:docPr id="439824137" name="Picture 439824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31510" cy="3737610"/>
                    </a:xfrm>
                    <a:prstGeom prst="rect">
                      <a:avLst/>
                    </a:prstGeom>
                  </pic:spPr>
                </pic:pic>
              </a:graphicData>
            </a:graphic>
          </wp:inline>
        </w:drawing>
      </w:r>
      <w:r w:rsidRPr="00387155">
        <w:rPr>
          <w:rFonts w:ascii="Calibri" w:hAnsi="Calibri" w:cs="Calibri"/>
          <w:lang w:eastAsia="en-AU"/>
        </w:rPr>
        <w:br/>
      </w:r>
      <w:r w:rsidR="00253FAE">
        <w:rPr>
          <w:rFonts w:ascii="Calibri" w:hAnsi="Calibri" w:cs="Calibri"/>
        </w:rPr>
        <w:t>Source: ACT</w:t>
      </w:r>
      <w:r w:rsidR="00DE49F8">
        <w:rPr>
          <w:rFonts w:ascii="Calibri" w:hAnsi="Calibri" w:cs="Calibri"/>
        </w:rPr>
        <w:t xml:space="preserve"> Budget Papers</w:t>
      </w:r>
    </w:p>
    <w:p w14:paraId="324FF2C5" w14:textId="77777777" w:rsidR="00E0357E" w:rsidRDefault="00E0357E" w:rsidP="00E0357E">
      <w:pPr>
        <w:pStyle w:val="Bbodytext"/>
        <w:rPr>
          <w:rFonts w:ascii="Calibri" w:hAnsi="Calibri" w:cs="Calibri"/>
        </w:rPr>
      </w:pPr>
      <w:r>
        <w:rPr>
          <w:rFonts w:ascii="Calibri" w:hAnsi="Calibri" w:cs="Calibri"/>
        </w:rPr>
        <w:t>The stated intention of s</w:t>
      </w:r>
      <w:r w:rsidRPr="00387155">
        <w:rPr>
          <w:rFonts w:ascii="Calibri" w:hAnsi="Calibri" w:cs="Calibri"/>
        </w:rPr>
        <w:t xml:space="preserve">uccessive Governments </w:t>
      </w:r>
      <w:r>
        <w:rPr>
          <w:rFonts w:ascii="Calibri" w:hAnsi="Calibri" w:cs="Calibri"/>
        </w:rPr>
        <w:t>has</w:t>
      </w:r>
      <w:r w:rsidRPr="00387155">
        <w:rPr>
          <w:rFonts w:ascii="Calibri" w:hAnsi="Calibri" w:cs="Calibri"/>
        </w:rPr>
        <w:t xml:space="preserve"> </w:t>
      </w:r>
      <w:r>
        <w:rPr>
          <w:rFonts w:ascii="Calibri" w:hAnsi="Calibri" w:cs="Calibri"/>
        </w:rPr>
        <w:t xml:space="preserve">been </w:t>
      </w:r>
      <w:r w:rsidRPr="00387155">
        <w:rPr>
          <w:rFonts w:ascii="Calibri" w:hAnsi="Calibri" w:cs="Calibri"/>
        </w:rPr>
        <w:t>to achiev</w:t>
      </w:r>
      <w:r>
        <w:rPr>
          <w:rFonts w:ascii="Calibri" w:hAnsi="Calibri" w:cs="Calibri"/>
        </w:rPr>
        <w:t>e</w:t>
      </w:r>
      <w:r w:rsidRPr="00387155">
        <w:rPr>
          <w:rFonts w:ascii="Calibri" w:hAnsi="Calibri" w:cs="Calibri"/>
        </w:rPr>
        <w:t xml:space="preserve"> full coverage of liabilities by 2030.  In practice, however, </w:t>
      </w:r>
      <w:r>
        <w:rPr>
          <w:rFonts w:ascii="Calibri" w:hAnsi="Calibri" w:cs="Calibri"/>
        </w:rPr>
        <w:t xml:space="preserve">it has become increasingly apparent that </w:t>
      </w:r>
      <w:r w:rsidRPr="00387155">
        <w:rPr>
          <w:rFonts w:ascii="Calibri" w:hAnsi="Calibri" w:cs="Calibri"/>
        </w:rPr>
        <w:t xml:space="preserve">this goal </w:t>
      </w:r>
      <w:r>
        <w:rPr>
          <w:rFonts w:ascii="Calibri" w:hAnsi="Calibri" w:cs="Calibri"/>
        </w:rPr>
        <w:t>is</w:t>
      </w:r>
      <w:r w:rsidRPr="00387155">
        <w:rPr>
          <w:rFonts w:ascii="Calibri" w:hAnsi="Calibri" w:cs="Calibri"/>
        </w:rPr>
        <w:t xml:space="preserve"> unlikely to be met</w:t>
      </w:r>
      <w:r>
        <w:rPr>
          <w:rFonts w:ascii="Calibri" w:hAnsi="Calibri" w:cs="Calibri"/>
        </w:rPr>
        <w:t xml:space="preserve"> and the current Budget does not address the issue of when the liability will be extinguished</w:t>
      </w:r>
      <w:r w:rsidRPr="00387155">
        <w:rPr>
          <w:rFonts w:ascii="Calibri" w:hAnsi="Calibri" w:cs="Calibri"/>
        </w:rPr>
        <w:t xml:space="preserve">. </w:t>
      </w:r>
    </w:p>
    <w:p w14:paraId="4021383F" w14:textId="77777777" w:rsidR="00E0357E" w:rsidRPr="00387155" w:rsidRDefault="00E0357E" w:rsidP="00E0357E">
      <w:pPr>
        <w:pStyle w:val="Bbodytext"/>
        <w:rPr>
          <w:rFonts w:ascii="Calibri" w:hAnsi="Calibri" w:cs="Calibri"/>
        </w:rPr>
      </w:pPr>
      <w:r w:rsidRPr="00387155">
        <w:rPr>
          <w:rFonts w:ascii="Calibri" w:hAnsi="Calibri" w:cs="Calibri"/>
        </w:rPr>
        <w:t xml:space="preserve">Based on the existing trends in the funding percentage, we estimate that it </w:t>
      </w:r>
      <w:r>
        <w:rPr>
          <w:rFonts w:ascii="Calibri" w:hAnsi="Calibri" w:cs="Calibri"/>
        </w:rPr>
        <w:t>will</w:t>
      </w:r>
      <w:r w:rsidRPr="00387155">
        <w:rPr>
          <w:rFonts w:ascii="Calibri" w:hAnsi="Calibri" w:cs="Calibri"/>
        </w:rPr>
        <w:t xml:space="preserve"> take around </w:t>
      </w:r>
      <w:r>
        <w:rPr>
          <w:rFonts w:ascii="Calibri" w:hAnsi="Calibri" w:cs="Calibri"/>
        </w:rPr>
        <w:t>a decade</w:t>
      </w:r>
      <w:r w:rsidRPr="00387155">
        <w:rPr>
          <w:rFonts w:ascii="Calibri" w:hAnsi="Calibri" w:cs="Calibri"/>
        </w:rPr>
        <w:t xml:space="preserve"> before assets </w:t>
      </w:r>
      <w:r>
        <w:rPr>
          <w:rFonts w:ascii="Calibri" w:hAnsi="Calibri" w:cs="Calibri"/>
        </w:rPr>
        <w:t>will</w:t>
      </w:r>
      <w:r w:rsidRPr="00387155">
        <w:rPr>
          <w:rFonts w:ascii="Calibri" w:hAnsi="Calibri" w:cs="Calibri"/>
        </w:rPr>
        <w:t xml:space="preserve"> be sufficient to cover the unfunded liability (estimated using the long-term financial assumptions and assuming that benefit payments continue to be funded from the Budget rather than the Account). Alternatively, based on the estimates of defined benefit liabilities and the assets in the Superannuation Provision Account as at 30 June 202</w:t>
      </w:r>
      <w:r>
        <w:rPr>
          <w:rFonts w:ascii="Calibri" w:hAnsi="Calibri" w:cs="Calibri"/>
        </w:rPr>
        <w:t>4</w:t>
      </w:r>
      <w:r w:rsidRPr="00387155">
        <w:rPr>
          <w:rFonts w:ascii="Calibri" w:hAnsi="Calibri" w:cs="Calibri"/>
        </w:rPr>
        <w:t xml:space="preserve"> together with projected benefit payments and accrued service costs over the next </w:t>
      </w:r>
      <w:r>
        <w:rPr>
          <w:rFonts w:ascii="Calibri" w:hAnsi="Calibri" w:cs="Calibri"/>
        </w:rPr>
        <w:t>six</w:t>
      </w:r>
      <w:r w:rsidRPr="00387155">
        <w:rPr>
          <w:rFonts w:ascii="Calibri" w:hAnsi="Calibri" w:cs="Calibri"/>
        </w:rPr>
        <w:t xml:space="preserve"> years, the Account would need to achieve total investment returns of CPI plus 7.</w:t>
      </w:r>
      <w:r>
        <w:rPr>
          <w:rFonts w:ascii="Calibri" w:hAnsi="Calibri" w:cs="Calibri"/>
        </w:rPr>
        <w:t>2</w:t>
      </w:r>
      <w:r w:rsidRPr="00387155">
        <w:rPr>
          <w:rFonts w:ascii="Calibri" w:hAnsi="Calibri" w:cs="Calibri"/>
        </w:rPr>
        <w:t xml:space="preserve"> percentage points until 2030 to meet the goal of full funding. This compares with the target rate of return of CPI plus 4.75 percentage points and an achieved return of CPI plus 5.0 percentage points over the past 26 financial years. Thus, the prospect of extinguishing the unfunded liability by 2030 appears remote. </w:t>
      </w:r>
    </w:p>
    <w:p w14:paraId="2FA6B5F3" w14:textId="50226AE3" w:rsidR="00AF00A5" w:rsidRPr="00E0357E" w:rsidRDefault="00E0357E" w:rsidP="00E0357E">
      <w:pPr>
        <w:autoSpaceDE w:val="0"/>
        <w:autoSpaceDN w:val="0"/>
        <w:adjustRightInd w:val="0"/>
        <w:spacing w:after="0"/>
        <w:rPr>
          <w:rFonts w:ascii="Calibri" w:hAnsi="Calibri" w:cs="Calibri"/>
        </w:rPr>
      </w:pPr>
      <w:r w:rsidRPr="00387155">
        <w:rPr>
          <w:rFonts w:ascii="Calibri" w:hAnsi="Calibri" w:cs="Calibri"/>
        </w:rPr>
        <w:t xml:space="preserve">At the same time, and notwithstanding the increase in the projected benefit payments shown in the right-hand panel of </w:t>
      </w:r>
      <w:r w:rsidR="00103F85">
        <w:rPr>
          <w:rFonts w:ascii="Calibri" w:hAnsi="Calibri" w:cs="Calibri"/>
        </w:rPr>
        <w:fldChar w:fldCharType="begin"/>
      </w:r>
      <w:r w:rsidR="00103F85">
        <w:rPr>
          <w:rFonts w:ascii="Calibri" w:hAnsi="Calibri" w:cs="Calibri"/>
        </w:rPr>
        <w:instrText xml:space="preserve"> REF _Ref170908285 \h </w:instrText>
      </w:r>
      <w:r w:rsidR="00103F85">
        <w:rPr>
          <w:rFonts w:ascii="Calibri" w:hAnsi="Calibri" w:cs="Calibri"/>
        </w:rPr>
      </w:r>
      <w:r w:rsidR="00103F85">
        <w:rPr>
          <w:rFonts w:ascii="Calibri" w:hAnsi="Calibri" w:cs="Calibri"/>
        </w:rPr>
        <w:fldChar w:fldCharType="separate"/>
      </w:r>
      <w:r w:rsidR="000B62ED" w:rsidRPr="00387155">
        <w:rPr>
          <w:rFonts w:ascii="Calibri" w:hAnsi="Calibri" w:cs="Calibri"/>
        </w:rPr>
        <w:t xml:space="preserve">Figure </w:t>
      </w:r>
      <w:r w:rsidR="000B62ED">
        <w:rPr>
          <w:rFonts w:ascii="Calibri" w:hAnsi="Calibri" w:cs="Calibri"/>
          <w:noProof/>
        </w:rPr>
        <w:t>29</w:t>
      </w:r>
      <w:r w:rsidR="00103F85">
        <w:rPr>
          <w:rFonts w:ascii="Calibri" w:hAnsi="Calibri" w:cs="Calibri"/>
        </w:rPr>
        <w:fldChar w:fldCharType="end"/>
      </w:r>
      <w:r w:rsidRPr="00387155">
        <w:rPr>
          <w:rFonts w:ascii="Calibri" w:hAnsi="Calibri" w:cs="Calibri"/>
        </w:rPr>
        <w:t xml:space="preserve">, there is no indication that the ACT will have any difficulties in meeting </w:t>
      </w:r>
      <w:r w:rsidRPr="00387155">
        <w:rPr>
          <w:rFonts w:ascii="Calibri" w:hAnsi="Calibri" w:cs="Calibri"/>
        </w:rPr>
        <w:lastRenderedPageBreak/>
        <w:t xml:space="preserve">its unfunded superannuation obligations, which will emerge as a requirement to meet benefit payments over a period of more than 50 years. </w:t>
      </w:r>
    </w:p>
    <w:p w14:paraId="42DEE742" w14:textId="0DA4F23E" w:rsidR="0003405B" w:rsidRDefault="0003405B" w:rsidP="0003405B">
      <w:r>
        <w:br w:type="page"/>
      </w:r>
    </w:p>
    <w:p w14:paraId="6F43760B" w14:textId="72B2F412" w:rsidR="00EA4B61" w:rsidRDefault="00556237" w:rsidP="00EA4B61">
      <w:pPr>
        <w:pStyle w:val="Heading1"/>
      </w:pPr>
      <w:bookmarkStart w:id="202" w:name="_Toc484807069"/>
      <w:bookmarkStart w:id="203" w:name="_Toc453516114"/>
      <w:bookmarkStart w:id="204" w:name="_Toc453495115"/>
      <w:bookmarkStart w:id="205" w:name="_Toc485570987"/>
      <w:bookmarkStart w:id="206" w:name="_Toc171949032"/>
      <w:bookmarkEnd w:id="126"/>
      <w:bookmarkEnd w:id="127"/>
      <w:r>
        <w:lastRenderedPageBreak/>
        <w:t>9</w:t>
      </w:r>
      <w:r w:rsidR="0008199A">
        <w:t>.</w:t>
      </w:r>
      <w:r w:rsidR="003F0A28">
        <w:tab/>
      </w:r>
      <w:r w:rsidR="003F0A28" w:rsidRPr="008E20C8">
        <w:t>Budget accounting</w:t>
      </w:r>
      <w:r w:rsidR="00837443" w:rsidRPr="008E20C8">
        <w:t xml:space="preserve">, </w:t>
      </w:r>
      <w:r w:rsidR="003F0A28" w:rsidRPr="008E20C8">
        <w:t xml:space="preserve">classification </w:t>
      </w:r>
      <w:r w:rsidR="00837443" w:rsidRPr="008E20C8">
        <w:t>and valuation issues</w:t>
      </w:r>
      <w:bookmarkEnd w:id="206"/>
    </w:p>
    <w:p w14:paraId="5307F229" w14:textId="77777777" w:rsidR="00EA4B61" w:rsidRPr="00EA4B61" w:rsidRDefault="00EA4B61" w:rsidP="00EA4B61">
      <w:pPr>
        <w:spacing w:before="200" w:after="200"/>
        <w:rPr>
          <w:rFonts w:ascii="Calibri" w:hAnsi="Calibri" w:cs="Calibri"/>
          <w:i/>
          <w:iCs/>
          <w:color w:val="5B9BD5"/>
          <w:sz w:val="24"/>
          <w:szCs w:val="24"/>
        </w:rPr>
      </w:pPr>
      <w:r w:rsidRPr="00EA4B61">
        <w:rPr>
          <w:rFonts w:ascii="Calibri" w:hAnsi="Calibri" w:cs="Calibri"/>
          <w:i/>
          <w:iCs/>
          <w:color w:val="5B9BD5"/>
          <w:sz w:val="24"/>
          <w:szCs w:val="24"/>
        </w:rPr>
        <w:t>Valuation effects, accounting treatments and timing issues continue to have large impacts on the budget aggregates and on the reported Budget balance.</w:t>
      </w:r>
    </w:p>
    <w:p w14:paraId="374140C3" w14:textId="77777777" w:rsidR="0097219F" w:rsidRDefault="0097219F" w:rsidP="0097219F">
      <w:pPr>
        <w:pStyle w:val="Heading2"/>
      </w:pPr>
      <w:bookmarkStart w:id="207" w:name="_Toc64529062"/>
      <w:bookmarkStart w:id="208" w:name="_Toc171949033"/>
      <w:bookmarkEnd w:id="202"/>
      <w:bookmarkEnd w:id="203"/>
      <w:bookmarkEnd w:id="204"/>
      <w:bookmarkEnd w:id="205"/>
      <w:r>
        <w:t>9.1</w:t>
      </w:r>
      <w:r>
        <w:tab/>
        <w:t>Overview</w:t>
      </w:r>
      <w:bookmarkEnd w:id="207"/>
      <w:bookmarkEnd w:id="208"/>
    </w:p>
    <w:p w14:paraId="30B2FCD2" w14:textId="77777777" w:rsidR="00EA4B61" w:rsidRPr="00D101ED" w:rsidRDefault="00EA4B61" w:rsidP="00EA4B61">
      <w:pPr>
        <w:spacing w:before="200" w:after="200"/>
        <w:rPr>
          <w:rFonts w:ascii="Calibri" w:hAnsi="Calibri" w:cs="Calibri"/>
        </w:rPr>
      </w:pPr>
      <w:r w:rsidRPr="00D101ED">
        <w:rPr>
          <w:rFonts w:ascii="Calibri" w:hAnsi="Calibri" w:cs="Calibri"/>
        </w:rPr>
        <w:t>The 202</w:t>
      </w:r>
      <w:r>
        <w:rPr>
          <w:rFonts w:ascii="Calibri" w:hAnsi="Calibri" w:cs="Calibri"/>
        </w:rPr>
        <w:t>4</w:t>
      </w:r>
      <w:r w:rsidRPr="00D101ED">
        <w:rPr>
          <w:rFonts w:ascii="Calibri" w:hAnsi="Calibri" w:cs="Calibri"/>
        </w:rPr>
        <w:t>-2</w:t>
      </w:r>
      <w:r>
        <w:rPr>
          <w:rFonts w:ascii="Calibri" w:hAnsi="Calibri" w:cs="Calibri"/>
        </w:rPr>
        <w:t>5</w:t>
      </w:r>
      <w:r w:rsidRPr="00D101ED">
        <w:rPr>
          <w:rFonts w:ascii="Calibri" w:hAnsi="Calibri" w:cs="Calibri"/>
        </w:rPr>
        <w:t xml:space="preserve"> Budget reflects decisions on a number of accounting, classification and valuation issues. </w:t>
      </w:r>
    </w:p>
    <w:p w14:paraId="5D99C3AD" w14:textId="77777777" w:rsidR="00EA4B61" w:rsidRPr="00D101ED" w:rsidRDefault="00EA4B61" w:rsidP="00EA4B61">
      <w:pPr>
        <w:spacing w:before="200" w:after="200"/>
        <w:rPr>
          <w:rFonts w:ascii="Calibri" w:hAnsi="Calibri" w:cs="Calibri"/>
        </w:rPr>
      </w:pPr>
      <w:r w:rsidRPr="00D101ED">
        <w:rPr>
          <w:rFonts w:ascii="Calibri" w:hAnsi="Calibri" w:cs="Calibri"/>
        </w:rPr>
        <w:t xml:space="preserve">The following sections provide comment on the budget accounting and classification issues that have material impacts on the Budget aggregates and how they are presented. </w:t>
      </w:r>
    </w:p>
    <w:p w14:paraId="6EF4B74F" w14:textId="5C0AD5AC" w:rsidR="00EA4B61" w:rsidRPr="00EA4B61" w:rsidRDefault="00EA4B61" w:rsidP="000D512F">
      <w:pPr>
        <w:pStyle w:val="Heading2"/>
      </w:pPr>
      <w:bookmarkStart w:id="209" w:name="_Toc64529063"/>
      <w:bookmarkStart w:id="210" w:name="_Toc171949034"/>
      <w:r w:rsidRPr="00EA4B61">
        <w:t>9.2</w:t>
      </w:r>
      <w:r w:rsidRPr="00EA4B61">
        <w:tab/>
        <w:t>Disclosure of key accounting policies</w:t>
      </w:r>
      <w:bookmarkEnd w:id="209"/>
      <w:bookmarkEnd w:id="210"/>
    </w:p>
    <w:p w14:paraId="3D294E61" w14:textId="77777777" w:rsidR="00EA4B61" w:rsidRDefault="00EA4B61" w:rsidP="00EA4B61">
      <w:pPr>
        <w:spacing w:before="200" w:after="200"/>
        <w:rPr>
          <w:rFonts w:ascii="Calibri" w:hAnsi="Calibri" w:cs="Calibri"/>
        </w:rPr>
      </w:pPr>
      <w:r w:rsidRPr="00D101ED">
        <w:rPr>
          <w:rFonts w:ascii="Calibri" w:hAnsi="Calibri" w:cs="Calibri"/>
        </w:rPr>
        <w:t>The Budget financial statements, including the budget deficit, and associated tables, are presented in Chapter 4 of the principal Budget Paper</w:t>
      </w:r>
      <w:r>
        <w:rPr>
          <w:rFonts w:ascii="Calibri" w:hAnsi="Calibri" w:cs="Calibri"/>
        </w:rPr>
        <w:t xml:space="preserve"> (ACT Government, 2024, pp. 273-287)</w:t>
      </w:r>
      <w:r w:rsidRPr="00D101ED">
        <w:rPr>
          <w:rFonts w:ascii="Calibri" w:hAnsi="Calibri" w:cs="Calibri"/>
        </w:rPr>
        <w:t xml:space="preserve">. </w:t>
      </w:r>
      <w:r>
        <w:rPr>
          <w:rFonts w:ascii="Calibri" w:hAnsi="Calibri" w:cs="Calibri"/>
        </w:rPr>
        <w:t xml:space="preserve"> </w:t>
      </w:r>
      <w:r w:rsidRPr="00D101ED">
        <w:rPr>
          <w:rFonts w:ascii="Calibri" w:hAnsi="Calibri" w:cs="Calibri"/>
        </w:rPr>
        <w:t xml:space="preserve">Section 4.1 relates to the General Government Sector (GGS) and Appendix D includes the financial statements for the ACT’s Public Trading Enterprises. </w:t>
      </w:r>
      <w:r>
        <w:rPr>
          <w:rFonts w:ascii="Calibri" w:hAnsi="Calibri" w:cs="Calibri"/>
        </w:rPr>
        <w:t xml:space="preserve"> </w:t>
      </w:r>
      <w:r w:rsidRPr="00D101ED">
        <w:rPr>
          <w:rFonts w:ascii="Calibri" w:hAnsi="Calibri" w:cs="Calibri"/>
        </w:rPr>
        <w:t>Appendix E includes the Total Territory Consolidated Financial Statements</w:t>
      </w:r>
      <w:r>
        <w:rPr>
          <w:rFonts w:ascii="Calibri" w:hAnsi="Calibri" w:cs="Calibri"/>
        </w:rPr>
        <w:t xml:space="preserve"> which provides </w:t>
      </w:r>
      <w:r w:rsidRPr="00D101ED">
        <w:rPr>
          <w:rFonts w:ascii="Calibri" w:hAnsi="Calibri" w:cs="Calibri"/>
        </w:rPr>
        <w:t xml:space="preserve">an accounting consolidation of the GGS and the Public Trading Enterprises.  </w:t>
      </w:r>
    </w:p>
    <w:p w14:paraId="74B0C2AA" w14:textId="77777777" w:rsidR="00EA4B61" w:rsidRPr="00D101ED" w:rsidRDefault="00EA4B61" w:rsidP="00EA4B61">
      <w:pPr>
        <w:spacing w:before="200" w:after="200"/>
        <w:rPr>
          <w:rFonts w:ascii="Calibri" w:hAnsi="Calibri" w:cs="Calibri"/>
        </w:rPr>
      </w:pPr>
      <w:r w:rsidRPr="00D101ED">
        <w:rPr>
          <w:rFonts w:ascii="Calibri" w:hAnsi="Calibri" w:cs="Calibri"/>
        </w:rPr>
        <w:t xml:space="preserve">The GGS statements </w:t>
      </w:r>
      <w:r>
        <w:rPr>
          <w:rFonts w:ascii="Calibri" w:hAnsi="Calibri" w:cs="Calibri"/>
        </w:rPr>
        <w:t xml:space="preserve">have been prepared on the </w:t>
      </w:r>
      <w:r w:rsidRPr="00D101ED">
        <w:rPr>
          <w:rFonts w:ascii="Calibri" w:hAnsi="Calibri" w:cs="Calibri"/>
        </w:rPr>
        <w:t xml:space="preserve">Australian Accounting Standards Board accounting standard AASB 1049 </w:t>
      </w:r>
      <w:r w:rsidRPr="00D101ED">
        <w:rPr>
          <w:rFonts w:ascii="Calibri" w:hAnsi="Calibri" w:cs="Calibri"/>
          <w:i/>
          <w:iCs/>
        </w:rPr>
        <w:t>Whole of Government and General Government Sector Financial Reportin</w:t>
      </w:r>
      <w:r>
        <w:rPr>
          <w:rFonts w:ascii="Calibri" w:hAnsi="Calibri" w:cs="Calibri"/>
          <w:i/>
          <w:iCs/>
        </w:rPr>
        <w:t>g</w:t>
      </w:r>
      <w:r w:rsidRPr="00D101ED">
        <w:rPr>
          <w:rFonts w:ascii="Calibri" w:hAnsi="Calibri" w:cs="Calibri"/>
        </w:rPr>
        <w:t>.</w:t>
      </w:r>
      <w:r>
        <w:rPr>
          <w:rFonts w:ascii="Calibri" w:hAnsi="Calibri" w:cs="Calibri"/>
        </w:rPr>
        <w:t xml:space="preserve"> </w:t>
      </w:r>
      <w:r w:rsidRPr="00D101ED">
        <w:rPr>
          <w:rFonts w:ascii="Calibri" w:hAnsi="Calibri" w:cs="Calibri"/>
        </w:rPr>
        <w:t xml:space="preserve"> AASB 1049, which forms the basis for the Australian Heads of Treasuries Uniform Presentation Framework, requires compliance with all other applicable accounting standards in the preparation of the statements.</w:t>
      </w:r>
    </w:p>
    <w:p w14:paraId="3C28F562" w14:textId="77777777" w:rsidR="00EA4B61" w:rsidRPr="00D101ED" w:rsidRDefault="00EA4B61" w:rsidP="00EA4B61">
      <w:pPr>
        <w:spacing w:before="200" w:after="200"/>
        <w:rPr>
          <w:rFonts w:ascii="Calibri" w:hAnsi="Calibri" w:cs="Calibri"/>
        </w:rPr>
      </w:pPr>
      <w:r w:rsidRPr="00D101ED">
        <w:rPr>
          <w:rFonts w:ascii="Calibri" w:hAnsi="Calibri" w:cs="Calibri"/>
        </w:rPr>
        <w:t xml:space="preserve">In accordance with generally accepted budget reporting principles, Section 4.2 sets out revenues and expenses by </w:t>
      </w:r>
      <w:r>
        <w:rPr>
          <w:rFonts w:ascii="Calibri" w:hAnsi="Calibri" w:cs="Calibri"/>
        </w:rPr>
        <w:t>economic type</w:t>
      </w:r>
      <w:r w:rsidRPr="00D101ED">
        <w:rPr>
          <w:rFonts w:ascii="Calibri" w:hAnsi="Calibri" w:cs="Calibri"/>
        </w:rPr>
        <w:t xml:space="preserve">. </w:t>
      </w:r>
      <w:r>
        <w:rPr>
          <w:rFonts w:ascii="Calibri" w:hAnsi="Calibri" w:cs="Calibri"/>
        </w:rPr>
        <w:t xml:space="preserve"> </w:t>
      </w:r>
      <w:r w:rsidRPr="00D101ED">
        <w:rPr>
          <w:rFonts w:ascii="Calibri" w:hAnsi="Calibri" w:cs="Calibri"/>
        </w:rPr>
        <w:t>These tables provide details and a level of granularity of the ACT’s revenue streams and expenses across the ACT’s key directorate functions.</w:t>
      </w:r>
      <w:r>
        <w:rPr>
          <w:rFonts w:ascii="Calibri" w:hAnsi="Calibri" w:cs="Calibri"/>
        </w:rPr>
        <w:t xml:space="preserve">  The total numbers can be reconciled with the estimates and forecasts set out in the revenue and expense section of the Budget (see particularly Tables 3.4.2 and Table 3.5.1).</w:t>
      </w:r>
    </w:p>
    <w:p w14:paraId="0A5A93BC" w14:textId="77777777" w:rsidR="00EA4B61" w:rsidRPr="00D101ED" w:rsidRDefault="00EA4B61" w:rsidP="00EA4B61">
      <w:pPr>
        <w:spacing w:before="240" w:after="200"/>
        <w:rPr>
          <w:rFonts w:ascii="Calibri" w:hAnsi="Calibri" w:cs="Calibri"/>
        </w:rPr>
      </w:pPr>
      <w:r w:rsidRPr="00D101ED">
        <w:rPr>
          <w:rFonts w:ascii="Calibri" w:hAnsi="Calibri" w:cs="Calibri"/>
        </w:rPr>
        <w:t xml:space="preserve">Appendix G – “Basis of financial statement preparation” </w:t>
      </w:r>
      <w:r>
        <w:rPr>
          <w:rFonts w:ascii="Calibri" w:hAnsi="Calibri" w:cs="Calibri"/>
        </w:rPr>
        <w:t xml:space="preserve">ACT Government, 2024, pp. 329-333) </w:t>
      </w:r>
      <w:r w:rsidRPr="00D101ED">
        <w:rPr>
          <w:rFonts w:ascii="Calibri" w:hAnsi="Calibri" w:cs="Calibri"/>
        </w:rPr>
        <w:t xml:space="preserve">sets out the key accounting bases adopted in the preparation of the Budget financial statements. This section confirms </w:t>
      </w:r>
      <w:r>
        <w:rPr>
          <w:rFonts w:ascii="Calibri" w:hAnsi="Calibri" w:cs="Calibri"/>
        </w:rPr>
        <w:t xml:space="preserve">that </w:t>
      </w:r>
      <w:r w:rsidRPr="00D101ED">
        <w:rPr>
          <w:rFonts w:ascii="Calibri" w:hAnsi="Calibri" w:cs="Calibri"/>
        </w:rPr>
        <w:t>the financial statements have been prepared in accordance with AASB 1049, the Heads of Treasuries Uniform Presentation Framework, which is based on AASB 1049, and where applicable, the ABS Government Finance Statistics framework.</w:t>
      </w:r>
    </w:p>
    <w:p w14:paraId="4FE252B0" w14:textId="77777777" w:rsidR="00EA4B61" w:rsidRDefault="00EA4B61" w:rsidP="00EA4B61">
      <w:pPr>
        <w:rPr>
          <w:rFonts w:ascii="Calibri" w:hAnsi="Calibri" w:cs="Calibri"/>
        </w:rPr>
      </w:pPr>
      <w:r w:rsidRPr="00D101ED">
        <w:rPr>
          <w:rFonts w:ascii="Calibri" w:hAnsi="Calibri" w:cs="Calibri"/>
        </w:rPr>
        <w:t xml:space="preserve">Appendix G </w:t>
      </w:r>
      <w:r>
        <w:rPr>
          <w:rFonts w:ascii="Calibri" w:hAnsi="Calibri" w:cs="Calibri"/>
        </w:rPr>
        <w:t xml:space="preserve">also </w:t>
      </w:r>
      <w:r w:rsidRPr="00D101ED">
        <w:rPr>
          <w:rFonts w:ascii="Calibri" w:hAnsi="Calibri" w:cs="Calibri"/>
        </w:rPr>
        <w:t>discloses several accounting policies and assumptions that relate to Service Concessions and Concessional Loans.</w:t>
      </w:r>
      <w:r>
        <w:rPr>
          <w:rFonts w:ascii="Calibri" w:hAnsi="Calibri" w:cs="Calibri"/>
        </w:rPr>
        <w:t xml:space="preserve">  The Service Concession disclosures relating to Light Rail Stage 2A, in particular, have been enhanced for 2024-25.  However, </w:t>
      </w:r>
      <w:r w:rsidRPr="00D101ED">
        <w:rPr>
          <w:rFonts w:ascii="Calibri" w:hAnsi="Calibri" w:cs="Calibri"/>
        </w:rPr>
        <w:t xml:space="preserve">there is no disclosure of </w:t>
      </w:r>
      <w:r>
        <w:rPr>
          <w:rFonts w:ascii="Calibri" w:hAnsi="Calibri" w:cs="Calibri"/>
        </w:rPr>
        <w:t xml:space="preserve">the accounting policies adopted in respect of other </w:t>
      </w:r>
      <w:r w:rsidRPr="00D101ED">
        <w:rPr>
          <w:rFonts w:ascii="Calibri" w:hAnsi="Calibri" w:cs="Calibri"/>
        </w:rPr>
        <w:t xml:space="preserve">key assets such as investments and loans, investments in other public sector entities, and produced and non-produced property plant and equipment, nor key liabilities such as advances received, borrowings, superannuation and employee compensation. </w:t>
      </w:r>
    </w:p>
    <w:p w14:paraId="388AF70A" w14:textId="77777777" w:rsidR="00EA4B61" w:rsidRPr="00D101ED" w:rsidRDefault="00EA4B61" w:rsidP="00EA4B61">
      <w:pPr>
        <w:spacing w:before="200" w:after="200"/>
        <w:rPr>
          <w:rFonts w:ascii="Calibri" w:hAnsi="Calibri" w:cs="Calibri"/>
        </w:rPr>
      </w:pPr>
      <w:r>
        <w:rPr>
          <w:rFonts w:ascii="Calibri" w:hAnsi="Calibri" w:cs="Calibri"/>
        </w:rPr>
        <w:t>T</w:t>
      </w:r>
      <w:r w:rsidRPr="00D101ED">
        <w:rPr>
          <w:rFonts w:ascii="Calibri" w:hAnsi="Calibri" w:cs="Calibri"/>
        </w:rPr>
        <w:t>ypically</w:t>
      </w:r>
      <w:r>
        <w:rPr>
          <w:rFonts w:ascii="Calibri" w:hAnsi="Calibri" w:cs="Calibri"/>
        </w:rPr>
        <w:t>,</w:t>
      </w:r>
      <w:r w:rsidRPr="00D101ED">
        <w:rPr>
          <w:rFonts w:ascii="Calibri" w:hAnsi="Calibri" w:cs="Calibri"/>
        </w:rPr>
        <w:t xml:space="preserve"> financial statements would be accompanied by a series of notes, describing the accounting policies and assumptions adopted and providing a breakdown of key financial statement items. By way of comparison, some other jurisdictions include a statement of the basis of accounting adopted, significant accounting policies and forecast assumptions and include disclosure of the likely impact of new or amended accounting standards applicable in the future. </w:t>
      </w:r>
    </w:p>
    <w:p w14:paraId="463410F3" w14:textId="77777777" w:rsidR="00EA4B61" w:rsidRPr="00734E65" w:rsidRDefault="00EA4B61" w:rsidP="00EA4B61">
      <w:pPr>
        <w:spacing w:before="200" w:after="200"/>
        <w:rPr>
          <w:rFonts w:ascii="Calibri" w:hAnsi="Calibri" w:cs="Calibri"/>
        </w:rPr>
      </w:pPr>
      <w:r>
        <w:rPr>
          <w:rFonts w:ascii="Calibri" w:hAnsi="Calibri" w:cs="Calibri"/>
        </w:rPr>
        <w:lastRenderedPageBreak/>
        <w:t>Adopting s</w:t>
      </w:r>
      <w:r w:rsidRPr="00D101ED">
        <w:rPr>
          <w:rFonts w:ascii="Calibri" w:hAnsi="Calibri" w:cs="Calibri"/>
        </w:rPr>
        <w:t xml:space="preserve">uch an approach would </w:t>
      </w:r>
      <w:r>
        <w:rPr>
          <w:rFonts w:ascii="Calibri" w:hAnsi="Calibri" w:cs="Calibri"/>
        </w:rPr>
        <w:t>not only ensure</w:t>
      </w:r>
      <w:r w:rsidRPr="00D101ED">
        <w:rPr>
          <w:rFonts w:ascii="Calibri" w:hAnsi="Calibri" w:cs="Calibri"/>
        </w:rPr>
        <w:t xml:space="preserve"> consisten</w:t>
      </w:r>
      <w:r>
        <w:rPr>
          <w:rFonts w:ascii="Calibri" w:hAnsi="Calibri" w:cs="Calibri"/>
        </w:rPr>
        <w:t>cy</w:t>
      </w:r>
      <w:r w:rsidRPr="00D101ED">
        <w:rPr>
          <w:rFonts w:ascii="Calibri" w:hAnsi="Calibri" w:cs="Calibri"/>
        </w:rPr>
        <w:t xml:space="preserve"> with other Australian jurisdictions, </w:t>
      </w:r>
      <w:r>
        <w:rPr>
          <w:rFonts w:ascii="Calibri" w:hAnsi="Calibri" w:cs="Calibri"/>
        </w:rPr>
        <w:t>(</w:t>
      </w:r>
      <w:r w:rsidRPr="00D101ED">
        <w:rPr>
          <w:rFonts w:ascii="Calibri" w:hAnsi="Calibri" w:cs="Calibri"/>
        </w:rPr>
        <w:t>including the Commonwealth</w:t>
      </w:r>
      <w:r>
        <w:rPr>
          <w:rFonts w:ascii="Calibri" w:hAnsi="Calibri" w:cs="Calibri"/>
        </w:rPr>
        <w:t>), but would also</w:t>
      </w:r>
      <w:r w:rsidRPr="00D101ED">
        <w:rPr>
          <w:rFonts w:ascii="Calibri" w:hAnsi="Calibri" w:cs="Calibri"/>
        </w:rPr>
        <w:t xml:space="preserve"> enhance accountability and transparency for the users of the statements.</w:t>
      </w:r>
      <w:bookmarkStart w:id="211" w:name="_Toc64529064"/>
    </w:p>
    <w:p w14:paraId="567B1DB5" w14:textId="77777777" w:rsidR="00EA4B61" w:rsidRPr="00EA4B61" w:rsidRDefault="00EA4B61" w:rsidP="000D512F">
      <w:pPr>
        <w:pStyle w:val="Heading2"/>
      </w:pPr>
      <w:bookmarkStart w:id="212" w:name="_Toc171949035"/>
      <w:r w:rsidRPr="00EA4B61">
        <w:t>9.3</w:t>
      </w:r>
      <w:r w:rsidRPr="00EA4B61">
        <w:tab/>
        <w:t>Superannuation return adjustment</w:t>
      </w:r>
      <w:bookmarkEnd w:id="211"/>
      <w:bookmarkEnd w:id="212"/>
    </w:p>
    <w:p w14:paraId="4C2F8404" w14:textId="77777777" w:rsidR="00EA4B61" w:rsidRPr="00D101ED" w:rsidRDefault="00EA4B61" w:rsidP="00EA4B61">
      <w:pPr>
        <w:spacing w:before="200" w:after="200"/>
        <w:rPr>
          <w:rFonts w:ascii="Calibri" w:hAnsi="Calibri" w:cs="Calibri"/>
        </w:rPr>
      </w:pPr>
      <w:r w:rsidRPr="00D101ED">
        <w:rPr>
          <w:rFonts w:ascii="Calibri" w:hAnsi="Calibri" w:cs="Calibri"/>
        </w:rPr>
        <w:t>As has been the case since 2006-07, the presentation of the headline net operating balance for 202</w:t>
      </w:r>
      <w:r>
        <w:rPr>
          <w:rFonts w:ascii="Calibri" w:hAnsi="Calibri" w:cs="Calibri"/>
        </w:rPr>
        <w:t>4</w:t>
      </w:r>
      <w:r w:rsidRPr="00D101ED">
        <w:rPr>
          <w:rFonts w:ascii="Calibri" w:hAnsi="Calibri" w:cs="Calibri"/>
        </w:rPr>
        <w:t>-2</w:t>
      </w:r>
      <w:r>
        <w:rPr>
          <w:rFonts w:ascii="Calibri" w:hAnsi="Calibri" w:cs="Calibri"/>
        </w:rPr>
        <w:t>5</w:t>
      </w:r>
      <w:r w:rsidRPr="00D101ED">
        <w:rPr>
          <w:rFonts w:ascii="Calibri" w:hAnsi="Calibri" w:cs="Calibri"/>
        </w:rPr>
        <w:t xml:space="preserve"> includes an adjustment for long-term expected superannuation investment earnings.</w:t>
      </w:r>
    </w:p>
    <w:p w14:paraId="55E8706F" w14:textId="77777777" w:rsidR="00EA4B61" w:rsidRPr="00D101ED" w:rsidRDefault="00EA4B61" w:rsidP="00EA4B61">
      <w:pPr>
        <w:spacing w:before="200" w:after="200"/>
        <w:rPr>
          <w:rFonts w:ascii="Calibri" w:hAnsi="Calibri" w:cs="Calibri"/>
        </w:rPr>
      </w:pPr>
      <w:r w:rsidRPr="00D101ED">
        <w:rPr>
          <w:rFonts w:ascii="Calibri" w:hAnsi="Calibri" w:cs="Calibri"/>
        </w:rPr>
        <w:t>The Government has argued that a superannuation return adjustment (SRA) is necessary in order to provide a fair measure of its fiscal position.  While the Government Finance Statistics (GFS) reporting framework requires the inclusion of superannuation interest costs and other superannuation expenses in the operating balance, it only allows for interest income and dividends to be included as a transactional revenue item in the net operating balance, ignoring the capital growth on the assets in the Superannuation Provision Account</w:t>
      </w:r>
      <w:r>
        <w:rPr>
          <w:rFonts w:ascii="Calibri" w:hAnsi="Calibri" w:cs="Calibri"/>
        </w:rPr>
        <w:t xml:space="preserve"> (ACT Government, 2016, p 42)</w:t>
      </w:r>
      <w:r w:rsidRPr="00D101ED">
        <w:rPr>
          <w:rFonts w:ascii="Calibri" w:hAnsi="Calibri" w:cs="Calibri"/>
        </w:rPr>
        <w:t>. The ACT Treasury has indicated to us that inclusion of the SRA provides a better indication of the sustainability of the headline net operating balance.</w:t>
      </w:r>
    </w:p>
    <w:p w14:paraId="512E2A24" w14:textId="77777777" w:rsidR="00EA4B61" w:rsidRPr="00D101ED" w:rsidRDefault="00EA4B61" w:rsidP="00EA4B61">
      <w:pPr>
        <w:spacing w:before="200" w:after="200"/>
        <w:rPr>
          <w:rFonts w:ascii="Calibri" w:hAnsi="Calibri" w:cs="Calibri"/>
        </w:rPr>
      </w:pPr>
      <w:r w:rsidRPr="00D101ED">
        <w:rPr>
          <w:rFonts w:ascii="Calibri" w:hAnsi="Calibri" w:cs="Calibri"/>
        </w:rPr>
        <w:t xml:space="preserve">We </w:t>
      </w:r>
      <w:r>
        <w:rPr>
          <w:rFonts w:ascii="Calibri" w:hAnsi="Calibri" w:cs="Calibri"/>
        </w:rPr>
        <w:t xml:space="preserve">have noted in previous reports that </w:t>
      </w:r>
      <w:r w:rsidRPr="00D101ED">
        <w:rPr>
          <w:rFonts w:ascii="Calibri" w:hAnsi="Calibri" w:cs="Calibri"/>
        </w:rPr>
        <w:t xml:space="preserve">there is an argument for allowing an offset to the reported interest cost to recognise the fact that the Government is holding assets in the Superannuation Provision Account to meet superannuation liabilities.  </w:t>
      </w:r>
      <w:r>
        <w:rPr>
          <w:rFonts w:ascii="Calibri" w:hAnsi="Calibri" w:cs="Calibri"/>
        </w:rPr>
        <w:t>In particular, c</w:t>
      </w:r>
      <w:r w:rsidRPr="00D101ED">
        <w:rPr>
          <w:rFonts w:ascii="Calibri" w:hAnsi="Calibri" w:cs="Calibri"/>
        </w:rPr>
        <w:t xml:space="preserve">alculating </w:t>
      </w:r>
      <w:r>
        <w:rPr>
          <w:rFonts w:ascii="Calibri" w:hAnsi="Calibri" w:cs="Calibri"/>
        </w:rPr>
        <w:t>such an</w:t>
      </w:r>
      <w:r w:rsidRPr="00D101ED">
        <w:rPr>
          <w:rFonts w:ascii="Calibri" w:hAnsi="Calibri" w:cs="Calibri"/>
        </w:rPr>
        <w:t xml:space="preserve"> offset using the discount rate that has been used to estimate the liability would replicate the treatment of the interest cost in a partially funded superannuation scheme, to which the Territory arrangement is analogous.  </w:t>
      </w:r>
      <w:r>
        <w:rPr>
          <w:rFonts w:ascii="Calibri" w:hAnsi="Calibri" w:cs="Calibri"/>
        </w:rPr>
        <w:t xml:space="preserve">However, the Government has calculated the offset </w:t>
      </w:r>
      <w:r w:rsidRPr="00D101ED">
        <w:rPr>
          <w:rFonts w:ascii="Calibri" w:hAnsi="Calibri" w:cs="Calibri"/>
        </w:rPr>
        <w:t xml:space="preserve">by assuming a return on the assets that exceeds the discount rate adopted in valuing the superannuation liabilities. Given that the SRA is included in the net operating balance, it effectively biases this key Budget indicator towards a more favourable outcome.  </w:t>
      </w:r>
    </w:p>
    <w:p w14:paraId="73137C6B" w14:textId="77777777" w:rsidR="00EA4B61" w:rsidRPr="00D101ED" w:rsidRDefault="00EA4B61" w:rsidP="00EA4B61">
      <w:pPr>
        <w:spacing w:before="200" w:after="200"/>
        <w:rPr>
          <w:rFonts w:ascii="Calibri" w:hAnsi="Calibri" w:cs="Calibri"/>
        </w:rPr>
      </w:pPr>
      <w:r>
        <w:rPr>
          <w:rFonts w:ascii="Calibri" w:hAnsi="Calibri" w:cs="Calibri"/>
        </w:rPr>
        <w:t>We remain of the view that i</w:t>
      </w:r>
      <w:r w:rsidRPr="00D101ED">
        <w:rPr>
          <w:rFonts w:ascii="Calibri" w:hAnsi="Calibri" w:cs="Calibri"/>
        </w:rPr>
        <w:t>f the SRA is to be included in the headline net operating balance, it should not lead to a bias in outcomes. This would mean calculating the SRA on an assumption that the total return on the assets of the Superannuation Provision Account is identical to the long-term discount rate used in valuing the liability. In the Budget year, this would imply an SRA of $</w:t>
      </w:r>
      <w:r>
        <w:rPr>
          <w:rFonts w:ascii="Calibri" w:hAnsi="Calibri" w:cs="Calibri"/>
        </w:rPr>
        <w:t>83</w:t>
      </w:r>
      <w:r w:rsidRPr="00D101ED">
        <w:rPr>
          <w:rFonts w:ascii="Calibri" w:hAnsi="Calibri" w:cs="Calibri"/>
        </w:rPr>
        <w:t xml:space="preserve"> million. Thus, using the projected long-term investment return rather than the long-term valuation discount rate of 5% per annum reduces the </w:t>
      </w:r>
      <w:r>
        <w:rPr>
          <w:rFonts w:ascii="Calibri" w:hAnsi="Calibri" w:cs="Calibri"/>
        </w:rPr>
        <w:t>reported deficit</w:t>
      </w:r>
      <w:r w:rsidRPr="00D101ED">
        <w:rPr>
          <w:rFonts w:ascii="Calibri" w:hAnsi="Calibri" w:cs="Calibri"/>
        </w:rPr>
        <w:t xml:space="preserve"> by around $1</w:t>
      </w:r>
      <w:r>
        <w:rPr>
          <w:rFonts w:ascii="Calibri" w:hAnsi="Calibri" w:cs="Calibri"/>
        </w:rPr>
        <w:t>50</w:t>
      </w:r>
      <w:r w:rsidRPr="00D101ED">
        <w:rPr>
          <w:rFonts w:ascii="Calibri" w:hAnsi="Calibri" w:cs="Calibri"/>
        </w:rPr>
        <w:t xml:space="preserve"> million.</w:t>
      </w:r>
    </w:p>
    <w:p w14:paraId="4D9910CD" w14:textId="77777777" w:rsidR="00EA4B61" w:rsidRPr="00EA4B61" w:rsidRDefault="00EA4B61" w:rsidP="000D512F">
      <w:pPr>
        <w:pStyle w:val="Heading2"/>
      </w:pPr>
      <w:bookmarkStart w:id="213" w:name="_Toc516578197"/>
      <w:bookmarkStart w:id="214" w:name="_Toc516672695"/>
      <w:bookmarkStart w:id="215" w:name="_Toc516675566"/>
      <w:bookmarkStart w:id="216" w:name="_Toc64529065"/>
      <w:bookmarkStart w:id="217" w:name="_Toc171949036"/>
      <w:r w:rsidRPr="00EA4B61">
        <w:t>9.4</w:t>
      </w:r>
      <w:r w:rsidRPr="00EA4B61">
        <w:tab/>
        <w:t>Superannuation liability valuation</w:t>
      </w:r>
      <w:bookmarkEnd w:id="213"/>
      <w:bookmarkEnd w:id="214"/>
      <w:bookmarkEnd w:id="215"/>
      <w:r w:rsidRPr="00EA4B61">
        <w:t xml:space="preserve"> and service costs</w:t>
      </w:r>
      <w:bookmarkEnd w:id="216"/>
      <w:bookmarkEnd w:id="217"/>
    </w:p>
    <w:p w14:paraId="04267319" w14:textId="77777777" w:rsidR="00EA4B61" w:rsidRPr="00232388" w:rsidRDefault="00EA4B61" w:rsidP="00EA4B61">
      <w:pPr>
        <w:spacing w:before="200" w:after="200"/>
      </w:pPr>
      <w:bookmarkStart w:id="218" w:name="_Toc516675567"/>
      <w:bookmarkStart w:id="219" w:name="_Toc64529066"/>
      <w:r w:rsidRPr="00232388">
        <w:t xml:space="preserve">The discount rate used to calculate the present value of the Territory’s superannuation liability has a significant impact on the estimated value of the superannuation liability and related superannuation expenses. </w:t>
      </w:r>
    </w:p>
    <w:p w14:paraId="521A4BC4" w14:textId="77777777" w:rsidR="00EA4B61" w:rsidRPr="00232388" w:rsidRDefault="00EA4B61" w:rsidP="00EA4B61">
      <w:pPr>
        <w:spacing w:before="200" w:after="200"/>
      </w:pPr>
      <w:r w:rsidRPr="00232388">
        <w:t>It is also important to note that the Budget forecasts for the superannuation liability and associated expenses are calculated using a different discount rate from that used in reporting for the Territory’s financial statements.  The Budget forecasts use a long-term discount rate while for financial reporting the prevailing Government bond rate is used.</w:t>
      </w:r>
    </w:p>
    <w:p w14:paraId="55D97532" w14:textId="77777777" w:rsidR="00EA4B61" w:rsidRPr="00232388" w:rsidRDefault="00EA4B61" w:rsidP="00EA4B61">
      <w:pPr>
        <w:spacing w:before="200" w:after="200"/>
      </w:pPr>
      <w:r w:rsidRPr="00232388">
        <w:t>The long-term discount rate utilised in the 20</w:t>
      </w:r>
      <w:r>
        <w:t>24</w:t>
      </w:r>
      <w:r w:rsidRPr="00232388">
        <w:t>-</w:t>
      </w:r>
      <w:r>
        <w:t>25</w:t>
      </w:r>
      <w:r w:rsidRPr="00232388">
        <w:t xml:space="preserve"> Budget </w:t>
      </w:r>
      <w:r>
        <w:t>is</w:t>
      </w:r>
      <w:r w:rsidRPr="00232388">
        <w:t xml:space="preserve"> </w:t>
      </w:r>
      <w:r>
        <w:t>5</w:t>
      </w:r>
      <w:r w:rsidRPr="00232388">
        <w:t xml:space="preserve"> per</w:t>
      </w:r>
      <w:r>
        <w:t xml:space="preserve"> </w:t>
      </w:r>
      <w:r w:rsidRPr="00232388">
        <w:t>cent per</w:t>
      </w:r>
      <w:r>
        <w:t> </w:t>
      </w:r>
      <w:r w:rsidRPr="00232388">
        <w:t>annum</w:t>
      </w:r>
      <w:r>
        <w:t xml:space="preserve">.  This is consistent with the rates used </w:t>
      </w:r>
      <w:r w:rsidRPr="00232388">
        <w:t xml:space="preserve">by the Commonwealth Government </w:t>
      </w:r>
      <w:r>
        <w:t>in the two most recent triennial actuarial reviews (as at 30 June 2020 and 30 June 2023) of the defined benefit schemes giving rise to the Territory’s liability.  The inflation assumption is also consistent with that used for the triennial actuarial reviews</w:t>
      </w:r>
      <w:r w:rsidRPr="00232388">
        <w:t>.</w:t>
      </w:r>
      <w:r>
        <w:t xml:space="preserve"> </w:t>
      </w:r>
      <w:r w:rsidRPr="00232388">
        <w:t xml:space="preserve"> </w:t>
      </w:r>
    </w:p>
    <w:p w14:paraId="1271D496" w14:textId="77777777" w:rsidR="00EA4B61" w:rsidRPr="00232388" w:rsidRDefault="00EA4B61" w:rsidP="00EA4B61">
      <w:pPr>
        <w:spacing w:before="200" w:after="200"/>
      </w:pPr>
      <w:r w:rsidRPr="00232388">
        <w:lastRenderedPageBreak/>
        <w:t xml:space="preserve">Reporting at the end of the financial year in the financial statements is required under the Australian Accounting Standards (AASB 119) to be prepared on the basis of the yield on a suitable Commonwealth Government bond. The liability valuation </w:t>
      </w:r>
      <w:r>
        <w:t xml:space="preserve">as </w:t>
      </w:r>
      <w:r w:rsidRPr="00232388">
        <w:t>at 30 June 20</w:t>
      </w:r>
      <w:r>
        <w:t>23</w:t>
      </w:r>
      <w:r w:rsidRPr="00232388">
        <w:t xml:space="preserve"> utilised a discount rate assumption of </w:t>
      </w:r>
      <w:r>
        <w:t>4.40</w:t>
      </w:r>
      <w:r w:rsidRPr="00232388">
        <w:t xml:space="preserve"> </w:t>
      </w:r>
      <w:r w:rsidRPr="00EB2640">
        <w:t xml:space="preserve">percent </w:t>
      </w:r>
      <w:r w:rsidRPr="00EB2640">
        <w:rPr>
          <w:rFonts w:cstheme="minorHAnsi"/>
        </w:rPr>
        <w:t xml:space="preserve">(ACT </w:t>
      </w:r>
      <w:r>
        <w:rPr>
          <w:rFonts w:cstheme="minorHAnsi"/>
        </w:rPr>
        <w:t>Budget 2024</w:t>
      </w:r>
      <w:r w:rsidRPr="00EB2640">
        <w:rPr>
          <w:rFonts w:cstheme="minorHAnsi"/>
        </w:rPr>
        <w:t>, p. 2</w:t>
      </w:r>
      <w:r>
        <w:rPr>
          <w:rFonts w:cstheme="minorHAnsi"/>
        </w:rPr>
        <w:t>64</w:t>
      </w:r>
      <w:r w:rsidRPr="00EB2640">
        <w:rPr>
          <w:rFonts w:cstheme="minorHAnsi"/>
        </w:rPr>
        <w:t>)</w:t>
      </w:r>
      <w:r w:rsidRPr="00EB2640">
        <w:t>.</w:t>
      </w:r>
      <w:r>
        <w:t xml:space="preserve"> The Budget documents were prepared prior to 30 June 2024 and rather than using an estimate of the likely bond yields at that date, the liability and associated service costs have been estimated using the long-term discount rate of 5%.</w:t>
      </w:r>
    </w:p>
    <w:p w14:paraId="33F534AB" w14:textId="180CF19B" w:rsidR="00EA4B61" w:rsidRPr="00232388" w:rsidRDefault="003E0409" w:rsidP="00EA4B61">
      <w:pPr>
        <w:spacing w:before="200" w:after="200"/>
      </w:pPr>
      <w:r>
        <w:t>T</w:t>
      </w:r>
      <w:r w:rsidR="00EA4B61">
        <w:t xml:space="preserve">he Reserve Bank of Australia increased the cash rate significantly in response to the spike in inflation in 2022 and 2023, </w:t>
      </w:r>
      <w:r>
        <w:t xml:space="preserve">and </w:t>
      </w:r>
      <w:r w:rsidR="00EA4B61">
        <w:t xml:space="preserve">yields on 10 year Commonwealth Government bonds </w:t>
      </w:r>
      <w:r>
        <w:t xml:space="preserve">rose to almost 5 percent in November 2023, but </w:t>
      </w:r>
      <w:r w:rsidR="00576DB5">
        <w:t>subsequently fell</w:t>
      </w:r>
      <w:r>
        <w:t xml:space="preserve"> and</w:t>
      </w:r>
      <w:r w:rsidR="00576DB5">
        <w:t>, for the last six</w:t>
      </w:r>
      <w:r>
        <w:t xml:space="preserve"> </w:t>
      </w:r>
      <w:r w:rsidR="00576DB5">
        <w:t>months have been between 4 percent and 4.5 percent</w:t>
      </w:r>
      <w:r w:rsidR="00EA4B61">
        <w:t xml:space="preserve"> per annum.  It would be expected, therefore, that the closing liability reporting in the financial statements for 2023-24 will be significantly higher than that included in the Budget documents.</w:t>
      </w:r>
    </w:p>
    <w:p w14:paraId="60F2441C" w14:textId="77777777" w:rsidR="00EA4B61" w:rsidRPr="00232388" w:rsidRDefault="00EA4B61" w:rsidP="00EA4B61">
      <w:pPr>
        <w:spacing w:before="200" w:after="200"/>
      </w:pPr>
      <w:r w:rsidRPr="00232388">
        <w:rPr>
          <w:rFonts w:cstheme="minorHAnsi"/>
        </w:rPr>
        <w:t xml:space="preserve">Table </w:t>
      </w:r>
      <w:r>
        <w:rPr>
          <w:rFonts w:cstheme="minorHAnsi"/>
        </w:rPr>
        <w:t>J.6</w:t>
      </w:r>
      <w:r w:rsidRPr="00232388">
        <w:rPr>
          <w:rFonts w:cstheme="minorHAnsi"/>
        </w:rPr>
        <w:t xml:space="preserve"> in the Appendices to </w:t>
      </w:r>
      <w:r>
        <w:rPr>
          <w:rFonts w:cstheme="minorHAnsi"/>
        </w:rPr>
        <w:t>the Budget Outlook</w:t>
      </w:r>
      <w:r w:rsidRPr="00232388">
        <w:rPr>
          <w:rFonts w:cstheme="minorHAnsi"/>
        </w:rPr>
        <w:t xml:space="preserve"> indicates that a 1 per cent decrease in the discount rate from the long-term budget assumption of 5 per cent would increase the estimated liability by $1</w:t>
      </w:r>
      <w:r>
        <w:rPr>
          <w:rFonts w:cstheme="minorHAnsi"/>
        </w:rPr>
        <w:t xml:space="preserve">.7 </w:t>
      </w:r>
      <w:r w:rsidRPr="00232388">
        <w:rPr>
          <w:rFonts w:cstheme="minorHAnsi"/>
        </w:rPr>
        <w:t>billion</w:t>
      </w:r>
      <w:r>
        <w:rPr>
          <w:rFonts w:cstheme="minorHAnsi"/>
        </w:rPr>
        <w:t xml:space="preserve"> and an adjustment of this order could be expected</w:t>
      </w:r>
      <w:r w:rsidRPr="00232388">
        <w:t>.</w:t>
      </w:r>
    </w:p>
    <w:p w14:paraId="492BC4A8" w14:textId="5BC22FEE" w:rsidR="00EA4B61" w:rsidRPr="00232388" w:rsidRDefault="00EA4B61" w:rsidP="00EA4B61">
      <w:pPr>
        <w:pStyle w:val="Caption"/>
        <w:rPr>
          <w:rFonts w:cstheme="minorHAnsi"/>
        </w:rPr>
      </w:pPr>
      <w:bookmarkStart w:id="220" w:name="_Toc516578216"/>
      <w:bookmarkStart w:id="221" w:name="_Toc516673015"/>
      <w:bookmarkStart w:id="222" w:name="_Toc516675585"/>
      <w:bookmarkStart w:id="223" w:name="_Toc11145381"/>
      <w:bookmarkStart w:id="224" w:name="_Toc171949058"/>
      <w:r w:rsidRPr="00232388">
        <w:t xml:space="preserve">Table </w:t>
      </w:r>
      <w:r w:rsidRPr="00232388">
        <w:rPr>
          <w:noProof/>
        </w:rPr>
        <w:fldChar w:fldCharType="begin"/>
      </w:r>
      <w:r w:rsidRPr="00232388">
        <w:rPr>
          <w:noProof/>
        </w:rPr>
        <w:instrText xml:space="preserve"> SEQ Table \* ARABIC </w:instrText>
      </w:r>
      <w:r w:rsidRPr="00232388">
        <w:rPr>
          <w:noProof/>
        </w:rPr>
        <w:fldChar w:fldCharType="separate"/>
      </w:r>
      <w:r w:rsidR="000B62ED">
        <w:rPr>
          <w:noProof/>
        </w:rPr>
        <w:t>10</w:t>
      </w:r>
      <w:r w:rsidRPr="00232388">
        <w:rPr>
          <w:noProof/>
        </w:rPr>
        <w:fldChar w:fldCharType="end"/>
      </w:r>
      <w:r w:rsidRPr="00232388">
        <w:t>: Impact of a 1 percentage point</w:t>
      </w:r>
      <w:r w:rsidRPr="00232388" w:rsidDel="00DE1576">
        <w:t xml:space="preserve"> </w:t>
      </w:r>
      <w:r w:rsidRPr="00232388">
        <w:t xml:space="preserve">decrease in the discount rate on superannuation </w:t>
      </w:r>
      <w:bookmarkEnd w:id="220"/>
      <w:bookmarkEnd w:id="221"/>
      <w:bookmarkEnd w:id="222"/>
      <w:bookmarkEnd w:id="223"/>
      <w:r>
        <w:t>liability</w:t>
      </w:r>
      <w:bookmarkEnd w:id="224"/>
    </w:p>
    <w:tbl>
      <w:tblPr>
        <w:tblW w:w="9072" w:type="dxa"/>
        <w:jc w:val="center"/>
        <w:tblLayout w:type="fixed"/>
        <w:tblCellMar>
          <w:left w:w="10" w:type="dxa"/>
          <w:right w:w="10" w:type="dxa"/>
        </w:tblCellMar>
        <w:tblLook w:val="0000" w:firstRow="0" w:lastRow="0" w:firstColumn="0" w:lastColumn="0" w:noHBand="0" w:noVBand="0"/>
      </w:tblPr>
      <w:tblGrid>
        <w:gridCol w:w="4160"/>
        <w:gridCol w:w="1228"/>
        <w:gridCol w:w="1228"/>
        <w:gridCol w:w="1228"/>
        <w:gridCol w:w="1228"/>
      </w:tblGrid>
      <w:tr w:rsidR="00EA4B61" w:rsidRPr="00232388" w14:paraId="51B0C21D" w14:textId="77777777" w:rsidTr="002A0BB3">
        <w:trPr>
          <w:jc w:val="center"/>
        </w:trPr>
        <w:tc>
          <w:tcPr>
            <w:tcW w:w="4160" w:type="dxa"/>
            <w:tcBorders>
              <w:top w:val="single" w:sz="4" w:space="0" w:color="auto"/>
            </w:tcBorders>
          </w:tcPr>
          <w:p w14:paraId="2F243CBF" w14:textId="77777777" w:rsidR="00EA4B61" w:rsidRPr="00232388" w:rsidRDefault="00EA4B61" w:rsidP="002A0BB3">
            <w:pPr>
              <w:pStyle w:val="EmptyCell"/>
            </w:pPr>
          </w:p>
        </w:tc>
        <w:tc>
          <w:tcPr>
            <w:tcW w:w="1228" w:type="dxa"/>
            <w:tcBorders>
              <w:top w:val="single" w:sz="4" w:space="0" w:color="auto"/>
            </w:tcBorders>
          </w:tcPr>
          <w:p w14:paraId="1C3B2B74" w14:textId="77777777" w:rsidR="00EA4B61" w:rsidRPr="00232388" w:rsidRDefault="00EA4B61" w:rsidP="002A0BB3">
            <w:pPr>
              <w:pStyle w:val="BStableheading"/>
              <w:framePr w:wrap="auto" w:vAnchor="margin" w:yAlign="inline"/>
              <w:rPr>
                <w:lang w:val="en-AU"/>
              </w:rPr>
            </w:pPr>
            <w:r w:rsidRPr="00232388">
              <w:rPr>
                <w:lang w:val="en-AU"/>
              </w:rPr>
              <w:t>202</w:t>
            </w:r>
            <w:r>
              <w:rPr>
                <w:lang w:val="en-AU"/>
              </w:rPr>
              <w:t>4</w:t>
            </w:r>
            <w:r w:rsidRPr="00232388">
              <w:rPr>
                <w:lang w:val="en-AU"/>
              </w:rPr>
              <w:t>-2</w:t>
            </w:r>
            <w:r>
              <w:rPr>
                <w:lang w:val="en-AU"/>
              </w:rPr>
              <w:t>5</w:t>
            </w:r>
          </w:p>
        </w:tc>
        <w:tc>
          <w:tcPr>
            <w:tcW w:w="1228" w:type="dxa"/>
            <w:tcBorders>
              <w:top w:val="single" w:sz="4" w:space="0" w:color="auto"/>
            </w:tcBorders>
          </w:tcPr>
          <w:p w14:paraId="24FEC03B" w14:textId="77777777" w:rsidR="00EA4B61" w:rsidRPr="00232388" w:rsidRDefault="00EA4B61" w:rsidP="002A0BB3">
            <w:pPr>
              <w:pStyle w:val="BStableheading"/>
              <w:framePr w:wrap="auto" w:vAnchor="margin" w:yAlign="inline"/>
              <w:rPr>
                <w:lang w:val="en-AU"/>
              </w:rPr>
            </w:pPr>
            <w:r w:rsidRPr="00232388">
              <w:rPr>
                <w:lang w:val="en-AU"/>
              </w:rPr>
              <w:t>202</w:t>
            </w:r>
            <w:r>
              <w:rPr>
                <w:lang w:val="en-AU"/>
              </w:rPr>
              <w:t>5</w:t>
            </w:r>
            <w:r w:rsidRPr="00232388">
              <w:rPr>
                <w:lang w:val="en-AU"/>
              </w:rPr>
              <w:t>-2</w:t>
            </w:r>
            <w:r>
              <w:rPr>
                <w:lang w:val="en-AU"/>
              </w:rPr>
              <w:t>6</w:t>
            </w:r>
          </w:p>
        </w:tc>
        <w:tc>
          <w:tcPr>
            <w:tcW w:w="1228" w:type="dxa"/>
            <w:tcBorders>
              <w:top w:val="single" w:sz="4" w:space="0" w:color="auto"/>
            </w:tcBorders>
          </w:tcPr>
          <w:p w14:paraId="5C216F06" w14:textId="77777777" w:rsidR="00EA4B61" w:rsidRPr="00232388" w:rsidRDefault="00EA4B61" w:rsidP="002A0BB3">
            <w:pPr>
              <w:pStyle w:val="BStableheading"/>
              <w:framePr w:wrap="auto" w:vAnchor="margin" w:yAlign="inline"/>
              <w:rPr>
                <w:lang w:val="en-AU"/>
              </w:rPr>
            </w:pPr>
            <w:r>
              <w:rPr>
                <w:lang w:val="en-AU"/>
              </w:rPr>
              <w:t>2026-27</w:t>
            </w:r>
          </w:p>
        </w:tc>
        <w:tc>
          <w:tcPr>
            <w:tcW w:w="1228" w:type="dxa"/>
            <w:tcBorders>
              <w:top w:val="single" w:sz="4" w:space="0" w:color="auto"/>
            </w:tcBorders>
          </w:tcPr>
          <w:p w14:paraId="09AD1FFC" w14:textId="77777777" w:rsidR="00EA4B61" w:rsidRPr="00232388" w:rsidRDefault="00EA4B61" w:rsidP="002A0BB3">
            <w:pPr>
              <w:pStyle w:val="BStableheading"/>
              <w:framePr w:wrap="auto" w:vAnchor="margin" w:yAlign="inline"/>
              <w:rPr>
                <w:lang w:val="en-AU"/>
              </w:rPr>
            </w:pPr>
            <w:r>
              <w:rPr>
                <w:lang w:val="en-AU"/>
              </w:rPr>
              <w:t>2027-28</w:t>
            </w:r>
          </w:p>
        </w:tc>
      </w:tr>
      <w:tr w:rsidR="00EA4B61" w:rsidRPr="00232388" w14:paraId="171C0363" w14:textId="77777777" w:rsidTr="002A0BB3">
        <w:trPr>
          <w:jc w:val="center"/>
        </w:trPr>
        <w:tc>
          <w:tcPr>
            <w:tcW w:w="4160" w:type="dxa"/>
            <w:tcBorders>
              <w:bottom w:val="single" w:sz="4" w:space="0" w:color="auto"/>
            </w:tcBorders>
          </w:tcPr>
          <w:p w14:paraId="0513BBE3" w14:textId="77777777" w:rsidR="00EA4B61" w:rsidRPr="00232388" w:rsidRDefault="00EA4B61" w:rsidP="002A0BB3">
            <w:pPr>
              <w:pStyle w:val="EmptyCell"/>
            </w:pPr>
            <w:r w:rsidRPr="00232388">
              <w:t xml:space="preserve"> </w:t>
            </w:r>
          </w:p>
        </w:tc>
        <w:tc>
          <w:tcPr>
            <w:tcW w:w="1228" w:type="dxa"/>
            <w:tcBorders>
              <w:bottom w:val="single" w:sz="4" w:space="0" w:color="auto"/>
            </w:tcBorders>
          </w:tcPr>
          <w:p w14:paraId="611BB5C6" w14:textId="77777777" w:rsidR="00EA4B61" w:rsidRPr="00232388" w:rsidRDefault="00EA4B61" w:rsidP="002A0BB3">
            <w:pPr>
              <w:pStyle w:val="BStableheading"/>
              <w:framePr w:wrap="auto" w:vAnchor="margin" w:yAlign="inline"/>
              <w:rPr>
                <w:lang w:val="en-AU"/>
              </w:rPr>
            </w:pPr>
            <w:r w:rsidRPr="00232388">
              <w:rPr>
                <w:lang w:val="en-AU"/>
              </w:rPr>
              <w:t>$’000</w:t>
            </w:r>
          </w:p>
        </w:tc>
        <w:tc>
          <w:tcPr>
            <w:tcW w:w="1228" w:type="dxa"/>
            <w:tcBorders>
              <w:bottom w:val="single" w:sz="4" w:space="0" w:color="auto"/>
            </w:tcBorders>
          </w:tcPr>
          <w:p w14:paraId="7F19639D" w14:textId="77777777" w:rsidR="00EA4B61" w:rsidRPr="00232388" w:rsidRDefault="00EA4B61" w:rsidP="002A0BB3">
            <w:pPr>
              <w:pStyle w:val="BStableheading"/>
              <w:framePr w:wrap="auto" w:vAnchor="margin" w:yAlign="inline"/>
              <w:rPr>
                <w:lang w:val="en-AU"/>
              </w:rPr>
            </w:pPr>
            <w:r w:rsidRPr="00232388">
              <w:rPr>
                <w:lang w:val="en-AU"/>
              </w:rPr>
              <w:t>$’000</w:t>
            </w:r>
          </w:p>
        </w:tc>
        <w:tc>
          <w:tcPr>
            <w:tcW w:w="1228" w:type="dxa"/>
            <w:tcBorders>
              <w:bottom w:val="single" w:sz="4" w:space="0" w:color="auto"/>
            </w:tcBorders>
          </w:tcPr>
          <w:p w14:paraId="0C0F7374" w14:textId="77777777" w:rsidR="00EA4B61" w:rsidRPr="00232388" w:rsidRDefault="00EA4B61" w:rsidP="002A0BB3">
            <w:pPr>
              <w:pStyle w:val="BStableheading"/>
              <w:framePr w:wrap="auto" w:vAnchor="margin" w:yAlign="inline"/>
              <w:rPr>
                <w:lang w:val="en-AU"/>
              </w:rPr>
            </w:pPr>
            <w:r w:rsidRPr="00232388">
              <w:rPr>
                <w:lang w:val="en-AU"/>
              </w:rPr>
              <w:t>$’000</w:t>
            </w:r>
          </w:p>
        </w:tc>
        <w:tc>
          <w:tcPr>
            <w:tcW w:w="1228" w:type="dxa"/>
            <w:tcBorders>
              <w:bottom w:val="single" w:sz="4" w:space="0" w:color="auto"/>
            </w:tcBorders>
          </w:tcPr>
          <w:p w14:paraId="47CCCE88" w14:textId="77777777" w:rsidR="00EA4B61" w:rsidRPr="00232388" w:rsidRDefault="00EA4B61" w:rsidP="002A0BB3">
            <w:pPr>
              <w:pStyle w:val="BStableheading"/>
              <w:framePr w:wrap="auto" w:vAnchor="margin" w:yAlign="inline"/>
              <w:rPr>
                <w:lang w:val="en-AU"/>
              </w:rPr>
            </w:pPr>
            <w:r w:rsidRPr="00232388">
              <w:rPr>
                <w:lang w:val="en-AU"/>
              </w:rPr>
              <w:t>$’000</w:t>
            </w:r>
          </w:p>
        </w:tc>
      </w:tr>
    </w:tbl>
    <w:tbl>
      <w:tblPr>
        <w:tblW w:w="9072" w:type="dxa"/>
        <w:jc w:val="center"/>
        <w:tblLayout w:type="fixed"/>
        <w:tblCellMar>
          <w:left w:w="10" w:type="dxa"/>
          <w:right w:w="10" w:type="dxa"/>
        </w:tblCellMar>
        <w:tblLook w:val="0000" w:firstRow="0" w:lastRow="0" w:firstColumn="0" w:lastColumn="0" w:noHBand="0" w:noVBand="0"/>
      </w:tblPr>
      <w:tblGrid>
        <w:gridCol w:w="4160"/>
        <w:gridCol w:w="1228"/>
        <w:gridCol w:w="1228"/>
        <w:gridCol w:w="1228"/>
        <w:gridCol w:w="1228"/>
      </w:tblGrid>
      <w:tr w:rsidR="00EA4B61" w:rsidRPr="00232388" w14:paraId="7355CA90" w14:textId="77777777" w:rsidTr="002A0BB3">
        <w:trPr>
          <w:jc w:val="center"/>
        </w:trPr>
        <w:tc>
          <w:tcPr>
            <w:tcW w:w="4160" w:type="dxa"/>
            <w:tcBorders>
              <w:bottom w:val="single" w:sz="4" w:space="0" w:color="auto"/>
            </w:tcBorders>
          </w:tcPr>
          <w:p w14:paraId="28BAA77C" w14:textId="77777777" w:rsidR="00EA4B61" w:rsidRPr="00232388" w:rsidRDefault="00EA4B61" w:rsidP="002A0BB3">
            <w:pPr>
              <w:pStyle w:val="BStabletextunbold"/>
              <w:framePr w:wrap="around"/>
              <w:rPr>
                <w:lang w:eastAsia="en-AU"/>
              </w:rPr>
            </w:pPr>
            <w:r w:rsidRPr="00232388">
              <w:rPr>
                <w:lang w:eastAsia="en-AU"/>
              </w:rPr>
              <w:t xml:space="preserve">Superannuation </w:t>
            </w:r>
            <w:r>
              <w:rPr>
                <w:lang w:eastAsia="en-AU"/>
              </w:rPr>
              <w:t>Liability</w:t>
            </w:r>
          </w:p>
        </w:tc>
        <w:tc>
          <w:tcPr>
            <w:tcW w:w="1228" w:type="dxa"/>
            <w:tcBorders>
              <w:bottom w:val="single" w:sz="4" w:space="0" w:color="auto"/>
            </w:tcBorders>
          </w:tcPr>
          <w:p w14:paraId="1BB81492" w14:textId="77777777" w:rsidR="00EA4B61" w:rsidRPr="00232388" w:rsidRDefault="00EA4B61" w:rsidP="002A0BB3">
            <w:pPr>
              <w:pStyle w:val="BStablefiguresunbold"/>
              <w:framePr w:wrap="around"/>
              <w:rPr>
                <w:lang w:eastAsia="en-AU"/>
              </w:rPr>
            </w:pPr>
            <w:r w:rsidRPr="3ADAD4AE">
              <w:rPr>
                <w:szCs w:val="20"/>
              </w:rPr>
              <w:t>+1,</w:t>
            </w:r>
            <w:r>
              <w:rPr>
                <w:szCs w:val="20"/>
              </w:rPr>
              <w:t>707</w:t>
            </w:r>
            <w:r w:rsidRPr="3ADAD4AE">
              <w:rPr>
                <w:szCs w:val="20"/>
              </w:rPr>
              <w:t>,</w:t>
            </w:r>
            <w:r>
              <w:rPr>
                <w:szCs w:val="20"/>
              </w:rPr>
              <w:t>000</w:t>
            </w:r>
          </w:p>
        </w:tc>
        <w:tc>
          <w:tcPr>
            <w:tcW w:w="1228" w:type="dxa"/>
            <w:tcBorders>
              <w:bottom w:val="single" w:sz="4" w:space="0" w:color="auto"/>
            </w:tcBorders>
          </w:tcPr>
          <w:p w14:paraId="7FF9D451" w14:textId="77777777" w:rsidR="00EA4B61" w:rsidRPr="00232388" w:rsidRDefault="00EA4B61" w:rsidP="002A0BB3">
            <w:pPr>
              <w:pStyle w:val="BStablefiguresunbold"/>
              <w:framePr w:wrap="around"/>
              <w:rPr>
                <w:lang w:eastAsia="en-AU"/>
              </w:rPr>
            </w:pPr>
            <w:r w:rsidRPr="731E6D28">
              <w:rPr>
                <w:szCs w:val="20"/>
              </w:rPr>
              <w:t>+1,</w:t>
            </w:r>
            <w:r>
              <w:rPr>
                <w:szCs w:val="20"/>
              </w:rPr>
              <w:t>714</w:t>
            </w:r>
            <w:r w:rsidRPr="731E6D28">
              <w:rPr>
                <w:szCs w:val="20"/>
              </w:rPr>
              <w:t>,</w:t>
            </w:r>
            <w:r>
              <w:rPr>
                <w:szCs w:val="20"/>
              </w:rPr>
              <w:t>000</w:t>
            </w:r>
          </w:p>
        </w:tc>
        <w:tc>
          <w:tcPr>
            <w:tcW w:w="1228" w:type="dxa"/>
            <w:tcBorders>
              <w:bottom w:val="single" w:sz="4" w:space="0" w:color="auto"/>
            </w:tcBorders>
          </w:tcPr>
          <w:p w14:paraId="2E5318DE" w14:textId="77777777" w:rsidR="00EA4B61" w:rsidRPr="00232388" w:rsidRDefault="00EA4B61" w:rsidP="002A0BB3">
            <w:pPr>
              <w:pStyle w:val="BStablefiguresunbold"/>
              <w:framePr w:wrap="around"/>
              <w:rPr>
                <w:lang w:eastAsia="en-AU"/>
              </w:rPr>
            </w:pPr>
            <w:r w:rsidRPr="2F6C5375">
              <w:rPr>
                <w:szCs w:val="20"/>
              </w:rPr>
              <w:t>+1,</w:t>
            </w:r>
            <w:r>
              <w:rPr>
                <w:szCs w:val="20"/>
              </w:rPr>
              <w:t>716</w:t>
            </w:r>
            <w:r w:rsidRPr="2F6C5375">
              <w:rPr>
                <w:szCs w:val="20"/>
              </w:rPr>
              <w:t>,</w:t>
            </w:r>
            <w:r>
              <w:rPr>
                <w:szCs w:val="20"/>
              </w:rPr>
              <w:t>000</w:t>
            </w:r>
          </w:p>
        </w:tc>
        <w:tc>
          <w:tcPr>
            <w:tcW w:w="1228" w:type="dxa"/>
            <w:tcBorders>
              <w:bottom w:val="single" w:sz="4" w:space="0" w:color="auto"/>
            </w:tcBorders>
          </w:tcPr>
          <w:p w14:paraId="44EDD6CA" w14:textId="77777777" w:rsidR="00EA4B61" w:rsidRPr="00232388" w:rsidRDefault="00EA4B61" w:rsidP="002A0BB3">
            <w:pPr>
              <w:pStyle w:val="BStablefiguresunbold"/>
              <w:framePr w:wrap="around"/>
              <w:rPr>
                <w:lang w:eastAsia="en-AU"/>
              </w:rPr>
            </w:pPr>
            <w:r w:rsidRPr="48232CCB">
              <w:rPr>
                <w:szCs w:val="20"/>
              </w:rPr>
              <w:t>+1,</w:t>
            </w:r>
            <w:r>
              <w:rPr>
                <w:szCs w:val="20"/>
              </w:rPr>
              <w:t>714</w:t>
            </w:r>
            <w:r w:rsidRPr="48232CCB">
              <w:rPr>
                <w:szCs w:val="20"/>
              </w:rPr>
              <w:t>,</w:t>
            </w:r>
            <w:r>
              <w:rPr>
                <w:szCs w:val="20"/>
              </w:rPr>
              <w:t>000</w:t>
            </w:r>
          </w:p>
        </w:tc>
      </w:tr>
    </w:tbl>
    <w:p w14:paraId="6ADF4399" w14:textId="77777777" w:rsidR="00AD145D" w:rsidRPr="00232388" w:rsidRDefault="00AD145D" w:rsidP="00AD145D">
      <w:pPr>
        <w:spacing w:after="40"/>
        <w:rPr>
          <w:sz w:val="20"/>
          <w:szCs w:val="20"/>
        </w:rPr>
      </w:pPr>
      <w:r>
        <w:rPr>
          <w:sz w:val="20"/>
          <w:szCs w:val="20"/>
        </w:rPr>
        <w:t>Source: ACT Budget 2024, Table J.6</w:t>
      </w:r>
    </w:p>
    <w:p w14:paraId="309C54EE" w14:textId="2689711D" w:rsidR="00EA4B61" w:rsidRPr="00232388" w:rsidRDefault="00EA4B61" w:rsidP="00EA4B61">
      <w:pPr>
        <w:spacing w:before="200" w:after="200"/>
      </w:pPr>
      <w:r w:rsidRPr="00232388">
        <w:t xml:space="preserve">The lower discount rate will also have an impact on the service cost, which would be expected to be somewhat higher, with an offsetting reduction in the interest cost.  Based on the figures reported in </w:t>
      </w:r>
      <w:r>
        <w:t>the Budget Outlook</w:t>
      </w:r>
      <w:r w:rsidRPr="00232388">
        <w:t xml:space="preserve"> </w:t>
      </w:r>
      <w:r w:rsidRPr="00232388">
        <w:rPr>
          <w:rFonts w:cstheme="minorHAnsi"/>
        </w:rPr>
        <w:t>(ACT Government, 20</w:t>
      </w:r>
      <w:r>
        <w:rPr>
          <w:rFonts w:cstheme="minorHAnsi"/>
        </w:rPr>
        <w:t>23</w:t>
      </w:r>
      <w:r w:rsidRPr="00232388">
        <w:rPr>
          <w:rFonts w:cstheme="minorHAnsi"/>
        </w:rPr>
        <w:t>, p. 3</w:t>
      </w:r>
      <w:r>
        <w:rPr>
          <w:rFonts w:cstheme="minorHAnsi"/>
        </w:rPr>
        <w:t>81</w:t>
      </w:r>
      <w:r w:rsidRPr="00232388">
        <w:rPr>
          <w:rFonts w:cstheme="minorHAnsi"/>
        </w:rPr>
        <w:t>)</w:t>
      </w:r>
      <w:r w:rsidRPr="00232388">
        <w:t xml:space="preserve">, the net effect of these adjustments to the service and interest costs </w:t>
      </w:r>
      <w:r>
        <w:t xml:space="preserve">is a small increase in the superannuation expense as shown in </w:t>
      </w:r>
      <w:r w:rsidR="00103F85">
        <w:fldChar w:fldCharType="begin"/>
      </w:r>
      <w:r w:rsidR="00103F85">
        <w:instrText xml:space="preserve"> REF _Ref170908384 \h </w:instrText>
      </w:r>
      <w:r w:rsidR="00103F85">
        <w:fldChar w:fldCharType="separate"/>
      </w:r>
      <w:r w:rsidR="000B62ED" w:rsidRPr="00232388">
        <w:t xml:space="preserve">Table </w:t>
      </w:r>
      <w:r w:rsidR="000B62ED">
        <w:rPr>
          <w:noProof/>
        </w:rPr>
        <w:t>11</w:t>
      </w:r>
      <w:r w:rsidR="00103F85">
        <w:fldChar w:fldCharType="end"/>
      </w:r>
      <w:r>
        <w:t xml:space="preserve"> below.  The changes in the superannuation expense are not material in the context of the overall liability.  </w:t>
      </w:r>
    </w:p>
    <w:p w14:paraId="7872F318" w14:textId="272C14E1" w:rsidR="00EA4B61" w:rsidRPr="00232388" w:rsidRDefault="00EA4B61" w:rsidP="00EA4B61">
      <w:pPr>
        <w:pStyle w:val="Caption"/>
      </w:pPr>
      <w:bookmarkStart w:id="225" w:name="_Ref170908384"/>
      <w:bookmarkStart w:id="226" w:name="_Toc11145382"/>
      <w:bookmarkStart w:id="227" w:name="_Toc171949059"/>
      <w:r w:rsidRPr="00232388">
        <w:t xml:space="preserve">Table </w:t>
      </w:r>
      <w:r>
        <w:fldChar w:fldCharType="begin"/>
      </w:r>
      <w:r>
        <w:instrText xml:space="preserve"> SEQ Table \* ARABIC </w:instrText>
      </w:r>
      <w:r>
        <w:fldChar w:fldCharType="separate"/>
      </w:r>
      <w:r w:rsidR="000B62ED">
        <w:rPr>
          <w:noProof/>
        </w:rPr>
        <w:t>11</w:t>
      </w:r>
      <w:r>
        <w:rPr>
          <w:noProof/>
        </w:rPr>
        <w:fldChar w:fldCharType="end"/>
      </w:r>
      <w:bookmarkEnd w:id="225"/>
      <w:r w:rsidRPr="00232388">
        <w:t>: Impact of a 1 percentage point</w:t>
      </w:r>
      <w:r w:rsidRPr="00232388" w:rsidDel="00DE1576">
        <w:t xml:space="preserve"> </w:t>
      </w:r>
      <w:r w:rsidRPr="00232388">
        <w:t>decrease in the discount rate on superannuation expense</w:t>
      </w:r>
      <w:bookmarkEnd w:id="226"/>
      <w:bookmarkEnd w:id="227"/>
    </w:p>
    <w:tbl>
      <w:tblPr>
        <w:tblW w:w="9072" w:type="dxa"/>
        <w:jc w:val="center"/>
        <w:tblLayout w:type="fixed"/>
        <w:tblCellMar>
          <w:left w:w="10" w:type="dxa"/>
          <w:right w:w="10" w:type="dxa"/>
        </w:tblCellMar>
        <w:tblLook w:val="0000" w:firstRow="0" w:lastRow="0" w:firstColumn="0" w:lastColumn="0" w:noHBand="0" w:noVBand="0"/>
      </w:tblPr>
      <w:tblGrid>
        <w:gridCol w:w="4160"/>
        <w:gridCol w:w="1228"/>
        <w:gridCol w:w="1228"/>
        <w:gridCol w:w="1228"/>
        <w:gridCol w:w="1228"/>
      </w:tblGrid>
      <w:tr w:rsidR="00EA4B61" w:rsidRPr="00232388" w14:paraId="0BCB23A1" w14:textId="77777777" w:rsidTr="002A0BB3">
        <w:trPr>
          <w:jc w:val="center"/>
        </w:trPr>
        <w:tc>
          <w:tcPr>
            <w:tcW w:w="4160" w:type="dxa"/>
            <w:tcBorders>
              <w:top w:val="single" w:sz="4" w:space="0" w:color="auto"/>
            </w:tcBorders>
          </w:tcPr>
          <w:p w14:paraId="6CE4C83E" w14:textId="77777777" w:rsidR="00EA4B61" w:rsidRPr="00232388" w:rsidRDefault="00EA4B61" w:rsidP="002A0BB3">
            <w:pPr>
              <w:pStyle w:val="EmptyCell"/>
            </w:pPr>
          </w:p>
        </w:tc>
        <w:tc>
          <w:tcPr>
            <w:tcW w:w="1228" w:type="dxa"/>
            <w:tcBorders>
              <w:top w:val="single" w:sz="4" w:space="0" w:color="auto"/>
            </w:tcBorders>
          </w:tcPr>
          <w:p w14:paraId="1FE2DB5A" w14:textId="77777777" w:rsidR="00EA4B61" w:rsidRPr="00232388" w:rsidRDefault="00EA4B61" w:rsidP="002A0BB3">
            <w:pPr>
              <w:pStyle w:val="BStableheading"/>
              <w:framePr w:wrap="auto" w:vAnchor="margin" w:yAlign="inline"/>
              <w:rPr>
                <w:lang w:val="en-AU"/>
              </w:rPr>
            </w:pPr>
            <w:r w:rsidRPr="00232388">
              <w:rPr>
                <w:lang w:val="en-AU"/>
              </w:rPr>
              <w:t>202</w:t>
            </w:r>
            <w:r>
              <w:rPr>
                <w:lang w:val="en-AU"/>
              </w:rPr>
              <w:t>4</w:t>
            </w:r>
            <w:r w:rsidRPr="00232388">
              <w:rPr>
                <w:lang w:val="en-AU"/>
              </w:rPr>
              <w:t>-2</w:t>
            </w:r>
            <w:r>
              <w:rPr>
                <w:lang w:val="en-AU"/>
              </w:rPr>
              <w:t>5</w:t>
            </w:r>
          </w:p>
        </w:tc>
        <w:tc>
          <w:tcPr>
            <w:tcW w:w="1228" w:type="dxa"/>
            <w:tcBorders>
              <w:top w:val="single" w:sz="4" w:space="0" w:color="auto"/>
            </w:tcBorders>
          </w:tcPr>
          <w:p w14:paraId="5D05C3AA" w14:textId="77777777" w:rsidR="00EA4B61" w:rsidRPr="00232388" w:rsidRDefault="00EA4B61" w:rsidP="002A0BB3">
            <w:pPr>
              <w:pStyle w:val="BStableheading"/>
              <w:framePr w:wrap="auto" w:vAnchor="margin" w:yAlign="inline"/>
              <w:rPr>
                <w:lang w:val="en-AU"/>
              </w:rPr>
            </w:pPr>
            <w:r w:rsidRPr="00232388">
              <w:rPr>
                <w:lang w:val="en-AU"/>
              </w:rPr>
              <w:t>202</w:t>
            </w:r>
            <w:r>
              <w:rPr>
                <w:lang w:val="en-AU"/>
              </w:rPr>
              <w:t>5</w:t>
            </w:r>
            <w:r w:rsidRPr="00232388">
              <w:rPr>
                <w:lang w:val="en-AU"/>
              </w:rPr>
              <w:t>-2</w:t>
            </w:r>
            <w:r>
              <w:rPr>
                <w:lang w:val="en-AU"/>
              </w:rPr>
              <w:t>6</w:t>
            </w:r>
          </w:p>
        </w:tc>
        <w:tc>
          <w:tcPr>
            <w:tcW w:w="1228" w:type="dxa"/>
            <w:tcBorders>
              <w:top w:val="single" w:sz="4" w:space="0" w:color="auto"/>
            </w:tcBorders>
          </w:tcPr>
          <w:p w14:paraId="413044E6" w14:textId="77777777" w:rsidR="00EA4B61" w:rsidRPr="00232388" w:rsidRDefault="00EA4B61" w:rsidP="002A0BB3">
            <w:pPr>
              <w:pStyle w:val="BStableheading"/>
              <w:framePr w:wrap="auto" w:vAnchor="margin" w:yAlign="inline"/>
              <w:rPr>
                <w:lang w:val="en-AU"/>
              </w:rPr>
            </w:pPr>
            <w:r>
              <w:rPr>
                <w:lang w:val="en-AU"/>
              </w:rPr>
              <w:t>2026-27</w:t>
            </w:r>
          </w:p>
        </w:tc>
        <w:tc>
          <w:tcPr>
            <w:tcW w:w="1228" w:type="dxa"/>
            <w:tcBorders>
              <w:top w:val="single" w:sz="4" w:space="0" w:color="auto"/>
            </w:tcBorders>
          </w:tcPr>
          <w:p w14:paraId="73CFF3DC" w14:textId="77777777" w:rsidR="00EA4B61" w:rsidRPr="00232388" w:rsidRDefault="00EA4B61" w:rsidP="002A0BB3">
            <w:pPr>
              <w:pStyle w:val="BStableheading"/>
              <w:framePr w:wrap="auto" w:vAnchor="margin" w:yAlign="inline"/>
              <w:rPr>
                <w:lang w:val="en-AU"/>
              </w:rPr>
            </w:pPr>
            <w:r>
              <w:rPr>
                <w:lang w:val="en-AU"/>
              </w:rPr>
              <w:t>2027-28</w:t>
            </w:r>
          </w:p>
        </w:tc>
      </w:tr>
      <w:tr w:rsidR="00EA4B61" w:rsidRPr="00232388" w14:paraId="4ED6B9C2" w14:textId="77777777" w:rsidTr="002A0BB3">
        <w:trPr>
          <w:jc w:val="center"/>
        </w:trPr>
        <w:tc>
          <w:tcPr>
            <w:tcW w:w="4160" w:type="dxa"/>
            <w:tcBorders>
              <w:bottom w:val="single" w:sz="4" w:space="0" w:color="auto"/>
            </w:tcBorders>
          </w:tcPr>
          <w:p w14:paraId="0B228FC3" w14:textId="77777777" w:rsidR="00EA4B61" w:rsidRPr="00232388" w:rsidRDefault="00EA4B61" w:rsidP="002A0BB3">
            <w:pPr>
              <w:pStyle w:val="EmptyCell"/>
            </w:pPr>
            <w:r w:rsidRPr="00232388">
              <w:t xml:space="preserve"> </w:t>
            </w:r>
          </w:p>
        </w:tc>
        <w:tc>
          <w:tcPr>
            <w:tcW w:w="1228" w:type="dxa"/>
            <w:tcBorders>
              <w:bottom w:val="single" w:sz="4" w:space="0" w:color="auto"/>
            </w:tcBorders>
          </w:tcPr>
          <w:p w14:paraId="47F1EF20" w14:textId="77777777" w:rsidR="00EA4B61" w:rsidRPr="00232388" w:rsidRDefault="00EA4B61" w:rsidP="002A0BB3">
            <w:pPr>
              <w:pStyle w:val="BStableheading"/>
              <w:framePr w:wrap="auto" w:vAnchor="margin" w:yAlign="inline"/>
              <w:rPr>
                <w:lang w:val="en-AU"/>
              </w:rPr>
            </w:pPr>
            <w:r w:rsidRPr="00232388">
              <w:rPr>
                <w:lang w:val="en-AU"/>
              </w:rPr>
              <w:t>$’000</w:t>
            </w:r>
          </w:p>
        </w:tc>
        <w:tc>
          <w:tcPr>
            <w:tcW w:w="1228" w:type="dxa"/>
            <w:tcBorders>
              <w:bottom w:val="single" w:sz="4" w:space="0" w:color="auto"/>
            </w:tcBorders>
          </w:tcPr>
          <w:p w14:paraId="276F7CD0" w14:textId="77777777" w:rsidR="00EA4B61" w:rsidRPr="00232388" w:rsidRDefault="00EA4B61" w:rsidP="002A0BB3">
            <w:pPr>
              <w:pStyle w:val="BStableheading"/>
              <w:framePr w:wrap="auto" w:vAnchor="margin" w:yAlign="inline"/>
              <w:rPr>
                <w:lang w:val="en-AU"/>
              </w:rPr>
            </w:pPr>
            <w:r w:rsidRPr="00232388">
              <w:rPr>
                <w:lang w:val="en-AU"/>
              </w:rPr>
              <w:t>$’000</w:t>
            </w:r>
          </w:p>
        </w:tc>
        <w:tc>
          <w:tcPr>
            <w:tcW w:w="1228" w:type="dxa"/>
            <w:tcBorders>
              <w:bottom w:val="single" w:sz="4" w:space="0" w:color="auto"/>
            </w:tcBorders>
          </w:tcPr>
          <w:p w14:paraId="7B13F766" w14:textId="77777777" w:rsidR="00EA4B61" w:rsidRPr="00232388" w:rsidRDefault="00EA4B61" w:rsidP="002A0BB3">
            <w:pPr>
              <w:pStyle w:val="BStableheading"/>
              <w:framePr w:wrap="auto" w:vAnchor="margin" w:yAlign="inline"/>
              <w:rPr>
                <w:lang w:val="en-AU"/>
              </w:rPr>
            </w:pPr>
            <w:r w:rsidRPr="00232388">
              <w:rPr>
                <w:lang w:val="en-AU"/>
              </w:rPr>
              <w:t>$’000</w:t>
            </w:r>
          </w:p>
        </w:tc>
        <w:tc>
          <w:tcPr>
            <w:tcW w:w="1228" w:type="dxa"/>
            <w:tcBorders>
              <w:bottom w:val="single" w:sz="4" w:space="0" w:color="auto"/>
            </w:tcBorders>
          </w:tcPr>
          <w:p w14:paraId="4806FAF7" w14:textId="77777777" w:rsidR="00EA4B61" w:rsidRPr="00232388" w:rsidRDefault="00EA4B61" w:rsidP="002A0BB3">
            <w:pPr>
              <w:pStyle w:val="BStableheading"/>
              <w:framePr w:wrap="auto" w:vAnchor="margin" w:yAlign="inline"/>
              <w:rPr>
                <w:lang w:val="en-AU"/>
              </w:rPr>
            </w:pPr>
            <w:r w:rsidRPr="00232388">
              <w:rPr>
                <w:lang w:val="en-AU"/>
              </w:rPr>
              <w:t>$’000</w:t>
            </w:r>
          </w:p>
        </w:tc>
      </w:tr>
    </w:tbl>
    <w:tbl>
      <w:tblPr>
        <w:tblW w:w="9072" w:type="dxa"/>
        <w:jc w:val="center"/>
        <w:tblLayout w:type="fixed"/>
        <w:tblCellMar>
          <w:left w:w="10" w:type="dxa"/>
          <w:right w:w="10" w:type="dxa"/>
        </w:tblCellMar>
        <w:tblLook w:val="0000" w:firstRow="0" w:lastRow="0" w:firstColumn="0" w:lastColumn="0" w:noHBand="0" w:noVBand="0"/>
      </w:tblPr>
      <w:tblGrid>
        <w:gridCol w:w="4160"/>
        <w:gridCol w:w="1228"/>
        <w:gridCol w:w="1228"/>
        <w:gridCol w:w="1228"/>
        <w:gridCol w:w="1228"/>
      </w:tblGrid>
      <w:tr w:rsidR="00EA4B61" w:rsidRPr="00232388" w14:paraId="3F50E283" w14:textId="77777777" w:rsidTr="002A0BB3">
        <w:trPr>
          <w:jc w:val="center"/>
        </w:trPr>
        <w:tc>
          <w:tcPr>
            <w:tcW w:w="4160" w:type="dxa"/>
            <w:tcBorders>
              <w:bottom w:val="single" w:sz="4" w:space="0" w:color="auto"/>
            </w:tcBorders>
          </w:tcPr>
          <w:p w14:paraId="1EA13420" w14:textId="77777777" w:rsidR="00EA4B61" w:rsidRPr="00232388" w:rsidRDefault="00EA4B61" w:rsidP="002A0BB3">
            <w:pPr>
              <w:pStyle w:val="BStabletextunbold"/>
              <w:framePr w:wrap="around"/>
              <w:rPr>
                <w:lang w:eastAsia="en-AU"/>
              </w:rPr>
            </w:pPr>
            <w:r w:rsidRPr="00232388">
              <w:rPr>
                <w:lang w:eastAsia="en-AU"/>
              </w:rPr>
              <w:t xml:space="preserve">Superannuation </w:t>
            </w:r>
            <w:r>
              <w:rPr>
                <w:lang w:eastAsia="en-AU"/>
              </w:rPr>
              <w:t>Expense</w:t>
            </w:r>
          </w:p>
        </w:tc>
        <w:tc>
          <w:tcPr>
            <w:tcW w:w="1228" w:type="dxa"/>
            <w:tcBorders>
              <w:bottom w:val="single" w:sz="4" w:space="0" w:color="auto"/>
            </w:tcBorders>
          </w:tcPr>
          <w:p w14:paraId="295971A3" w14:textId="77777777" w:rsidR="00EA4B61" w:rsidRPr="00232388" w:rsidRDefault="00EA4B61" w:rsidP="002A0BB3">
            <w:pPr>
              <w:pStyle w:val="BStablefiguresunbold"/>
              <w:framePr w:wrap="around"/>
              <w:rPr>
                <w:lang w:eastAsia="en-AU"/>
              </w:rPr>
            </w:pPr>
            <w:r w:rsidRPr="6B7542D2">
              <w:rPr>
                <w:szCs w:val="20"/>
              </w:rPr>
              <w:t>+</w:t>
            </w:r>
            <w:r>
              <w:rPr>
                <w:szCs w:val="20"/>
              </w:rPr>
              <w:t>12</w:t>
            </w:r>
            <w:r w:rsidRPr="6B7542D2">
              <w:rPr>
                <w:szCs w:val="20"/>
              </w:rPr>
              <w:t>,</w:t>
            </w:r>
            <w:r>
              <w:rPr>
                <w:szCs w:val="20"/>
              </w:rPr>
              <w:t>000</w:t>
            </w:r>
          </w:p>
        </w:tc>
        <w:tc>
          <w:tcPr>
            <w:tcW w:w="1228" w:type="dxa"/>
            <w:tcBorders>
              <w:bottom w:val="single" w:sz="4" w:space="0" w:color="auto"/>
            </w:tcBorders>
          </w:tcPr>
          <w:p w14:paraId="67695507" w14:textId="77777777" w:rsidR="00EA4B61" w:rsidRPr="00232388" w:rsidRDefault="00EA4B61" w:rsidP="002A0BB3">
            <w:pPr>
              <w:pStyle w:val="BStablefiguresunbold"/>
              <w:framePr w:wrap="around"/>
              <w:rPr>
                <w:lang w:eastAsia="en-AU"/>
              </w:rPr>
            </w:pPr>
            <w:r w:rsidRPr="32196EE1">
              <w:rPr>
                <w:szCs w:val="20"/>
              </w:rPr>
              <w:t>+</w:t>
            </w:r>
            <w:r>
              <w:rPr>
                <w:szCs w:val="20"/>
              </w:rPr>
              <w:t>7</w:t>
            </w:r>
            <w:r w:rsidRPr="32196EE1">
              <w:rPr>
                <w:szCs w:val="20"/>
              </w:rPr>
              <w:t>,</w:t>
            </w:r>
            <w:r>
              <w:rPr>
                <w:szCs w:val="20"/>
              </w:rPr>
              <w:t>000</w:t>
            </w:r>
          </w:p>
        </w:tc>
        <w:tc>
          <w:tcPr>
            <w:tcW w:w="1228" w:type="dxa"/>
            <w:tcBorders>
              <w:bottom w:val="single" w:sz="4" w:space="0" w:color="auto"/>
            </w:tcBorders>
          </w:tcPr>
          <w:p w14:paraId="4EEFCD13" w14:textId="77777777" w:rsidR="00EA4B61" w:rsidRPr="00232388" w:rsidRDefault="00EA4B61" w:rsidP="002A0BB3">
            <w:pPr>
              <w:pStyle w:val="BStablefiguresunbold"/>
              <w:framePr w:wrap="around"/>
              <w:rPr>
                <w:lang w:eastAsia="en-AU"/>
              </w:rPr>
            </w:pPr>
            <w:r w:rsidRPr="556B84E8">
              <w:rPr>
                <w:szCs w:val="20"/>
              </w:rPr>
              <w:t>+</w:t>
            </w:r>
            <w:r>
              <w:rPr>
                <w:szCs w:val="20"/>
              </w:rPr>
              <w:t>2</w:t>
            </w:r>
            <w:r w:rsidRPr="556B84E8">
              <w:rPr>
                <w:szCs w:val="20"/>
              </w:rPr>
              <w:t>,</w:t>
            </w:r>
            <w:r>
              <w:rPr>
                <w:szCs w:val="20"/>
              </w:rPr>
              <w:t>000</w:t>
            </w:r>
          </w:p>
        </w:tc>
        <w:tc>
          <w:tcPr>
            <w:tcW w:w="1228" w:type="dxa"/>
            <w:tcBorders>
              <w:bottom w:val="single" w:sz="4" w:space="0" w:color="auto"/>
            </w:tcBorders>
          </w:tcPr>
          <w:p w14:paraId="609B4271" w14:textId="77777777" w:rsidR="00EA4B61" w:rsidRPr="00232388" w:rsidRDefault="00EA4B61" w:rsidP="002A0BB3">
            <w:pPr>
              <w:pStyle w:val="BStablefiguresunbold"/>
              <w:framePr w:wrap="around"/>
              <w:rPr>
                <w:lang w:eastAsia="en-AU"/>
              </w:rPr>
            </w:pPr>
            <w:r>
              <w:rPr>
                <w:szCs w:val="20"/>
              </w:rPr>
              <w:t>-3</w:t>
            </w:r>
            <w:r w:rsidRPr="26AAEDA8">
              <w:rPr>
                <w:szCs w:val="20"/>
              </w:rPr>
              <w:t>,</w:t>
            </w:r>
            <w:r>
              <w:rPr>
                <w:szCs w:val="20"/>
              </w:rPr>
              <w:t>000</w:t>
            </w:r>
          </w:p>
        </w:tc>
      </w:tr>
    </w:tbl>
    <w:p w14:paraId="1D0E7FED" w14:textId="77777777" w:rsidR="00EA4B61" w:rsidRPr="00232388" w:rsidRDefault="00EA4B61" w:rsidP="00EA4B61">
      <w:pPr>
        <w:spacing w:after="40"/>
        <w:rPr>
          <w:sz w:val="20"/>
          <w:szCs w:val="20"/>
        </w:rPr>
      </w:pPr>
      <w:r>
        <w:rPr>
          <w:sz w:val="20"/>
          <w:szCs w:val="20"/>
        </w:rPr>
        <w:t>Source: ACT Budget 2024, Table J.6</w:t>
      </w:r>
    </w:p>
    <w:p w14:paraId="504E73C0" w14:textId="77777777" w:rsidR="00EA4B61" w:rsidRPr="00232388" w:rsidRDefault="00EA4B61" w:rsidP="00EA4B61">
      <w:pPr>
        <w:spacing w:before="200" w:after="200"/>
      </w:pPr>
      <w:r>
        <w:t>T</w:t>
      </w:r>
      <w:r w:rsidRPr="00232388">
        <w:t>he application of a higher discount rate to the Budget estimate of the Territory’s superannuation liabilities will generally have the effect of decreasing the estimate of the superannuation liability and service costs. There is thus a trade-off between achieving consistency between budget and forward year figures and the need for a subsequent revision of the estimates when the final outcome for the year is known.</w:t>
      </w:r>
    </w:p>
    <w:p w14:paraId="6CBB5F9E" w14:textId="77777777" w:rsidR="00EA4B61" w:rsidRPr="00734E65" w:rsidRDefault="00EA4B61" w:rsidP="0047124B">
      <w:pPr>
        <w:autoSpaceDE w:val="0"/>
        <w:autoSpaceDN w:val="0"/>
        <w:adjustRightInd w:val="0"/>
        <w:rPr>
          <w:rFonts w:cstheme="minorHAnsi"/>
          <w:color w:val="000000"/>
        </w:rPr>
      </w:pPr>
      <w:r w:rsidRPr="00232388">
        <w:t xml:space="preserve">Further discussion of the impact of the changes in the superannuation liability </w:t>
      </w:r>
      <w:r>
        <w:t>is</w:t>
      </w:r>
      <w:r w:rsidRPr="00232388">
        <w:t xml:space="preserve"> provided in section </w:t>
      </w:r>
      <w:r>
        <w:t>7</w:t>
      </w:r>
      <w:r w:rsidRPr="00232388">
        <w:t xml:space="preserve">.5 on superannuation liabilities and </w:t>
      </w:r>
      <w:r w:rsidRPr="00A83473">
        <w:t>section 3.3 on balance sheet measures of the fiscal position.</w:t>
      </w:r>
    </w:p>
    <w:p w14:paraId="6B502C8D" w14:textId="77777777" w:rsidR="00EA4B61" w:rsidRPr="00EA4B61" w:rsidRDefault="00EA4B61" w:rsidP="000D512F">
      <w:pPr>
        <w:pStyle w:val="Heading2"/>
      </w:pPr>
      <w:bookmarkStart w:id="228" w:name="_Toc171949037"/>
      <w:r w:rsidRPr="00EA4B61">
        <w:t>9.5</w:t>
      </w:r>
      <w:r w:rsidRPr="00EA4B61">
        <w:tab/>
      </w:r>
      <w:bookmarkEnd w:id="218"/>
      <w:bookmarkEnd w:id="219"/>
      <w:r w:rsidRPr="00EA4B61">
        <w:t>Service Concession Arrangements</w:t>
      </w:r>
      <w:bookmarkEnd w:id="228"/>
      <w:r w:rsidRPr="00EA4B61">
        <w:t xml:space="preserve"> </w:t>
      </w:r>
    </w:p>
    <w:p w14:paraId="7DCA1CAC" w14:textId="77777777" w:rsidR="00EA4B61" w:rsidRPr="00D101ED" w:rsidRDefault="00EA4B61" w:rsidP="00EA4B61">
      <w:pPr>
        <w:spacing w:before="200" w:after="200"/>
        <w:rPr>
          <w:rFonts w:ascii="Calibri" w:hAnsi="Calibri" w:cs="Calibri"/>
          <w:lang w:val="en-NZ"/>
        </w:rPr>
      </w:pPr>
      <w:r w:rsidRPr="00D101ED">
        <w:rPr>
          <w:rFonts w:ascii="Calibri" w:hAnsi="Calibri" w:cs="Calibri"/>
        </w:rPr>
        <w:t xml:space="preserve">The ACT Government is currently engaged in </w:t>
      </w:r>
      <w:r>
        <w:rPr>
          <w:rFonts w:ascii="Calibri" w:hAnsi="Calibri" w:cs="Calibri"/>
        </w:rPr>
        <w:t>several</w:t>
      </w:r>
      <w:r w:rsidRPr="00D101ED">
        <w:rPr>
          <w:rFonts w:ascii="Calibri" w:hAnsi="Calibri" w:cs="Calibri"/>
        </w:rPr>
        <w:t xml:space="preserve"> Public Private Partnerships (PPP</w:t>
      </w:r>
      <w:r>
        <w:rPr>
          <w:rFonts w:ascii="Calibri" w:hAnsi="Calibri" w:cs="Calibri"/>
        </w:rPr>
        <w:t>-Service Concession</w:t>
      </w:r>
      <w:r w:rsidRPr="00D101ED">
        <w:rPr>
          <w:rFonts w:ascii="Calibri" w:hAnsi="Calibri" w:cs="Calibri"/>
        </w:rPr>
        <w:t>) projects: Light Rail Stage</w:t>
      </w:r>
      <w:r>
        <w:rPr>
          <w:rFonts w:ascii="Calibri" w:hAnsi="Calibri" w:cs="Calibri"/>
        </w:rPr>
        <w:t>s</w:t>
      </w:r>
      <w:r w:rsidRPr="00D101ED">
        <w:rPr>
          <w:rFonts w:ascii="Calibri" w:hAnsi="Calibri" w:cs="Calibri"/>
          <w:lang w:val="en-NZ"/>
        </w:rPr>
        <w:t xml:space="preserve"> 1 </w:t>
      </w:r>
      <w:r>
        <w:rPr>
          <w:rFonts w:ascii="Calibri" w:hAnsi="Calibri" w:cs="Calibri"/>
          <w:lang w:val="en-NZ"/>
        </w:rPr>
        <w:t xml:space="preserve">and 2A, </w:t>
      </w:r>
      <w:r w:rsidRPr="00D101ED">
        <w:rPr>
          <w:rFonts w:ascii="Calibri" w:hAnsi="Calibri" w:cs="Calibri"/>
          <w:lang w:val="en-NZ"/>
        </w:rPr>
        <w:t>and the ACT Housing Asset Assistance Program (HAAP).</w:t>
      </w:r>
    </w:p>
    <w:p w14:paraId="4DBAF1A3" w14:textId="77777777" w:rsidR="00EA4B61" w:rsidRPr="00D101ED" w:rsidRDefault="00EA4B61" w:rsidP="00EA4B61">
      <w:pPr>
        <w:rPr>
          <w:rFonts w:ascii="Calibri" w:hAnsi="Calibri" w:cs="Calibri"/>
          <w:lang w:val="en-US"/>
        </w:rPr>
      </w:pPr>
      <w:r w:rsidRPr="00D101ED">
        <w:rPr>
          <w:rFonts w:ascii="Calibri" w:hAnsi="Calibri" w:cs="Calibri"/>
          <w:lang w:val="en-US"/>
        </w:rPr>
        <w:lastRenderedPageBreak/>
        <w:t xml:space="preserve">Since the 2020-21 Budget, the ACT Government has adopted the applicable accounting standard, AASB 1059 </w:t>
      </w:r>
      <w:r w:rsidRPr="00D101ED">
        <w:rPr>
          <w:rFonts w:ascii="Calibri" w:hAnsi="Calibri" w:cs="Calibri"/>
          <w:i/>
          <w:lang w:val="en-US"/>
        </w:rPr>
        <w:t>Service Concession Arrangements: Grantors</w:t>
      </w:r>
      <w:r w:rsidRPr="00D101ED">
        <w:rPr>
          <w:rFonts w:ascii="Calibri" w:hAnsi="Calibri" w:cs="Calibri"/>
          <w:lang w:val="en-US"/>
        </w:rPr>
        <w:t>.</w:t>
      </w:r>
    </w:p>
    <w:p w14:paraId="17D4DD7F" w14:textId="77777777" w:rsidR="00EA4B61" w:rsidRPr="00D101ED" w:rsidRDefault="00EA4B61" w:rsidP="00EA4B61">
      <w:pPr>
        <w:rPr>
          <w:rFonts w:ascii="Calibri" w:hAnsi="Calibri" w:cs="Calibri"/>
          <w:lang w:val="en-US"/>
        </w:rPr>
      </w:pPr>
      <w:r w:rsidRPr="00D101ED">
        <w:rPr>
          <w:rFonts w:ascii="Calibri" w:hAnsi="Calibri" w:cs="Calibri"/>
          <w:lang w:val="en-US"/>
        </w:rPr>
        <w:t xml:space="preserve">AASB 1059 does not treat </w:t>
      </w:r>
      <w:r>
        <w:rPr>
          <w:rFonts w:ascii="Calibri" w:hAnsi="Calibri" w:cs="Calibri"/>
          <w:lang w:val="en-US"/>
        </w:rPr>
        <w:t>service concession</w:t>
      </w:r>
      <w:r w:rsidRPr="00D101ED">
        <w:rPr>
          <w:rFonts w:ascii="Calibri" w:hAnsi="Calibri" w:cs="Calibri"/>
          <w:lang w:val="en-US"/>
        </w:rPr>
        <w:t xml:space="preserve"> arrangements as leases, but instead, requires the assets and liabilities to be recognized in the balance sheet and valued at current replacement cost, when the government gains control of these assets and liabilities, generally taken to be when the project becomes operational. </w:t>
      </w:r>
      <w:r>
        <w:rPr>
          <w:rFonts w:ascii="Calibri" w:hAnsi="Calibri" w:cs="Calibri"/>
          <w:lang w:val="en-US"/>
        </w:rPr>
        <w:t xml:space="preserve"> </w:t>
      </w:r>
      <w:r w:rsidRPr="00D101ED">
        <w:rPr>
          <w:rFonts w:ascii="Calibri" w:hAnsi="Calibri" w:cs="Calibri"/>
          <w:lang w:val="en-US"/>
        </w:rPr>
        <w:t>Any intangible assets such as intellectual property rights, must be included in the aggregate of project assets.  At the end of the construction contracts, the infrastructure will become ACT assets.</w:t>
      </w:r>
      <w:r>
        <w:rPr>
          <w:rFonts w:ascii="Calibri" w:hAnsi="Calibri" w:cs="Calibri"/>
          <w:lang w:val="en-US"/>
        </w:rPr>
        <w:t xml:space="preserve"> </w:t>
      </w:r>
      <w:r w:rsidRPr="00D101ED">
        <w:rPr>
          <w:rFonts w:ascii="Calibri" w:hAnsi="Calibri" w:cs="Calibri"/>
          <w:lang w:val="en-US"/>
        </w:rPr>
        <w:t xml:space="preserve"> This is taken to mean that once the projects are operational, the infrastructure is owned by the Territory.  It is noted that Light Rail – Stage 1 became operational in April 2019.</w:t>
      </w:r>
      <w:r>
        <w:rPr>
          <w:rFonts w:ascii="Calibri" w:hAnsi="Calibri" w:cs="Calibri"/>
          <w:lang w:val="en-US"/>
        </w:rPr>
        <w:t xml:space="preserve">  In December 2023 the ACT Government entered a service concession arrangement for Light Rail – Stage 2A. </w:t>
      </w:r>
    </w:p>
    <w:p w14:paraId="5C421E76" w14:textId="77777777" w:rsidR="00EA4B61" w:rsidRDefault="00EA4B61" w:rsidP="00EA4B61">
      <w:pPr>
        <w:rPr>
          <w:rFonts w:ascii="Calibri" w:hAnsi="Calibri" w:cs="Calibri"/>
          <w:lang w:val="en-US"/>
        </w:rPr>
      </w:pPr>
      <w:r w:rsidRPr="00D101ED">
        <w:rPr>
          <w:rFonts w:ascii="Calibri" w:hAnsi="Calibri" w:cs="Calibri"/>
          <w:lang w:val="en-US"/>
        </w:rPr>
        <w:t>Appendix G indicates in respect to Light Rail Stage</w:t>
      </w:r>
      <w:r>
        <w:rPr>
          <w:rFonts w:ascii="Calibri" w:hAnsi="Calibri" w:cs="Calibri"/>
          <w:lang w:val="en-US"/>
        </w:rPr>
        <w:t>s</w:t>
      </w:r>
      <w:r w:rsidRPr="00D101ED">
        <w:rPr>
          <w:rFonts w:ascii="Calibri" w:hAnsi="Calibri" w:cs="Calibri"/>
          <w:lang w:val="en-US"/>
        </w:rPr>
        <w:t xml:space="preserve"> 1</w:t>
      </w:r>
      <w:r>
        <w:rPr>
          <w:rFonts w:ascii="Calibri" w:hAnsi="Calibri" w:cs="Calibri"/>
          <w:lang w:val="en-US"/>
        </w:rPr>
        <w:t xml:space="preserve"> and 2A</w:t>
      </w:r>
      <w:r w:rsidRPr="00D101ED">
        <w:rPr>
          <w:rFonts w:ascii="Calibri" w:hAnsi="Calibri" w:cs="Calibri"/>
          <w:lang w:val="en-US"/>
        </w:rPr>
        <w:t>, the infrastructure will only become ACT assets at the end of these contracts (ACT Government, 202</w:t>
      </w:r>
      <w:r>
        <w:rPr>
          <w:rFonts w:ascii="Calibri" w:hAnsi="Calibri" w:cs="Calibri"/>
          <w:lang w:val="en-US"/>
        </w:rPr>
        <w:t>4</w:t>
      </w:r>
      <w:r w:rsidRPr="00D101ED">
        <w:rPr>
          <w:rFonts w:ascii="Calibri" w:hAnsi="Calibri" w:cs="Calibri"/>
          <w:lang w:val="en-US"/>
        </w:rPr>
        <w:t>, p.3</w:t>
      </w:r>
      <w:r>
        <w:rPr>
          <w:rFonts w:ascii="Calibri" w:hAnsi="Calibri" w:cs="Calibri"/>
          <w:lang w:val="en-US"/>
        </w:rPr>
        <w:t xml:space="preserve">31), </w:t>
      </w:r>
      <w:r w:rsidRPr="00D101ED">
        <w:rPr>
          <w:rFonts w:ascii="Calibri" w:hAnsi="Calibri" w:cs="Calibri"/>
          <w:lang w:val="en-US"/>
        </w:rPr>
        <w:t xml:space="preserve">although the Government will make service payments over the life of the long-term contracts with the consortia. </w:t>
      </w:r>
      <w:r>
        <w:rPr>
          <w:rFonts w:ascii="Calibri" w:hAnsi="Calibri" w:cs="Calibri"/>
          <w:lang w:val="en-US"/>
        </w:rPr>
        <w:t xml:space="preserve"> </w:t>
      </w:r>
      <w:r w:rsidRPr="00D101ED">
        <w:rPr>
          <w:rFonts w:ascii="Calibri" w:hAnsi="Calibri" w:cs="Calibri"/>
          <w:lang w:val="en-US"/>
        </w:rPr>
        <w:t>The term of these contracts and the schedule for taking these assets and liabilities on to the Territory’s balance sheets is not clear from the Budget documentation</w:t>
      </w:r>
      <w:r>
        <w:rPr>
          <w:rFonts w:ascii="Calibri" w:hAnsi="Calibri" w:cs="Calibri"/>
          <w:lang w:val="en-US"/>
        </w:rPr>
        <w:t>, although Appendix G suggests Stage 2A is out to 2038-39</w:t>
      </w:r>
      <w:r w:rsidRPr="00D101ED">
        <w:rPr>
          <w:rFonts w:ascii="Calibri" w:hAnsi="Calibri" w:cs="Calibri"/>
          <w:lang w:val="en-US"/>
        </w:rPr>
        <w:t>.</w:t>
      </w:r>
    </w:p>
    <w:p w14:paraId="6F978016" w14:textId="77777777" w:rsidR="00EA4B61" w:rsidRPr="00D101ED" w:rsidRDefault="00EA4B61" w:rsidP="00EA4B61">
      <w:pPr>
        <w:rPr>
          <w:rFonts w:ascii="Calibri" w:hAnsi="Calibri" w:cs="Calibri"/>
          <w:lang w:val="en-US"/>
        </w:rPr>
      </w:pPr>
      <w:r>
        <w:rPr>
          <w:rFonts w:ascii="Calibri" w:hAnsi="Calibri" w:cs="Calibri"/>
          <w:lang w:val="en-US"/>
        </w:rPr>
        <w:t>The ACT Treasury has confirmed that in respect to Light Rail Stage 2B, to Woden, the project is in planning status, with a financial contribution from the Commonwealth.</w:t>
      </w:r>
    </w:p>
    <w:p w14:paraId="2219C96D" w14:textId="77777777" w:rsidR="00EA4B61" w:rsidRPr="000D512F" w:rsidRDefault="00EA4B61" w:rsidP="000D512F">
      <w:pPr>
        <w:pStyle w:val="Heading2"/>
      </w:pPr>
      <w:bookmarkStart w:id="229" w:name="_Toc64529067"/>
      <w:bookmarkStart w:id="230" w:name="_Toc171949038"/>
      <w:r w:rsidRPr="00250366">
        <w:t>9.6</w:t>
      </w:r>
      <w:r w:rsidRPr="00250366">
        <w:tab/>
        <w:t>Acquisition of Calvary Public Hospital and Clare Holland House</w:t>
      </w:r>
      <w:bookmarkEnd w:id="230"/>
    </w:p>
    <w:p w14:paraId="525110C5" w14:textId="77777777" w:rsidR="00EA4B61" w:rsidRPr="00D101ED" w:rsidRDefault="00EA4B61" w:rsidP="00EA4B61">
      <w:pPr>
        <w:rPr>
          <w:rFonts w:ascii="Calibri" w:hAnsi="Calibri" w:cs="Calibri"/>
          <w:color w:val="000000" w:themeColor="text1"/>
          <w:lang w:val="en-US"/>
        </w:rPr>
      </w:pPr>
      <w:r w:rsidRPr="00D101ED">
        <w:rPr>
          <w:rFonts w:ascii="Calibri" w:hAnsi="Calibri" w:cs="Calibri"/>
          <w:color w:val="000000" w:themeColor="text1"/>
          <w:lang w:val="en-US"/>
        </w:rPr>
        <w:t xml:space="preserve">The ACT Government publicly announced it </w:t>
      </w:r>
      <w:r>
        <w:rPr>
          <w:rFonts w:ascii="Calibri" w:hAnsi="Calibri" w:cs="Calibri"/>
          <w:color w:val="000000" w:themeColor="text1"/>
          <w:lang w:val="en-US"/>
        </w:rPr>
        <w:t>was</w:t>
      </w:r>
      <w:r w:rsidRPr="00D101ED">
        <w:rPr>
          <w:rFonts w:ascii="Calibri" w:hAnsi="Calibri" w:cs="Calibri"/>
          <w:color w:val="000000" w:themeColor="text1"/>
          <w:lang w:val="en-US"/>
        </w:rPr>
        <w:t xml:space="preserve"> acquiring the Calvary Public Hospital (Calvary) for nil consideration</w:t>
      </w:r>
      <w:r>
        <w:rPr>
          <w:rFonts w:ascii="Calibri" w:hAnsi="Calibri" w:cs="Calibri"/>
          <w:color w:val="000000" w:themeColor="text1"/>
          <w:lang w:val="en-US"/>
        </w:rPr>
        <w:t xml:space="preserve"> in the lead up to the 2023-24 Budget</w:t>
      </w:r>
      <w:r w:rsidRPr="00D101ED">
        <w:rPr>
          <w:rFonts w:ascii="Calibri" w:hAnsi="Calibri" w:cs="Calibri"/>
          <w:color w:val="000000" w:themeColor="text1"/>
          <w:lang w:val="en-US"/>
        </w:rPr>
        <w:t xml:space="preserve">. </w:t>
      </w:r>
      <w:r>
        <w:rPr>
          <w:rFonts w:ascii="Calibri" w:hAnsi="Calibri" w:cs="Calibri"/>
          <w:color w:val="000000" w:themeColor="text1"/>
          <w:lang w:val="en-US"/>
        </w:rPr>
        <w:t xml:space="preserve"> The Government </w:t>
      </w:r>
      <w:r w:rsidRPr="00D101ED">
        <w:rPr>
          <w:rFonts w:ascii="Calibri" w:hAnsi="Calibri" w:cs="Calibri"/>
          <w:color w:val="000000" w:themeColor="text1"/>
          <w:lang w:val="en-US"/>
        </w:rPr>
        <w:t>subsequently announced the acquisition of Clare Holland House through mutual agreement.</w:t>
      </w:r>
      <w:r>
        <w:rPr>
          <w:rFonts w:ascii="Calibri" w:hAnsi="Calibri" w:cs="Calibri"/>
          <w:color w:val="000000" w:themeColor="text1"/>
          <w:lang w:val="en-US"/>
        </w:rPr>
        <w:t xml:space="preserve"> </w:t>
      </w:r>
      <w:r w:rsidRPr="00D101ED">
        <w:rPr>
          <w:rFonts w:ascii="Calibri" w:hAnsi="Calibri" w:cs="Calibri"/>
          <w:color w:val="000000" w:themeColor="text1"/>
          <w:lang w:val="en-US"/>
        </w:rPr>
        <w:t xml:space="preserve"> </w:t>
      </w:r>
      <w:r>
        <w:rPr>
          <w:rFonts w:ascii="Calibri" w:hAnsi="Calibri" w:cs="Calibri"/>
          <w:color w:val="000000" w:themeColor="text1"/>
          <w:lang w:val="en-US"/>
        </w:rPr>
        <w:t>T</w:t>
      </w:r>
      <w:r w:rsidRPr="00D101ED">
        <w:rPr>
          <w:rFonts w:ascii="Calibri" w:hAnsi="Calibri" w:cs="Calibri"/>
          <w:color w:val="000000" w:themeColor="text1"/>
          <w:lang w:val="en-US"/>
        </w:rPr>
        <w:t xml:space="preserve">he effective date of acquisition </w:t>
      </w:r>
      <w:r>
        <w:rPr>
          <w:rFonts w:ascii="Calibri" w:hAnsi="Calibri" w:cs="Calibri"/>
          <w:color w:val="000000" w:themeColor="text1"/>
          <w:lang w:val="en-US"/>
        </w:rPr>
        <w:t xml:space="preserve">of Calvary </w:t>
      </w:r>
      <w:r w:rsidRPr="00D101ED">
        <w:rPr>
          <w:rFonts w:ascii="Calibri" w:hAnsi="Calibri" w:cs="Calibri"/>
          <w:color w:val="000000" w:themeColor="text1"/>
          <w:lang w:val="en-US"/>
        </w:rPr>
        <w:t xml:space="preserve">was 3 July 2023. </w:t>
      </w:r>
    </w:p>
    <w:p w14:paraId="0AFD3BEC" w14:textId="77777777" w:rsidR="00EA4B61" w:rsidRPr="00D101ED" w:rsidRDefault="00EA4B61" w:rsidP="00EA4B61">
      <w:pPr>
        <w:rPr>
          <w:rFonts w:ascii="Calibri" w:hAnsi="Calibri" w:cs="Calibri"/>
          <w:color w:val="000000" w:themeColor="text1"/>
          <w:lang w:val="en-US"/>
        </w:rPr>
      </w:pPr>
      <w:r w:rsidRPr="00D101ED">
        <w:rPr>
          <w:rFonts w:ascii="Calibri" w:hAnsi="Calibri" w:cs="Calibri"/>
          <w:color w:val="000000" w:themeColor="text1"/>
          <w:lang w:val="en-US"/>
        </w:rPr>
        <w:t>Pursuant to the Australian Accounting Standards, where an asset is acquired for nil consideration, no revenue is brought to account on initial recognition, but instead, the transaction is treated as a balance sheet only event and</w:t>
      </w:r>
      <w:r>
        <w:rPr>
          <w:rFonts w:ascii="Calibri" w:hAnsi="Calibri" w:cs="Calibri"/>
          <w:color w:val="000000" w:themeColor="text1"/>
          <w:lang w:val="en-US"/>
        </w:rPr>
        <w:t>,</w:t>
      </w:r>
      <w:r w:rsidRPr="00D101ED">
        <w:rPr>
          <w:rFonts w:ascii="Calibri" w:hAnsi="Calibri" w:cs="Calibri"/>
          <w:color w:val="000000" w:themeColor="text1"/>
          <w:lang w:val="en-US"/>
        </w:rPr>
        <w:t xml:space="preserve"> as such, an asset is recognized together with a corresponding adjustment to equity. </w:t>
      </w:r>
      <w:r>
        <w:rPr>
          <w:rFonts w:ascii="Calibri" w:hAnsi="Calibri" w:cs="Calibri"/>
          <w:color w:val="000000" w:themeColor="text1"/>
          <w:lang w:val="en-US"/>
        </w:rPr>
        <w:t xml:space="preserve"> We understand that </w:t>
      </w:r>
      <w:r w:rsidRPr="00D101ED">
        <w:rPr>
          <w:rFonts w:ascii="Calibri" w:hAnsi="Calibri" w:cs="Calibri"/>
          <w:color w:val="000000" w:themeColor="text1"/>
          <w:lang w:val="en-US"/>
        </w:rPr>
        <w:t xml:space="preserve">the acquisition </w:t>
      </w:r>
      <w:r>
        <w:rPr>
          <w:rFonts w:ascii="Calibri" w:hAnsi="Calibri" w:cs="Calibri"/>
          <w:color w:val="000000" w:themeColor="text1"/>
          <w:lang w:val="en-US"/>
        </w:rPr>
        <w:t xml:space="preserve">was </w:t>
      </w:r>
      <w:r w:rsidRPr="00D101ED">
        <w:rPr>
          <w:rFonts w:ascii="Calibri" w:hAnsi="Calibri" w:cs="Calibri"/>
          <w:color w:val="000000" w:themeColor="text1"/>
          <w:lang w:val="en-US"/>
        </w:rPr>
        <w:t>recognized in the General Government Sector balance sheet and statement of changes in equity</w:t>
      </w:r>
      <w:r>
        <w:rPr>
          <w:rFonts w:ascii="Calibri" w:hAnsi="Calibri" w:cs="Calibri"/>
          <w:color w:val="000000" w:themeColor="text1"/>
          <w:lang w:val="en-US"/>
        </w:rPr>
        <w:t xml:space="preserve"> with a</w:t>
      </w:r>
      <w:r w:rsidRPr="00D101ED">
        <w:rPr>
          <w:rFonts w:ascii="Calibri" w:hAnsi="Calibri" w:cs="Calibri"/>
          <w:color w:val="000000" w:themeColor="text1"/>
          <w:lang w:val="en-US"/>
        </w:rPr>
        <w:t xml:space="preserve"> date of effect 3 July 2023</w:t>
      </w:r>
      <w:r>
        <w:rPr>
          <w:rFonts w:ascii="Calibri" w:hAnsi="Calibri" w:cs="Calibri"/>
          <w:color w:val="000000" w:themeColor="text1"/>
          <w:lang w:val="en-US"/>
        </w:rPr>
        <w:t>.</w:t>
      </w:r>
    </w:p>
    <w:p w14:paraId="2FF084DB" w14:textId="0DA1E71B" w:rsidR="00EA4B61" w:rsidRDefault="00EA4B61" w:rsidP="00EA4B61">
      <w:pPr>
        <w:rPr>
          <w:rFonts w:ascii="Calibri" w:hAnsi="Calibri" w:cs="Calibri"/>
          <w:color w:val="000000" w:themeColor="text1"/>
          <w:lang w:val="en-US"/>
        </w:rPr>
      </w:pPr>
      <w:r w:rsidRPr="00D101ED">
        <w:rPr>
          <w:rFonts w:ascii="Calibri" w:hAnsi="Calibri" w:cs="Calibri"/>
          <w:color w:val="000000" w:themeColor="text1"/>
          <w:lang w:val="en-US"/>
        </w:rPr>
        <w:t xml:space="preserve">Apart from the asset, the transaction also includes the transfer of some staff to the ACT public sector. </w:t>
      </w:r>
      <w:r>
        <w:rPr>
          <w:rFonts w:ascii="Calibri" w:hAnsi="Calibri" w:cs="Calibri"/>
          <w:color w:val="000000" w:themeColor="text1"/>
          <w:lang w:val="en-US"/>
        </w:rPr>
        <w:t xml:space="preserve"> Relevant </w:t>
      </w:r>
      <w:r w:rsidRPr="00D101ED">
        <w:rPr>
          <w:rFonts w:ascii="Calibri" w:hAnsi="Calibri" w:cs="Calibri"/>
          <w:color w:val="000000" w:themeColor="text1"/>
          <w:lang w:val="en-US"/>
        </w:rPr>
        <w:t>employee costs including salary and wages, leave entitlements and post-employment compensation (superannuation</w:t>
      </w:r>
      <w:r>
        <w:rPr>
          <w:rFonts w:ascii="Calibri" w:hAnsi="Calibri" w:cs="Calibri"/>
          <w:color w:val="000000" w:themeColor="text1"/>
          <w:lang w:val="en-US"/>
        </w:rPr>
        <w:t xml:space="preserve">), and </w:t>
      </w:r>
      <w:r w:rsidR="002C6DBB">
        <w:rPr>
          <w:rFonts w:ascii="Calibri" w:hAnsi="Calibri" w:cs="Calibri"/>
          <w:color w:val="000000" w:themeColor="text1"/>
          <w:lang w:val="en-US"/>
        </w:rPr>
        <w:t>offset</w:t>
      </w:r>
      <w:r>
        <w:rPr>
          <w:rFonts w:ascii="Calibri" w:hAnsi="Calibri" w:cs="Calibri"/>
          <w:color w:val="000000" w:themeColor="text1"/>
          <w:lang w:val="en-US"/>
        </w:rPr>
        <w:t>ting reductions in the purchase of services,</w:t>
      </w:r>
      <w:r w:rsidRPr="00D101ED">
        <w:rPr>
          <w:rFonts w:ascii="Calibri" w:hAnsi="Calibri" w:cs="Calibri"/>
          <w:color w:val="000000" w:themeColor="text1"/>
          <w:lang w:val="en-US"/>
        </w:rPr>
        <w:t xml:space="preserve"> </w:t>
      </w:r>
      <w:r>
        <w:rPr>
          <w:rFonts w:ascii="Calibri" w:hAnsi="Calibri" w:cs="Calibri"/>
          <w:color w:val="000000" w:themeColor="text1"/>
          <w:lang w:val="en-US"/>
        </w:rPr>
        <w:t xml:space="preserve">were expensed in the 2023-24 Budget statements, </w:t>
      </w:r>
      <w:r w:rsidRPr="00D101ED">
        <w:rPr>
          <w:rFonts w:ascii="Calibri" w:hAnsi="Calibri" w:cs="Calibri"/>
          <w:color w:val="000000" w:themeColor="text1"/>
          <w:lang w:val="en-US"/>
        </w:rPr>
        <w:t>with corresponding liabilities recognized in the General Government Sector financial statements.</w:t>
      </w:r>
    </w:p>
    <w:p w14:paraId="3925A146" w14:textId="41A8D93A" w:rsidR="00EA4B61" w:rsidRPr="00D101ED" w:rsidRDefault="00EA4B61" w:rsidP="00EA4B61">
      <w:pPr>
        <w:rPr>
          <w:rFonts w:ascii="Calibri" w:hAnsi="Calibri" w:cs="Calibri"/>
          <w:color w:val="000000" w:themeColor="text1"/>
          <w:lang w:val="en-US"/>
        </w:rPr>
      </w:pPr>
      <w:r>
        <w:rPr>
          <w:rFonts w:ascii="Calibri" w:hAnsi="Calibri" w:cs="Calibri"/>
          <w:color w:val="000000" w:themeColor="text1"/>
          <w:lang w:val="en-US"/>
        </w:rPr>
        <w:t>In respect to the 2024-25 Budget, ACT Treasury indicated to us that there have been no significant additional impacts on the Budget and forward estimates since that time.  They also confirmed that  compensation/settlement of the transaction remains under negotiation.</w:t>
      </w:r>
      <w:r w:rsidRPr="00D101ED">
        <w:rPr>
          <w:rFonts w:ascii="Calibri" w:hAnsi="Calibri" w:cs="Calibri"/>
          <w:color w:val="000000" w:themeColor="text1"/>
          <w:lang w:val="en-US"/>
        </w:rPr>
        <w:t xml:space="preserve"> </w:t>
      </w:r>
      <w:r>
        <w:rPr>
          <w:rFonts w:ascii="Calibri" w:hAnsi="Calibri" w:cs="Calibri"/>
          <w:color w:val="000000" w:themeColor="text1"/>
          <w:lang w:val="en-US"/>
        </w:rPr>
        <w:t xml:space="preserve"> Conclusion of negotiations will impact the out years, as appropriately described in the Statement of Risks (ACT Government, 2024, p. 348). </w:t>
      </w:r>
    </w:p>
    <w:p w14:paraId="73A8BA7E" w14:textId="77777777" w:rsidR="00EA4B61" w:rsidRPr="00EA4B61" w:rsidRDefault="00EA4B61" w:rsidP="000D512F">
      <w:pPr>
        <w:pStyle w:val="Heading2"/>
      </w:pPr>
      <w:bookmarkStart w:id="231" w:name="_Toc171949039"/>
      <w:r w:rsidRPr="00EA4B61">
        <w:t>9.7</w:t>
      </w:r>
      <w:r w:rsidRPr="00EA4B61">
        <w:tab/>
        <w:t>Technical adjustments</w:t>
      </w:r>
      <w:bookmarkEnd w:id="231"/>
    </w:p>
    <w:p w14:paraId="2B07593A" w14:textId="77777777" w:rsidR="00EA4B61" w:rsidRPr="00D101ED" w:rsidRDefault="00EA4B61" w:rsidP="00EA4B61">
      <w:pPr>
        <w:rPr>
          <w:rFonts w:ascii="Calibri" w:hAnsi="Calibri" w:cs="Calibri"/>
          <w:lang w:val="en-US"/>
        </w:rPr>
      </w:pPr>
      <w:r w:rsidRPr="00D101ED">
        <w:rPr>
          <w:rFonts w:ascii="Calibri" w:hAnsi="Calibri" w:cs="Calibri"/>
          <w:lang w:val="en-US"/>
        </w:rPr>
        <w:t>The Budget Papers include technical adjustments that appear to indicate changes to previous decisions relating to the funding of programs and projects. The adjustments appear to move funding across years as well as changes to appropriations across years.</w:t>
      </w:r>
    </w:p>
    <w:p w14:paraId="53F6DDCF" w14:textId="77777777" w:rsidR="00EA4B61" w:rsidRPr="00D101ED" w:rsidRDefault="00EA4B61" w:rsidP="00EA4B61">
      <w:pPr>
        <w:rPr>
          <w:rFonts w:ascii="Calibri" w:hAnsi="Calibri" w:cs="Calibri"/>
          <w:lang w:val="en-US"/>
        </w:rPr>
      </w:pPr>
      <w:r w:rsidRPr="00D101ED">
        <w:rPr>
          <w:rFonts w:ascii="Calibri" w:hAnsi="Calibri" w:cs="Calibri"/>
          <w:lang w:val="en-US"/>
        </w:rPr>
        <w:lastRenderedPageBreak/>
        <w:t>Whilst examples of this practice are not unusual in other jurisdictions</w:t>
      </w:r>
      <w:r>
        <w:rPr>
          <w:rFonts w:ascii="Calibri" w:hAnsi="Calibri" w:cs="Calibri"/>
          <w:lang w:val="en-US"/>
        </w:rPr>
        <w:t>;</w:t>
      </w:r>
      <w:r w:rsidRPr="00D101ED">
        <w:rPr>
          <w:rFonts w:ascii="Calibri" w:hAnsi="Calibri" w:cs="Calibri"/>
          <w:lang w:val="en-US"/>
        </w:rPr>
        <w:t xml:space="preserve"> for instance, the re-phasing of appropriations and the movement of previous decision</w:t>
      </w:r>
      <w:r>
        <w:rPr>
          <w:rFonts w:ascii="Calibri" w:hAnsi="Calibri" w:cs="Calibri"/>
          <w:lang w:val="en-US"/>
        </w:rPr>
        <w:t>s</w:t>
      </w:r>
      <w:r w:rsidRPr="00D101ED">
        <w:rPr>
          <w:rFonts w:ascii="Calibri" w:hAnsi="Calibri" w:cs="Calibri"/>
          <w:lang w:val="en-US"/>
        </w:rPr>
        <w:t xml:space="preserve"> to out years, the level of adjustments appears substantial.</w:t>
      </w:r>
    </w:p>
    <w:p w14:paraId="40A842F0" w14:textId="77777777" w:rsidR="00EA4B61" w:rsidRPr="00EA4B61" w:rsidRDefault="00EA4B61" w:rsidP="000D512F">
      <w:pPr>
        <w:pStyle w:val="Heading2"/>
      </w:pPr>
      <w:bookmarkStart w:id="232" w:name="_Toc171949040"/>
      <w:r w:rsidRPr="00EA4B61">
        <w:t>9.8</w:t>
      </w:r>
      <w:r w:rsidRPr="00EA4B61">
        <w:tab/>
        <w:t>Concessional loans</w:t>
      </w:r>
      <w:bookmarkEnd w:id="229"/>
      <w:bookmarkEnd w:id="232"/>
    </w:p>
    <w:p w14:paraId="121CCAE1" w14:textId="77777777" w:rsidR="00EA4B61" w:rsidRPr="00D101ED" w:rsidRDefault="00EA4B61" w:rsidP="00EA4B61">
      <w:pPr>
        <w:tabs>
          <w:tab w:val="left" w:pos="1032"/>
        </w:tabs>
        <w:rPr>
          <w:rFonts w:ascii="Calibri" w:hAnsi="Calibri" w:cs="Calibri"/>
          <w:lang w:val="en-US"/>
        </w:rPr>
      </w:pPr>
      <w:r w:rsidRPr="00D101ED">
        <w:rPr>
          <w:rFonts w:ascii="Calibri" w:hAnsi="Calibri" w:cs="Calibri"/>
          <w:lang w:val="en-US"/>
        </w:rPr>
        <w:t xml:space="preserve">Concessional loans are arrangements where a lender, typically a government, provides a loan facility on terms and conditions more favorable than the prevailing market. </w:t>
      </w:r>
      <w:r>
        <w:rPr>
          <w:rFonts w:ascii="Calibri" w:hAnsi="Calibri" w:cs="Calibri"/>
          <w:lang w:val="en-US"/>
        </w:rPr>
        <w:t xml:space="preserve"> </w:t>
      </w:r>
      <w:r w:rsidRPr="00D101ED">
        <w:rPr>
          <w:rFonts w:ascii="Calibri" w:hAnsi="Calibri" w:cs="Calibri"/>
          <w:lang w:val="en-US"/>
        </w:rPr>
        <w:t xml:space="preserve">Concessions can include </w:t>
      </w:r>
      <w:r>
        <w:rPr>
          <w:rFonts w:ascii="Calibri" w:hAnsi="Calibri" w:cs="Calibri"/>
          <w:lang w:val="en-US"/>
        </w:rPr>
        <w:t xml:space="preserve">involve </w:t>
      </w:r>
      <w:r w:rsidRPr="00D101ED">
        <w:rPr>
          <w:rFonts w:ascii="Calibri" w:hAnsi="Calibri" w:cs="Calibri"/>
          <w:lang w:val="en-US"/>
        </w:rPr>
        <w:t xml:space="preserve">lower or zero interest rates, interest free periods, and/or an extended maturity term. </w:t>
      </w:r>
      <w:r>
        <w:rPr>
          <w:rFonts w:ascii="Calibri" w:hAnsi="Calibri" w:cs="Calibri"/>
          <w:lang w:val="en-US"/>
        </w:rPr>
        <w:t xml:space="preserve"> </w:t>
      </w:r>
      <w:r w:rsidRPr="00D101ED">
        <w:rPr>
          <w:rFonts w:ascii="Calibri" w:hAnsi="Calibri" w:cs="Calibri"/>
          <w:lang w:val="en-US"/>
        </w:rPr>
        <w:t xml:space="preserve">Appendix G indicates the ACT Government </w:t>
      </w:r>
      <w:r>
        <w:rPr>
          <w:rFonts w:ascii="Calibri" w:hAnsi="Calibri" w:cs="Calibri"/>
          <w:lang w:val="en-US"/>
        </w:rPr>
        <w:t>(2024, pp, 332-333)</w:t>
      </w:r>
      <w:r w:rsidRPr="00D101ED">
        <w:rPr>
          <w:rFonts w:ascii="Calibri" w:hAnsi="Calibri" w:cs="Calibri"/>
          <w:color w:val="000000" w:themeColor="text1"/>
          <w:lang w:val="en-US"/>
        </w:rPr>
        <w:t xml:space="preserve"> </w:t>
      </w:r>
      <w:r w:rsidRPr="00D101ED">
        <w:rPr>
          <w:rFonts w:ascii="Calibri" w:hAnsi="Calibri" w:cs="Calibri"/>
          <w:lang w:val="en-US"/>
        </w:rPr>
        <w:t>is providing concessional loans pursuant to its Sustainable Household Scheme.</w:t>
      </w:r>
    </w:p>
    <w:p w14:paraId="759FDD78" w14:textId="77777777" w:rsidR="00EA4B61" w:rsidRPr="00D101ED" w:rsidRDefault="00EA4B61" w:rsidP="00EA4B61">
      <w:pPr>
        <w:tabs>
          <w:tab w:val="left" w:pos="1032"/>
        </w:tabs>
        <w:rPr>
          <w:rFonts w:ascii="Calibri" w:hAnsi="Calibri" w:cs="Calibri"/>
          <w:lang w:val="en-US"/>
        </w:rPr>
      </w:pPr>
      <w:r>
        <w:rPr>
          <w:rFonts w:ascii="Calibri" w:hAnsi="Calibri" w:cs="Calibri"/>
          <w:lang w:val="en-US"/>
        </w:rPr>
        <w:t xml:space="preserve">The arrangement provides interest free loans to assist households with the upfront costs of installing equipment to enable emissions reductions.  </w:t>
      </w:r>
      <w:r w:rsidRPr="00D101ED">
        <w:rPr>
          <w:rFonts w:ascii="Calibri" w:hAnsi="Calibri" w:cs="Calibri"/>
          <w:lang w:val="en-US"/>
        </w:rPr>
        <w:t xml:space="preserve">The accounting treatment outlined accords with the applicable accounting standard </w:t>
      </w:r>
      <w:r w:rsidRPr="00D101ED">
        <w:rPr>
          <w:rFonts w:ascii="Calibri" w:hAnsi="Calibri" w:cs="Calibri"/>
          <w:i/>
          <w:iCs/>
          <w:lang w:val="en-US"/>
        </w:rPr>
        <w:t>AASB 9</w:t>
      </w:r>
      <w:r w:rsidRPr="00D101ED">
        <w:rPr>
          <w:rFonts w:ascii="Calibri" w:hAnsi="Calibri" w:cs="Calibri"/>
          <w:lang w:val="en-US"/>
        </w:rPr>
        <w:t xml:space="preserve"> </w:t>
      </w:r>
      <w:r w:rsidRPr="00D101ED">
        <w:rPr>
          <w:rFonts w:ascii="Calibri" w:hAnsi="Calibri" w:cs="Calibri"/>
          <w:i/>
          <w:iCs/>
          <w:lang w:val="en-US"/>
        </w:rPr>
        <w:t>Financial Instruments</w:t>
      </w:r>
      <w:r w:rsidRPr="00D101ED">
        <w:rPr>
          <w:rFonts w:ascii="Calibri" w:hAnsi="Calibri" w:cs="Calibri"/>
          <w:lang w:val="en-US"/>
        </w:rPr>
        <w:t>.</w:t>
      </w:r>
      <w:r w:rsidRPr="00D101ED">
        <w:rPr>
          <w:rFonts w:ascii="Calibri" w:hAnsi="Calibri" w:cs="Calibri"/>
          <w:vertAlign w:val="superscript"/>
          <w:lang w:val="en-US"/>
        </w:rPr>
        <w:footnoteReference w:id="7"/>
      </w:r>
    </w:p>
    <w:p w14:paraId="11004C97" w14:textId="77777777" w:rsidR="00EA4B61" w:rsidRPr="00D101ED" w:rsidRDefault="00EA4B61" w:rsidP="00EA4B61">
      <w:pPr>
        <w:rPr>
          <w:rFonts w:ascii="Calibri" w:eastAsia="Times New Roman" w:hAnsi="Calibri" w:cs="Calibri"/>
          <w:lang w:eastAsia="en-AU"/>
        </w:rPr>
      </w:pPr>
    </w:p>
    <w:p w14:paraId="53870A68" w14:textId="77777777" w:rsidR="00EA4B61" w:rsidRDefault="00EA4B61" w:rsidP="00EA4B61"/>
    <w:p w14:paraId="217619EA" w14:textId="77777777" w:rsidR="00BC4D6A" w:rsidRDefault="00BC4D6A" w:rsidP="003F088B">
      <w:pPr>
        <w:pStyle w:val="BodyText"/>
      </w:pPr>
    </w:p>
    <w:p w14:paraId="5D516659" w14:textId="77777777" w:rsidR="00BC5B22" w:rsidRDefault="00BC5B22" w:rsidP="003F088B">
      <w:pPr>
        <w:pStyle w:val="BodyText"/>
      </w:pPr>
    </w:p>
    <w:p w14:paraId="57863A51" w14:textId="77777777" w:rsidR="00A16B34" w:rsidRDefault="00A16B34">
      <w:r>
        <w:br w:type="page"/>
      </w:r>
    </w:p>
    <w:p w14:paraId="30B20BD1" w14:textId="74A7B5FE" w:rsidR="00EA4B61" w:rsidRDefault="00BC4D6A" w:rsidP="00EA4B61">
      <w:pPr>
        <w:pStyle w:val="Heading1"/>
      </w:pPr>
      <w:bookmarkStart w:id="233" w:name="_Toc171949041"/>
      <w:r w:rsidRPr="00EA4B61">
        <w:lastRenderedPageBreak/>
        <w:t>1</w:t>
      </w:r>
      <w:r w:rsidR="00490372" w:rsidRPr="00EA4B61">
        <w:t>0</w:t>
      </w:r>
      <w:r w:rsidRPr="00EA4B61">
        <w:t>.</w:t>
      </w:r>
      <w:r w:rsidRPr="00EA4B61">
        <w:tab/>
      </w:r>
      <w:r w:rsidR="003207C0" w:rsidRPr="00EA4B61">
        <w:t xml:space="preserve">Women’s </w:t>
      </w:r>
      <w:r w:rsidR="006B7B2C" w:rsidRPr="00EA4B61">
        <w:t xml:space="preserve">Budget </w:t>
      </w:r>
      <w:r w:rsidR="003207C0" w:rsidRPr="00EA4B61">
        <w:t>Statement</w:t>
      </w:r>
      <w:bookmarkEnd w:id="233"/>
    </w:p>
    <w:p w14:paraId="69AA0815" w14:textId="60FDDA2A" w:rsidR="00EA4B61" w:rsidRPr="00EA4B61" w:rsidRDefault="00EA4B61" w:rsidP="00EA4B61">
      <w:pPr>
        <w:rPr>
          <w:i/>
          <w:iCs/>
          <w:color w:val="5B9BD5"/>
          <w:sz w:val="24"/>
          <w:szCs w:val="24"/>
        </w:rPr>
      </w:pPr>
      <w:r w:rsidRPr="00EA4B61">
        <w:rPr>
          <w:i/>
          <w:iCs/>
          <w:color w:val="5B9BD5"/>
          <w:sz w:val="24"/>
          <w:szCs w:val="24"/>
        </w:rPr>
        <w:t xml:space="preserve">This year’s Women’s Budget Statement is much more focused on policy initiatives and programs specifically targeted and relevant to women than was the case with last year’s statement. The statement primarily provides an overview of existing ACT Government programs, illustrated with numerous case studies. </w:t>
      </w:r>
      <w:r>
        <w:rPr>
          <w:i/>
          <w:iCs/>
          <w:color w:val="5B9BD5"/>
          <w:sz w:val="24"/>
          <w:szCs w:val="24"/>
        </w:rPr>
        <w:t xml:space="preserve"> New initiatives related to women are also included in the Wellbeing Statement, though they are not always identified as women’s programs.</w:t>
      </w:r>
    </w:p>
    <w:p w14:paraId="6979A51D" w14:textId="77777777" w:rsidR="00AA6C45" w:rsidRDefault="00AA6C45" w:rsidP="00AA6C45">
      <w:pPr>
        <w:pStyle w:val="Heading2"/>
      </w:pPr>
      <w:bookmarkStart w:id="234" w:name="_Toc171949042"/>
      <w:r>
        <w:t>10.1</w:t>
      </w:r>
      <w:r>
        <w:tab/>
        <w:t>Introduction</w:t>
      </w:r>
      <w:bookmarkEnd w:id="234"/>
    </w:p>
    <w:p w14:paraId="7AC03B7F" w14:textId="5047FC52" w:rsidR="00AA6C45" w:rsidRPr="00215D24" w:rsidRDefault="00EA4B61" w:rsidP="00AA6C45">
      <w:r>
        <w:t xml:space="preserve">The Committee asked </w:t>
      </w:r>
      <w:r w:rsidR="00AA6C45">
        <w:t xml:space="preserve">Pegasus </w:t>
      </w:r>
      <w:r>
        <w:t xml:space="preserve">to </w:t>
      </w:r>
      <w:r w:rsidR="00AA6C45">
        <w:t xml:space="preserve">examine the Women’s Budget Statement. </w:t>
      </w:r>
      <w:r>
        <w:t xml:space="preserve"> </w:t>
      </w:r>
      <w:r w:rsidR="00AA6C45">
        <w:t>This section of the report responds to that request.</w:t>
      </w:r>
    </w:p>
    <w:p w14:paraId="3BB781E8" w14:textId="778EBA4E" w:rsidR="00AA6C45" w:rsidRDefault="00AA6C45" w:rsidP="00AA6C45">
      <w:pPr>
        <w:pStyle w:val="Heading2"/>
      </w:pPr>
      <w:bookmarkStart w:id="235" w:name="_Toc171949043"/>
      <w:r>
        <w:t>10.2</w:t>
      </w:r>
      <w:r>
        <w:tab/>
        <w:t xml:space="preserve">Overall </w:t>
      </w:r>
      <w:r w:rsidR="004669AE">
        <w:t>i</w:t>
      </w:r>
      <w:r>
        <w:t>mpressions</w:t>
      </w:r>
      <w:bookmarkEnd w:id="235"/>
    </w:p>
    <w:p w14:paraId="17CB21FC" w14:textId="52A42C12" w:rsidR="002437C7" w:rsidRDefault="00AA6C45" w:rsidP="00AA6C45">
      <w:pPr>
        <w:rPr>
          <w:rStyle w:val="BbodytextChar"/>
        </w:rPr>
      </w:pPr>
      <w:r w:rsidRPr="002437C7">
        <w:t xml:space="preserve">The ACT Women’s Budget Statement </w:t>
      </w:r>
      <w:sdt>
        <w:sdtPr>
          <w:id w:val="-619611015"/>
          <w:citation/>
        </w:sdtPr>
        <w:sdtContent>
          <w:r w:rsidRPr="002437C7">
            <w:fldChar w:fldCharType="begin"/>
          </w:r>
          <w:r w:rsidR="002437C7" w:rsidRPr="002437C7">
            <w:instrText xml:space="preserve">CITATION ACTW4a \t  \l 3081 </w:instrText>
          </w:r>
          <w:r w:rsidRPr="002437C7">
            <w:fldChar w:fldCharType="separate"/>
          </w:r>
          <w:r w:rsidR="00874F23">
            <w:rPr>
              <w:noProof/>
            </w:rPr>
            <w:t>(ACT Government, 2024a)</w:t>
          </w:r>
          <w:r w:rsidRPr="002437C7">
            <w:fldChar w:fldCharType="end"/>
          </w:r>
        </w:sdtContent>
      </w:sdt>
      <w:r w:rsidRPr="002437C7">
        <w:t xml:space="preserve"> </w:t>
      </w:r>
      <w:r w:rsidR="002437C7" w:rsidRPr="002437C7">
        <w:t>provides an overview of policy initiatives and program</w:t>
      </w:r>
      <w:r w:rsidR="00040F2E">
        <w:t>s</w:t>
      </w:r>
      <w:r w:rsidR="002437C7" w:rsidRPr="002437C7">
        <w:t xml:space="preserve"> </w:t>
      </w:r>
      <w:r w:rsidR="002437C7" w:rsidRPr="002437C7">
        <w:rPr>
          <w:rStyle w:val="BbodytextChar"/>
        </w:rPr>
        <w:t xml:space="preserve">specifically targeted and relevant to women. </w:t>
      </w:r>
      <w:r w:rsidR="00040F2E">
        <w:rPr>
          <w:rStyle w:val="BbodytextChar"/>
        </w:rPr>
        <w:t xml:space="preserve"> The statement appears more clearly targeted to women’s programs than the comparable statement in last year’s Budget.</w:t>
      </w:r>
    </w:p>
    <w:p w14:paraId="366140E3" w14:textId="6E942B68" w:rsidR="00351993" w:rsidRDefault="00477101" w:rsidP="00AA6C45">
      <w:pPr>
        <w:rPr>
          <w:rStyle w:val="BbodytextChar"/>
        </w:rPr>
      </w:pPr>
      <w:r>
        <w:rPr>
          <w:rStyle w:val="BbodytextChar"/>
        </w:rPr>
        <w:t>Within the statement itself, the main ACT Government programs and initiatives referred to are:</w:t>
      </w:r>
    </w:p>
    <w:p w14:paraId="52E71E99" w14:textId="27784A45" w:rsidR="00477101" w:rsidRPr="00EA4B61" w:rsidRDefault="00477101" w:rsidP="00477101">
      <w:pPr>
        <w:pStyle w:val="Bbodytext"/>
        <w:numPr>
          <w:ilvl w:val="0"/>
          <w:numId w:val="32"/>
        </w:numPr>
        <w:rPr>
          <w:rStyle w:val="BbodytextChar"/>
        </w:rPr>
      </w:pPr>
      <w:r w:rsidRPr="00EA4B61">
        <w:rPr>
          <w:i/>
          <w:iCs/>
        </w:rPr>
        <w:t xml:space="preserve">Period Products and Facilities (Access) Act 2023 </w:t>
      </w:r>
      <w:r w:rsidRPr="00EA4B61">
        <w:t>that commits the Government to providing period products free of charge at designated, accessible places across the ACT, including public schools and public health facilities. This is the first legislated support for free period products anywhere in Australia (page 7).</w:t>
      </w:r>
    </w:p>
    <w:p w14:paraId="5E565A3B" w14:textId="02AC3E25" w:rsidR="00477101" w:rsidRPr="00EA4B61" w:rsidRDefault="00477101" w:rsidP="00EA4B61">
      <w:pPr>
        <w:pStyle w:val="Bbodytext"/>
        <w:numPr>
          <w:ilvl w:val="0"/>
          <w:numId w:val="32"/>
        </w:numPr>
      </w:pPr>
      <w:r w:rsidRPr="00EA4B61">
        <w:t>The ACT Public Maternity System Plan 2022-2032 that sets out the ACT Government’s priorities for the next 10 years to ensure the public maternity system is best placed to meet the needs of women, pregnant people, their babies and families, and the workforce (page 8)</w:t>
      </w:r>
    </w:p>
    <w:p w14:paraId="6DF263FB" w14:textId="01DC3BF3" w:rsidR="00477101" w:rsidRPr="00EA4B61" w:rsidRDefault="00477101" w:rsidP="00EA4B61">
      <w:pPr>
        <w:pStyle w:val="Bbodytext"/>
        <w:numPr>
          <w:ilvl w:val="0"/>
          <w:numId w:val="32"/>
        </w:numPr>
      </w:pPr>
      <w:r w:rsidRPr="00EA4B61">
        <w:t xml:space="preserve">The provision of $26 million over four years to invest in expansion of maternity services to continue to support safe care for women, pregnant people and their families, including the expansion of the Maternal Foetal Medicine Unit; the extension of the Maternity Assessment Unit to provide 24/7 services; increased resources for the Early Pregnancy Unit; and support for obstetrics and gynaecology services to meet growing demand page 9). </w:t>
      </w:r>
    </w:p>
    <w:p w14:paraId="199EE677" w14:textId="221CE623" w:rsidR="00477101" w:rsidRPr="00EA4B61" w:rsidRDefault="00477101" w:rsidP="00EA4B61">
      <w:pPr>
        <w:pStyle w:val="Bbodytext"/>
        <w:numPr>
          <w:ilvl w:val="0"/>
          <w:numId w:val="32"/>
        </w:numPr>
      </w:pPr>
      <w:r w:rsidRPr="00EA4B61">
        <w:t>The provision of $52 million to support emergency and elective surgery capacity and also funds additional elective surgeries across public and private hospitals, including operationalising a second endoscopy suite at North Canberra Hospital (page 9).</w:t>
      </w:r>
    </w:p>
    <w:p w14:paraId="06B7BBA5" w14:textId="186D4D0A" w:rsidR="00477101" w:rsidRPr="00EA4B61" w:rsidRDefault="00477101" w:rsidP="00EA4B61">
      <w:pPr>
        <w:pStyle w:val="Bbodytext"/>
        <w:numPr>
          <w:ilvl w:val="0"/>
          <w:numId w:val="32"/>
        </w:numPr>
      </w:pPr>
      <w:r w:rsidRPr="00EA4B61">
        <w:t xml:space="preserve">The provision of $86 million over four years to ensure implementation of mandated minimum nurse and midwife to patient ratios (page 9). </w:t>
      </w:r>
    </w:p>
    <w:p w14:paraId="59324552" w14:textId="7D38C560" w:rsidR="00477101" w:rsidRPr="00EA4B61" w:rsidRDefault="00477101" w:rsidP="00477101">
      <w:pPr>
        <w:pStyle w:val="ListParagraph"/>
        <w:numPr>
          <w:ilvl w:val="0"/>
          <w:numId w:val="32"/>
        </w:numPr>
        <w:rPr>
          <w:rStyle w:val="BbodytextChar"/>
        </w:rPr>
      </w:pPr>
      <w:r w:rsidRPr="00EA4B61">
        <w:rPr>
          <w:rStyle w:val="BbodytextChar"/>
        </w:rPr>
        <w:t xml:space="preserve">The provision of </w:t>
      </w:r>
      <w:r w:rsidRPr="00EA4B61">
        <w:rPr>
          <w:rFonts w:cs="Source Sans Pro"/>
          <w:color w:val="000000"/>
        </w:rPr>
        <w:t>$233,000 in 2024-25 to continue delivering domestic and family violence training to Canberra Hospital staff and expanding the training to North Canberra Hospital staff through the Strengthening Health Responses to Family Violence (SHRFV) program (page 9).</w:t>
      </w:r>
    </w:p>
    <w:p w14:paraId="3795D3C4" w14:textId="7C7AA6B5" w:rsidR="00477101" w:rsidRPr="00EA4B61" w:rsidRDefault="00477101" w:rsidP="00477101">
      <w:pPr>
        <w:pStyle w:val="ListParagraph"/>
        <w:numPr>
          <w:ilvl w:val="0"/>
          <w:numId w:val="32"/>
        </w:numPr>
        <w:rPr>
          <w:rStyle w:val="BbodytextChar"/>
        </w:rPr>
      </w:pPr>
      <w:r w:rsidRPr="00EA4B61">
        <w:rPr>
          <w:rFonts w:cs="Source Sans Pro"/>
          <w:color w:val="000000"/>
        </w:rPr>
        <w:t>Continuation of the Children and Young People Equipment Loan Service (CAYPELS) with funding of $466,000 in 2024-25 (page 9)</w:t>
      </w:r>
    </w:p>
    <w:p w14:paraId="46C55117" w14:textId="5F0747C1" w:rsidR="00477101" w:rsidRPr="00EA4B61" w:rsidRDefault="00C232B6" w:rsidP="00EA4B61">
      <w:pPr>
        <w:pStyle w:val="Bbodytext"/>
        <w:numPr>
          <w:ilvl w:val="0"/>
          <w:numId w:val="32"/>
        </w:numPr>
      </w:pPr>
      <w:r w:rsidRPr="00EA4B61">
        <w:t>Expansion of paediatric services in line with the Child and Adolescent Clinical Services Plan 2023-2030 with support of $56 million over four years from 2024-25 and capital funding of $825,000 in 2024-25 (page 9).</w:t>
      </w:r>
    </w:p>
    <w:p w14:paraId="503B7380" w14:textId="769E0AEF" w:rsidR="00477101" w:rsidRPr="00EA4B61" w:rsidRDefault="00C232B6" w:rsidP="00EA4B61">
      <w:pPr>
        <w:pStyle w:val="Bbodytext"/>
        <w:numPr>
          <w:ilvl w:val="0"/>
          <w:numId w:val="32"/>
        </w:numPr>
      </w:pPr>
      <w:r w:rsidRPr="00EA4B61">
        <w:lastRenderedPageBreak/>
        <w:t>Provision of $10.408 million over three years from 2024-25 for frontline domestic, family, and sexual violence services to address rising demand and delivery costs for crisis response services, and to provide wraparound supports (page 11).</w:t>
      </w:r>
    </w:p>
    <w:p w14:paraId="4A2144E0" w14:textId="1D28860B" w:rsidR="00C232B6" w:rsidRPr="00EA4B61" w:rsidRDefault="00C232B6" w:rsidP="00EA4B61">
      <w:pPr>
        <w:pStyle w:val="Bbodytext"/>
        <w:numPr>
          <w:ilvl w:val="0"/>
          <w:numId w:val="32"/>
        </w:numPr>
      </w:pPr>
      <w:r w:rsidRPr="00EA4B61">
        <w:t>Provision of $267,000 over four years from 2024-25 to enhance and improve the ACT Domestic and Family Violence (DFV) Death Review functions (page 11).</w:t>
      </w:r>
    </w:p>
    <w:p w14:paraId="0FACA94D" w14:textId="4C944E19" w:rsidR="00C232B6" w:rsidRPr="00EA4B61" w:rsidRDefault="00C232B6" w:rsidP="00EA4B61">
      <w:pPr>
        <w:pStyle w:val="Bbodytext"/>
        <w:numPr>
          <w:ilvl w:val="0"/>
          <w:numId w:val="32"/>
        </w:numPr>
      </w:pPr>
      <w:r w:rsidRPr="00EA4B61">
        <w:t>Provision of $375,000 for training for ACT Policing and Courts to build knowledge and understanding of coercive control, developing online tools for assessing coercive control as well as a communications campaign (page 11).</w:t>
      </w:r>
    </w:p>
    <w:p w14:paraId="373BE07E" w14:textId="18BDC688" w:rsidR="00C232B6" w:rsidRPr="00EA4B61" w:rsidRDefault="00C232B6" w:rsidP="00EA4B61">
      <w:pPr>
        <w:pStyle w:val="Bbodytext"/>
        <w:numPr>
          <w:ilvl w:val="0"/>
          <w:numId w:val="32"/>
        </w:numPr>
      </w:pPr>
      <w:r w:rsidRPr="00EA4B61">
        <w:t>Provision of $506,000 over four years from 2024-25 to victim-survivors of domestic, family and/or sexual violence by strengthening Restorative Justice (page 12).</w:t>
      </w:r>
    </w:p>
    <w:p w14:paraId="4A9DC90A" w14:textId="7BC58B89" w:rsidR="00C232B6" w:rsidRPr="00EA4B61" w:rsidRDefault="00C232B6" w:rsidP="00EA4B61">
      <w:pPr>
        <w:pStyle w:val="Bbodytext"/>
        <w:numPr>
          <w:ilvl w:val="0"/>
          <w:numId w:val="32"/>
        </w:numPr>
      </w:pPr>
      <w:r w:rsidRPr="00EA4B61">
        <w:t>Provision of an additional $299,000 in 2024-25 to enable the existing Restorative Justice Unit (RJU) database to be updated (page 12).</w:t>
      </w:r>
    </w:p>
    <w:p w14:paraId="187494EB" w14:textId="702D7AC6" w:rsidR="00C232B6" w:rsidRPr="00EA4B61" w:rsidRDefault="00C232B6" w:rsidP="00EA4B61">
      <w:pPr>
        <w:pStyle w:val="Bbodytext"/>
        <w:numPr>
          <w:ilvl w:val="0"/>
          <w:numId w:val="32"/>
        </w:numPr>
      </w:pPr>
      <w:r w:rsidRPr="00EA4B61">
        <w:t xml:space="preserve">Provision of $150,000 to implement the Capital of Equality Strategy’s First Action Plan (2024-26) to support inclusion and equality of LGBTIQA+ people (page 12). </w:t>
      </w:r>
    </w:p>
    <w:p w14:paraId="377863EF" w14:textId="44216956" w:rsidR="00C232B6" w:rsidRPr="00EA4B61" w:rsidRDefault="00666EF9" w:rsidP="00EA4B61">
      <w:pPr>
        <w:pStyle w:val="Bbodytext"/>
        <w:numPr>
          <w:ilvl w:val="0"/>
          <w:numId w:val="32"/>
        </w:numPr>
      </w:pPr>
      <w:r w:rsidRPr="00EA4B61">
        <w:t>A further $150,000 has been allocated to expand the Capital of Equality Grants Program for one year (page 12).</w:t>
      </w:r>
    </w:p>
    <w:p w14:paraId="46F52B22" w14:textId="643B9671" w:rsidR="00666EF9" w:rsidRPr="00EA4B61" w:rsidRDefault="00666EF9" w:rsidP="00EA4B61">
      <w:pPr>
        <w:pStyle w:val="Bbodytext"/>
        <w:numPr>
          <w:ilvl w:val="0"/>
          <w:numId w:val="32"/>
        </w:numPr>
      </w:pPr>
      <w:r w:rsidRPr="00EA4B61">
        <w:t>The Early Learning Connection program that supports women to build career pathways in early childhood education and will ease workforce pressures in the sector (page 13).</w:t>
      </w:r>
    </w:p>
    <w:p w14:paraId="692FBA89" w14:textId="05392AF9" w:rsidR="00666EF9" w:rsidRPr="00EA4B61" w:rsidRDefault="00666EF9" w:rsidP="00EA4B61">
      <w:pPr>
        <w:pStyle w:val="Bbodytext"/>
        <w:numPr>
          <w:ilvl w:val="0"/>
          <w:numId w:val="32"/>
        </w:numPr>
      </w:pPr>
      <w:r w:rsidRPr="00EA4B61">
        <w:t>The provision of $300,000 for the development of a Gender Equity Plan to increase diversity and gender balance in Transport Canberra’s workforce; and deliver improved facilities and amenities, including segregated or gender-neutral toilets on the network (page 15).</w:t>
      </w:r>
    </w:p>
    <w:p w14:paraId="105AC4B6" w14:textId="6FEE5694" w:rsidR="00666EF9" w:rsidRPr="00EA4B61" w:rsidRDefault="00666EF9" w:rsidP="00EA4B61">
      <w:pPr>
        <w:pStyle w:val="Bbodytext"/>
        <w:numPr>
          <w:ilvl w:val="0"/>
          <w:numId w:val="32"/>
        </w:numPr>
      </w:pPr>
      <w:r w:rsidRPr="00EA4B61">
        <w:t>The provision of $116,000 to support free registration of early childhood teachers with the Teacher Quality Institute for a period of 2 years (page 15).</w:t>
      </w:r>
    </w:p>
    <w:p w14:paraId="7DEF0B33" w14:textId="1FF718AE" w:rsidR="00666EF9" w:rsidRPr="00EA4B61" w:rsidRDefault="00666EF9" w:rsidP="00EA4B61">
      <w:pPr>
        <w:pStyle w:val="Bbodytext"/>
        <w:numPr>
          <w:ilvl w:val="0"/>
          <w:numId w:val="32"/>
        </w:numPr>
      </w:pPr>
      <w:r w:rsidRPr="00EA4B61">
        <w:t>The provision of $146,000 for the Return to Work Program (page 15).</w:t>
      </w:r>
    </w:p>
    <w:p w14:paraId="12C38F33" w14:textId="7DCE8E2A" w:rsidR="00666EF9" w:rsidRPr="00EA4B61" w:rsidRDefault="00666EF9" w:rsidP="00EA4B61">
      <w:pPr>
        <w:pStyle w:val="Bbodytext"/>
        <w:numPr>
          <w:ilvl w:val="0"/>
          <w:numId w:val="32"/>
        </w:numPr>
      </w:pPr>
      <w:r w:rsidRPr="00EA4B61">
        <w:t>Reference to the Growing and Renewing Public Housing Program that is discussed further in the next section (page 16).</w:t>
      </w:r>
    </w:p>
    <w:p w14:paraId="4711AF55" w14:textId="68BF68C9" w:rsidR="00666EF9" w:rsidRPr="00EA4B61" w:rsidRDefault="00666EF9" w:rsidP="00EA4B61">
      <w:pPr>
        <w:pStyle w:val="Bbodytext"/>
        <w:numPr>
          <w:ilvl w:val="0"/>
          <w:numId w:val="32"/>
        </w:numPr>
      </w:pPr>
      <w:r w:rsidRPr="00EA4B61">
        <w:t>An increase in funding for the Affordable Housing Project Fund from $60 million to $80 million (page 17).</w:t>
      </w:r>
    </w:p>
    <w:p w14:paraId="332A58DE" w14:textId="450303C6" w:rsidR="00666EF9" w:rsidRPr="00EA4B61" w:rsidRDefault="00FF77B1" w:rsidP="00EA4B61">
      <w:pPr>
        <w:pStyle w:val="Bbodytext"/>
        <w:numPr>
          <w:ilvl w:val="0"/>
          <w:numId w:val="32"/>
        </w:numPr>
      </w:pPr>
      <w:r w:rsidRPr="00EA4B61">
        <w:t>The provision of $856,000 in 2024-25 to fund hotel accommodation brokerage for the Domestic Violence Crisis Service (DVCS) and OneLink (pages 17-18.</w:t>
      </w:r>
    </w:p>
    <w:p w14:paraId="67ABED23" w14:textId="5918FB2E" w:rsidR="00FF77B1" w:rsidRPr="00EA4B61" w:rsidRDefault="00FF77B1" w:rsidP="00EA4B61">
      <w:pPr>
        <w:pStyle w:val="Bbodytext"/>
        <w:numPr>
          <w:ilvl w:val="0"/>
          <w:numId w:val="32"/>
        </w:numPr>
      </w:pPr>
      <w:r w:rsidRPr="00EA4B61">
        <w:t>The provision of $57 million to support maintenance and repairs for public housing (page 18).</w:t>
      </w:r>
    </w:p>
    <w:p w14:paraId="382FB545" w14:textId="33146E3C" w:rsidR="00FF77B1" w:rsidRPr="00EA4B61" w:rsidRDefault="00FF77B1" w:rsidP="00EA4B61">
      <w:pPr>
        <w:pStyle w:val="Bbodytext"/>
        <w:numPr>
          <w:ilvl w:val="0"/>
          <w:numId w:val="32"/>
        </w:numPr>
      </w:pPr>
      <w:r w:rsidRPr="00EA4B61">
        <w:t>The provision of $28 million over three years from 2028-29 for the electrification of all feasible public housing in the ACT by 203 (page 18).</w:t>
      </w:r>
    </w:p>
    <w:p w14:paraId="4159EAEA" w14:textId="77F471E1" w:rsidR="00FF77B1" w:rsidRPr="00EA4B61" w:rsidRDefault="00FF77B1" w:rsidP="00EA4B61">
      <w:pPr>
        <w:pStyle w:val="Bbodytext"/>
        <w:numPr>
          <w:ilvl w:val="0"/>
          <w:numId w:val="32"/>
        </w:numPr>
      </w:pPr>
      <w:r w:rsidRPr="00EA4B61">
        <w:t>The provision of $5.2 million over two years to support around 350 low-income owner-occupied households in the ACT who are unable to independently transition to electricity and more likely to be negatively affected by rising gas prices (page 18).</w:t>
      </w:r>
    </w:p>
    <w:p w14:paraId="39C60AFC" w14:textId="35D4A082" w:rsidR="00FF77B1" w:rsidRPr="00EA4B61" w:rsidRDefault="00FF77B1" w:rsidP="00EA4B61">
      <w:pPr>
        <w:pStyle w:val="Bbodytext"/>
        <w:numPr>
          <w:ilvl w:val="0"/>
          <w:numId w:val="32"/>
        </w:numPr>
      </w:pPr>
      <w:r w:rsidRPr="00EA4B61">
        <w:t>Funding of $2.7 million over 2024-25 and 2025-26 has been provided to the ACT’s Community Legal Assistance Sector (page 21).</w:t>
      </w:r>
    </w:p>
    <w:p w14:paraId="0816E5DB" w14:textId="31E40EBE" w:rsidR="00FF77B1" w:rsidRPr="00EA4B61" w:rsidRDefault="00FF77B1" w:rsidP="00EA4B61">
      <w:pPr>
        <w:pStyle w:val="Bbodytext"/>
        <w:numPr>
          <w:ilvl w:val="0"/>
          <w:numId w:val="32"/>
        </w:numPr>
      </w:pPr>
      <w:r w:rsidRPr="00EA4B61">
        <w:t>The provision of $491,000 in funding to ensure ongoing delivery of essential services to vulnerable Canberrans (page 21).</w:t>
      </w:r>
    </w:p>
    <w:p w14:paraId="0F89B093" w14:textId="0F8C6D56" w:rsidR="00C3050B" w:rsidRDefault="00C3050B" w:rsidP="00C3050B">
      <w:pPr>
        <w:pStyle w:val="Bbodytext"/>
        <w:numPr>
          <w:ilvl w:val="0"/>
          <w:numId w:val="32"/>
        </w:numPr>
      </w:pPr>
      <w:r>
        <w:lastRenderedPageBreak/>
        <w:t>The provision of $7.2 million in 2024-25 for the new CIT Campus in Woden to ensure contemporary, flexible, smart teaching and learning environments while creating state of the art vocational educational spaces (page 21).</w:t>
      </w:r>
    </w:p>
    <w:p w14:paraId="7675005D" w14:textId="215A2E3C" w:rsidR="00C3050B" w:rsidRPr="00C3050B" w:rsidRDefault="00C3050B" w:rsidP="00C3050B">
      <w:pPr>
        <w:pStyle w:val="Bbodytext"/>
        <w:numPr>
          <w:ilvl w:val="0"/>
          <w:numId w:val="32"/>
        </w:numPr>
        <w:rPr>
          <w:rStyle w:val="BbodytextChar"/>
        </w:rPr>
      </w:pPr>
      <w:r w:rsidRPr="00C3050B">
        <w:t>The provision of $1.4 million in 2024-25 to continue the existing Flexible Transport services while a trial of a new booking application is taking place</w:t>
      </w:r>
      <w:r>
        <w:t xml:space="preserve"> (page 21)</w:t>
      </w:r>
      <w:r w:rsidRPr="00C3050B">
        <w:t>.</w:t>
      </w:r>
    </w:p>
    <w:p w14:paraId="29495770" w14:textId="4294573F" w:rsidR="00C07461" w:rsidRDefault="00C07461" w:rsidP="00AA6C45">
      <w:pPr>
        <w:rPr>
          <w:rStyle w:val="BbodytextChar"/>
        </w:rPr>
      </w:pPr>
      <w:r w:rsidRPr="00A24123">
        <w:rPr>
          <w:rStyle w:val="BbodytextChar"/>
        </w:rPr>
        <w:t>New policy initiatives affecting women are also included in the Wellbeing Statement, though they are not always identified as women’s programs.</w:t>
      </w:r>
    </w:p>
    <w:p w14:paraId="16A31F67" w14:textId="728F99A2" w:rsidR="00351993" w:rsidRDefault="00351993" w:rsidP="00AA6C45">
      <w:pPr>
        <w:rPr>
          <w:rStyle w:val="BbodytextChar"/>
        </w:rPr>
      </w:pPr>
      <w:r>
        <w:rPr>
          <w:rStyle w:val="BbodytextChar"/>
        </w:rPr>
        <w:t xml:space="preserve">The </w:t>
      </w:r>
      <w:r w:rsidR="00C07461">
        <w:rPr>
          <w:rStyle w:val="BbodytextChar"/>
        </w:rPr>
        <w:t xml:space="preserve">Women’s </w:t>
      </w:r>
      <w:r>
        <w:rPr>
          <w:rStyle w:val="BbodytextChar"/>
        </w:rPr>
        <w:t>statement also contains numerous case studies, although the programs referred to are often small or trial programs. The case studies referred to in the statement related to:</w:t>
      </w:r>
    </w:p>
    <w:p w14:paraId="6568A65E" w14:textId="756A39F7" w:rsidR="00351993" w:rsidRPr="00874F23" w:rsidRDefault="00351993" w:rsidP="00351993">
      <w:pPr>
        <w:pStyle w:val="ListParagraph"/>
        <w:numPr>
          <w:ilvl w:val="0"/>
          <w:numId w:val="31"/>
        </w:numPr>
        <w:rPr>
          <w:rStyle w:val="A21"/>
          <w:rFonts w:cstheme="minorBidi"/>
          <w:b w:val="0"/>
          <w:bCs w:val="0"/>
          <w:color w:val="auto"/>
        </w:rPr>
      </w:pPr>
      <w:r w:rsidRPr="00874F23">
        <w:rPr>
          <w:rStyle w:val="A21"/>
          <w:b w:val="0"/>
          <w:bCs w:val="0"/>
        </w:rPr>
        <w:t>ACT community pharmacy Urinary Tract Infection (UTI) and Oral Contraceptive Pill (OCP) trial</w:t>
      </w:r>
    </w:p>
    <w:p w14:paraId="37ED7749" w14:textId="7ABE31FC" w:rsidR="00351993" w:rsidRPr="00874F23" w:rsidRDefault="00351993" w:rsidP="00351993">
      <w:pPr>
        <w:pStyle w:val="ListParagraph"/>
        <w:numPr>
          <w:ilvl w:val="0"/>
          <w:numId w:val="31"/>
        </w:numPr>
        <w:rPr>
          <w:rStyle w:val="A21"/>
          <w:rFonts w:cstheme="minorBidi"/>
          <w:b w:val="0"/>
          <w:bCs w:val="0"/>
          <w:color w:val="auto"/>
        </w:rPr>
      </w:pPr>
      <w:r w:rsidRPr="00874F23">
        <w:rPr>
          <w:rStyle w:val="A21"/>
          <w:b w:val="0"/>
          <w:bCs w:val="0"/>
        </w:rPr>
        <w:t>Transforming Reproductive Healthcare - ACT’s Accessible Abortion Scheme</w:t>
      </w:r>
    </w:p>
    <w:p w14:paraId="7F17A4E6" w14:textId="1FF82BC3" w:rsidR="00351993" w:rsidRPr="00874F23" w:rsidRDefault="00351993" w:rsidP="00351993">
      <w:pPr>
        <w:pStyle w:val="ListParagraph"/>
        <w:numPr>
          <w:ilvl w:val="0"/>
          <w:numId w:val="31"/>
        </w:numPr>
        <w:rPr>
          <w:rStyle w:val="A21"/>
          <w:rFonts w:cstheme="minorBidi"/>
          <w:b w:val="0"/>
          <w:bCs w:val="0"/>
          <w:color w:val="auto"/>
        </w:rPr>
      </w:pPr>
      <w:r w:rsidRPr="00874F23">
        <w:rPr>
          <w:rStyle w:val="A21"/>
          <w:b w:val="0"/>
          <w:bCs w:val="0"/>
        </w:rPr>
        <w:t>Family Violence Safety Action Program (FVSAP)</w:t>
      </w:r>
    </w:p>
    <w:p w14:paraId="055A7CB6" w14:textId="700AC94C" w:rsidR="00351993" w:rsidRPr="00874F23" w:rsidRDefault="00351993" w:rsidP="00351993">
      <w:pPr>
        <w:pStyle w:val="ListParagraph"/>
        <w:numPr>
          <w:ilvl w:val="0"/>
          <w:numId w:val="31"/>
        </w:numPr>
        <w:rPr>
          <w:rStyle w:val="A21"/>
          <w:rFonts w:cstheme="minorBidi"/>
          <w:b w:val="0"/>
          <w:bCs w:val="0"/>
          <w:color w:val="auto"/>
        </w:rPr>
      </w:pPr>
      <w:r w:rsidRPr="00874F23">
        <w:rPr>
          <w:rStyle w:val="A21"/>
          <w:b w:val="0"/>
          <w:bCs w:val="0"/>
        </w:rPr>
        <w:t>Family Violence Response for Children (Heartfelt)</w:t>
      </w:r>
    </w:p>
    <w:p w14:paraId="59C09B8B" w14:textId="2B656782" w:rsidR="00351993" w:rsidRPr="00874F23" w:rsidRDefault="00874F23" w:rsidP="00351993">
      <w:pPr>
        <w:pStyle w:val="ListParagraph"/>
        <w:numPr>
          <w:ilvl w:val="0"/>
          <w:numId w:val="31"/>
        </w:numPr>
        <w:rPr>
          <w:rStyle w:val="A21"/>
          <w:rFonts w:cstheme="minorBidi"/>
          <w:b w:val="0"/>
          <w:bCs w:val="0"/>
          <w:color w:val="auto"/>
        </w:rPr>
      </w:pPr>
      <w:r w:rsidRPr="00874F23">
        <w:rPr>
          <w:rStyle w:val="A21"/>
          <w:b w:val="0"/>
          <w:bCs w:val="0"/>
        </w:rPr>
        <w:t>New investment in frontline domestic, family, and sexual violence services</w:t>
      </w:r>
    </w:p>
    <w:p w14:paraId="6D523A07" w14:textId="5339F07B" w:rsidR="00874F23" w:rsidRPr="00874F23" w:rsidRDefault="00874F23" w:rsidP="00351993">
      <w:pPr>
        <w:pStyle w:val="ListParagraph"/>
        <w:numPr>
          <w:ilvl w:val="0"/>
          <w:numId w:val="31"/>
        </w:numPr>
        <w:rPr>
          <w:rStyle w:val="A21"/>
          <w:rFonts w:cstheme="minorBidi"/>
          <w:b w:val="0"/>
          <w:bCs w:val="0"/>
          <w:color w:val="auto"/>
        </w:rPr>
      </w:pPr>
      <w:r w:rsidRPr="00874F23">
        <w:rPr>
          <w:rStyle w:val="A21"/>
          <w:b w:val="0"/>
          <w:bCs w:val="0"/>
        </w:rPr>
        <w:t>Return to Work (RTW) Program</w:t>
      </w:r>
    </w:p>
    <w:p w14:paraId="6C7F3B19" w14:textId="0CCB1D00" w:rsidR="00874F23" w:rsidRPr="00874F23" w:rsidRDefault="00874F23" w:rsidP="00351993">
      <w:pPr>
        <w:pStyle w:val="ListParagraph"/>
        <w:numPr>
          <w:ilvl w:val="0"/>
          <w:numId w:val="31"/>
        </w:numPr>
        <w:rPr>
          <w:rStyle w:val="A21"/>
          <w:rFonts w:cstheme="minorBidi"/>
          <w:b w:val="0"/>
          <w:bCs w:val="0"/>
          <w:color w:val="auto"/>
        </w:rPr>
      </w:pPr>
      <w:r w:rsidRPr="00874F23">
        <w:rPr>
          <w:rStyle w:val="A21"/>
          <w:b w:val="0"/>
          <w:bCs w:val="0"/>
        </w:rPr>
        <w:t>Understanding Building and Construction Program</w:t>
      </w:r>
    </w:p>
    <w:p w14:paraId="6BC78FFD" w14:textId="2B6CCE76" w:rsidR="00874F23" w:rsidRPr="00874F23" w:rsidRDefault="00874F23" w:rsidP="00351993">
      <w:pPr>
        <w:pStyle w:val="ListParagraph"/>
        <w:numPr>
          <w:ilvl w:val="0"/>
          <w:numId w:val="31"/>
        </w:numPr>
        <w:rPr>
          <w:rStyle w:val="A21"/>
          <w:rFonts w:cstheme="minorBidi"/>
          <w:b w:val="0"/>
          <w:bCs w:val="0"/>
          <w:color w:val="auto"/>
        </w:rPr>
      </w:pPr>
      <w:r w:rsidRPr="00874F23">
        <w:rPr>
          <w:rStyle w:val="A21"/>
          <w:b w:val="0"/>
          <w:bCs w:val="0"/>
        </w:rPr>
        <w:t>Quality early childhood education for three-year-old children</w:t>
      </w:r>
    </w:p>
    <w:p w14:paraId="5F9ED859" w14:textId="59CF1BAB" w:rsidR="00874F23" w:rsidRPr="00874F23" w:rsidRDefault="00874F23" w:rsidP="00351993">
      <w:pPr>
        <w:pStyle w:val="ListParagraph"/>
        <w:numPr>
          <w:ilvl w:val="0"/>
          <w:numId w:val="31"/>
        </w:numPr>
        <w:rPr>
          <w:rStyle w:val="A21"/>
          <w:rFonts w:cstheme="minorBidi"/>
          <w:b w:val="0"/>
          <w:bCs w:val="0"/>
          <w:color w:val="auto"/>
        </w:rPr>
      </w:pPr>
      <w:r w:rsidRPr="00874F23">
        <w:rPr>
          <w:rStyle w:val="A21"/>
          <w:b w:val="0"/>
          <w:bCs w:val="0"/>
        </w:rPr>
        <w:t>MacKillop House</w:t>
      </w:r>
    </w:p>
    <w:p w14:paraId="0D3162A2" w14:textId="6276BB30" w:rsidR="00874F23" w:rsidRPr="00874F23" w:rsidRDefault="00874F23" w:rsidP="00351993">
      <w:pPr>
        <w:pStyle w:val="ListParagraph"/>
        <w:numPr>
          <w:ilvl w:val="0"/>
          <w:numId w:val="31"/>
        </w:numPr>
        <w:rPr>
          <w:rStyle w:val="A21"/>
          <w:rFonts w:cstheme="minorBidi"/>
          <w:b w:val="0"/>
          <w:bCs w:val="0"/>
          <w:color w:val="auto"/>
        </w:rPr>
      </w:pPr>
      <w:r w:rsidRPr="00874F23">
        <w:rPr>
          <w:rStyle w:val="A21"/>
          <w:b w:val="0"/>
          <w:bCs w:val="0"/>
        </w:rPr>
        <w:t>Court Navigator Program</w:t>
      </w:r>
    </w:p>
    <w:p w14:paraId="771F1567" w14:textId="5179B9E8" w:rsidR="00874F23" w:rsidRPr="00874F23" w:rsidRDefault="00874F23" w:rsidP="00351993">
      <w:pPr>
        <w:pStyle w:val="ListParagraph"/>
        <w:numPr>
          <w:ilvl w:val="0"/>
          <w:numId w:val="31"/>
        </w:numPr>
        <w:rPr>
          <w:rStyle w:val="A21"/>
          <w:rFonts w:cstheme="minorBidi"/>
          <w:b w:val="0"/>
          <w:bCs w:val="0"/>
          <w:color w:val="auto"/>
        </w:rPr>
      </w:pPr>
      <w:r w:rsidRPr="00874F23">
        <w:rPr>
          <w:rStyle w:val="A21"/>
          <w:b w:val="0"/>
          <w:bCs w:val="0"/>
        </w:rPr>
        <w:t>Health Justice Partnerships</w:t>
      </w:r>
    </w:p>
    <w:p w14:paraId="11FA4B2F" w14:textId="1BB78FE9" w:rsidR="00874F23" w:rsidRPr="00874F23" w:rsidRDefault="00874F23" w:rsidP="00351993">
      <w:pPr>
        <w:pStyle w:val="ListParagraph"/>
        <w:numPr>
          <w:ilvl w:val="0"/>
          <w:numId w:val="31"/>
        </w:numPr>
        <w:rPr>
          <w:rStyle w:val="A21"/>
          <w:rFonts w:cstheme="minorBidi"/>
          <w:b w:val="0"/>
          <w:bCs w:val="0"/>
          <w:color w:val="auto"/>
        </w:rPr>
      </w:pPr>
      <w:r w:rsidRPr="00874F23">
        <w:rPr>
          <w:rStyle w:val="A21"/>
          <w:b w:val="0"/>
          <w:bCs w:val="0"/>
        </w:rPr>
        <w:t>Female friendly changerooms.</w:t>
      </w:r>
    </w:p>
    <w:p w14:paraId="2BB378CB" w14:textId="77777777" w:rsidR="00AA6C45" w:rsidRDefault="00AA6C45" w:rsidP="00AA6C45">
      <w:r>
        <w:br w:type="page"/>
      </w:r>
    </w:p>
    <w:p w14:paraId="1F2DD066" w14:textId="7614EAB7" w:rsidR="00AA6C45" w:rsidRDefault="00AA6C45" w:rsidP="00AA6C45">
      <w:pPr>
        <w:pStyle w:val="Heading1"/>
      </w:pPr>
      <w:bookmarkStart w:id="236" w:name="_Toc171949044"/>
      <w:r w:rsidRPr="00C07461">
        <w:lastRenderedPageBreak/>
        <w:t>11.</w:t>
      </w:r>
      <w:r w:rsidRPr="00C07461">
        <w:tab/>
      </w:r>
      <w:r w:rsidR="0064523C" w:rsidRPr="00C07461">
        <w:t xml:space="preserve">Housing Affordability and </w:t>
      </w:r>
      <w:r w:rsidRPr="00C07461">
        <w:t>Provision of Public Housing</w:t>
      </w:r>
      <w:bookmarkEnd w:id="236"/>
    </w:p>
    <w:p w14:paraId="27293118" w14:textId="73EFD5CC" w:rsidR="00C07461" w:rsidRPr="00C07461" w:rsidRDefault="00C07461" w:rsidP="00C07461">
      <w:pPr>
        <w:rPr>
          <w:i/>
          <w:iCs/>
          <w:color w:val="5B9BD5"/>
          <w:sz w:val="24"/>
          <w:szCs w:val="24"/>
        </w:rPr>
      </w:pPr>
      <w:r>
        <w:rPr>
          <w:i/>
          <w:iCs/>
          <w:color w:val="5B9BD5"/>
          <w:sz w:val="24"/>
          <w:szCs w:val="24"/>
        </w:rPr>
        <w:t>Overall</w:t>
      </w:r>
      <w:r w:rsidRPr="00C07461">
        <w:rPr>
          <w:i/>
          <w:iCs/>
          <w:color w:val="5B9BD5"/>
          <w:sz w:val="24"/>
          <w:szCs w:val="24"/>
        </w:rPr>
        <w:t xml:space="preserve"> housing affordability has improved in light of recent falls in ACT house prices. While overall housing affordability in Canberra has improved, there is also evidence to suggest that lower income households are still struggling.</w:t>
      </w:r>
    </w:p>
    <w:p w14:paraId="53889BF2" w14:textId="3B02DD63" w:rsidR="00C07461" w:rsidRPr="00C07461" w:rsidRDefault="00C07461" w:rsidP="00C07461">
      <w:pPr>
        <w:rPr>
          <w:i/>
          <w:iCs/>
          <w:color w:val="5B9BD5"/>
          <w:sz w:val="24"/>
          <w:szCs w:val="24"/>
        </w:rPr>
      </w:pPr>
      <w:r w:rsidRPr="00C07461">
        <w:rPr>
          <w:i/>
          <w:iCs/>
          <w:color w:val="5B9BD5"/>
          <w:sz w:val="24"/>
          <w:szCs w:val="24"/>
        </w:rPr>
        <w:t xml:space="preserve">The stock of public housing in the ACT has not kept pace with ACT population growth, and has remained stagnant since 2018 while the ACT resident population has grown by almost 27 percent between 2011 and 2023. </w:t>
      </w:r>
      <w:r>
        <w:rPr>
          <w:i/>
          <w:iCs/>
          <w:color w:val="5B9BD5"/>
          <w:sz w:val="24"/>
          <w:szCs w:val="24"/>
        </w:rPr>
        <w:t xml:space="preserve"> </w:t>
      </w:r>
      <w:r w:rsidRPr="00C07461">
        <w:rPr>
          <w:i/>
          <w:iCs/>
          <w:color w:val="5B9BD5"/>
          <w:sz w:val="24"/>
          <w:szCs w:val="24"/>
        </w:rPr>
        <w:t>Even if the ACT Government is successful in adding another 400 public homes, it will still not keep pace with population growth.</w:t>
      </w:r>
    </w:p>
    <w:p w14:paraId="06325FB7" w14:textId="25B7492C" w:rsidR="0064523C" w:rsidRDefault="0064523C" w:rsidP="008D2D37">
      <w:pPr>
        <w:pStyle w:val="Heading2"/>
      </w:pPr>
      <w:bookmarkStart w:id="237" w:name="_Toc171949045"/>
      <w:r>
        <w:t>11.1</w:t>
      </w:r>
      <w:r>
        <w:tab/>
        <w:t>Housing Affordability</w:t>
      </w:r>
      <w:bookmarkEnd w:id="237"/>
    </w:p>
    <w:p w14:paraId="392F160A" w14:textId="5A9CFF0C" w:rsidR="002F7056" w:rsidRDefault="002F7056" w:rsidP="0064523C">
      <w:pPr>
        <w:rPr>
          <w:sz w:val="23"/>
          <w:szCs w:val="23"/>
        </w:rPr>
      </w:pPr>
      <w:r>
        <w:t xml:space="preserve">According to the ACT Government </w:t>
      </w:r>
      <w:sdt>
        <w:sdtPr>
          <w:id w:val="1169989930"/>
          <w:citation/>
        </w:sdtPr>
        <w:sdtContent>
          <w:r>
            <w:fldChar w:fldCharType="begin"/>
          </w:r>
          <w:r w:rsidR="00DF0828">
            <w:instrText xml:space="preserve">CITATION ACT24 \p 21 \n  \t  \l 3081 </w:instrText>
          </w:r>
          <w:r>
            <w:fldChar w:fldCharType="separate"/>
          </w:r>
          <w:r w:rsidR="00874F23">
            <w:rPr>
              <w:noProof/>
            </w:rPr>
            <w:t>(2024, p. 21)</w:t>
          </w:r>
          <w:r>
            <w:fldChar w:fldCharType="end"/>
          </w:r>
        </w:sdtContent>
      </w:sdt>
      <w:r>
        <w:t>,</w:t>
      </w:r>
      <w:r w:rsidRPr="002F7056">
        <w:rPr>
          <w:sz w:val="23"/>
          <w:szCs w:val="23"/>
        </w:rPr>
        <w:t xml:space="preserve"> </w:t>
      </w:r>
      <w:r>
        <w:rPr>
          <w:sz w:val="23"/>
          <w:szCs w:val="23"/>
        </w:rPr>
        <w:t>housing and rental affordability in the ACT remains relatively better than other jurisdictions predominantly as a result of higher household incomes</w:t>
      </w:r>
      <w:r w:rsidR="00DF0828">
        <w:rPr>
          <w:sz w:val="23"/>
          <w:szCs w:val="23"/>
        </w:rPr>
        <w:t xml:space="preserve">. </w:t>
      </w:r>
      <w:r w:rsidR="001E7D0C">
        <w:t>T</w:t>
      </w:r>
      <w:r w:rsidR="00A82ABF">
        <w:t xml:space="preserve">he ACT </w:t>
      </w:r>
      <w:r w:rsidR="001E7D0C">
        <w:t>has</w:t>
      </w:r>
      <w:r w:rsidR="00A82ABF">
        <w:t xml:space="preserve"> the second highest level of </w:t>
      </w:r>
      <w:r w:rsidR="00A82ABF">
        <w:rPr>
          <w:lang w:eastAsia="en-AU"/>
        </w:rPr>
        <w:t>a</w:t>
      </w:r>
      <w:r w:rsidR="00A82ABF" w:rsidRPr="00C0470E">
        <w:rPr>
          <w:lang w:eastAsia="en-AU"/>
        </w:rPr>
        <w:t>verage weekly ordinary time earnings</w:t>
      </w:r>
      <w:r w:rsidR="00A82ABF">
        <w:rPr>
          <w:lang w:eastAsia="en-AU"/>
        </w:rPr>
        <w:t xml:space="preserve"> for adults working full time across all states and territories</w:t>
      </w:r>
      <w:r w:rsidR="001E7D0C">
        <w:rPr>
          <w:lang w:eastAsia="en-AU"/>
        </w:rPr>
        <w:t xml:space="preserve"> </w:t>
      </w:r>
      <w:sdt>
        <w:sdtPr>
          <w:rPr>
            <w:lang w:eastAsia="en-AU"/>
          </w:rPr>
          <w:id w:val="7801806"/>
          <w:citation/>
        </w:sdtPr>
        <w:sdtContent>
          <w:r w:rsidR="001E7D0C">
            <w:rPr>
              <w:lang w:eastAsia="en-AU"/>
            </w:rPr>
            <w:fldChar w:fldCharType="begin"/>
          </w:r>
          <w:r w:rsidR="001E7D0C">
            <w:rPr>
              <w:lang w:eastAsia="en-AU"/>
            </w:rPr>
            <w:instrText xml:space="preserve"> CITATION Aus4a \l 3081 </w:instrText>
          </w:r>
          <w:r w:rsidR="001E7D0C">
            <w:rPr>
              <w:lang w:eastAsia="en-AU"/>
            </w:rPr>
            <w:fldChar w:fldCharType="separate"/>
          </w:r>
          <w:r w:rsidR="00874F23">
            <w:rPr>
              <w:noProof/>
              <w:lang w:eastAsia="en-AU"/>
            </w:rPr>
            <w:t>(Australian Bureau of Statistics, 2024a)</w:t>
          </w:r>
          <w:r w:rsidR="001E7D0C">
            <w:rPr>
              <w:lang w:eastAsia="en-AU"/>
            </w:rPr>
            <w:fldChar w:fldCharType="end"/>
          </w:r>
        </w:sdtContent>
      </w:sdt>
      <w:r w:rsidR="00FF60F9">
        <w:rPr>
          <w:lang w:eastAsia="en-AU"/>
        </w:rPr>
        <w:t>.</w:t>
      </w:r>
      <w:r w:rsidR="001E7D0C">
        <w:rPr>
          <w:lang w:eastAsia="en-AU"/>
        </w:rPr>
        <w:t xml:space="preserve"> </w:t>
      </w:r>
      <w:r w:rsidR="002E0012">
        <w:rPr>
          <w:sz w:val="23"/>
          <w:szCs w:val="23"/>
        </w:rPr>
        <w:t xml:space="preserve">There is </w:t>
      </w:r>
      <w:r w:rsidR="001E7D0C">
        <w:rPr>
          <w:sz w:val="23"/>
          <w:szCs w:val="23"/>
        </w:rPr>
        <w:t xml:space="preserve">also </w:t>
      </w:r>
      <w:r w:rsidR="002E0012">
        <w:rPr>
          <w:sz w:val="23"/>
          <w:szCs w:val="23"/>
        </w:rPr>
        <w:t xml:space="preserve">independent analysis </w:t>
      </w:r>
      <w:r w:rsidR="001E7D0C">
        <w:rPr>
          <w:sz w:val="23"/>
          <w:szCs w:val="23"/>
        </w:rPr>
        <w:t>to</w:t>
      </w:r>
      <w:r w:rsidR="002E0012">
        <w:rPr>
          <w:sz w:val="23"/>
          <w:szCs w:val="23"/>
        </w:rPr>
        <w:t xml:space="preserve"> </w:t>
      </w:r>
      <w:r w:rsidR="001E7D0C">
        <w:rPr>
          <w:sz w:val="23"/>
          <w:szCs w:val="23"/>
        </w:rPr>
        <w:t xml:space="preserve">suggest that </w:t>
      </w:r>
      <w:r w:rsidR="002B14EA">
        <w:rPr>
          <w:sz w:val="23"/>
          <w:szCs w:val="23"/>
        </w:rPr>
        <w:t xml:space="preserve">housing affordability has improved in Canberra </w:t>
      </w:r>
      <w:r w:rsidR="00194528">
        <w:rPr>
          <w:sz w:val="23"/>
          <w:szCs w:val="23"/>
        </w:rPr>
        <w:t>in relation to the other capital cities.</w:t>
      </w:r>
    </w:p>
    <w:p w14:paraId="01B8ECA8" w14:textId="715250DF" w:rsidR="00BB34A8" w:rsidRDefault="00A63069" w:rsidP="0064523C">
      <w:pPr>
        <w:rPr>
          <w:sz w:val="23"/>
          <w:szCs w:val="23"/>
        </w:rPr>
      </w:pPr>
      <w:r>
        <w:rPr>
          <w:sz w:val="23"/>
          <w:szCs w:val="23"/>
        </w:rPr>
        <w:t>Th</w:t>
      </w:r>
      <w:r w:rsidRPr="00F54516">
        <w:t>e</w:t>
      </w:r>
      <w:r w:rsidR="00F54516" w:rsidRPr="00F54516">
        <w:t xml:space="preserve"> ANZ</w:t>
      </w:r>
      <w:r w:rsidR="00300543">
        <w:t xml:space="preserve"> Bank and</w:t>
      </w:r>
      <w:r w:rsidR="00F54516" w:rsidRPr="00F54516">
        <w:t xml:space="preserve"> CoreLogic </w:t>
      </w:r>
      <w:sdt>
        <w:sdtPr>
          <w:rPr>
            <w:sz w:val="23"/>
            <w:szCs w:val="23"/>
          </w:rPr>
          <w:id w:val="1026293167"/>
          <w:citation/>
        </w:sdtPr>
        <w:sdtContent>
          <w:r w:rsidR="00F54516">
            <w:rPr>
              <w:sz w:val="23"/>
              <w:szCs w:val="23"/>
            </w:rPr>
            <w:fldChar w:fldCharType="begin"/>
          </w:r>
          <w:r w:rsidR="00427ECD">
            <w:rPr>
              <w:sz w:val="23"/>
              <w:szCs w:val="23"/>
            </w:rPr>
            <w:instrText xml:space="preserve">CITATION Cor241 \p 17 \n  \t  \l 3081 </w:instrText>
          </w:r>
          <w:r w:rsidR="00F54516">
            <w:rPr>
              <w:sz w:val="23"/>
              <w:szCs w:val="23"/>
            </w:rPr>
            <w:fldChar w:fldCharType="separate"/>
          </w:r>
          <w:r w:rsidR="00874F23" w:rsidRPr="00874F23">
            <w:rPr>
              <w:noProof/>
              <w:sz w:val="23"/>
              <w:szCs w:val="23"/>
            </w:rPr>
            <w:t>(2024, p. 17)</w:t>
          </w:r>
          <w:r w:rsidR="00F54516">
            <w:rPr>
              <w:sz w:val="23"/>
              <w:szCs w:val="23"/>
            </w:rPr>
            <w:fldChar w:fldCharType="end"/>
          </w:r>
        </w:sdtContent>
      </w:sdt>
      <w:r w:rsidR="00F54516">
        <w:rPr>
          <w:sz w:val="23"/>
          <w:szCs w:val="23"/>
        </w:rPr>
        <w:t xml:space="preserve"> </w:t>
      </w:r>
      <w:r w:rsidR="00F54516" w:rsidRPr="00F54516">
        <w:t xml:space="preserve">Housing Affordability </w:t>
      </w:r>
      <w:r w:rsidR="00F54516">
        <w:rPr>
          <w:sz w:val="23"/>
          <w:szCs w:val="23"/>
        </w:rPr>
        <w:t>Housing Affordability Report</w:t>
      </w:r>
      <w:r w:rsidR="00300543">
        <w:rPr>
          <w:sz w:val="23"/>
          <w:szCs w:val="23"/>
        </w:rPr>
        <w:t xml:space="preserve"> found that </w:t>
      </w:r>
      <w:r w:rsidR="00D12341">
        <w:rPr>
          <w:sz w:val="23"/>
          <w:szCs w:val="23"/>
        </w:rPr>
        <w:t>in the March quarter of 2024 th</w:t>
      </w:r>
      <w:r w:rsidR="00A02F45">
        <w:rPr>
          <w:sz w:val="23"/>
          <w:szCs w:val="23"/>
        </w:rPr>
        <w:t>e</w:t>
      </w:r>
      <w:r w:rsidR="000B389E">
        <w:rPr>
          <w:sz w:val="23"/>
          <w:szCs w:val="23"/>
        </w:rPr>
        <w:t xml:space="preserve"> portion of income required to service a new mortgage </w:t>
      </w:r>
      <w:r w:rsidR="00541425">
        <w:rPr>
          <w:sz w:val="23"/>
          <w:szCs w:val="23"/>
        </w:rPr>
        <w:t xml:space="preserve">for a dwelling </w:t>
      </w:r>
      <w:r w:rsidR="00E40B0B">
        <w:rPr>
          <w:sz w:val="23"/>
          <w:szCs w:val="23"/>
        </w:rPr>
        <w:t xml:space="preserve">in Canberra was the </w:t>
      </w:r>
      <w:r w:rsidR="0079193E">
        <w:rPr>
          <w:sz w:val="23"/>
          <w:szCs w:val="23"/>
        </w:rPr>
        <w:t>second lowest</w:t>
      </w:r>
      <w:r w:rsidR="00E40B0B">
        <w:rPr>
          <w:sz w:val="23"/>
          <w:szCs w:val="23"/>
        </w:rPr>
        <w:t xml:space="preserve"> amongst the capital cities and the portion of income </w:t>
      </w:r>
      <w:r w:rsidR="00945B9C">
        <w:rPr>
          <w:sz w:val="23"/>
          <w:szCs w:val="23"/>
        </w:rPr>
        <w:t xml:space="preserve">required to service rent </w:t>
      </w:r>
      <w:r w:rsidR="008C45CB">
        <w:rPr>
          <w:sz w:val="23"/>
          <w:szCs w:val="23"/>
        </w:rPr>
        <w:t xml:space="preserve">for a dwelling </w:t>
      </w:r>
      <w:r w:rsidR="00945B9C">
        <w:rPr>
          <w:sz w:val="23"/>
          <w:szCs w:val="23"/>
        </w:rPr>
        <w:t>was the lowest amongst the capital cities.</w:t>
      </w:r>
      <w:r w:rsidR="00427ECD">
        <w:rPr>
          <w:sz w:val="23"/>
          <w:szCs w:val="23"/>
        </w:rPr>
        <w:t xml:space="preserve"> This is outlined in </w:t>
      </w:r>
      <w:r w:rsidR="00103F85">
        <w:rPr>
          <w:sz w:val="23"/>
          <w:szCs w:val="23"/>
        </w:rPr>
        <w:fldChar w:fldCharType="begin"/>
      </w:r>
      <w:r w:rsidR="00103F85">
        <w:rPr>
          <w:sz w:val="23"/>
          <w:szCs w:val="23"/>
        </w:rPr>
        <w:instrText xml:space="preserve"> REF _Ref170908434 \h </w:instrText>
      </w:r>
      <w:r w:rsidR="00103F85">
        <w:rPr>
          <w:sz w:val="23"/>
          <w:szCs w:val="23"/>
        </w:rPr>
      </w:r>
      <w:r w:rsidR="00103F85">
        <w:rPr>
          <w:sz w:val="23"/>
          <w:szCs w:val="23"/>
        </w:rPr>
        <w:fldChar w:fldCharType="separate"/>
      </w:r>
      <w:r w:rsidR="000B62ED">
        <w:t xml:space="preserve">Figure </w:t>
      </w:r>
      <w:r w:rsidR="000B62ED">
        <w:rPr>
          <w:noProof/>
        </w:rPr>
        <w:t>31</w:t>
      </w:r>
      <w:r w:rsidR="00103F85">
        <w:rPr>
          <w:sz w:val="23"/>
          <w:szCs w:val="23"/>
        </w:rPr>
        <w:fldChar w:fldCharType="end"/>
      </w:r>
      <w:r w:rsidR="00103F85">
        <w:rPr>
          <w:sz w:val="23"/>
          <w:szCs w:val="23"/>
        </w:rPr>
        <w:t xml:space="preserve"> </w:t>
      </w:r>
      <w:r w:rsidR="00427ECD">
        <w:rPr>
          <w:sz w:val="23"/>
          <w:szCs w:val="23"/>
        </w:rPr>
        <w:t>below.</w:t>
      </w:r>
    </w:p>
    <w:p w14:paraId="11B9A70B" w14:textId="54D32994" w:rsidR="00427ECD" w:rsidRDefault="00760C58" w:rsidP="00A354CB">
      <w:pPr>
        <w:pStyle w:val="Caption"/>
        <w:spacing w:before="0"/>
      </w:pPr>
      <w:bookmarkStart w:id="238" w:name="_Ref170908434"/>
      <w:bookmarkStart w:id="239" w:name="_Toc171949090"/>
      <w:r>
        <w:t xml:space="preserve">Figure </w:t>
      </w:r>
      <w:r>
        <w:fldChar w:fldCharType="begin"/>
      </w:r>
      <w:r>
        <w:instrText xml:space="preserve"> SEQ Figure \* ARABIC </w:instrText>
      </w:r>
      <w:r>
        <w:fldChar w:fldCharType="separate"/>
      </w:r>
      <w:r w:rsidR="000B62ED">
        <w:rPr>
          <w:noProof/>
        </w:rPr>
        <w:t>31</w:t>
      </w:r>
      <w:r>
        <w:fldChar w:fldCharType="end"/>
      </w:r>
      <w:bookmarkEnd w:id="238"/>
      <w:r>
        <w:t xml:space="preserve">: Portion of Income </w:t>
      </w:r>
      <w:r w:rsidR="006B026A">
        <w:t>Required to Service a New Mortgage and Rent for a Dwelling in Australian Capital Cities</w:t>
      </w:r>
      <w:bookmarkEnd w:id="239"/>
    </w:p>
    <w:p w14:paraId="3943A04A" w14:textId="7F487AC2" w:rsidR="006B026A" w:rsidRDefault="00BB34A8" w:rsidP="00A354CB">
      <w:pPr>
        <w:spacing w:before="0" w:after="0"/>
      </w:pPr>
      <w:r>
        <w:rPr>
          <w:noProof/>
        </w:rPr>
        <w:drawing>
          <wp:inline distT="0" distB="0" distL="0" distR="0" wp14:anchorId="4A6527FD" wp14:editId="317BFBF6">
            <wp:extent cx="5775960" cy="3629025"/>
            <wp:effectExtent l="0" t="0" r="0" b="9525"/>
            <wp:docPr id="19215440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88413" cy="3636849"/>
                    </a:xfrm>
                    <a:prstGeom prst="rect">
                      <a:avLst/>
                    </a:prstGeom>
                    <a:noFill/>
                  </pic:spPr>
                </pic:pic>
              </a:graphicData>
            </a:graphic>
          </wp:inline>
        </w:drawing>
      </w:r>
    </w:p>
    <w:p w14:paraId="422F4C57" w14:textId="74234A6D" w:rsidR="006B026A" w:rsidRPr="006B026A" w:rsidRDefault="006B026A" w:rsidP="00BC193A">
      <w:pPr>
        <w:spacing w:before="0"/>
      </w:pPr>
      <w:r>
        <w:t xml:space="preserve">Source: </w:t>
      </w:r>
      <w:r w:rsidRPr="00F54516">
        <w:t>ANZ</w:t>
      </w:r>
      <w:r>
        <w:t xml:space="preserve"> Bank and</w:t>
      </w:r>
      <w:r w:rsidRPr="00F54516">
        <w:t xml:space="preserve"> CoreLogic </w:t>
      </w:r>
      <w:sdt>
        <w:sdtPr>
          <w:rPr>
            <w:sz w:val="23"/>
            <w:szCs w:val="23"/>
          </w:rPr>
          <w:id w:val="-1741318825"/>
          <w:citation/>
        </w:sdtPr>
        <w:sdtContent>
          <w:r>
            <w:rPr>
              <w:sz w:val="23"/>
              <w:szCs w:val="23"/>
            </w:rPr>
            <w:fldChar w:fldCharType="begin"/>
          </w:r>
          <w:r>
            <w:rPr>
              <w:sz w:val="23"/>
              <w:szCs w:val="23"/>
            </w:rPr>
            <w:instrText xml:space="preserve">CITATION Cor241 \p 17 \n  \t  \l 3081 </w:instrText>
          </w:r>
          <w:r>
            <w:rPr>
              <w:sz w:val="23"/>
              <w:szCs w:val="23"/>
            </w:rPr>
            <w:fldChar w:fldCharType="separate"/>
          </w:r>
          <w:r w:rsidR="00874F23" w:rsidRPr="00874F23">
            <w:rPr>
              <w:noProof/>
              <w:sz w:val="23"/>
              <w:szCs w:val="23"/>
            </w:rPr>
            <w:t>(2024, p. 17)</w:t>
          </w:r>
          <w:r>
            <w:rPr>
              <w:sz w:val="23"/>
              <w:szCs w:val="23"/>
            </w:rPr>
            <w:fldChar w:fldCharType="end"/>
          </w:r>
        </w:sdtContent>
      </w:sdt>
      <w:r w:rsidR="00294DBC">
        <w:rPr>
          <w:sz w:val="23"/>
          <w:szCs w:val="23"/>
        </w:rPr>
        <w:t>.</w:t>
      </w:r>
    </w:p>
    <w:p w14:paraId="03FC901A" w14:textId="62E9861E" w:rsidR="009D6024" w:rsidRPr="00C07461" w:rsidRDefault="0025398A" w:rsidP="00B53EEB">
      <w:pPr>
        <w:rPr>
          <w:color w:val="000000" w:themeColor="text1"/>
          <w:lang w:bidi="th-TH"/>
        </w:rPr>
      </w:pPr>
      <w:r w:rsidRPr="00C07461">
        <w:rPr>
          <w:color w:val="000000" w:themeColor="text1"/>
        </w:rPr>
        <w:t xml:space="preserve">Aside from relatively high incomes </w:t>
      </w:r>
      <w:r w:rsidR="007730A2">
        <w:rPr>
          <w:color w:val="000000" w:themeColor="text1"/>
        </w:rPr>
        <w:t xml:space="preserve">received by </w:t>
      </w:r>
      <w:r w:rsidR="00B53EEB" w:rsidRPr="00C07461">
        <w:rPr>
          <w:color w:val="000000" w:themeColor="text1"/>
        </w:rPr>
        <w:t>ACT</w:t>
      </w:r>
      <w:r w:rsidR="007730A2">
        <w:rPr>
          <w:color w:val="000000" w:themeColor="text1"/>
        </w:rPr>
        <w:t xml:space="preserve"> residents compared with the rest of the nation</w:t>
      </w:r>
      <w:r w:rsidR="00B53EEB" w:rsidRPr="00C07461">
        <w:rPr>
          <w:color w:val="000000" w:themeColor="text1"/>
        </w:rPr>
        <w:t xml:space="preserve">, the other reason why housing affordability has increased in the ACT is due to the relative fall in </w:t>
      </w:r>
      <w:r w:rsidR="00B53EEB" w:rsidRPr="00C07461">
        <w:rPr>
          <w:color w:val="000000" w:themeColor="text1"/>
        </w:rPr>
        <w:lastRenderedPageBreak/>
        <w:t xml:space="preserve">dwelling property prices. </w:t>
      </w:r>
      <w:r w:rsidR="00726A77" w:rsidRPr="00C07461">
        <w:rPr>
          <w:color w:val="000000" w:themeColor="text1"/>
        </w:rPr>
        <w:t xml:space="preserve">While the value of dwellings in the ACT </w:t>
      </w:r>
      <w:r w:rsidR="00FB7E17" w:rsidRPr="00C07461">
        <w:rPr>
          <w:color w:val="000000" w:themeColor="text1"/>
        </w:rPr>
        <w:t>increased by 2.0</w:t>
      </w:r>
      <w:r w:rsidR="006E48C1" w:rsidRPr="00C07461">
        <w:rPr>
          <w:color w:val="000000" w:themeColor="text1"/>
        </w:rPr>
        <w:t xml:space="preserve"> percent</w:t>
      </w:r>
      <w:r w:rsidR="00FB7E17" w:rsidRPr="00C07461">
        <w:rPr>
          <w:color w:val="000000" w:themeColor="text1"/>
        </w:rPr>
        <w:t xml:space="preserve"> on average over the year to the end of May 2024, </w:t>
      </w:r>
      <w:r w:rsidR="009D6024" w:rsidRPr="00C07461">
        <w:rPr>
          <w:color w:val="000000" w:themeColor="text1"/>
          <w:lang w:bidi="th-TH"/>
        </w:rPr>
        <w:t xml:space="preserve">Canberra dwelling values are </w:t>
      </w:r>
      <w:r w:rsidR="007A7E17" w:rsidRPr="00C07461">
        <w:rPr>
          <w:color w:val="000000" w:themeColor="text1"/>
          <w:lang w:bidi="th-TH"/>
        </w:rPr>
        <w:t>still</w:t>
      </w:r>
      <w:r w:rsidR="009D6024" w:rsidRPr="00C07461">
        <w:rPr>
          <w:color w:val="000000" w:themeColor="text1"/>
          <w:lang w:bidi="th-TH"/>
        </w:rPr>
        <w:t>-5.8</w:t>
      </w:r>
      <w:r w:rsidR="006E48C1" w:rsidRPr="00C07461">
        <w:rPr>
          <w:color w:val="000000" w:themeColor="text1"/>
          <w:lang w:bidi="th-TH"/>
        </w:rPr>
        <w:t xml:space="preserve"> percent</w:t>
      </w:r>
      <w:r w:rsidR="009D6024" w:rsidRPr="00C07461">
        <w:rPr>
          <w:color w:val="000000" w:themeColor="text1"/>
          <w:lang w:bidi="th-TH"/>
        </w:rPr>
        <w:t xml:space="preserve"> below the record high</w:t>
      </w:r>
      <w:r w:rsidR="007A7E17" w:rsidRPr="00C07461">
        <w:rPr>
          <w:color w:val="000000" w:themeColor="text1"/>
          <w:lang w:bidi="th-TH"/>
        </w:rPr>
        <w:t xml:space="preserve"> that</w:t>
      </w:r>
      <w:r w:rsidR="009D6024" w:rsidRPr="00C07461">
        <w:rPr>
          <w:color w:val="000000" w:themeColor="text1"/>
          <w:lang w:bidi="th-TH"/>
        </w:rPr>
        <w:t xml:space="preserve"> was </w:t>
      </w:r>
      <w:r w:rsidR="007A7E17" w:rsidRPr="00C07461">
        <w:rPr>
          <w:color w:val="000000" w:themeColor="text1"/>
          <w:lang w:bidi="th-TH"/>
        </w:rPr>
        <w:t xml:space="preserve">reached </w:t>
      </w:r>
      <w:r w:rsidR="009D6024" w:rsidRPr="00C07461">
        <w:rPr>
          <w:color w:val="000000" w:themeColor="text1"/>
          <w:lang w:bidi="th-TH"/>
        </w:rPr>
        <w:t>in May 2022</w:t>
      </w:r>
      <w:r w:rsidR="007A7E17" w:rsidRPr="00C07461">
        <w:rPr>
          <w:color w:val="000000" w:themeColor="text1"/>
          <w:lang w:bidi="th-TH"/>
        </w:rPr>
        <w:t xml:space="preserve"> </w:t>
      </w:r>
      <w:sdt>
        <w:sdtPr>
          <w:rPr>
            <w:color w:val="000000" w:themeColor="text1"/>
            <w:lang w:bidi="th-TH"/>
          </w:rPr>
          <w:id w:val="-118232526"/>
          <w:citation/>
        </w:sdtPr>
        <w:sdtContent>
          <w:r w:rsidR="00D46F2F" w:rsidRPr="00C07461">
            <w:rPr>
              <w:color w:val="000000" w:themeColor="text1"/>
              <w:lang w:bidi="th-TH"/>
            </w:rPr>
            <w:fldChar w:fldCharType="begin"/>
          </w:r>
          <w:r w:rsidR="00D46F2F" w:rsidRPr="00C07461">
            <w:rPr>
              <w:color w:val="000000" w:themeColor="text1"/>
              <w:lang w:bidi="th-TH"/>
            </w:rPr>
            <w:instrText xml:space="preserve">CITATION Cor24 \p 17 \t  \l 3081 </w:instrText>
          </w:r>
          <w:r w:rsidR="00D46F2F" w:rsidRPr="00C07461">
            <w:rPr>
              <w:color w:val="000000" w:themeColor="text1"/>
              <w:lang w:bidi="th-TH"/>
            </w:rPr>
            <w:fldChar w:fldCharType="separate"/>
          </w:r>
          <w:r w:rsidR="00874F23" w:rsidRPr="00C07461">
            <w:rPr>
              <w:noProof/>
              <w:color w:val="000000" w:themeColor="text1"/>
              <w:lang w:bidi="th-TH"/>
            </w:rPr>
            <w:t>(CoreLogic, 2024, p. 17)</w:t>
          </w:r>
          <w:r w:rsidR="00D46F2F" w:rsidRPr="00C07461">
            <w:rPr>
              <w:color w:val="000000" w:themeColor="text1"/>
              <w:lang w:bidi="th-TH"/>
            </w:rPr>
            <w:fldChar w:fldCharType="end"/>
          </w:r>
        </w:sdtContent>
      </w:sdt>
      <w:r w:rsidR="009D6024" w:rsidRPr="00C07461">
        <w:rPr>
          <w:color w:val="000000" w:themeColor="text1"/>
          <w:lang w:bidi="th-TH"/>
        </w:rPr>
        <w:t>.</w:t>
      </w:r>
    </w:p>
    <w:p w14:paraId="76CBB56A" w14:textId="013CFD2F" w:rsidR="00726A77" w:rsidRPr="00C07461" w:rsidRDefault="00A354CB" w:rsidP="0064523C">
      <w:pPr>
        <w:rPr>
          <w:color w:val="000000" w:themeColor="text1"/>
        </w:rPr>
      </w:pPr>
      <w:r w:rsidRPr="00C07461">
        <w:rPr>
          <w:color w:val="000000" w:themeColor="text1"/>
          <w:lang w:bidi="th-TH"/>
        </w:rPr>
        <w:t xml:space="preserve">While </w:t>
      </w:r>
      <w:r w:rsidR="005762D9" w:rsidRPr="00C07461">
        <w:rPr>
          <w:color w:val="000000" w:themeColor="text1"/>
          <w:lang w:bidi="th-TH"/>
        </w:rPr>
        <w:t xml:space="preserve">overall </w:t>
      </w:r>
      <w:r w:rsidRPr="00C07461">
        <w:rPr>
          <w:color w:val="000000" w:themeColor="text1"/>
          <w:lang w:bidi="th-TH"/>
        </w:rPr>
        <w:t>housing afford</w:t>
      </w:r>
      <w:r w:rsidR="0005297B" w:rsidRPr="00C07461">
        <w:rPr>
          <w:color w:val="000000" w:themeColor="text1"/>
          <w:lang w:bidi="th-TH"/>
        </w:rPr>
        <w:t xml:space="preserve">ability </w:t>
      </w:r>
      <w:r w:rsidR="00DC2FD2" w:rsidRPr="00C07461">
        <w:rPr>
          <w:color w:val="000000" w:themeColor="text1"/>
          <w:lang w:bidi="th-TH"/>
        </w:rPr>
        <w:t xml:space="preserve">in Canberra has improved, there is also evidence to suggest that lower income households are still struggling. </w:t>
      </w:r>
      <w:r w:rsidR="00161C45" w:rsidRPr="00C07461">
        <w:rPr>
          <w:color w:val="000000" w:themeColor="text1"/>
          <w:lang w:bidi="th-TH"/>
        </w:rPr>
        <w:t>According to t</w:t>
      </w:r>
      <w:r w:rsidR="00994C49" w:rsidRPr="00C07461">
        <w:rPr>
          <w:color w:val="000000" w:themeColor="text1"/>
        </w:rPr>
        <w:t>he 202</w:t>
      </w:r>
      <w:r w:rsidR="00161C45" w:rsidRPr="00C07461">
        <w:rPr>
          <w:color w:val="000000" w:themeColor="text1"/>
        </w:rPr>
        <w:t>3</w:t>
      </w:r>
      <w:r w:rsidR="00994C49" w:rsidRPr="00C07461">
        <w:rPr>
          <w:color w:val="000000" w:themeColor="text1"/>
        </w:rPr>
        <w:t xml:space="preserve"> Rental Affordability Index</w:t>
      </w:r>
      <w:r w:rsidR="00161C45" w:rsidRPr="00C07461">
        <w:rPr>
          <w:color w:val="000000" w:themeColor="text1"/>
        </w:rPr>
        <w:t>:</w:t>
      </w:r>
    </w:p>
    <w:p w14:paraId="528793D6" w14:textId="657A319D" w:rsidR="003553F5" w:rsidRPr="00A24123" w:rsidRDefault="003553F5" w:rsidP="00161C45">
      <w:pPr>
        <w:pStyle w:val="Quote"/>
      </w:pPr>
      <w:r w:rsidRPr="00A24123">
        <w:t>… low-income households face particularly unaffordable rents (such as the student sharehouse and hospitality worker household profiles), which are pushed up by the overall high-income earning workforce. Every suburb in the ACT is Unaffordable to Severely Unaffordable for the student sharehouse. For pensioners, both singles and couples, the entire territory is Severely to Extremely Unaffordable, despite the improvement in rental affordability seen over the last year.</w:t>
      </w:r>
      <w:r w:rsidR="00161C45" w:rsidRPr="00A24123">
        <w:t xml:space="preserve"> </w:t>
      </w:r>
      <w:sdt>
        <w:sdtPr>
          <w:id w:val="-567645160"/>
          <w:citation/>
        </w:sdtPr>
        <w:sdtContent>
          <w:r w:rsidR="00161C45" w:rsidRPr="0000389F">
            <w:fldChar w:fldCharType="begin"/>
          </w:r>
          <w:r w:rsidR="00161C45" w:rsidRPr="0000389F">
            <w:instrText xml:space="preserve">CITATION SGS23 \p 82 \t  \l 3081 </w:instrText>
          </w:r>
          <w:r w:rsidR="00161C45" w:rsidRPr="0000389F">
            <w:fldChar w:fldCharType="separate"/>
          </w:r>
          <w:r w:rsidR="00874F23" w:rsidRPr="0000389F">
            <w:rPr>
              <w:noProof/>
            </w:rPr>
            <w:t>(SGS Economics and Planning Pty Ltd, 2023, p. 82)</w:t>
          </w:r>
          <w:r w:rsidR="00161C45" w:rsidRPr="0000389F">
            <w:fldChar w:fldCharType="end"/>
          </w:r>
        </w:sdtContent>
      </w:sdt>
      <w:r w:rsidR="00161C45" w:rsidRPr="00A24123">
        <w:t>.</w:t>
      </w:r>
      <w:r w:rsidR="00D659A9" w:rsidRPr="00A24123">
        <w:rPr>
          <w:rStyle w:val="FootnoteReference"/>
        </w:rPr>
        <w:footnoteReference w:id="8"/>
      </w:r>
    </w:p>
    <w:p w14:paraId="6E01C34F" w14:textId="3F53A01D" w:rsidR="00DE3ED6" w:rsidRDefault="008D2D37" w:rsidP="008D2D37">
      <w:pPr>
        <w:pStyle w:val="Heading2"/>
      </w:pPr>
      <w:bookmarkStart w:id="240" w:name="_Toc171949046"/>
      <w:r>
        <w:t>11.</w:t>
      </w:r>
      <w:r w:rsidR="0064523C">
        <w:t>2</w:t>
      </w:r>
      <w:r>
        <w:tab/>
      </w:r>
      <w:r w:rsidR="00A55591">
        <w:t xml:space="preserve">ACT </w:t>
      </w:r>
      <w:r w:rsidR="004669AE">
        <w:t>p</w:t>
      </w:r>
      <w:r>
        <w:t xml:space="preserve">ublic </w:t>
      </w:r>
      <w:r w:rsidR="004669AE">
        <w:t>h</w:t>
      </w:r>
      <w:r>
        <w:t xml:space="preserve">ousing and </w:t>
      </w:r>
      <w:r w:rsidR="004669AE">
        <w:t>p</w:t>
      </w:r>
      <w:r>
        <w:t xml:space="preserve">opulation </w:t>
      </w:r>
      <w:r w:rsidR="004669AE">
        <w:t>g</w:t>
      </w:r>
      <w:r>
        <w:t>rowth</w:t>
      </w:r>
      <w:bookmarkEnd w:id="240"/>
    </w:p>
    <w:p w14:paraId="6E26DF44" w14:textId="2E244B0F" w:rsidR="006241F5" w:rsidRPr="00C07461" w:rsidRDefault="00DF60D9" w:rsidP="005838F6">
      <w:pPr>
        <w:rPr>
          <w:color w:val="000000" w:themeColor="text1"/>
        </w:rPr>
      </w:pPr>
      <w:r w:rsidRPr="00C07461">
        <w:rPr>
          <w:color w:val="000000" w:themeColor="text1"/>
        </w:rPr>
        <w:t xml:space="preserve">According to the ACT Government </w:t>
      </w:r>
      <w:sdt>
        <w:sdtPr>
          <w:rPr>
            <w:color w:val="000000" w:themeColor="text1"/>
          </w:rPr>
          <w:id w:val="-548613151"/>
          <w:citation/>
        </w:sdtPr>
        <w:sdtContent>
          <w:r w:rsidRPr="00C07461">
            <w:rPr>
              <w:color w:val="000000" w:themeColor="text1"/>
            </w:rPr>
            <w:fldChar w:fldCharType="begin"/>
          </w:r>
          <w:r w:rsidR="00651EC8" w:rsidRPr="00C07461">
            <w:rPr>
              <w:color w:val="000000" w:themeColor="text1"/>
            </w:rPr>
            <w:instrText xml:space="preserve">CITATION ACT24 \p 63 \t  \l 3081 </w:instrText>
          </w:r>
          <w:r w:rsidRPr="00C07461">
            <w:rPr>
              <w:color w:val="000000" w:themeColor="text1"/>
            </w:rPr>
            <w:fldChar w:fldCharType="separate"/>
          </w:r>
          <w:r w:rsidR="00874F23" w:rsidRPr="00C07461">
            <w:rPr>
              <w:noProof/>
              <w:color w:val="000000" w:themeColor="text1"/>
            </w:rPr>
            <w:t>(ACT Government, 2024, p. 63)</w:t>
          </w:r>
          <w:r w:rsidRPr="00C07461">
            <w:rPr>
              <w:color w:val="000000" w:themeColor="text1"/>
            </w:rPr>
            <w:fldChar w:fldCharType="end"/>
          </w:r>
        </w:sdtContent>
      </w:sdt>
      <w:r w:rsidRPr="00C07461">
        <w:rPr>
          <w:color w:val="000000" w:themeColor="text1"/>
        </w:rPr>
        <w:t>:</w:t>
      </w:r>
    </w:p>
    <w:p w14:paraId="6F15D460" w14:textId="7A8D2364" w:rsidR="006241F5" w:rsidRPr="00A24123" w:rsidRDefault="00651EC8" w:rsidP="00651EC8">
      <w:pPr>
        <w:pStyle w:val="Quote"/>
      </w:pPr>
      <w:r w:rsidRPr="00A24123">
        <w:t>A key priority of this Government is the improvement and growth of our public housing stock. Programs of work specifically related to this outcome include the Growing and Renewing Public Housing Program, which will deliver an additional 400 public homes and renew 1,000 public homes, and which has recently been expanded to include the delivery of between 55 and 65 additional public homes under the Commonwealth’s Social Housing Accelerator Program.</w:t>
      </w:r>
    </w:p>
    <w:p w14:paraId="79F12E98" w14:textId="57D2A63A" w:rsidR="005838F6" w:rsidRPr="00C07461" w:rsidRDefault="00E01BA3" w:rsidP="005838F6">
      <w:pPr>
        <w:rPr>
          <w:color w:val="000000" w:themeColor="text1"/>
          <w:lang w:bidi="th-TH"/>
        </w:rPr>
      </w:pPr>
      <w:r w:rsidRPr="00C07461">
        <w:rPr>
          <w:color w:val="000000" w:themeColor="text1"/>
        </w:rPr>
        <w:t xml:space="preserve">The ACT Audit Office </w:t>
      </w:r>
      <w:sdt>
        <w:sdtPr>
          <w:rPr>
            <w:color w:val="000000" w:themeColor="text1"/>
          </w:rPr>
          <w:id w:val="-207802424"/>
          <w:citation/>
        </w:sdtPr>
        <w:sdtContent>
          <w:r w:rsidRPr="00C07461">
            <w:rPr>
              <w:color w:val="000000" w:themeColor="text1"/>
            </w:rPr>
            <w:fldChar w:fldCharType="begin"/>
          </w:r>
          <w:r w:rsidR="006849FF" w:rsidRPr="00C07461">
            <w:rPr>
              <w:color w:val="000000" w:themeColor="text1"/>
            </w:rPr>
            <w:instrText xml:space="preserve">CITATION ACT241 \p 15 \n  \t  \l 3081 </w:instrText>
          </w:r>
          <w:r w:rsidRPr="00C07461">
            <w:rPr>
              <w:color w:val="000000" w:themeColor="text1"/>
            </w:rPr>
            <w:fldChar w:fldCharType="separate"/>
          </w:r>
          <w:r w:rsidR="00874F23" w:rsidRPr="00C07461">
            <w:rPr>
              <w:noProof/>
              <w:color w:val="000000" w:themeColor="text1"/>
            </w:rPr>
            <w:t>(2024, p. 15)</w:t>
          </w:r>
          <w:r w:rsidRPr="00C07461">
            <w:rPr>
              <w:color w:val="000000" w:themeColor="text1"/>
            </w:rPr>
            <w:fldChar w:fldCharType="end"/>
          </w:r>
        </w:sdtContent>
      </w:sdt>
      <w:r w:rsidR="006849FF" w:rsidRPr="00C07461">
        <w:rPr>
          <w:color w:val="000000" w:themeColor="text1"/>
        </w:rPr>
        <w:t xml:space="preserve"> </w:t>
      </w:r>
      <w:r w:rsidR="001134B7" w:rsidRPr="00C07461">
        <w:rPr>
          <w:color w:val="000000" w:themeColor="text1"/>
        </w:rPr>
        <w:t>has recently</w:t>
      </w:r>
      <w:r w:rsidR="00854C47" w:rsidRPr="00C07461">
        <w:rPr>
          <w:color w:val="000000" w:themeColor="text1"/>
        </w:rPr>
        <w:t xml:space="preserve"> observed </w:t>
      </w:r>
      <w:r w:rsidR="006849FF" w:rsidRPr="00C07461">
        <w:rPr>
          <w:color w:val="000000" w:themeColor="text1"/>
        </w:rPr>
        <w:t xml:space="preserve">that </w:t>
      </w:r>
      <w:r w:rsidR="00EB0433" w:rsidRPr="00C07461">
        <w:rPr>
          <w:color w:val="000000" w:themeColor="text1"/>
        </w:rPr>
        <w:t xml:space="preserve">Canberra’s </w:t>
      </w:r>
      <w:r w:rsidR="00AE63AB" w:rsidRPr="00C07461">
        <w:rPr>
          <w:color w:val="000000" w:themeColor="text1"/>
          <w:lang w:bidi="th-TH"/>
        </w:rPr>
        <w:t>relatively high rent and property prices compared to other Australian capital cities</w:t>
      </w:r>
      <w:r w:rsidR="001134B7" w:rsidRPr="00C07461">
        <w:rPr>
          <w:color w:val="000000" w:themeColor="text1"/>
          <w:lang w:bidi="th-TH"/>
        </w:rPr>
        <w:t xml:space="preserve"> mean</w:t>
      </w:r>
      <w:r w:rsidR="001C5593" w:rsidRPr="00C07461">
        <w:rPr>
          <w:color w:val="000000" w:themeColor="text1"/>
        </w:rPr>
        <w:t>s that</w:t>
      </w:r>
      <w:r w:rsidR="001134B7" w:rsidRPr="00C07461">
        <w:rPr>
          <w:color w:val="000000" w:themeColor="text1"/>
          <w:lang w:bidi="th-TH"/>
        </w:rPr>
        <w:t xml:space="preserve"> Canberrans living on low incomes can be significantly disadvantaged in accessing housing</w:t>
      </w:r>
      <w:r w:rsidR="001C5593" w:rsidRPr="00C07461">
        <w:rPr>
          <w:color w:val="000000" w:themeColor="text1"/>
        </w:rPr>
        <w:t xml:space="preserve">, and that consequently </w:t>
      </w:r>
      <w:r w:rsidR="005838F6" w:rsidRPr="00C07461">
        <w:rPr>
          <w:color w:val="000000" w:themeColor="text1"/>
          <w:lang w:bidi="th-TH"/>
        </w:rPr>
        <w:t xml:space="preserve">demand for public housing in the ACT is high and increasing. </w:t>
      </w:r>
    </w:p>
    <w:p w14:paraId="20F72F92" w14:textId="350378C6" w:rsidR="002464C4" w:rsidRPr="00A24123" w:rsidRDefault="00873BCB" w:rsidP="00E916BB">
      <w:pPr>
        <w:rPr>
          <w:rFonts w:cstheme="minorHAnsi"/>
          <w:color w:val="000000" w:themeColor="text1"/>
        </w:rPr>
      </w:pPr>
      <w:r w:rsidRPr="00A24123">
        <w:rPr>
          <w:rFonts w:cstheme="minorHAnsi"/>
          <w:color w:val="000000" w:themeColor="text1"/>
        </w:rPr>
        <w:t>T</w:t>
      </w:r>
      <w:r w:rsidR="00AA6C45" w:rsidRPr="00A24123">
        <w:rPr>
          <w:rFonts w:cstheme="minorHAnsi"/>
          <w:color w:val="000000" w:themeColor="text1"/>
        </w:rPr>
        <w:t>he available evidence suggests the stock of public housing</w:t>
      </w:r>
      <w:r w:rsidR="00EF24D4" w:rsidRPr="00A24123">
        <w:rPr>
          <w:rFonts w:cstheme="minorHAnsi"/>
          <w:color w:val="000000" w:themeColor="text1"/>
        </w:rPr>
        <w:t xml:space="preserve"> in the ACT</w:t>
      </w:r>
      <w:r w:rsidR="00AA6C45" w:rsidRPr="00A24123">
        <w:rPr>
          <w:rFonts w:cstheme="minorHAnsi"/>
          <w:color w:val="000000" w:themeColor="text1"/>
        </w:rPr>
        <w:t xml:space="preserve"> has not kept pace with ACT population growth and has remained </w:t>
      </w:r>
      <w:r w:rsidR="005C6A63" w:rsidRPr="00A24123">
        <w:rPr>
          <w:rFonts w:cstheme="minorHAnsi"/>
          <w:color w:val="000000" w:themeColor="text1"/>
        </w:rPr>
        <w:t xml:space="preserve">largely </w:t>
      </w:r>
      <w:r w:rsidR="00AA6C45" w:rsidRPr="00A24123">
        <w:rPr>
          <w:rFonts w:cstheme="minorHAnsi"/>
          <w:color w:val="000000" w:themeColor="text1"/>
        </w:rPr>
        <w:t xml:space="preserve">stagnant since 2018 while the ACT resident population has grown by </w:t>
      </w:r>
      <w:r w:rsidR="006D2B7F" w:rsidRPr="00A24123">
        <w:rPr>
          <w:rFonts w:cstheme="minorHAnsi"/>
          <w:color w:val="000000" w:themeColor="text1"/>
        </w:rPr>
        <w:t>almost</w:t>
      </w:r>
      <w:r w:rsidR="00AA6C45" w:rsidRPr="00A24123">
        <w:rPr>
          <w:rFonts w:cstheme="minorHAnsi"/>
          <w:color w:val="000000" w:themeColor="text1"/>
        </w:rPr>
        <w:t xml:space="preserve"> 2</w:t>
      </w:r>
      <w:r w:rsidR="006D2B7F" w:rsidRPr="00A24123">
        <w:rPr>
          <w:rFonts w:cstheme="minorHAnsi"/>
          <w:color w:val="000000" w:themeColor="text1"/>
        </w:rPr>
        <w:t>7</w:t>
      </w:r>
      <w:r w:rsidR="006E48C1" w:rsidRPr="00A24123">
        <w:rPr>
          <w:rFonts w:cstheme="minorHAnsi"/>
          <w:color w:val="000000" w:themeColor="text1"/>
        </w:rPr>
        <w:t xml:space="preserve"> percent</w:t>
      </w:r>
      <w:r w:rsidR="00AA6C45" w:rsidRPr="00A24123">
        <w:rPr>
          <w:rFonts w:cstheme="minorHAnsi"/>
          <w:color w:val="000000" w:themeColor="text1"/>
        </w:rPr>
        <w:t xml:space="preserve"> between 2011 and 202</w:t>
      </w:r>
      <w:r w:rsidR="003A4AF4" w:rsidRPr="00A24123">
        <w:rPr>
          <w:rFonts w:cstheme="minorHAnsi"/>
          <w:color w:val="000000" w:themeColor="text1"/>
        </w:rPr>
        <w:t>3</w:t>
      </w:r>
      <w:r w:rsidR="00AA6C45" w:rsidRPr="00A24123">
        <w:rPr>
          <w:rFonts w:cstheme="minorHAnsi"/>
          <w:color w:val="000000" w:themeColor="text1"/>
        </w:rPr>
        <w:t xml:space="preserve">. </w:t>
      </w:r>
    </w:p>
    <w:p w14:paraId="72CDEBF8" w14:textId="0B6A69C3" w:rsidR="003457EA" w:rsidRPr="00A24123" w:rsidRDefault="00581AD2" w:rsidP="00E916BB">
      <w:pPr>
        <w:rPr>
          <w:rFonts w:cstheme="minorHAnsi"/>
          <w:color w:val="000000" w:themeColor="text1"/>
        </w:rPr>
      </w:pPr>
      <w:r w:rsidRPr="00A24123">
        <w:rPr>
          <w:rFonts w:cstheme="minorHAnsi"/>
          <w:color w:val="000000" w:themeColor="text1"/>
        </w:rPr>
        <w:t xml:space="preserve">In 2019 </w:t>
      </w:r>
      <w:r w:rsidR="00AE3B87" w:rsidRPr="00A24123">
        <w:rPr>
          <w:rFonts w:cstheme="minorHAnsi"/>
          <w:color w:val="000000" w:themeColor="text1"/>
        </w:rPr>
        <w:t>t</w:t>
      </w:r>
      <w:r w:rsidR="003457EA" w:rsidRPr="00A24123">
        <w:rPr>
          <w:rFonts w:cstheme="minorHAnsi"/>
          <w:color w:val="000000" w:themeColor="text1"/>
        </w:rPr>
        <w:t>he ACT Government embarked on</w:t>
      </w:r>
      <w:r w:rsidR="00AE3B87" w:rsidRPr="00A24123">
        <w:rPr>
          <w:color w:val="000000" w:themeColor="text1"/>
        </w:rPr>
        <w:t xml:space="preserve"> an eight-year, $860 million</w:t>
      </w:r>
      <w:r w:rsidR="003457EA" w:rsidRPr="00A24123">
        <w:rPr>
          <w:rFonts w:cstheme="minorHAnsi"/>
          <w:color w:val="000000" w:themeColor="text1"/>
        </w:rPr>
        <w:t xml:space="preserve"> </w:t>
      </w:r>
      <w:r w:rsidR="003457EA" w:rsidRPr="00A24123">
        <w:rPr>
          <w:rFonts w:ascii="Calibri" w:hAnsi="Calibri" w:cs="Calibri"/>
          <w:i/>
          <w:iCs/>
          <w:color w:val="000000" w:themeColor="text1"/>
          <w:lang w:bidi="th-TH"/>
        </w:rPr>
        <w:t>Growing and Renewing Public Housing Program</w:t>
      </w:r>
      <w:r w:rsidR="00284E5A" w:rsidRPr="00A24123">
        <w:rPr>
          <w:rFonts w:ascii="Calibri" w:hAnsi="Calibri" w:cs="Calibri"/>
          <w:i/>
          <w:iCs/>
          <w:color w:val="000000" w:themeColor="text1"/>
          <w:lang w:bidi="th-TH"/>
        </w:rPr>
        <w:t xml:space="preserve"> </w:t>
      </w:r>
      <w:r w:rsidR="00284E5A" w:rsidRPr="00A24123">
        <w:rPr>
          <w:rFonts w:ascii="Calibri" w:hAnsi="Calibri" w:cs="Calibri"/>
          <w:color w:val="000000" w:themeColor="text1"/>
          <w:lang w:bidi="th-TH"/>
        </w:rPr>
        <w:t xml:space="preserve">that </w:t>
      </w:r>
      <w:r w:rsidR="003457EA" w:rsidRPr="00A24123">
        <w:rPr>
          <w:color w:val="000000" w:themeColor="text1"/>
        </w:rPr>
        <w:t>is intended to deliver 1,400 new public housing homes in the ACT</w:t>
      </w:r>
      <w:r w:rsidR="000E65B5" w:rsidRPr="00A24123">
        <w:rPr>
          <w:color w:val="000000" w:themeColor="text1"/>
        </w:rPr>
        <w:t xml:space="preserve"> </w:t>
      </w:r>
      <w:sdt>
        <w:sdtPr>
          <w:rPr>
            <w:color w:val="000000" w:themeColor="text1"/>
          </w:rPr>
          <w:id w:val="1298035134"/>
          <w:citation/>
        </w:sdtPr>
        <w:sdtContent>
          <w:r w:rsidR="000E65B5" w:rsidRPr="0000389F">
            <w:rPr>
              <w:color w:val="000000" w:themeColor="text1"/>
            </w:rPr>
            <w:fldChar w:fldCharType="begin"/>
          </w:r>
          <w:r w:rsidR="000E65B5" w:rsidRPr="0000389F">
            <w:rPr>
              <w:color w:val="000000" w:themeColor="text1"/>
            </w:rPr>
            <w:instrText xml:space="preserve"> CITATION ACT4a \l 3081 </w:instrText>
          </w:r>
          <w:r w:rsidR="000E65B5" w:rsidRPr="0000389F">
            <w:rPr>
              <w:color w:val="000000" w:themeColor="text1"/>
            </w:rPr>
            <w:fldChar w:fldCharType="separate"/>
          </w:r>
          <w:r w:rsidR="00874F23" w:rsidRPr="0000389F">
            <w:rPr>
              <w:noProof/>
              <w:color w:val="000000" w:themeColor="text1"/>
            </w:rPr>
            <w:t>(ACT Audit Office, 2024a)</w:t>
          </w:r>
          <w:r w:rsidR="000E65B5" w:rsidRPr="0000389F">
            <w:rPr>
              <w:color w:val="000000" w:themeColor="text1"/>
            </w:rPr>
            <w:fldChar w:fldCharType="end"/>
          </w:r>
        </w:sdtContent>
      </w:sdt>
      <w:r w:rsidR="003457EA" w:rsidRPr="00A24123">
        <w:rPr>
          <w:color w:val="000000" w:themeColor="text1"/>
        </w:rPr>
        <w:t xml:space="preserve">. To allow </w:t>
      </w:r>
      <w:r w:rsidR="00AE3B87" w:rsidRPr="00A24123">
        <w:rPr>
          <w:color w:val="000000" w:themeColor="text1"/>
        </w:rPr>
        <w:t xml:space="preserve">the construction of </w:t>
      </w:r>
      <w:r w:rsidR="003457EA" w:rsidRPr="00A24123">
        <w:rPr>
          <w:color w:val="000000" w:themeColor="text1"/>
        </w:rPr>
        <w:t>1,000 new public housing homes to be built, Housing ACT is selling and redeveloping older, not fit-for-purpose public housing homes. Housing ACT will sell approximately 700 homes to raise revenue and demolish approximately 300 homes to allow for redevelopment of the land sites</w:t>
      </w:r>
      <w:r w:rsidR="00284E5A" w:rsidRPr="00A24123">
        <w:rPr>
          <w:color w:val="000000" w:themeColor="text1"/>
        </w:rPr>
        <w:t>.</w:t>
      </w:r>
      <w:r w:rsidR="000E65B5" w:rsidRPr="00A24123">
        <w:rPr>
          <w:color w:val="000000" w:themeColor="text1"/>
        </w:rPr>
        <w:t xml:space="preserve"> </w:t>
      </w:r>
      <w:r w:rsidR="0055019D" w:rsidRPr="00A24123">
        <w:rPr>
          <w:color w:val="000000" w:themeColor="text1"/>
        </w:rPr>
        <w:t xml:space="preserve">The Growing and Renewing Public Housing Program will result in a net increase of 400 public housing homes by 2027, compared to the number existing in 2019. </w:t>
      </w:r>
    </w:p>
    <w:p w14:paraId="22EAE71F" w14:textId="49235630" w:rsidR="000F6C8E" w:rsidRPr="00A24123" w:rsidRDefault="000F6C8E" w:rsidP="00E916BB">
      <w:pPr>
        <w:rPr>
          <w:rFonts w:ascii="Calibri" w:hAnsi="Calibri" w:cs="Calibri"/>
          <w:color w:val="000000" w:themeColor="text1"/>
          <w:lang w:bidi="th-TH"/>
        </w:rPr>
      </w:pPr>
      <w:r w:rsidRPr="00A24123">
        <w:rPr>
          <w:rFonts w:ascii="Calibri" w:hAnsi="Calibri" w:cs="Calibri"/>
          <w:color w:val="000000" w:themeColor="text1"/>
          <w:lang w:bidi="th-TH"/>
        </w:rPr>
        <w:t xml:space="preserve">While the ACT Government’s </w:t>
      </w:r>
      <w:r w:rsidRPr="00A24123">
        <w:rPr>
          <w:rFonts w:ascii="Calibri" w:hAnsi="Calibri" w:cs="Calibri"/>
          <w:i/>
          <w:iCs/>
          <w:color w:val="000000" w:themeColor="text1"/>
          <w:lang w:bidi="th-TH"/>
        </w:rPr>
        <w:t>Growing and Renewing Public Housing Program</w:t>
      </w:r>
      <w:r w:rsidRPr="00A24123">
        <w:rPr>
          <w:rFonts w:ascii="Calibri" w:hAnsi="Calibri" w:cs="Calibri"/>
          <w:color w:val="000000" w:themeColor="text1"/>
          <w:lang w:bidi="th-TH"/>
        </w:rPr>
        <w:t xml:space="preserve"> is </w:t>
      </w:r>
      <w:r w:rsidR="00DB0247" w:rsidRPr="00A24123">
        <w:rPr>
          <w:rFonts w:ascii="Calibri" w:hAnsi="Calibri" w:cs="Calibri"/>
          <w:color w:val="000000" w:themeColor="text1"/>
          <w:lang w:bidi="th-TH"/>
        </w:rPr>
        <w:t>likely</w:t>
      </w:r>
      <w:r w:rsidRPr="00A24123">
        <w:rPr>
          <w:rFonts w:ascii="Calibri" w:hAnsi="Calibri" w:cs="Calibri"/>
          <w:color w:val="000000" w:themeColor="text1"/>
          <w:lang w:bidi="th-TH"/>
        </w:rPr>
        <w:t xml:space="preserve"> to increase the </w:t>
      </w:r>
      <w:r w:rsidR="00E916BB" w:rsidRPr="00A24123">
        <w:rPr>
          <w:rFonts w:ascii="Calibri" w:hAnsi="Calibri" w:cs="Calibri"/>
          <w:color w:val="000000" w:themeColor="text1"/>
          <w:lang w:bidi="th-TH"/>
        </w:rPr>
        <w:t xml:space="preserve">overall stock </w:t>
      </w:r>
      <w:r w:rsidRPr="00A24123">
        <w:rPr>
          <w:rFonts w:ascii="Calibri" w:hAnsi="Calibri" w:cs="Calibri"/>
          <w:color w:val="000000" w:themeColor="text1"/>
          <w:lang w:bidi="th-TH"/>
        </w:rPr>
        <w:t xml:space="preserve">of public housing available in the ACT by the end </w:t>
      </w:r>
      <w:r w:rsidR="0008089A" w:rsidRPr="00A24123">
        <w:rPr>
          <w:rFonts w:ascii="Calibri" w:hAnsi="Calibri" w:cs="Calibri"/>
          <w:color w:val="000000" w:themeColor="text1"/>
          <w:lang w:bidi="th-TH"/>
        </w:rPr>
        <w:t xml:space="preserve">of </w:t>
      </w:r>
      <w:r w:rsidRPr="00A24123">
        <w:rPr>
          <w:rFonts w:ascii="Calibri" w:hAnsi="Calibri" w:cs="Calibri"/>
          <w:color w:val="000000" w:themeColor="text1"/>
          <w:lang w:bidi="th-TH"/>
        </w:rPr>
        <w:t xml:space="preserve">2027, the supply </w:t>
      </w:r>
      <w:r w:rsidR="00DB0247" w:rsidRPr="00A24123">
        <w:rPr>
          <w:rFonts w:ascii="Calibri" w:hAnsi="Calibri" w:cs="Calibri"/>
          <w:color w:val="000000" w:themeColor="text1"/>
          <w:lang w:bidi="th-TH"/>
        </w:rPr>
        <w:t xml:space="preserve">of public housing is </w:t>
      </w:r>
      <w:r w:rsidR="00E916BB" w:rsidRPr="00A24123">
        <w:rPr>
          <w:rFonts w:ascii="Calibri" w:hAnsi="Calibri" w:cs="Calibri"/>
          <w:color w:val="000000" w:themeColor="text1"/>
          <w:lang w:bidi="th-TH"/>
        </w:rPr>
        <w:t xml:space="preserve">still </w:t>
      </w:r>
      <w:r w:rsidR="00DB0247" w:rsidRPr="00A24123">
        <w:rPr>
          <w:rFonts w:ascii="Calibri" w:hAnsi="Calibri" w:cs="Calibri"/>
          <w:color w:val="000000" w:themeColor="text1"/>
          <w:lang w:bidi="th-TH"/>
        </w:rPr>
        <w:t xml:space="preserve">unlikely to keep </w:t>
      </w:r>
      <w:r w:rsidR="00A67BA0" w:rsidRPr="00A24123">
        <w:rPr>
          <w:rFonts w:ascii="Calibri" w:hAnsi="Calibri" w:cs="Calibri"/>
          <w:color w:val="000000" w:themeColor="text1"/>
          <w:lang w:bidi="th-TH"/>
        </w:rPr>
        <w:t>pace with the ACT population</w:t>
      </w:r>
      <w:r w:rsidR="00E916BB" w:rsidRPr="00A24123">
        <w:rPr>
          <w:rFonts w:ascii="Calibri" w:hAnsi="Calibri" w:cs="Calibri"/>
          <w:color w:val="000000" w:themeColor="text1"/>
          <w:lang w:bidi="th-TH"/>
        </w:rPr>
        <w:t xml:space="preserve"> as observed </w:t>
      </w:r>
      <w:r w:rsidR="00BE3FD2" w:rsidRPr="00A24123">
        <w:rPr>
          <w:rFonts w:ascii="Calibri" w:hAnsi="Calibri" w:cs="Calibri"/>
          <w:color w:val="000000" w:themeColor="text1"/>
          <w:lang w:bidi="th-TH"/>
        </w:rPr>
        <w:t xml:space="preserve">recently </w:t>
      </w:r>
      <w:r w:rsidR="00E916BB" w:rsidRPr="00A24123">
        <w:rPr>
          <w:rFonts w:ascii="Calibri" w:hAnsi="Calibri" w:cs="Calibri"/>
          <w:color w:val="000000" w:themeColor="text1"/>
          <w:lang w:bidi="th-TH"/>
        </w:rPr>
        <w:t>by the ACT Audit</w:t>
      </w:r>
      <w:r w:rsidR="0088129E" w:rsidRPr="00A24123">
        <w:rPr>
          <w:rFonts w:ascii="Calibri" w:hAnsi="Calibri" w:cs="Calibri"/>
          <w:color w:val="000000" w:themeColor="text1"/>
          <w:lang w:bidi="th-TH"/>
        </w:rPr>
        <w:t xml:space="preserve"> Office</w:t>
      </w:r>
      <w:r w:rsidR="0008089A" w:rsidRPr="00A24123">
        <w:rPr>
          <w:rFonts w:ascii="Calibri" w:hAnsi="Calibri" w:cs="Calibri"/>
          <w:color w:val="000000" w:themeColor="text1"/>
          <w:lang w:bidi="th-TH"/>
        </w:rPr>
        <w:t xml:space="preserve"> </w:t>
      </w:r>
      <w:sdt>
        <w:sdtPr>
          <w:rPr>
            <w:rFonts w:ascii="Calibri" w:hAnsi="Calibri" w:cs="Calibri"/>
            <w:color w:val="000000" w:themeColor="text1"/>
            <w:lang w:bidi="th-TH"/>
          </w:rPr>
          <w:id w:val="-966661480"/>
          <w:citation/>
        </w:sdtPr>
        <w:sdtContent>
          <w:r w:rsidR="00BE3FD2" w:rsidRPr="0000389F">
            <w:rPr>
              <w:rFonts w:ascii="Calibri" w:hAnsi="Calibri" w:cs="Calibri"/>
              <w:color w:val="000000" w:themeColor="text1"/>
              <w:lang w:bidi="th-TH"/>
            </w:rPr>
            <w:fldChar w:fldCharType="begin"/>
          </w:r>
          <w:r w:rsidR="001F29A7" w:rsidRPr="0000389F">
            <w:rPr>
              <w:rFonts w:ascii="Calibri" w:hAnsi="Calibri" w:cs="Calibri"/>
              <w:color w:val="000000" w:themeColor="text1"/>
              <w:lang w:bidi="th-TH"/>
            </w:rPr>
            <w:instrText xml:space="preserve">CITATION ACT241 \p 1 \n  \t  \l 3081 </w:instrText>
          </w:r>
          <w:r w:rsidR="00BE3FD2" w:rsidRPr="0000389F">
            <w:rPr>
              <w:rFonts w:ascii="Calibri" w:hAnsi="Calibri" w:cs="Calibri"/>
              <w:color w:val="000000" w:themeColor="text1"/>
              <w:lang w:bidi="th-TH"/>
            </w:rPr>
            <w:fldChar w:fldCharType="separate"/>
          </w:r>
          <w:r w:rsidR="00874F23" w:rsidRPr="0000389F">
            <w:rPr>
              <w:rFonts w:ascii="Calibri" w:hAnsi="Calibri" w:cs="Calibri"/>
              <w:noProof/>
              <w:color w:val="000000" w:themeColor="text1"/>
              <w:lang w:bidi="th-TH"/>
            </w:rPr>
            <w:t>(2024, p. 1)</w:t>
          </w:r>
          <w:r w:rsidR="00BE3FD2" w:rsidRPr="0000389F">
            <w:rPr>
              <w:rFonts w:ascii="Calibri" w:hAnsi="Calibri" w:cs="Calibri"/>
              <w:color w:val="000000" w:themeColor="text1"/>
              <w:lang w:bidi="th-TH"/>
            </w:rPr>
            <w:fldChar w:fldCharType="end"/>
          </w:r>
        </w:sdtContent>
      </w:sdt>
      <w:r w:rsidR="00E916BB" w:rsidRPr="00A24123">
        <w:rPr>
          <w:rFonts w:ascii="Calibri" w:hAnsi="Calibri" w:cs="Calibri"/>
          <w:color w:val="000000" w:themeColor="text1"/>
          <w:lang w:bidi="th-TH"/>
        </w:rPr>
        <w:t>:</w:t>
      </w:r>
    </w:p>
    <w:p w14:paraId="293E435B" w14:textId="77777777" w:rsidR="0008089A" w:rsidRPr="00A24123" w:rsidRDefault="0008089A" w:rsidP="0008089A">
      <w:pPr>
        <w:pStyle w:val="Quote"/>
        <w:rPr>
          <w:lang w:bidi="th-TH"/>
        </w:rPr>
      </w:pPr>
      <w:r w:rsidRPr="00A24123">
        <w:rPr>
          <w:lang w:bidi="th-TH"/>
        </w:rPr>
        <w:t xml:space="preserve">Although there will be more public housing homes in the ACT by the end of the Program in 2027, the supply of public housing homes relative to the number of </w:t>
      </w:r>
      <w:r w:rsidRPr="00A24123">
        <w:rPr>
          <w:lang w:bidi="th-TH"/>
        </w:rPr>
        <w:lastRenderedPageBreak/>
        <w:t xml:space="preserve">people living in the Territory will decrease, because the ACT’s population is increasing. </w:t>
      </w:r>
    </w:p>
    <w:p w14:paraId="5E07D240" w14:textId="426F57FA" w:rsidR="00C81F8A" w:rsidRPr="00A24123" w:rsidRDefault="00CC7EB2" w:rsidP="00C81F8A">
      <w:pPr>
        <w:pStyle w:val="Default"/>
        <w:rPr>
          <w:rFonts w:ascii="Calibri" w:hAnsi="Calibri" w:cs="Calibri"/>
          <w:color w:val="000000" w:themeColor="text1"/>
          <w:sz w:val="22"/>
          <w:szCs w:val="22"/>
          <w:lang w:bidi="th-TH"/>
        </w:rPr>
      </w:pPr>
      <w:r w:rsidRPr="00A24123">
        <w:rPr>
          <w:rFonts w:ascii="Calibri" w:hAnsi="Calibri" w:cs="Calibri"/>
          <w:color w:val="000000" w:themeColor="text1"/>
          <w:sz w:val="22"/>
          <w:szCs w:val="22"/>
          <w:lang w:bidi="th-TH"/>
        </w:rPr>
        <w:t>According to the ACT Audit</w:t>
      </w:r>
      <w:r w:rsidR="0088129E" w:rsidRPr="00A24123">
        <w:rPr>
          <w:rFonts w:ascii="Calibri" w:hAnsi="Calibri" w:cs="Calibri"/>
          <w:color w:val="000000" w:themeColor="text1"/>
          <w:sz w:val="22"/>
          <w:szCs w:val="22"/>
          <w:lang w:bidi="th-TH"/>
        </w:rPr>
        <w:t xml:space="preserve"> Office</w:t>
      </w:r>
      <w:r w:rsidR="00C81F8A" w:rsidRPr="00A24123">
        <w:rPr>
          <w:rFonts w:ascii="Calibri" w:hAnsi="Calibri" w:cs="Calibri"/>
          <w:color w:val="000000" w:themeColor="text1"/>
          <w:sz w:val="22"/>
          <w:szCs w:val="22"/>
          <w:lang w:bidi="th-TH"/>
        </w:rPr>
        <w:t xml:space="preserve"> </w:t>
      </w:r>
      <w:sdt>
        <w:sdtPr>
          <w:rPr>
            <w:rFonts w:ascii="Calibri" w:hAnsi="Calibri" w:cs="Calibri"/>
            <w:color w:val="000000" w:themeColor="text1"/>
            <w:sz w:val="22"/>
            <w:szCs w:val="22"/>
            <w:lang w:bidi="th-TH"/>
          </w:rPr>
          <w:id w:val="979502179"/>
          <w:citation/>
        </w:sdtPr>
        <w:sdtContent>
          <w:r w:rsidR="00C81F8A" w:rsidRPr="0000389F">
            <w:rPr>
              <w:rFonts w:ascii="Calibri" w:hAnsi="Calibri" w:cs="Calibri"/>
              <w:color w:val="000000" w:themeColor="text1"/>
              <w:sz w:val="22"/>
              <w:szCs w:val="22"/>
              <w:lang w:bidi="th-TH"/>
            </w:rPr>
            <w:fldChar w:fldCharType="begin"/>
          </w:r>
          <w:r w:rsidR="0088129E" w:rsidRPr="0000389F">
            <w:rPr>
              <w:rFonts w:ascii="Calibri" w:hAnsi="Calibri" w:cs="Calibri"/>
              <w:color w:val="000000" w:themeColor="text1"/>
              <w:sz w:val="22"/>
              <w:szCs w:val="22"/>
              <w:lang w:bidi="th-TH"/>
            </w:rPr>
            <w:instrText xml:space="preserve">CITATION ACT241 \p 3 \n  \t  \l 3081 </w:instrText>
          </w:r>
          <w:r w:rsidR="00C81F8A" w:rsidRPr="0000389F">
            <w:rPr>
              <w:rFonts w:ascii="Calibri" w:hAnsi="Calibri" w:cs="Calibri"/>
              <w:color w:val="000000" w:themeColor="text1"/>
              <w:sz w:val="22"/>
              <w:szCs w:val="22"/>
              <w:lang w:bidi="th-TH"/>
            </w:rPr>
            <w:fldChar w:fldCharType="separate"/>
          </w:r>
          <w:r w:rsidR="00874F23" w:rsidRPr="0000389F">
            <w:rPr>
              <w:rFonts w:ascii="Calibri" w:hAnsi="Calibri" w:cs="Calibri"/>
              <w:noProof/>
              <w:color w:val="000000" w:themeColor="text1"/>
              <w:sz w:val="22"/>
              <w:szCs w:val="22"/>
              <w:lang w:bidi="th-TH"/>
            </w:rPr>
            <w:t>(2024, p. 3)</w:t>
          </w:r>
          <w:r w:rsidR="00C81F8A" w:rsidRPr="0000389F">
            <w:rPr>
              <w:rFonts w:ascii="Calibri" w:hAnsi="Calibri" w:cs="Calibri"/>
              <w:color w:val="000000" w:themeColor="text1"/>
              <w:sz w:val="22"/>
              <w:szCs w:val="22"/>
              <w:lang w:bidi="th-TH"/>
            </w:rPr>
            <w:fldChar w:fldCharType="end"/>
          </w:r>
        </w:sdtContent>
      </w:sdt>
      <w:r w:rsidRPr="00A24123">
        <w:rPr>
          <w:rFonts w:ascii="Calibri" w:hAnsi="Calibri" w:cs="Calibri"/>
          <w:color w:val="000000" w:themeColor="text1"/>
          <w:sz w:val="22"/>
          <w:szCs w:val="22"/>
          <w:lang w:bidi="th-TH"/>
        </w:rPr>
        <w:t xml:space="preserve">, </w:t>
      </w:r>
      <w:r w:rsidR="00C81F8A" w:rsidRPr="00A24123">
        <w:rPr>
          <w:rFonts w:ascii="Calibri" w:hAnsi="Calibri" w:cs="Calibri"/>
          <w:color w:val="000000" w:themeColor="text1"/>
          <w:sz w:val="22"/>
          <w:szCs w:val="22"/>
          <w:lang w:bidi="th-TH"/>
        </w:rPr>
        <w:t xml:space="preserve">the number of homes per estimated resident population is expected to decrease: from 28 public housing homes for every 1,000 people living in the ACT in 2018 to approximately 24 public housing homes per 1,000 people in 2027. </w:t>
      </w:r>
    </w:p>
    <w:p w14:paraId="54230F77" w14:textId="77777777" w:rsidR="00C07461" w:rsidRPr="00C07461" w:rsidRDefault="00C07461" w:rsidP="00C81F8A">
      <w:pPr>
        <w:pStyle w:val="Default"/>
        <w:rPr>
          <w:rFonts w:ascii="Calibri" w:hAnsi="Calibri" w:cs="Calibri"/>
          <w:color w:val="000000" w:themeColor="text1"/>
          <w:sz w:val="22"/>
          <w:szCs w:val="22"/>
          <w:highlight w:val="yellow"/>
          <w:lang w:bidi="th-TH"/>
        </w:rPr>
      </w:pPr>
    </w:p>
    <w:p w14:paraId="17EA0340" w14:textId="2DB25AE8" w:rsidR="00AA6C45" w:rsidRDefault="00AA6C45" w:rsidP="00AA6C45">
      <w:pPr>
        <w:pStyle w:val="Caption"/>
        <w:spacing w:before="0"/>
        <w:rPr>
          <w:rFonts w:cstheme="minorHAnsi"/>
        </w:rPr>
      </w:pPr>
      <w:bookmarkStart w:id="241" w:name="_Toc171949091"/>
      <w:r>
        <w:t xml:space="preserve">Figure </w:t>
      </w:r>
      <w:r>
        <w:fldChar w:fldCharType="begin"/>
      </w:r>
      <w:r>
        <w:instrText xml:space="preserve"> SEQ Figure \* ARABIC </w:instrText>
      </w:r>
      <w:r>
        <w:fldChar w:fldCharType="separate"/>
      </w:r>
      <w:r w:rsidR="000B62ED">
        <w:rPr>
          <w:noProof/>
        </w:rPr>
        <w:t>32</w:t>
      </w:r>
      <w:r>
        <w:rPr>
          <w:noProof/>
        </w:rPr>
        <w:fldChar w:fldCharType="end"/>
      </w:r>
      <w:r>
        <w:t xml:space="preserve">: </w:t>
      </w:r>
      <w:r>
        <w:rPr>
          <w:rFonts w:cstheme="minorHAnsi"/>
        </w:rPr>
        <w:t>ACT Population and the Provision of ACT Public Housing Dwellings</w:t>
      </w:r>
      <w:bookmarkEnd w:id="241"/>
      <w:r>
        <w:rPr>
          <w:rFonts w:cstheme="minorHAnsi"/>
        </w:rPr>
        <w:t xml:space="preserve"> </w:t>
      </w:r>
    </w:p>
    <w:p w14:paraId="078B5E48" w14:textId="01BAB117" w:rsidR="00AA6C45" w:rsidRDefault="00001C5D" w:rsidP="00AA6C45">
      <w:pPr>
        <w:spacing w:before="0" w:after="0"/>
      </w:pPr>
      <w:r>
        <w:rPr>
          <w:noProof/>
        </w:rPr>
        <w:drawing>
          <wp:inline distT="0" distB="0" distL="0" distR="0" wp14:anchorId="22A77125" wp14:editId="2033629E">
            <wp:extent cx="5714975" cy="3731846"/>
            <wp:effectExtent l="0" t="0" r="635" b="2540"/>
            <wp:docPr id="98543900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44185" cy="3750920"/>
                    </a:xfrm>
                    <a:prstGeom prst="rect">
                      <a:avLst/>
                    </a:prstGeom>
                    <a:noFill/>
                  </pic:spPr>
                </pic:pic>
              </a:graphicData>
            </a:graphic>
          </wp:inline>
        </w:drawing>
      </w:r>
    </w:p>
    <w:p w14:paraId="6BFA3474" w14:textId="53ED5CF2" w:rsidR="002A159B" w:rsidRDefault="00AA6C45" w:rsidP="002A159B">
      <w:pPr>
        <w:spacing w:before="0"/>
      </w:pPr>
      <w:r>
        <w:t xml:space="preserve">Sources: ABS </w:t>
      </w:r>
      <w:sdt>
        <w:sdtPr>
          <w:id w:val="-113990258"/>
          <w:citation/>
        </w:sdtPr>
        <w:sdtContent>
          <w:r>
            <w:fldChar w:fldCharType="begin"/>
          </w:r>
          <w:r w:rsidR="000137BC">
            <w:instrText xml:space="preserve">CITATION Aus2c1 \n  \t  \l 3081 </w:instrText>
          </w:r>
          <w:r>
            <w:fldChar w:fldCharType="separate"/>
          </w:r>
          <w:r w:rsidR="00874F23">
            <w:rPr>
              <w:noProof/>
            </w:rPr>
            <w:t>(2024e)</w:t>
          </w:r>
          <w:r>
            <w:fldChar w:fldCharType="end"/>
          </w:r>
        </w:sdtContent>
      </w:sdt>
      <w:r>
        <w:t xml:space="preserve"> and Productivity Commission </w:t>
      </w:r>
      <w:sdt>
        <w:sdtPr>
          <w:id w:val="-1106416781"/>
          <w:citation/>
        </w:sdtPr>
        <w:sdtContent>
          <w:r>
            <w:fldChar w:fldCharType="begin"/>
          </w:r>
          <w:r w:rsidR="003A4AF4">
            <w:instrText xml:space="preserve">CITATION Placeholder1 \n  \t  \l 3081 </w:instrText>
          </w:r>
          <w:r>
            <w:fldChar w:fldCharType="separate"/>
          </w:r>
          <w:r w:rsidR="00874F23">
            <w:rPr>
              <w:noProof/>
            </w:rPr>
            <w:t>(2024)</w:t>
          </w:r>
          <w:r>
            <w:fldChar w:fldCharType="end"/>
          </w:r>
        </w:sdtContent>
      </w:sdt>
      <w:r>
        <w:t>.</w:t>
      </w:r>
    </w:p>
    <w:p w14:paraId="79E984A2" w14:textId="21492F30" w:rsidR="002A159B" w:rsidRDefault="002A159B" w:rsidP="002A159B">
      <w:pPr>
        <w:pStyle w:val="Heading2"/>
      </w:pPr>
      <w:bookmarkStart w:id="242" w:name="_Toc171949047"/>
      <w:r>
        <w:t>11.2</w:t>
      </w:r>
      <w:r>
        <w:tab/>
        <w:t>Budget measures</w:t>
      </w:r>
      <w:bookmarkEnd w:id="242"/>
      <w:r>
        <w:t xml:space="preserve"> </w:t>
      </w:r>
    </w:p>
    <w:p w14:paraId="19BDD557" w14:textId="3ED4093B" w:rsidR="002A159B" w:rsidRDefault="002A159B" w:rsidP="002A159B">
      <w:r>
        <w:t xml:space="preserve">The Budget includes a number of </w:t>
      </w:r>
      <w:r w:rsidR="000C30E9">
        <w:t xml:space="preserve">new </w:t>
      </w:r>
      <w:r>
        <w:t>measures to address housing affordability and access to social housing.</w:t>
      </w:r>
    </w:p>
    <w:p w14:paraId="4BCB3209" w14:textId="083DC4B6" w:rsidR="000C30E9" w:rsidRDefault="002A159B" w:rsidP="00A24123">
      <w:r>
        <w:t xml:space="preserve">Measures to address </w:t>
      </w:r>
      <w:r w:rsidR="000C30E9">
        <w:t xml:space="preserve">access to affordable </w:t>
      </w:r>
      <w:r w:rsidR="000D4602">
        <w:t>rental housing an</w:t>
      </w:r>
      <w:r w:rsidR="000C30E9">
        <w:t xml:space="preserve">d </w:t>
      </w:r>
      <w:r w:rsidR="000C30E9" w:rsidRPr="00E82603">
        <w:t xml:space="preserve">home ownership </w:t>
      </w:r>
      <w:r w:rsidR="000C30E9">
        <w:t xml:space="preserve">include </w:t>
      </w:r>
      <w:r w:rsidR="000C30E9" w:rsidRPr="00E82603">
        <w:t>for initiatives, includ</w:t>
      </w:r>
      <w:r w:rsidR="000C30E9">
        <w:t>e</w:t>
      </w:r>
      <w:r w:rsidR="000C30E9" w:rsidRPr="00E82603">
        <w:t>:</w:t>
      </w:r>
    </w:p>
    <w:p w14:paraId="4D4B57CA" w14:textId="77777777" w:rsidR="000C30E9" w:rsidRPr="00A24123" w:rsidRDefault="000C30E9" w:rsidP="00A24123">
      <w:pPr>
        <w:pStyle w:val="ListParagraph"/>
        <w:numPr>
          <w:ilvl w:val="0"/>
          <w:numId w:val="31"/>
        </w:numPr>
        <w:rPr>
          <w:rStyle w:val="A21"/>
          <w:b w:val="0"/>
          <w:bCs w:val="0"/>
        </w:rPr>
      </w:pPr>
      <w:r w:rsidRPr="00A24123">
        <w:rPr>
          <w:rStyle w:val="A21"/>
          <w:b w:val="0"/>
          <w:bCs w:val="0"/>
        </w:rPr>
        <w:t>increasing the Affordable Housing Project Fund from $60 million to $80 million to expand the social and affordable housing stock in the ACT;</w:t>
      </w:r>
    </w:p>
    <w:p w14:paraId="5E73B606" w14:textId="77777777" w:rsidR="000C30E9" w:rsidRPr="00A24123" w:rsidRDefault="000C30E9" w:rsidP="00A24123">
      <w:pPr>
        <w:pStyle w:val="ListParagraph"/>
        <w:numPr>
          <w:ilvl w:val="0"/>
          <w:numId w:val="31"/>
        </w:numPr>
        <w:rPr>
          <w:rStyle w:val="A21"/>
          <w:b w:val="0"/>
          <w:bCs w:val="0"/>
        </w:rPr>
      </w:pPr>
      <w:r w:rsidRPr="00A24123">
        <w:rPr>
          <w:rStyle w:val="A21"/>
          <w:b w:val="0"/>
          <w:bCs w:val="0"/>
        </w:rPr>
        <w:t>reducing the lowest marginal conveyance duty tax rate for home buyers from 0.49 per cent to 0.4 per cent;</w:t>
      </w:r>
    </w:p>
    <w:p w14:paraId="181AF5A0" w14:textId="77777777" w:rsidR="000C30E9" w:rsidRPr="00A24123" w:rsidRDefault="000C30E9" w:rsidP="00A24123">
      <w:pPr>
        <w:pStyle w:val="ListParagraph"/>
        <w:numPr>
          <w:ilvl w:val="0"/>
          <w:numId w:val="31"/>
        </w:numPr>
        <w:rPr>
          <w:rStyle w:val="A21"/>
          <w:b w:val="0"/>
          <w:bCs w:val="0"/>
        </w:rPr>
      </w:pPr>
      <w:r w:rsidRPr="00A24123">
        <w:rPr>
          <w:rStyle w:val="A21"/>
          <w:b w:val="0"/>
          <w:bCs w:val="0"/>
        </w:rPr>
        <w:t>increasing the Home Buyer Concession Scheme income eligibility threshold from $170,000 to $250,000, and the additional income allowance per child will increase from $3,330 to $4,600;</w:t>
      </w:r>
    </w:p>
    <w:p w14:paraId="5D4DAEC0" w14:textId="77777777" w:rsidR="000C30E9" w:rsidRPr="00A24123" w:rsidRDefault="000C30E9" w:rsidP="00A24123">
      <w:pPr>
        <w:pStyle w:val="ListParagraph"/>
        <w:numPr>
          <w:ilvl w:val="0"/>
          <w:numId w:val="31"/>
        </w:numPr>
        <w:rPr>
          <w:rStyle w:val="A21"/>
          <w:b w:val="0"/>
          <w:bCs w:val="0"/>
        </w:rPr>
      </w:pPr>
      <w:r w:rsidRPr="00A24123">
        <w:rPr>
          <w:rStyle w:val="A21"/>
          <w:b w:val="0"/>
          <w:bCs w:val="0"/>
        </w:rPr>
        <w:t>temporarily increasing the property price thresholds for the Off-the-plan unit and RZ1 unit duty exemptions to $1 million, from 1 July 2024 to 30 June 2025;</w:t>
      </w:r>
    </w:p>
    <w:p w14:paraId="0835DB5D" w14:textId="77777777" w:rsidR="000C30E9" w:rsidRPr="00A24123" w:rsidRDefault="000C30E9" w:rsidP="00A24123">
      <w:pPr>
        <w:pStyle w:val="ListParagraph"/>
        <w:numPr>
          <w:ilvl w:val="0"/>
          <w:numId w:val="31"/>
        </w:numPr>
        <w:rPr>
          <w:rStyle w:val="A21"/>
          <w:b w:val="0"/>
          <w:bCs w:val="0"/>
        </w:rPr>
      </w:pPr>
      <w:r w:rsidRPr="00A24123">
        <w:rPr>
          <w:rStyle w:val="A21"/>
          <w:b w:val="0"/>
          <w:bCs w:val="0"/>
        </w:rPr>
        <w:t xml:space="preserve">expanding the Disability Duty Concession Scheme and the Pensioner Duty Concession Scheme to provide a concession up to the duty on a $1 million purchase, from 1 July 2024; </w:t>
      </w:r>
    </w:p>
    <w:p w14:paraId="152D2992" w14:textId="77777777" w:rsidR="000C30E9" w:rsidRPr="00A24123" w:rsidRDefault="000C30E9" w:rsidP="00A24123">
      <w:pPr>
        <w:pStyle w:val="ListParagraph"/>
        <w:numPr>
          <w:ilvl w:val="0"/>
          <w:numId w:val="31"/>
        </w:numPr>
        <w:rPr>
          <w:rStyle w:val="A21"/>
          <w:b w:val="0"/>
          <w:bCs w:val="0"/>
        </w:rPr>
      </w:pPr>
      <w:r w:rsidRPr="00A24123">
        <w:rPr>
          <w:rStyle w:val="A21"/>
          <w:b w:val="0"/>
          <w:bCs w:val="0"/>
        </w:rPr>
        <w:t>extending the operation of the Rent Relief Fund to assist vulnerable, low-income Canberrans experiencing rental stress or financial hardship, due to rising cost of living challenges; and</w:t>
      </w:r>
    </w:p>
    <w:p w14:paraId="170A1AC6" w14:textId="6D563B90" w:rsidR="000C30E9" w:rsidRPr="00A24123" w:rsidRDefault="000C30E9" w:rsidP="00A24123">
      <w:pPr>
        <w:pStyle w:val="ListParagraph"/>
        <w:numPr>
          <w:ilvl w:val="0"/>
          <w:numId w:val="31"/>
        </w:numPr>
        <w:spacing w:before="200" w:after="200"/>
        <w:ind w:left="714" w:hanging="357"/>
        <w:rPr>
          <w:rFonts w:cs="Source Sans Pro"/>
          <w:color w:val="000000"/>
        </w:rPr>
      </w:pPr>
      <w:r w:rsidRPr="00A24123">
        <w:rPr>
          <w:rStyle w:val="A21"/>
          <w:b w:val="0"/>
          <w:bCs w:val="0"/>
        </w:rPr>
        <w:lastRenderedPageBreak/>
        <w:t>introducing a new Severe Disability Duty Exemption to commence from 1 July 2025.</w:t>
      </w:r>
    </w:p>
    <w:p w14:paraId="1A0E93C4" w14:textId="6109FA6B" w:rsidR="000C30E9" w:rsidRPr="00E82603" w:rsidRDefault="000C30E9" w:rsidP="00A24123">
      <w:pPr>
        <w:pStyle w:val="Bbodytext"/>
        <w:spacing w:before="200" w:after="200"/>
      </w:pPr>
      <w:r>
        <w:t xml:space="preserve">Measures to </w:t>
      </w:r>
      <w:r w:rsidRPr="00E82603">
        <w:t xml:space="preserve">strengthen social housing assistance include: </w:t>
      </w:r>
    </w:p>
    <w:p w14:paraId="3C478A2A" w14:textId="1545095A" w:rsidR="000C30E9" w:rsidRPr="00E82603" w:rsidRDefault="000C30E9" w:rsidP="00A24123">
      <w:pPr>
        <w:pStyle w:val="BBullet1"/>
        <w:spacing w:before="120"/>
        <w:ind w:left="357" w:hanging="357"/>
      </w:pPr>
      <w:r w:rsidRPr="00E82603">
        <w:t xml:space="preserve">$51 million </w:t>
      </w:r>
      <w:r w:rsidR="00340A25">
        <w:t xml:space="preserve">over four years </w:t>
      </w:r>
      <w:r w:rsidRPr="00E82603">
        <w:t>to support Housing ACT to continue its growth and renewal of housing stock and support the growth of the ACT public housing portfolio;</w:t>
      </w:r>
    </w:p>
    <w:p w14:paraId="1F8C3D6F" w14:textId="39B0A70D" w:rsidR="000C30E9" w:rsidRPr="00E82603" w:rsidRDefault="000C30E9" w:rsidP="000C30E9">
      <w:pPr>
        <w:pStyle w:val="BBullet1"/>
        <w:ind w:left="360" w:hanging="360"/>
      </w:pPr>
      <w:r>
        <w:t xml:space="preserve">A net investment of </w:t>
      </w:r>
      <w:r w:rsidRPr="00E82603">
        <w:t>$5</w:t>
      </w:r>
      <w:r>
        <w:t>1.2</w:t>
      </w:r>
      <w:r w:rsidRPr="00E82603">
        <w:t xml:space="preserve"> million over four years for repairs, maintenance and upgrades of public housing stock and maintenance and tenancy services;</w:t>
      </w:r>
      <w:r>
        <w:t xml:space="preserve"> and</w:t>
      </w:r>
    </w:p>
    <w:p w14:paraId="37FA196D" w14:textId="1B013CB2" w:rsidR="002A159B" w:rsidRPr="002A159B" w:rsidRDefault="000C30E9" w:rsidP="00A24123">
      <w:pPr>
        <w:pStyle w:val="BBullet1"/>
        <w:ind w:left="360" w:hanging="360"/>
      </w:pPr>
      <w:r w:rsidRPr="00E82603">
        <w:t xml:space="preserve">$6.5 million over four years for the continued expansion of specialist homelessness service capacity, </w:t>
      </w:r>
      <w:r w:rsidR="00340A25">
        <w:t>partially offset by $3.7 million previously provisioned in 2026-27 for expanded homelessness services.</w:t>
      </w:r>
    </w:p>
    <w:p w14:paraId="23468578" w14:textId="2B767169" w:rsidR="00AB312F" w:rsidRDefault="00AB312F" w:rsidP="003D6C29">
      <w:pPr>
        <w:spacing w:before="0"/>
      </w:pPr>
      <w:r>
        <w:br w:type="page"/>
      </w:r>
    </w:p>
    <w:bookmarkStart w:id="243" w:name="_Toc171949048" w:displacedByCustomXml="next"/>
    <w:sdt>
      <w:sdtPr>
        <w:rPr>
          <w:rFonts w:asciiTheme="minorHAnsi" w:eastAsiaTheme="minorHAnsi" w:hAnsiTheme="minorHAnsi" w:cstheme="minorBidi"/>
          <w:color w:val="auto"/>
          <w:sz w:val="22"/>
          <w:szCs w:val="22"/>
        </w:rPr>
        <w:id w:val="1073540673"/>
        <w:docPartObj>
          <w:docPartGallery w:val="Bibliographies"/>
          <w:docPartUnique/>
        </w:docPartObj>
      </w:sdtPr>
      <w:sdtContent>
        <w:p w14:paraId="722A09E2" w14:textId="373C510D" w:rsidR="00325EE3" w:rsidRDefault="00325EE3">
          <w:pPr>
            <w:pStyle w:val="Heading1"/>
          </w:pPr>
          <w:r>
            <w:t>Bibliography</w:t>
          </w:r>
          <w:bookmarkEnd w:id="243"/>
        </w:p>
        <w:sdt>
          <w:sdtPr>
            <w:id w:val="111145805"/>
            <w:bibliography/>
          </w:sdtPr>
          <w:sdtContent>
            <w:p w14:paraId="6F1D8635" w14:textId="77777777" w:rsidR="00294DBC" w:rsidRDefault="00325EE3" w:rsidP="00294DBC">
              <w:pPr>
                <w:pStyle w:val="Bibliography"/>
                <w:ind w:left="720" w:hanging="720"/>
                <w:rPr>
                  <w:noProof/>
                  <w:sz w:val="24"/>
                  <w:szCs w:val="24"/>
                </w:rPr>
              </w:pPr>
              <w:r>
                <w:fldChar w:fldCharType="begin"/>
              </w:r>
              <w:r>
                <w:instrText xml:space="preserve"> BIBLIOGRAPHY </w:instrText>
              </w:r>
              <w:r>
                <w:fldChar w:fldCharType="separate"/>
              </w:r>
              <w:r w:rsidR="00294DBC">
                <w:rPr>
                  <w:noProof/>
                </w:rPr>
                <w:t xml:space="preserve">ACT Audit Office. (2020). </w:t>
              </w:r>
              <w:r w:rsidR="00294DBC">
                <w:rPr>
                  <w:i/>
                  <w:iCs/>
                  <w:noProof/>
                </w:rPr>
                <w:t>ACT Auditor-General's Report: Residential Land Supply and Release.</w:t>
              </w:r>
              <w:r w:rsidR="00294DBC">
                <w:rPr>
                  <w:noProof/>
                </w:rPr>
                <w:t xml:space="preserve"> Report No.4 / 2020, Canberra.</w:t>
              </w:r>
            </w:p>
            <w:p w14:paraId="5AB2836F" w14:textId="77777777" w:rsidR="00294DBC" w:rsidRDefault="00294DBC" w:rsidP="00294DBC">
              <w:pPr>
                <w:pStyle w:val="Bibliography"/>
                <w:ind w:left="720" w:hanging="720"/>
                <w:rPr>
                  <w:noProof/>
                </w:rPr>
              </w:pPr>
              <w:r>
                <w:rPr>
                  <w:noProof/>
                </w:rPr>
                <w:t xml:space="preserve">ACT Audit Office. (2024). </w:t>
              </w:r>
              <w:r>
                <w:rPr>
                  <w:i/>
                  <w:iCs/>
                  <w:noProof/>
                </w:rPr>
                <w:t>Management of the Growing and Renewing Public Housing Program.</w:t>
              </w:r>
              <w:r>
                <w:rPr>
                  <w:noProof/>
                </w:rPr>
                <w:t xml:space="preserve"> ACT Auditor-General's Performance Audit Report, Canberra.</w:t>
              </w:r>
            </w:p>
            <w:p w14:paraId="0D690D9F" w14:textId="77777777" w:rsidR="00294DBC" w:rsidRDefault="00294DBC" w:rsidP="00294DBC">
              <w:pPr>
                <w:pStyle w:val="Bibliography"/>
                <w:ind w:left="720" w:hanging="720"/>
                <w:rPr>
                  <w:noProof/>
                </w:rPr>
              </w:pPr>
              <w:r>
                <w:rPr>
                  <w:noProof/>
                </w:rPr>
                <w:t xml:space="preserve">ACT Audit Office. (2024a). Management of the Growing and Renewing Public Housing Program. </w:t>
              </w:r>
              <w:r>
                <w:rPr>
                  <w:i/>
                  <w:iCs/>
                  <w:noProof/>
                </w:rPr>
                <w:t>Media Release</w:t>
              </w:r>
              <w:r>
                <w:rPr>
                  <w:noProof/>
                </w:rPr>
                <w:t>, 8 May.</w:t>
              </w:r>
            </w:p>
            <w:p w14:paraId="123C4D81" w14:textId="77777777" w:rsidR="00294DBC" w:rsidRDefault="00294DBC" w:rsidP="00294DBC">
              <w:pPr>
                <w:pStyle w:val="Bibliography"/>
                <w:ind w:left="720" w:hanging="720"/>
                <w:rPr>
                  <w:noProof/>
                </w:rPr>
              </w:pPr>
              <w:r>
                <w:rPr>
                  <w:noProof/>
                </w:rPr>
                <w:t xml:space="preserve">ACT Government. (2012). </w:t>
              </w:r>
              <w:r>
                <w:rPr>
                  <w:i/>
                  <w:iCs/>
                  <w:noProof/>
                </w:rPr>
                <w:t>Australian Capital Territory Budget 2012-13 Budget Paper No. 3: Budget Overview.</w:t>
              </w:r>
              <w:r>
                <w:rPr>
                  <w:noProof/>
                </w:rPr>
                <w:t xml:space="preserve"> Canberra.</w:t>
              </w:r>
            </w:p>
            <w:p w14:paraId="2E75FEF1" w14:textId="77777777" w:rsidR="00294DBC" w:rsidRDefault="00294DBC" w:rsidP="00294DBC">
              <w:pPr>
                <w:pStyle w:val="Bibliography"/>
                <w:ind w:left="720" w:hanging="720"/>
                <w:rPr>
                  <w:noProof/>
                </w:rPr>
              </w:pPr>
              <w:r>
                <w:rPr>
                  <w:noProof/>
                </w:rPr>
                <w:t xml:space="preserve">ACT Government. (2013). </w:t>
              </w:r>
              <w:r>
                <w:rPr>
                  <w:i/>
                  <w:iCs/>
                  <w:noProof/>
                </w:rPr>
                <w:t>Australian Capital Territory Budget 2013‐14 Budget Paper No. 3.</w:t>
              </w:r>
              <w:r>
                <w:rPr>
                  <w:noProof/>
                </w:rPr>
                <w:t xml:space="preserve"> Canberra.</w:t>
              </w:r>
            </w:p>
            <w:p w14:paraId="7FC23C6A" w14:textId="77777777" w:rsidR="00294DBC" w:rsidRDefault="00294DBC" w:rsidP="00294DBC">
              <w:pPr>
                <w:pStyle w:val="Bibliography"/>
                <w:ind w:left="720" w:hanging="720"/>
                <w:rPr>
                  <w:noProof/>
                </w:rPr>
              </w:pPr>
              <w:r>
                <w:rPr>
                  <w:noProof/>
                </w:rPr>
                <w:t xml:space="preserve">ACT Government. (2014). </w:t>
              </w:r>
              <w:r>
                <w:rPr>
                  <w:i/>
                  <w:iCs/>
                  <w:noProof/>
                </w:rPr>
                <w:t>Australian Capital Territory Budget 2014-15 Budget Paper No. 3.</w:t>
              </w:r>
              <w:r>
                <w:rPr>
                  <w:noProof/>
                </w:rPr>
                <w:t xml:space="preserve"> Canberra.</w:t>
              </w:r>
            </w:p>
            <w:p w14:paraId="599498AE" w14:textId="77777777" w:rsidR="00294DBC" w:rsidRDefault="00294DBC" w:rsidP="00294DBC">
              <w:pPr>
                <w:pStyle w:val="Bibliography"/>
                <w:ind w:left="720" w:hanging="720"/>
                <w:rPr>
                  <w:noProof/>
                </w:rPr>
              </w:pPr>
              <w:r>
                <w:rPr>
                  <w:noProof/>
                </w:rPr>
                <w:t xml:space="preserve">ACT Government. (2015). </w:t>
              </w:r>
              <w:r>
                <w:rPr>
                  <w:i/>
                  <w:iCs/>
                  <w:noProof/>
                </w:rPr>
                <w:t>Australian Capital Territory Budget 2015-16 - Budget Paper No. 3 Budget Outlook.</w:t>
              </w:r>
              <w:r>
                <w:rPr>
                  <w:noProof/>
                </w:rPr>
                <w:t xml:space="preserve"> Canberra.</w:t>
              </w:r>
            </w:p>
            <w:p w14:paraId="34B233E3" w14:textId="77777777" w:rsidR="00294DBC" w:rsidRDefault="00294DBC" w:rsidP="00294DBC">
              <w:pPr>
                <w:pStyle w:val="Bibliography"/>
                <w:ind w:left="720" w:hanging="720"/>
                <w:rPr>
                  <w:noProof/>
                </w:rPr>
              </w:pPr>
              <w:r>
                <w:rPr>
                  <w:noProof/>
                </w:rPr>
                <w:t xml:space="preserve">ACT Government. (2016). </w:t>
              </w:r>
              <w:r>
                <w:rPr>
                  <w:i/>
                  <w:iCs/>
                  <w:noProof/>
                </w:rPr>
                <w:t>Australian Capital Territory Budget 2016-17 for Canberra - Budget Paper 3: Budget Outlook.</w:t>
              </w:r>
              <w:r>
                <w:rPr>
                  <w:noProof/>
                </w:rPr>
                <w:t xml:space="preserve"> Canberra.</w:t>
              </w:r>
            </w:p>
            <w:p w14:paraId="337D5BCA" w14:textId="77777777" w:rsidR="00294DBC" w:rsidRDefault="00294DBC" w:rsidP="00294DBC">
              <w:pPr>
                <w:pStyle w:val="Bibliography"/>
                <w:ind w:left="720" w:hanging="720"/>
                <w:rPr>
                  <w:noProof/>
                </w:rPr>
              </w:pPr>
              <w:r>
                <w:rPr>
                  <w:noProof/>
                </w:rPr>
                <w:t xml:space="preserve">ACT Government. (2018). </w:t>
              </w:r>
              <w:r>
                <w:rPr>
                  <w:i/>
                  <w:iCs/>
                  <w:noProof/>
                </w:rPr>
                <w:t>Australian Capital Territory Budget 2017-18 Budget Review.</w:t>
              </w:r>
              <w:r>
                <w:rPr>
                  <w:noProof/>
                </w:rPr>
                <w:t xml:space="preserve"> Canberra.</w:t>
              </w:r>
            </w:p>
            <w:p w14:paraId="6B37236E" w14:textId="77777777" w:rsidR="00294DBC" w:rsidRDefault="00294DBC" w:rsidP="00294DBC">
              <w:pPr>
                <w:pStyle w:val="Bibliography"/>
                <w:ind w:left="720" w:hanging="720"/>
                <w:rPr>
                  <w:noProof/>
                </w:rPr>
              </w:pPr>
              <w:r>
                <w:rPr>
                  <w:noProof/>
                </w:rPr>
                <w:t xml:space="preserve">ACT Government. (2018a). </w:t>
              </w:r>
              <w:r>
                <w:rPr>
                  <w:i/>
                  <w:iCs/>
                  <w:noProof/>
                </w:rPr>
                <w:t>Australian Capital Territory Budget 2018-19 - Budget Paper 3: Budget Outlook.</w:t>
              </w:r>
              <w:r>
                <w:rPr>
                  <w:noProof/>
                </w:rPr>
                <w:t xml:space="preserve"> Canberra.</w:t>
              </w:r>
            </w:p>
            <w:p w14:paraId="3D572501" w14:textId="77777777" w:rsidR="00294DBC" w:rsidRDefault="00294DBC" w:rsidP="00294DBC">
              <w:pPr>
                <w:pStyle w:val="Bibliography"/>
                <w:ind w:left="720" w:hanging="720"/>
                <w:rPr>
                  <w:noProof/>
                </w:rPr>
              </w:pPr>
              <w:r>
                <w:rPr>
                  <w:noProof/>
                </w:rPr>
                <w:t xml:space="preserve">ACT Government. (2019). </w:t>
              </w:r>
              <w:r>
                <w:rPr>
                  <w:i/>
                  <w:iCs/>
                  <w:noProof/>
                </w:rPr>
                <w:t>Australian Capital Territory Budget 2019-20 Building for the Future - Budget Paper 3: Budget Outlook.</w:t>
              </w:r>
              <w:r>
                <w:rPr>
                  <w:noProof/>
                </w:rPr>
                <w:t xml:space="preserve"> Canberra.</w:t>
              </w:r>
            </w:p>
            <w:p w14:paraId="53335C85" w14:textId="77777777" w:rsidR="00294DBC" w:rsidRDefault="00294DBC" w:rsidP="00294DBC">
              <w:pPr>
                <w:pStyle w:val="Bibliography"/>
                <w:ind w:left="720" w:hanging="720"/>
                <w:rPr>
                  <w:noProof/>
                </w:rPr>
              </w:pPr>
              <w:r>
                <w:rPr>
                  <w:noProof/>
                </w:rPr>
                <w:t xml:space="preserve">ACT Government. (2020). </w:t>
              </w:r>
              <w:r>
                <w:rPr>
                  <w:i/>
                  <w:iCs/>
                  <w:noProof/>
                </w:rPr>
                <w:t>August 2020 Economic and Fiscal Update.</w:t>
              </w:r>
              <w:r>
                <w:rPr>
                  <w:noProof/>
                </w:rPr>
                <w:t xml:space="preserve"> Canberra.</w:t>
              </w:r>
            </w:p>
            <w:p w14:paraId="74714D41" w14:textId="77777777" w:rsidR="00294DBC" w:rsidRDefault="00294DBC" w:rsidP="00294DBC">
              <w:pPr>
                <w:pStyle w:val="Bibliography"/>
                <w:ind w:left="720" w:hanging="720"/>
                <w:rPr>
                  <w:noProof/>
                </w:rPr>
              </w:pPr>
              <w:r>
                <w:rPr>
                  <w:noProof/>
                </w:rPr>
                <w:t xml:space="preserve">ACT Government. (2021). </w:t>
              </w:r>
              <w:r>
                <w:rPr>
                  <w:i/>
                  <w:iCs/>
                  <w:noProof/>
                </w:rPr>
                <w:t>Australian Capital Territory Budget 2020-21: Driving Canberra's Recovery - Budget Outlook.</w:t>
              </w:r>
              <w:r>
                <w:rPr>
                  <w:noProof/>
                </w:rPr>
                <w:t xml:space="preserve"> Canberra.</w:t>
              </w:r>
            </w:p>
            <w:p w14:paraId="39ADA8E1" w14:textId="77777777" w:rsidR="00294DBC" w:rsidRDefault="00294DBC" w:rsidP="00294DBC">
              <w:pPr>
                <w:pStyle w:val="Bibliography"/>
                <w:ind w:left="720" w:hanging="720"/>
                <w:rPr>
                  <w:noProof/>
                </w:rPr>
              </w:pPr>
              <w:r>
                <w:rPr>
                  <w:noProof/>
                </w:rPr>
                <w:t xml:space="preserve">ACT Government. (2021a). </w:t>
              </w:r>
              <w:r>
                <w:rPr>
                  <w:i/>
                  <w:iCs/>
                  <w:noProof/>
                </w:rPr>
                <w:t>Australian Capital Territory Budget 2021-22: Budget Outlook.</w:t>
              </w:r>
              <w:r>
                <w:rPr>
                  <w:noProof/>
                </w:rPr>
                <w:t xml:space="preserve"> Canberra.</w:t>
              </w:r>
            </w:p>
            <w:p w14:paraId="563499BA" w14:textId="77777777" w:rsidR="00294DBC" w:rsidRDefault="00294DBC" w:rsidP="00294DBC">
              <w:pPr>
                <w:pStyle w:val="Bibliography"/>
                <w:ind w:left="720" w:hanging="720"/>
                <w:rPr>
                  <w:noProof/>
                </w:rPr>
              </w:pPr>
              <w:r>
                <w:rPr>
                  <w:noProof/>
                </w:rPr>
                <w:t xml:space="preserve">ACT Government. (2022). </w:t>
              </w:r>
              <w:r>
                <w:rPr>
                  <w:i/>
                  <w:iCs/>
                  <w:noProof/>
                </w:rPr>
                <w:t>ACT Housing Strategy: Growing and Renewing Public Housing Program.</w:t>
              </w:r>
              <w:r>
                <w:rPr>
                  <w:noProof/>
                </w:rPr>
                <w:t xml:space="preserve"> Canberra.</w:t>
              </w:r>
            </w:p>
            <w:p w14:paraId="3AFA542E" w14:textId="77777777" w:rsidR="00294DBC" w:rsidRDefault="00294DBC" w:rsidP="00294DBC">
              <w:pPr>
                <w:pStyle w:val="Bibliography"/>
                <w:ind w:left="720" w:hanging="720"/>
                <w:rPr>
                  <w:noProof/>
                </w:rPr>
              </w:pPr>
              <w:r>
                <w:rPr>
                  <w:noProof/>
                </w:rPr>
                <w:t xml:space="preserve">ACT Government. (2022a). </w:t>
              </w:r>
              <w:r>
                <w:rPr>
                  <w:i/>
                  <w:iCs/>
                  <w:noProof/>
                </w:rPr>
                <w:t>2022-23 Budget Outlook.</w:t>
              </w:r>
              <w:r>
                <w:rPr>
                  <w:noProof/>
                </w:rPr>
                <w:t xml:space="preserve"> Canberra.</w:t>
              </w:r>
            </w:p>
            <w:p w14:paraId="307C39DC" w14:textId="77777777" w:rsidR="00294DBC" w:rsidRDefault="00294DBC" w:rsidP="00294DBC">
              <w:pPr>
                <w:pStyle w:val="Bibliography"/>
                <w:ind w:left="720" w:hanging="720"/>
                <w:rPr>
                  <w:noProof/>
                </w:rPr>
              </w:pPr>
              <w:r>
                <w:rPr>
                  <w:noProof/>
                </w:rPr>
                <w:t xml:space="preserve">ACT Government. (2022b). </w:t>
              </w:r>
              <w:r>
                <w:rPr>
                  <w:i/>
                  <w:iCs/>
                  <w:noProof/>
                </w:rPr>
                <w:t>Australian Capital Territory Budget: Budget Statement I - Major Projects Canberra.</w:t>
              </w:r>
              <w:r>
                <w:rPr>
                  <w:noProof/>
                </w:rPr>
                <w:t xml:space="preserve"> Canberra.</w:t>
              </w:r>
            </w:p>
            <w:p w14:paraId="28C47BE6" w14:textId="77777777" w:rsidR="00294DBC" w:rsidRDefault="00294DBC" w:rsidP="00294DBC">
              <w:pPr>
                <w:pStyle w:val="Bibliography"/>
                <w:ind w:left="720" w:hanging="720"/>
                <w:rPr>
                  <w:noProof/>
                </w:rPr>
              </w:pPr>
              <w:r>
                <w:rPr>
                  <w:noProof/>
                </w:rPr>
                <w:t xml:space="preserve">ACT Government. (2023). </w:t>
              </w:r>
              <w:r>
                <w:rPr>
                  <w:i/>
                  <w:iCs/>
                  <w:noProof/>
                </w:rPr>
                <w:t>2023-24 Budget Outlook.</w:t>
              </w:r>
              <w:r>
                <w:rPr>
                  <w:noProof/>
                </w:rPr>
                <w:t xml:space="preserve"> Canberra.</w:t>
              </w:r>
            </w:p>
            <w:p w14:paraId="14D1EB44" w14:textId="77777777" w:rsidR="00294DBC" w:rsidRDefault="00294DBC" w:rsidP="00294DBC">
              <w:pPr>
                <w:pStyle w:val="Bibliography"/>
                <w:ind w:left="720" w:hanging="720"/>
                <w:rPr>
                  <w:noProof/>
                </w:rPr>
              </w:pPr>
              <w:r>
                <w:rPr>
                  <w:noProof/>
                </w:rPr>
                <w:t xml:space="preserve">ACT Government. (2024). </w:t>
              </w:r>
              <w:r>
                <w:rPr>
                  <w:i/>
                  <w:iCs/>
                  <w:noProof/>
                </w:rPr>
                <w:t>2024-25 Budget Outlook.</w:t>
              </w:r>
              <w:r>
                <w:rPr>
                  <w:noProof/>
                </w:rPr>
                <w:t xml:space="preserve"> Canberra.</w:t>
              </w:r>
            </w:p>
            <w:p w14:paraId="543B58D5" w14:textId="77777777" w:rsidR="00294DBC" w:rsidRDefault="00294DBC" w:rsidP="00294DBC">
              <w:pPr>
                <w:pStyle w:val="Bibliography"/>
                <w:ind w:left="720" w:hanging="720"/>
                <w:rPr>
                  <w:noProof/>
                </w:rPr>
              </w:pPr>
              <w:r>
                <w:rPr>
                  <w:noProof/>
                </w:rPr>
                <w:t xml:space="preserve">ACT Government. (2024a). </w:t>
              </w:r>
              <w:r>
                <w:rPr>
                  <w:i/>
                  <w:iCs/>
                  <w:noProof/>
                </w:rPr>
                <w:t>Australian Capital Territory Budget 2024-25: Women’s Budget Statement.</w:t>
              </w:r>
              <w:r>
                <w:rPr>
                  <w:noProof/>
                </w:rPr>
                <w:t xml:space="preserve"> Canberra.</w:t>
              </w:r>
            </w:p>
            <w:p w14:paraId="03CBC803" w14:textId="77777777" w:rsidR="00294DBC" w:rsidRDefault="00294DBC" w:rsidP="00294DBC">
              <w:pPr>
                <w:pStyle w:val="Bibliography"/>
                <w:ind w:left="720" w:hanging="720"/>
                <w:rPr>
                  <w:noProof/>
                </w:rPr>
              </w:pPr>
              <w:r>
                <w:rPr>
                  <w:noProof/>
                </w:rPr>
                <w:t xml:space="preserve">ANZ Bank and CoreLogic. (2024). </w:t>
              </w:r>
              <w:r>
                <w:rPr>
                  <w:i/>
                  <w:iCs/>
                  <w:noProof/>
                </w:rPr>
                <w:t>Housing Affordability Housing Affordability Report.</w:t>
              </w:r>
              <w:r>
                <w:rPr>
                  <w:noProof/>
                </w:rPr>
                <w:t xml:space="preserve"> </w:t>
              </w:r>
            </w:p>
            <w:p w14:paraId="3BC4CC65" w14:textId="77777777" w:rsidR="00294DBC" w:rsidRDefault="00294DBC" w:rsidP="00294DBC">
              <w:pPr>
                <w:pStyle w:val="Bibliography"/>
                <w:ind w:left="720" w:hanging="720"/>
                <w:rPr>
                  <w:noProof/>
                </w:rPr>
              </w:pPr>
              <w:r>
                <w:rPr>
                  <w:noProof/>
                </w:rPr>
                <w:t xml:space="preserve">Australian Accounting Standards Board. (2010). </w:t>
              </w:r>
              <w:r>
                <w:rPr>
                  <w:i/>
                  <w:iCs/>
                  <w:noProof/>
                </w:rPr>
                <w:t>AASB 9 - Financial Instruments.</w:t>
              </w:r>
              <w:r>
                <w:rPr>
                  <w:noProof/>
                </w:rPr>
                <w:t xml:space="preserve"> Melbourne.</w:t>
              </w:r>
            </w:p>
            <w:p w14:paraId="07E2061A" w14:textId="77777777" w:rsidR="00294DBC" w:rsidRDefault="00294DBC" w:rsidP="00294DBC">
              <w:pPr>
                <w:pStyle w:val="Bibliography"/>
                <w:ind w:left="720" w:hanging="720"/>
                <w:rPr>
                  <w:noProof/>
                </w:rPr>
              </w:pPr>
              <w:r>
                <w:rPr>
                  <w:noProof/>
                </w:rPr>
                <w:t xml:space="preserve">Australian Accounting Standards Board. (2012). </w:t>
              </w:r>
              <w:r>
                <w:rPr>
                  <w:i/>
                  <w:iCs/>
                  <w:noProof/>
                </w:rPr>
                <w:t>AASB 1049 - Whole of Government and General Government Sector Financial Reporting.</w:t>
              </w:r>
              <w:r>
                <w:rPr>
                  <w:noProof/>
                </w:rPr>
                <w:t xml:space="preserve"> Melbourne.</w:t>
              </w:r>
            </w:p>
            <w:p w14:paraId="0510CAE5" w14:textId="77777777" w:rsidR="00294DBC" w:rsidRDefault="00294DBC" w:rsidP="00294DBC">
              <w:pPr>
                <w:pStyle w:val="Bibliography"/>
                <w:ind w:left="720" w:hanging="720"/>
                <w:rPr>
                  <w:noProof/>
                </w:rPr>
              </w:pPr>
              <w:r>
                <w:rPr>
                  <w:noProof/>
                </w:rPr>
                <w:t xml:space="preserve">Australian Accounting Standards Board. (2016). </w:t>
              </w:r>
              <w:r>
                <w:rPr>
                  <w:i/>
                  <w:iCs/>
                  <w:noProof/>
                </w:rPr>
                <w:t>AASB 16 - Leases.</w:t>
              </w:r>
              <w:r>
                <w:rPr>
                  <w:noProof/>
                </w:rPr>
                <w:t xml:space="preserve"> Melbourne.</w:t>
              </w:r>
            </w:p>
            <w:p w14:paraId="7044768D" w14:textId="77777777" w:rsidR="00294DBC" w:rsidRDefault="00294DBC" w:rsidP="00294DBC">
              <w:pPr>
                <w:pStyle w:val="Bibliography"/>
                <w:ind w:left="720" w:hanging="720"/>
                <w:rPr>
                  <w:noProof/>
                </w:rPr>
              </w:pPr>
              <w:r>
                <w:rPr>
                  <w:noProof/>
                </w:rPr>
                <w:t xml:space="preserve">Australian Accounting Standards Board. (2017). </w:t>
              </w:r>
              <w:r>
                <w:rPr>
                  <w:i/>
                  <w:iCs/>
                  <w:noProof/>
                </w:rPr>
                <w:t>AASB 1059 Service Concession Arrangements: Grantor.</w:t>
              </w:r>
              <w:r>
                <w:rPr>
                  <w:noProof/>
                </w:rPr>
                <w:t xml:space="preserve"> Melbourne.</w:t>
              </w:r>
            </w:p>
            <w:p w14:paraId="0D84E461" w14:textId="77777777" w:rsidR="00294DBC" w:rsidRDefault="00294DBC" w:rsidP="00294DBC">
              <w:pPr>
                <w:pStyle w:val="Bibliography"/>
                <w:ind w:left="720" w:hanging="720"/>
                <w:rPr>
                  <w:noProof/>
                </w:rPr>
              </w:pPr>
              <w:r>
                <w:rPr>
                  <w:noProof/>
                </w:rPr>
                <w:lastRenderedPageBreak/>
                <w:t xml:space="preserve">Australian Accounting Standards Board. (2018). </w:t>
              </w:r>
              <w:r>
                <w:rPr>
                  <w:i/>
                  <w:iCs/>
                  <w:noProof/>
                </w:rPr>
                <w:t>AASB 2018-5 Amendments to Australian Accounting Standards – Deferral of AASB 1059.</w:t>
              </w:r>
              <w:r>
                <w:rPr>
                  <w:noProof/>
                </w:rPr>
                <w:t xml:space="preserve"> Melbourne.</w:t>
              </w:r>
            </w:p>
            <w:p w14:paraId="3E3A191B" w14:textId="77777777" w:rsidR="00294DBC" w:rsidRDefault="00294DBC" w:rsidP="00294DBC">
              <w:pPr>
                <w:pStyle w:val="Bibliography"/>
                <w:ind w:left="720" w:hanging="720"/>
                <w:rPr>
                  <w:noProof/>
                </w:rPr>
              </w:pPr>
              <w:r>
                <w:rPr>
                  <w:noProof/>
                </w:rPr>
                <w:t xml:space="preserve">Australian Bureau of Statistics. (2021b, July 9). </w:t>
              </w:r>
              <w:r>
                <w:rPr>
                  <w:i/>
                  <w:iCs/>
                  <w:noProof/>
                </w:rPr>
                <w:t>History and purpose of gross state product.</w:t>
              </w:r>
              <w:r>
                <w:rPr>
                  <w:noProof/>
                </w:rPr>
                <w:t xml:space="preserve"> Retrieved from Australian Bureau of Statistics: https://www.abs.gov.au/statistics/detailed-methodology-information/concepts-sources-methods/australian-system-national-accounts-concepts-sources-and-methods/2020-21/chapter-21-state-accounts/history-and-purpose-gross-state-product</w:t>
              </w:r>
            </w:p>
            <w:p w14:paraId="55E1FFAB" w14:textId="77777777" w:rsidR="00294DBC" w:rsidRDefault="00294DBC" w:rsidP="00294DBC">
              <w:pPr>
                <w:pStyle w:val="Bibliography"/>
                <w:ind w:left="720" w:hanging="720"/>
                <w:rPr>
                  <w:noProof/>
                </w:rPr>
              </w:pPr>
              <w:r>
                <w:rPr>
                  <w:noProof/>
                </w:rPr>
                <w:t xml:space="preserve">Australian Bureau of Statistics. (2023, November 21). </w:t>
              </w:r>
              <w:r>
                <w:rPr>
                  <w:i/>
                  <w:iCs/>
                  <w:noProof/>
                </w:rPr>
                <w:t>Australian National Accounts: State Accounts.</w:t>
              </w:r>
              <w:r>
                <w:rPr>
                  <w:noProof/>
                </w:rPr>
                <w:t xml:space="preserve"> Retrieved from Australian Bureau of Statistics: https://www.abs.gov.au/statistics/economy/national-accounts/australian-national-accounts-state-accounts/latest-release</w:t>
              </w:r>
            </w:p>
            <w:p w14:paraId="5A1A1B4F" w14:textId="77777777" w:rsidR="00294DBC" w:rsidRDefault="00294DBC" w:rsidP="00294DBC">
              <w:pPr>
                <w:pStyle w:val="Bibliography"/>
                <w:ind w:left="720" w:hanging="720"/>
                <w:rPr>
                  <w:noProof/>
                </w:rPr>
              </w:pPr>
              <w:r>
                <w:rPr>
                  <w:noProof/>
                </w:rPr>
                <w:t xml:space="preserve">Australian Bureau of Statistics. (2023a, August 22). </w:t>
              </w:r>
              <w:r>
                <w:rPr>
                  <w:i/>
                  <w:iCs/>
                  <w:noProof/>
                </w:rPr>
                <w:t>Counts of Australian Businesses, including Entries and Exits: July 2019 to June 2023.</w:t>
              </w:r>
              <w:r>
                <w:rPr>
                  <w:noProof/>
                </w:rPr>
                <w:t xml:space="preserve"> Retrieved from Australian Bureau of Statistics: https://www.abs.gov.au/statistics/economy/business-indicators/counts-australian-businesses-including-entries-and-exits/latest-release</w:t>
              </w:r>
            </w:p>
            <w:p w14:paraId="36969DE3" w14:textId="77777777" w:rsidR="00294DBC" w:rsidRDefault="00294DBC" w:rsidP="00294DBC">
              <w:pPr>
                <w:pStyle w:val="Bibliography"/>
                <w:ind w:left="720" w:hanging="720"/>
                <w:rPr>
                  <w:noProof/>
                </w:rPr>
              </w:pPr>
              <w:r>
                <w:rPr>
                  <w:noProof/>
                </w:rPr>
                <w:t xml:space="preserve">Australian Bureau of Statistics. (2024, June 5). </w:t>
              </w:r>
              <w:r>
                <w:rPr>
                  <w:i/>
                  <w:iCs/>
                  <w:noProof/>
                </w:rPr>
                <w:t>Australian National Accounts: National Income, Expenditure and Product: March 2024.</w:t>
              </w:r>
              <w:r>
                <w:rPr>
                  <w:noProof/>
                </w:rPr>
                <w:t xml:space="preserve"> Retrieved from Australian Bureau of Statistics: https://www.abs.gov.au/statistics/economy/national-accounts/australian-national-accounts-national-income-expenditure-and-product/latest-release</w:t>
              </w:r>
            </w:p>
            <w:p w14:paraId="4B33CE6D" w14:textId="77777777" w:rsidR="00294DBC" w:rsidRDefault="00294DBC" w:rsidP="00294DBC">
              <w:pPr>
                <w:pStyle w:val="Bibliography"/>
                <w:ind w:left="720" w:hanging="720"/>
                <w:rPr>
                  <w:noProof/>
                </w:rPr>
              </w:pPr>
              <w:r>
                <w:rPr>
                  <w:noProof/>
                </w:rPr>
                <w:t xml:space="preserve">Australian Bureau of Statistics. (2024a, February 22). </w:t>
              </w:r>
              <w:r>
                <w:rPr>
                  <w:i/>
                  <w:iCs/>
                  <w:noProof/>
                </w:rPr>
                <w:t>Average Weekly Earnings, Australia.</w:t>
              </w:r>
              <w:r>
                <w:rPr>
                  <w:noProof/>
                </w:rPr>
                <w:t xml:space="preserve"> Retrieved from Australian Bureau of Statistics: https://www.abs.gov.au/statistics/labour/earnings-and-working-conditions/average-weekly-earnings-australia/nov-2023</w:t>
              </w:r>
            </w:p>
            <w:p w14:paraId="1D8317F2" w14:textId="77777777" w:rsidR="00294DBC" w:rsidRDefault="00294DBC" w:rsidP="00294DBC">
              <w:pPr>
                <w:pStyle w:val="Bibliography"/>
                <w:ind w:left="720" w:hanging="720"/>
                <w:rPr>
                  <w:noProof/>
                </w:rPr>
              </w:pPr>
              <w:r>
                <w:rPr>
                  <w:noProof/>
                </w:rPr>
                <w:t xml:space="preserve">Australian Bureau of Statistics. (2024b, April 24). </w:t>
              </w:r>
              <w:r>
                <w:rPr>
                  <w:i/>
                  <w:iCs/>
                  <w:noProof/>
                </w:rPr>
                <w:t>Consumer Price Index, Australia: March 2024.</w:t>
              </w:r>
              <w:r>
                <w:rPr>
                  <w:noProof/>
                </w:rPr>
                <w:t xml:space="preserve"> Retrieved from Australian Bureau of Statistics: https://www.abs.gov.au/statistics/economy/price-indexes-and-inflation/consumer-price-index-australia/mar-quarter-2024</w:t>
              </w:r>
            </w:p>
            <w:p w14:paraId="493A6B6A" w14:textId="77777777" w:rsidR="00294DBC" w:rsidRDefault="00294DBC" w:rsidP="00294DBC">
              <w:pPr>
                <w:pStyle w:val="Bibliography"/>
                <w:ind w:left="720" w:hanging="720"/>
                <w:rPr>
                  <w:noProof/>
                </w:rPr>
              </w:pPr>
              <w:r>
                <w:rPr>
                  <w:noProof/>
                </w:rPr>
                <w:t xml:space="preserve">Australian Bureau of Statistics. (2024c, June 13). </w:t>
              </w:r>
              <w:r>
                <w:rPr>
                  <w:i/>
                  <w:iCs/>
                  <w:noProof/>
                </w:rPr>
                <w:t>Labour Force, Australia: May 2024.</w:t>
              </w:r>
              <w:r>
                <w:rPr>
                  <w:noProof/>
                </w:rPr>
                <w:t xml:space="preserve"> Retrieved from Australian Bureau of Statistics: https://www.abs.gov.au/statistics/labour/employment-and-unemployment/labour-force-australia/may-2024</w:t>
              </w:r>
            </w:p>
            <w:p w14:paraId="6137ACCE" w14:textId="77777777" w:rsidR="00294DBC" w:rsidRDefault="00294DBC" w:rsidP="00294DBC">
              <w:pPr>
                <w:pStyle w:val="Bibliography"/>
                <w:ind w:left="720" w:hanging="720"/>
                <w:rPr>
                  <w:noProof/>
                </w:rPr>
              </w:pPr>
              <w:r>
                <w:rPr>
                  <w:noProof/>
                </w:rPr>
                <w:t xml:space="preserve">Australian Bureau of Statistics. (2024d, June 26). </w:t>
              </w:r>
              <w:r>
                <w:rPr>
                  <w:i/>
                  <w:iCs/>
                  <w:noProof/>
                </w:rPr>
                <w:t>Monthly Consumer Price Index Indicator</w:t>
              </w:r>
              <w:r>
                <w:rPr>
                  <w:noProof/>
                </w:rPr>
                <w:t>. Retrieved from Australian Bureau of Statistics: https://www.abs.gov.au/statistics/economy/price-indexes-and-inflation/monthly-consumer-price-index-indicator/may-2024</w:t>
              </w:r>
            </w:p>
            <w:p w14:paraId="2FED38DF" w14:textId="77777777" w:rsidR="00294DBC" w:rsidRDefault="00294DBC" w:rsidP="00294DBC">
              <w:pPr>
                <w:pStyle w:val="Bibliography"/>
                <w:ind w:left="720" w:hanging="720"/>
                <w:rPr>
                  <w:noProof/>
                </w:rPr>
              </w:pPr>
              <w:r>
                <w:rPr>
                  <w:noProof/>
                </w:rPr>
                <w:t xml:space="preserve">Australian Bureau of Statistics. (2024e, June 13). </w:t>
              </w:r>
              <w:r>
                <w:rPr>
                  <w:i/>
                  <w:iCs/>
                  <w:noProof/>
                </w:rPr>
                <w:t>National, state and territory population: December 2023.</w:t>
              </w:r>
              <w:r>
                <w:rPr>
                  <w:noProof/>
                </w:rPr>
                <w:t xml:space="preserve"> Retrieved from Australian Bureau of Statistics: https://www.abs.gov.au/statistics/people/population/national-state-and-territory-population/dec-2023</w:t>
              </w:r>
            </w:p>
            <w:p w14:paraId="3AAB9B47" w14:textId="77777777" w:rsidR="00294DBC" w:rsidRDefault="00294DBC" w:rsidP="00294DBC">
              <w:pPr>
                <w:pStyle w:val="Bibliography"/>
                <w:ind w:left="720" w:hanging="720"/>
                <w:rPr>
                  <w:noProof/>
                </w:rPr>
              </w:pPr>
              <w:r>
                <w:rPr>
                  <w:noProof/>
                </w:rPr>
                <w:t xml:space="preserve">Australian Bureau of Statistics. (2024f, May 15). </w:t>
              </w:r>
              <w:r>
                <w:rPr>
                  <w:i/>
                  <w:iCs/>
                  <w:noProof/>
                </w:rPr>
                <w:t>Wage Price Index, Australia: March 2024.</w:t>
              </w:r>
              <w:r>
                <w:rPr>
                  <w:noProof/>
                </w:rPr>
                <w:t xml:space="preserve"> Retrieved from Australian Bureau of Statistics: https://www.abs.gov.au/statistics/economy/price-indexes-and-inflation/wage-price-index-australia/mar-2024</w:t>
              </w:r>
            </w:p>
            <w:p w14:paraId="6470CB95" w14:textId="77777777" w:rsidR="00294DBC" w:rsidRDefault="00294DBC" w:rsidP="00294DBC">
              <w:pPr>
                <w:pStyle w:val="Bibliography"/>
                <w:ind w:left="720" w:hanging="720"/>
                <w:rPr>
                  <w:noProof/>
                </w:rPr>
              </w:pPr>
              <w:r>
                <w:rPr>
                  <w:noProof/>
                </w:rPr>
                <w:t xml:space="preserve">Australian Government The Treasury. (2022, October 25). </w:t>
              </w:r>
              <w:r>
                <w:rPr>
                  <w:i/>
                  <w:iCs/>
                  <w:noProof/>
                </w:rPr>
                <w:t>Measuring what matters.</w:t>
              </w:r>
              <w:r>
                <w:rPr>
                  <w:noProof/>
                </w:rPr>
                <w:t xml:space="preserve"> Retrieved from Australian Government The Treasury: https://treasury.gov.au/consultation/measuring-what-matters-2022</w:t>
              </w:r>
            </w:p>
            <w:p w14:paraId="563EF655" w14:textId="77777777" w:rsidR="00294DBC" w:rsidRDefault="00294DBC" w:rsidP="00294DBC">
              <w:pPr>
                <w:pStyle w:val="Bibliography"/>
                <w:ind w:left="720" w:hanging="720"/>
                <w:rPr>
                  <w:noProof/>
                </w:rPr>
              </w:pPr>
              <w:r>
                <w:rPr>
                  <w:noProof/>
                </w:rPr>
                <w:t xml:space="preserve">Australian Public Service Commission. (2023). </w:t>
              </w:r>
              <w:r>
                <w:rPr>
                  <w:i/>
                  <w:iCs/>
                  <w:noProof/>
                </w:rPr>
                <w:t>State of the Service Report: 2022-23.</w:t>
              </w:r>
              <w:r>
                <w:rPr>
                  <w:noProof/>
                </w:rPr>
                <w:t xml:space="preserve"> Canberra.</w:t>
              </w:r>
            </w:p>
            <w:p w14:paraId="487D079A" w14:textId="77777777" w:rsidR="00294DBC" w:rsidRDefault="00294DBC" w:rsidP="00294DBC">
              <w:pPr>
                <w:pStyle w:val="Bibliography"/>
                <w:ind w:left="720" w:hanging="720"/>
                <w:rPr>
                  <w:noProof/>
                </w:rPr>
              </w:pPr>
              <w:r>
                <w:rPr>
                  <w:noProof/>
                </w:rPr>
                <w:t xml:space="preserve">Carr, T., Fernandes, K., &amp; Rosewall. (2017). The Recent Economic Performance of the States. </w:t>
              </w:r>
              <w:r>
                <w:rPr>
                  <w:i/>
                  <w:iCs/>
                  <w:noProof/>
                </w:rPr>
                <w:t>Reserve Bank of Australia Bulletin</w:t>
              </w:r>
              <w:r>
                <w:rPr>
                  <w:noProof/>
                </w:rPr>
                <w:t>(March 2017), 1-12.</w:t>
              </w:r>
            </w:p>
            <w:p w14:paraId="7F9967EC" w14:textId="77777777" w:rsidR="00294DBC" w:rsidRDefault="00294DBC" w:rsidP="00294DBC">
              <w:pPr>
                <w:pStyle w:val="Bibliography"/>
                <w:ind w:left="720" w:hanging="720"/>
                <w:rPr>
                  <w:noProof/>
                </w:rPr>
              </w:pPr>
              <w:r>
                <w:rPr>
                  <w:noProof/>
                </w:rPr>
                <w:lastRenderedPageBreak/>
                <w:t xml:space="preserve">Centre for Population. (2024). </w:t>
              </w:r>
              <w:r>
                <w:rPr>
                  <w:i/>
                  <w:iCs/>
                  <w:noProof/>
                </w:rPr>
                <w:t>Budget 2024-25: State and Territory Population Projections, 2023-24 to 2027-28.</w:t>
              </w:r>
              <w:r>
                <w:rPr>
                  <w:noProof/>
                </w:rPr>
                <w:t xml:space="preserve"> Canberra.</w:t>
              </w:r>
            </w:p>
            <w:p w14:paraId="3B34C5CA" w14:textId="77777777" w:rsidR="00294DBC" w:rsidRDefault="00294DBC" w:rsidP="00294DBC">
              <w:pPr>
                <w:pStyle w:val="Bibliography"/>
                <w:ind w:left="720" w:hanging="720"/>
                <w:rPr>
                  <w:noProof/>
                </w:rPr>
              </w:pPr>
              <w:r>
                <w:rPr>
                  <w:noProof/>
                </w:rPr>
                <w:t xml:space="preserve">Commonwealth of Australia. (2024). </w:t>
              </w:r>
              <w:r>
                <w:rPr>
                  <w:i/>
                  <w:iCs/>
                  <w:noProof/>
                </w:rPr>
                <w:t>Budget 2023-24: Agency Resourcing Budget Paper No. 4.</w:t>
              </w:r>
              <w:r>
                <w:rPr>
                  <w:noProof/>
                </w:rPr>
                <w:t xml:space="preserve"> Canberra.</w:t>
              </w:r>
            </w:p>
            <w:p w14:paraId="7294B65D" w14:textId="77777777" w:rsidR="00294DBC" w:rsidRDefault="00294DBC" w:rsidP="00294DBC">
              <w:pPr>
                <w:pStyle w:val="Bibliography"/>
                <w:ind w:left="720" w:hanging="720"/>
                <w:rPr>
                  <w:noProof/>
                </w:rPr>
              </w:pPr>
              <w:r>
                <w:rPr>
                  <w:noProof/>
                </w:rPr>
                <w:t xml:space="preserve">Commonwealth of Australia. (2024a). </w:t>
              </w:r>
              <w:r>
                <w:rPr>
                  <w:i/>
                  <w:iCs/>
                  <w:noProof/>
                </w:rPr>
                <w:t>Budget 2024-25: Budget Strategy and Outlook Budget Paper No. 1.</w:t>
              </w:r>
              <w:r>
                <w:rPr>
                  <w:noProof/>
                </w:rPr>
                <w:t xml:space="preserve"> Canberra.</w:t>
              </w:r>
            </w:p>
            <w:p w14:paraId="4E2501C6" w14:textId="77777777" w:rsidR="00294DBC" w:rsidRDefault="00294DBC" w:rsidP="00294DBC">
              <w:pPr>
                <w:pStyle w:val="Bibliography"/>
                <w:ind w:left="720" w:hanging="720"/>
                <w:rPr>
                  <w:noProof/>
                </w:rPr>
              </w:pPr>
              <w:r>
                <w:rPr>
                  <w:noProof/>
                </w:rPr>
                <w:t xml:space="preserve">CoreLogic. (2024). </w:t>
              </w:r>
              <w:r>
                <w:rPr>
                  <w:i/>
                  <w:iCs/>
                  <w:noProof/>
                </w:rPr>
                <w:t>Monthly Housing Chart Pack: Juen 2024.</w:t>
              </w:r>
              <w:r>
                <w:rPr>
                  <w:noProof/>
                </w:rPr>
                <w:t xml:space="preserve"> </w:t>
              </w:r>
            </w:p>
            <w:p w14:paraId="7CC1E9A9" w14:textId="77777777" w:rsidR="00294DBC" w:rsidRDefault="00294DBC" w:rsidP="00294DBC">
              <w:pPr>
                <w:pStyle w:val="Bibliography"/>
                <w:ind w:left="720" w:hanging="720"/>
                <w:rPr>
                  <w:noProof/>
                </w:rPr>
              </w:pPr>
              <w:r>
                <w:rPr>
                  <w:noProof/>
                </w:rPr>
                <w:t xml:space="preserve">Freebairn, J., Stewart, M., &amp; Liu, P. X. (2015). </w:t>
              </w:r>
              <w:r>
                <w:rPr>
                  <w:i/>
                  <w:iCs/>
                  <w:noProof/>
                </w:rPr>
                <w:t>Reform of State Taxes in Australia: Rationale and Options.</w:t>
              </w:r>
              <w:r>
                <w:rPr>
                  <w:noProof/>
                </w:rPr>
                <w:t xml:space="preserve"> Melbourne: Melbourne School of Government.</w:t>
              </w:r>
            </w:p>
            <w:p w14:paraId="362DE557" w14:textId="77777777" w:rsidR="00294DBC" w:rsidRDefault="00294DBC" w:rsidP="00294DBC">
              <w:pPr>
                <w:pStyle w:val="Bibliography"/>
                <w:ind w:left="720" w:hanging="720"/>
                <w:rPr>
                  <w:noProof/>
                </w:rPr>
              </w:pPr>
              <w:r>
                <w:rPr>
                  <w:noProof/>
                </w:rPr>
                <w:t xml:space="preserve">Henry, K., Harmer, J., Piggott, J., Ridout, H., &amp; Smith, G. (2009a). </w:t>
              </w:r>
              <w:r>
                <w:rPr>
                  <w:i/>
                  <w:iCs/>
                  <w:noProof/>
                </w:rPr>
                <w:t>Australia’s future tax system: Report to the Treasurer, Part Two Detailed Analysis volume 1.</w:t>
              </w:r>
              <w:r>
                <w:rPr>
                  <w:noProof/>
                </w:rPr>
                <w:t xml:space="preserve"> Canberra: Commonwealth of Australia.</w:t>
              </w:r>
            </w:p>
            <w:p w14:paraId="19C418A5" w14:textId="77777777" w:rsidR="00294DBC" w:rsidRDefault="00294DBC" w:rsidP="00294DBC">
              <w:pPr>
                <w:pStyle w:val="Bibliography"/>
                <w:ind w:left="720" w:hanging="720"/>
                <w:rPr>
                  <w:noProof/>
                </w:rPr>
              </w:pPr>
              <w:r>
                <w:rPr>
                  <w:noProof/>
                </w:rPr>
                <w:t xml:space="preserve">International Public Sector Accounting Standards Board. (2011). </w:t>
              </w:r>
              <w:r>
                <w:rPr>
                  <w:i/>
                  <w:iCs/>
                  <w:noProof/>
                </w:rPr>
                <w:t>IPSAS 32 - Service Concession Arrangements: Grantor.</w:t>
              </w:r>
              <w:r>
                <w:rPr>
                  <w:noProof/>
                </w:rPr>
                <w:t xml:space="preserve"> London.</w:t>
              </w:r>
            </w:p>
            <w:p w14:paraId="12F223D9" w14:textId="77777777" w:rsidR="00294DBC" w:rsidRDefault="00294DBC" w:rsidP="00294DBC">
              <w:pPr>
                <w:pStyle w:val="Bibliography"/>
                <w:ind w:left="720" w:hanging="720"/>
                <w:rPr>
                  <w:noProof/>
                </w:rPr>
              </w:pPr>
              <w:r>
                <w:rPr>
                  <w:noProof/>
                </w:rPr>
                <w:t xml:space="preserve">Li, B., &amp; Gao, G. (2021). Estimating quarterly gross state product. </w:t>
              </w:r>
              <w:r>
                <w:rPr>
                  <w:i/>
                  <w:iCs/>
                  <w:noProof/>
                </w:rPr>
                <w:t>Victoria’s Economic Bulletin, 5: June 2021</w:t>
              </w:r>
              <w:r>
                <w:rPr>
                  <w:noProof/>
                </w:rPr>
                <w:t>, 1-11.</w:t>
              </w:r>
            </w:p>
            <w:p w14:paraId="6E55EE42" w14:textId="77777777" w:rsidR="00294DBC" w:rsidRDefault="00294DBC" w:rsidP="00294DBC">
              <w:pPr>
                <w:pStyle w:val="Bibliography"/>
                <w:ind w:left="720" w:hanging="720"/>
                <w:rPr>
                  <w:noProof/>
                </w:rPr>
              </w:pPr>
              <w:r>
                <w:rPr>
                  <w:noProof/>
                </w:rPr>
                <w:t xml:space="preserve">Lindell, J. (2023, September 8). </w:t>
              </w:r>
              <w:r>
                <w:rPr>
                  <w:i/>
                  <w:iCs/>
                  <w:noProof/>
                </w:rPr>
                <w:t>S&amp;P Global downgrades ACT's credit rating to AA+ after slower budget recovery.</w:t>
              </w:r>
              <w:r>
                <w:rPr>
                  <w:noProof/>
                </w:rPr>
                <w:t xml:space="preserve"> Retrieved from The Canberra Times : S&amp;P Global downgrades ACT's credit rating to AA+ after slower budget recovery</w:t>
              </w:r>
            </w:p>
            <w:p w14:paraId="71A23D2E" w14:textId="77777777" w:rsidR="00294DBC" w:rsidRDefault="00294DBC" w:rsidP="00294DBC">
              <w:pPr>
                <w:pStyle w:val="Bibliography"/>
                <w:ind w:left="720" w:hanging="720"/>
                <w:rPr>
                  <w:noProof/>
                </w:rPr>
              </w:pPr>
              <w:r>
                <w:rPr>
                  <w:noProof/>
                </w:rPr>
                <w:t xml:space="preserve">Mercer Consulting (Australia) Pty Ltd. (2021). </w:t>
              </w:r>
              <w:r>
                <w:rPr>
                  <w:i/>
                  <w:iCs/>
                  <w:noProof/>
                </w:rPr>
                <w:t>PSS and CSS Long Term Cost Report.</w:t>
              </w:r>
              <w:r>
                <w:rPr>
                  <w:noProof/>
                </w:rPr>
                <w:t xml:space="preserve"> Canberra: Department of Finance.</w:t>
              </w:r>
            </w:p>
            <w:p w14:paraId="7811FA6E" w14:textId="77777777" w:rsidR="00294DBC" w:rsidRDefault="00294DBC" w:rsidP="00294DBC">
              <w:pPr>
                <w:pStyle w:val="Bibliography"/>
                <w:ind w:left="720" w:hanging="720"/>
                <w:rPr>
                  <w:noProof/>
                </w:rPr>
              </w:pPr>
              <w:r>
                <w:rPr>
                  <w:noProof/>
                </w:rPr>
                <w:t xml:space="preserve">New Zealand Treasury. (2021, October 28). </w:t>
              </w:r>
              <w:r>
                <w:rPr>
                  <w:i/>
                  <w:iCs/>
                  <w:noProof/>
                </w:rPr>
                <w:t>The Living Standards Framework (LSF) 2021.</w:t>
              </w:r>
              <w:r>
                <w:rPr>
                  <w:noProof/>
                </w:rPr>
                <w:t xml:space="preserve"> Wellington. Retrieved from New Zealand Treasury.</w:t>
              </w:r>
            </w:p>
            <w:p w14:paraId="64C13D61" w14:textId="77777777" w:rsidR="00294DBC" w:rsidRDefault="00294DBC" w:rsidP="00294DBC">
              <w:pPr>
                <w:pStyle w:val="Bibliography"/>
                <w:ind w:left="720" w:hanging="720"/>
                <w:rPr>
                  <w:noProof/>
                </w:rPr>
              </w:pPr>
              <w:r>
                <w:rPr>
                  <w:noProof/>
                </w:rPr>
                <w:t xml:space="preserve">Productivity Commission. (2024, May 28). </w:t>
              </w:r>
              <w:r>
                <w:rPr>
                  <w:i/>
                  <w:iCs/>
                  <w:noProof/>
                </w:rPr>
                <w:t>Report on Government Services 2024: Part G, Section 18 - Housing.</w:t>
              </w:r>
              <w:r>
                <w:rPr>
                  <w:noProof/>
                </w:rPr>
                <w:t xml:space="preserve"> Retrieved from Productivity Commission: https://www.pc.gov.au/ongoing/report-on-government-services/2024/housing-and-homelessness/housing</w:t>
              </w:r>
            </w:p>
            <w:p w14:paraId="645C8FF9" w14:textId="77777777" w:rsidR="00294DBC" w:rsidRDefault="00294DBC" w:rsidP="00294DBC">
              <w:pPr>
                <w:pStyle w:val="Bibliography"/>
                <w:ind w:left="720" w:hanging="720"/>
                <w:rPr>
                  <w:noProof/>
                </w:rPr>
              </w:pPr>
              <w:r>
                <w:rPr>
                  <w:noProof/>
                </w:rPr>
                <w:t xml:space="preserve">Read, M. (2024, June 26). </w:t>
              </w:r>
              <w:r>
                <w:rPr>
                  <w:i/>
                  <w:iCs/>
                  <w:noProof/>
                </w:rPr>
                <w:t>August rate rise on the cards after inflation hits 4pc</w:t>
              </w:r>
              <w:r>
                <w:rPr>
                  <w:noProof/>
                </w:rPr>
                <w:t>. Retrieved from The Australian Financial Review: https://www.afr.com/policy/economy/inflation-hits-six-month-high-raising-risk-of-a-rate-rise-20240626-p5jot7</w:t>
              </w:r>
            </w:p>
            <w:p w14:paraId="4E0C2636" w14:textId="77777777" w:rsidR="00294DBC" w:rsidRDefault="00294DBC" w:rsidP="00294DBC">
              <w:pPr>
                <w:pStyle w:val="Bibliography"/>
                <w:ind w:left="720" w:hanging="720"/>
                <w:rPr>
                  <w:noProof/>
                </w:rPr>
              </w:pPr>
              <w:r>
                <w:rPr>
                  <w:noProof/>
                </w:rPr>
                <w:t xml:space="preserve">Reardon, T., &amp; Hopkins, D. (2018, February 15). Analysis ACT Tax reform Initiative. </w:t>
              </w:r>
              <w:r>
                <w:rPr>
                  <w:i/>
                  <w:iCs/>
                  <w:noProof/>
                </w:rPr>
                <w:t>HIA National Outlook: A quarterly update on the housing &amp; renovation industry - Summer Edition 2018</w:t>
              </w:r>
              <w:r>
                <w:rPr>
                  <w:noProof/>
                </w:rPr>
                <w:t>, pp. 4-11.</w:t>
              </w:r>
            </w:p>
            <w:p w14:paraId="4322CEE4" w14:textId="77777777" w:rsidR="00294DBC" w:rsidRDefault="00294DBC" w:rsidP="00294DBC">
              <w:pPr>
                <w:pStyle w:val="Bibliography"/>
                <w:ind w:left="720" w:hanging="720"/>
                <w:rPr>
                  <w:noProof/>
                </w:rPr>
              </w:pPr>
              <w:r>
                <w:rPr>
                  <w:noProof/>
                </w:rPr>
                <w:t xml:space="preserve">Reserve Bank of Australia. (2024). </w:t>
              </w:r>
              <w:r>
                <w:rPr>
                  <w:i/>
                  <w:iCs/>
                  <w:noProof/>
                </w:rPr>
                <w:t>Statement on Monetary Policy May 2024.</w:t>
              </w:r>
              <w:r>
                <w:rPr>
                  <w:noProof/>
                </w:rPr>
                <w:t xml:space="preserve"> Sydney.</w:t>
              </w:r>
            </w:p>
            <w:p w14:paraId="2967E289" w14:textId="77777777" w:rsidR="00294DBC" w:rsidRDefault="00294DBC" w:rsidP="00294DBC">
              <w:pPr>
                <w:pStyle w:val="Bibliography"/>
                <w:ind w:left="720" w:hanging="720"/>
                <w:rPr>
                  <w:noProof/>
                </w:rPr>
              </w:pPr>
              <w:r>
                <w:rPr>
                  <w:noProof/>
                </w:rPr>
                <w:t xml:space="preserve">Riordan, P. (2023, November 23). </w:t>
              </w:r>
              <w:r>
                <w:rPr>
                  <w:i/>
                  <w:iCs/>
                  <w:noProof/>
                </w:rPr>
                <w:t>APS bargaining package of pay and conditions – final offer.</w:t>
              </w:r>
              <w:r>
                <w:rPr>
                  <w:noProof/>
                </w:rPr>
                <w:t xml:space="preserve"> Retrieved from Australian Public Service Commission: https://www.apsc.gov.au/aps-news/aps-bargaining-package-pay-and-conditions-final-offer#:~:text=The%20Commonwealth%20will%20improve%20its,as%20a%20one%2Doff%20payment.</w:t>
              </w:r>
            </w:p>
            <w:p w14:paraId="116A7638" w14:textId="77777777" w:rsidR="00294DBC" w:rsidRDefault="00294DBC" w:rsidP="00294DBC">
              <w:pPr>
                <w:pStyle w:val="Bibliography"/>
                <w:ind w:left="720" w:hanging="720"/>
                <w:rPr>
                  <w:noProof/>
                </w:rPr>
              </w:pPr>
              <w:r>
                <w:rPr>
                  <w:noProof/>
                </w:rPr>
                <w:t xml:space="preserve">SGS Economics and Planning Pty Ltd. (2023). </w:t>
              </w:r>
              <w:r>
                <w:rPr>
                  <w:i/>
                  <w:iCs/>
                  <w:noProof/>
                </w:rPr>
                <w:t>Rental Affordability Index, November 2023.</w:t>
              </w:r>
              <w:r>
                <w:rPr>
                  <w:noProof/>
                </w:rPr>
                <w:t xml:space="preserve"> Canberra.</w:t>
              </w:r>
            </w:p>
            <w:p w14:paraId="51CA2301" w14:textId="6747595E" w:rsidR="00325EE3" w:rsidRDefault="00325EE3" w:rsidP="00294DBC">
              <w:r>
                <w:rPr>
                  <w:b/>
                  <w:bCs/>
                  <w:noProof/>
                </w:rPr>
                <w:fldChar w:fldCharType="end"/>
              </w:r>
            </w:p>
          </w:sdtContent>
        </w:sdt>
      </w:sdtContent>
    </w:sdt>
    <w:p w14:paraId="650CC2B0" w14:textId="77777777" w:rsidR="00BC4D6A" w:rsidRPr="00BC4D6A" w:rsidRDefault="00BC4D6A" w:rsidP="00BC4D6A"/>
    <w:sectPr w:rsidR="00BC4D6A" w:rsidRPr="00BC4D6A" w:rsidSect="005E4723">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8BD3F7" w14:textId="77777777" w:rsidR="00690651" w:rsidRDefault="00690651" w:rsidP="00F509B9">
      <w:pPr>
        <w:spacing w:after="0"/>
      </w:pPr>
      <w:r>
        <w:separator/>
      </w:r>
    </w:p>
  </w:endnote>
  <w:endnote w:type="continuationSeparator" w:id="0">
    <w:p w14:paraId="3397BB76" w14:textId="77777777" w:rsidR="00690651" w:rsidRDefault="00690651" w:rsidP="00F509B9">
      <w:pPr>
        <w:spacing w:after="0"/>
      </w:pPr>
      <w:r>
        <w:continuationSeparator/>
      </w:r>
    </w:p>
  </w:endnote>
  <w:endnote w:type="continuationNotice" w:id="1">
    <w:p w14:paraId="07922419" w14:textId="77777777" w:rsidR="00690651" w:rsidRDefault="0069065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2" w:usb2="00000000" w:usb3="00000000" w:csb0="0000009F" w:csb1="00000000"/>
  </w:font>
  <w:font w:name="QKXAS F+ Calibri">
    <w:altName w:val="Calibri"/>
    <w:panose1 w:val="00000000000000000000"/>
    <w:charset w:val="00"/>
    <w:family w:val="swiss"/>
    <w:notTrueType/>
    <w:pitch w:val="default"/>
    <w:sig w:usb0="00000003" w:usb1="00000000" w:usb2="00000000" w:usb3="00000000" w:csb0="00000001" w:csb1="00000000"/>
  </w:font>
  <w:font w:name="Source Sans Pro">
    <w:charset w:val="00"/>
    <w:family w:val="swiss"/>
    <w:pitch w:val="variable"/>
    <w:sig w:usb0="600002F7" w:usb1="02000001" w:usb2="00000000" w:usb3="00000000" w:csb0="0000019F" w:csb1="00000000"/>
  </w:font>
  <w:font w:name="UniversLT-Light">
    <w:altName w:val="Yu Gothic"/>
    <w:panose1 w:val="00000000000000000000"/>
    <w:charset w:val="80"/>
    <w:family w:val="swiss"/>
    <w:notTrueType/>
    <w:pitch w:val="default"/>
    <w:sig w:usb0="00000001" w:usb1="08070000" w:usb2="00000010" w:usb3="00000000" w:csb0="00020000"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51052012"/>
      <w:docPartObj>
        <w:docPartGallery w:val="Page Numbers (Bottom of Page)"/>
        <w:docPartUnique/>
      </w:docPartObj>
    </w:sdtPr>
    <w:sdtEndPr>
      <w:rPr>
        <w:noProof/>
      </w:rPr>
    </w:sdtEndPr>
    <w:sdtContent>
      <w:p w14:paraId="49C2CC65" w14:textId="22E5A10C" w:rsidR="00C75B35" w:rsidRDefault="00C75B35">
        <w:pPr>
          <w:pStyle w:val="Footer"/>
          <w:jc w:val="center"/>
        </w:pPr>
        <w:r>
          <w:fldChar w:fldCharType="begin"/>
        </w:r>
        <w:r>
          <w:instrText xml:space="preserve"> PAGE   \* MERGEFORMAT </w:instrText>
        </w:r>
        <w:r>
          <w:fldChar w:fldCharType="separate"/>
        </w:r>
        <w:r w:rsidR="001E3249">
          <w:rPr>
            <w:noProof/>
          </w:rPr>
          <w:t>52</w:t>
        </w:r>
        <w:r>
          <w:rPr>
            <w:noProof/>
          </w:rPr>
          <w:fldChar w:fldCharType="end"/>
        </w:r>
      </w:p>
    </w:sdtContent>
  </w:sdt>
  <w:p w14:paraId="51282CD6" w14:textId="77777777" w:rsidR="00C75B35" w:rsidRDefault="00C75B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D147B9" w14:textId="77777777" w:rsidR="00690651" w:rsidRDefault="00690651" w:rsidP="00F509B9">
      <w:pPr>
        <w:spacing w:after="0"/>
      </w:pPr>
      <w:r>
        <w:separator/>
      </w:r>
    </w:p>
  </w:footnote>
  <w:footnote w:type="continuationSeparator" w:id="0">
    <w:p w14:paraId="6220C925" w14:textId="77777777" w:rsidR="00690651" w:rsidRDefault="00690651" w:rsidP="00F509B9">
      <w:pPr>
        <w:spacing w:after="0"/>
      </w:pPr>
      <w:r>
        <w:continuationSeparator/>
      </w:r>
    </w:p>
  </w:footnote>
  <w:footnote w:type="continuationNotice" w:id="1">
    <w:p w14:paraId="679B87A3" w14:textId="77777777" w:rsidR="00690651" w:rsidRDefault="00690651">
      <w:pPr>
        <w:spacing w:after="0"/>
      </w:pPr>
    </w:p>
  </w:footnote>
  <w:footnote w:id="2">
    <w:p w14:paraId="639B26F3" w14:textId="1C04423E" w:rsidR="00551FB6" w:rsidRDefault="00551FB6">
      <w:pPr>
        <w:pStyle w:val="FootnoteText"/>
      </w:pPr>
      <w:r>
        <w:rPr>
          <w:rStyle w:val="FootnoteReference"/>
        </w:rPr>
        <w:footnoteRef/>
      </w:r>
      <w:r>
        <w:t xml:space="preserve"> See Read </w:t>
      </w:r>
      <w:sdt>
        <w:sdtPr>
          <w:id w:val="1752851715"/>
          <w:citation/>
        </w:sdtPr>
        <w:sdtContent>
          <w:r>
            <w:fldChar w:fldCharType="begin"/>
          </w:r>
          <w:r>
            <w:instrText xml:space="preserve">CITATION Rea24 \n  \t  \l 3081 </w:instrText>
          </w:r>
          <w:r>
            <w:fldChar w:fldCharType="separate"/>
          </w:r>
          <w:r w:rsidR="00874F23">
            <w:rPr>
              <w:noProof/>
            </w:rPr>
            <w:t>(2024)</w:t>
          </w:r>
          <w:r>
            <w:fldChar w:fldCharType="end"/>
          </w:r>
        </w:sdtContent>
      </w:sdt>
      <w:r>
        <w:t>.</w:t>
      </w:r>
    </w:p>
  </w:footnote>
  <w:footnote w:id="3">
    <w:p w14:paraId="40785B20" w14:textId="77777777" w:rsidR="006E48C1" w:rsidRDefault="006E48C1" w:rsidP="006E48C1">
      <w:pPr>
        <w:pStyle w:val="FootnoteText"/>
      </w:pPr>
      <w:r>
        <w:rPr>
          <w:rStyle w:val="FootnoteReference"/>
        </w:rPr>
        <w:footnoteRef/>
      </w:r>
      <w:r>
        <w:t xml:space="preserve"> Definitions and further discussion of the application of these measures are provided in section 8 of this report.</w:t>
      </w:r>
    </w:p>
  </w:footnote>
  <w:footnote w:id="4">
    <w:p w14:paraId="3A481BC9" w14:textId="0D1FEACC" w:rsidR="00710640" w:rsidRDefault="00710640">
      <w:pPr>
        <w:pStyle w:val="FootnoteText"/>
      </w:pPr>
      <w:r>
        <w:rPr>
          <w:rStyle w:val="FootnoteReference"/>
        </w:rPr>
        <w:footnoteRef/>
      </w:r>
      <w:r>
        <w:t xml:space="preserve"> </w:t>
      </w:r>
      <w:r w:rsidR="007D64B4">
        <w:t xml:space="preserve">Net disposable income in 2023-24 was </w:t>
      </w:r>
      <w:r w:rsidR="00976C32">
        <w:t xml:space="preserve">converted into equivalent </w:t>
      </w:r>
      <w:r w:rsidR="00B429D3">
        <w:t xml:space="preserve">real </w:t>
      </w:r>
      <w:r w:rsidR="00976C32">
        <w:t xml:space="preserve">2024-25 income by increasing it by the forecast increase in </w:t>
      </w:r>
      <w:r w:rsidR="00B429D3">
        <w:t xml:space="preserve">the </w:t>
      </w:r>
      <w:r w:rsidR="00976C32">
        <w:t>CPI for Canberra.</w:t>
      </w:r>
    </w:p>
  </w:footnote>
  <w:footnote w:id="5">
    <w:p w14:paraId="24B4B24F" w14:textId="77777777" w:rsidR="00E94DE1" w:rsidRDefault="00E94DE1" w:rsidP="00E94DE1">
      <w:pPr>
        <w:pStyle w:val="FootnoteText"/>
      </w:pPr>
      <w:r>
        <w:rPr>
          <w:rStyle w:val="FootnoteReference"/>
        </w:rPr>
        <w:footnoteRef/>
      </w:r>
      <w:r>
        <w:t xml:space="preserve"> </w:t>
      </w:r>
      <w:r w:rsidRPr="00B82DB0">
        <w:t>https://www.parliament.act.gov.au/__data/assets/pdf_file/0010/2250991/Pegasus-Report-ACT-Budget-2023-24-Final-7July23.pdf</w:t>
      </w:r>
    </w:p>
  </w:footnote>
  <w:footnote w:id="6">
    <w:p w14:paraId="432951FF" w14:textId="77777777" w:rsidR="00E94DE1" w:rsidRDefault="00E94DE1" w:rsidP="00E94DE1">
      <w:pPr>
        <w:pStyle w:val="FootnoteText"/>
      </w:pPr>
      <w:r>
        <w:rPr>
          <w:rStyle w:val="FootnoteReference"/>
        </w:rPr>
        <w:footnoteRef/>
      </w:r>
      <w:r>
        <w:t xml:space="preserve"> </w:t>
      </w:r>
      <w:hyperlink r:id="rId1" w:history="1">
        <w:r w:rsidRPr="00942A0D">
          <w:rPr>
            <w:rStyle w:val="Hyperlink"/>
          </w:rPr>
          <w:t>https://www.parliament.act.gov.au/__data/assets/pdf_file/0010/2250991/Pegasus-Report-ACT-Budget-2023-24-Final-7July23.pdf</w:t>
        </w:r>
      </w:hyperlink>
    </w:p>
  </w:footnote>
  <w:footnote w:id="7">
    <w:p w14:paraId="7EA7118B" w14:textId="77777777" w:rsidR="00EA4B61" w:rsidRDefault="00EA4B61" w:rsidP="00EA4B61">
      <w:pPr>
        <w:pStyle w:val="FootnoteText"/>
      </w:pPr>
      <w:r>
        <w:rPr>
          <w:rStyle w:val="FootnoteReference"/>
        </w:rPr>
        <w:footnoteRef/>
      </w:r>
      <w:r>
        <w:t xml:space="preserve"> See A</w:t>
      </w:r>
      <w:r>
        <w:rPr>
          <w:noProof/>
        </w:rPr>
        <w:t>ustralian Accounting Standards Board (2010).</w:t>
      </w:r>
    </w:p>
  </w:footnote>
  <w:footnote w:id="8">
    <w:p w14:paraId="5FF64374" w14:textId="6B02D91E" w:rsidR="00D659A9" w:rsidRDefault="00D659A9">
      <w:pPr>
        <w:pStyle w:val="FootnoteText"/>
      </w:pPr>
      <w:r>
        <w:rPr>
          <w:rStyle w:val="FootnoteReference"/>
        </w:rPr>
        <w:footnoteRef/>
      </w:r>
      <w:r>
        <w:t xml:space="preserve"> </w:t>
      </w:r>
      <w:r w:rsidR="007635B3">
        <w:t xml:space="preserve">Unaffordable is where </w:t>
      </w:r>
      <w:r w:rsidR="004143CD">
        <w:t xml:space="preserve">between </w:t>
      </w:r>
      <w:r w:rsidR="00201185">
        <w:t>30</w:t>
      </w:r>
      <w:r w:rsidR="006E48C1">
        <w:t xml:space="preserve"> percent</w:t>
      </w:r>
      <w:r w:rsidR="00201185">
        <w:t xml:space="preserve"> to 38</w:t>
      </w:r>
      <w:r w:rsidR="006E48C1">
        <w:t xml:space="preserve"> percent</w:t>
      </w:r>
      <w:r w:rsidR="00201185">
        <w:t xml:space="preserve"> </w:t>
      </w:r>
      <w:r w:rsidR="00775E27">
        <w:t>of income is spent on rent</w:t>
      </w:r>
      <w:r w:rsidR="007635B3">
        <w:t xml:space="preserve">, Severely Unaffordable is where </w:t>
      </w:r>
      <w:r w:rsidR="004143CD">
        <w:t xml:space="preserve">between </w:t>
      </w:r>
      <w:r w:rsidR="00775E27">
        <w:t>38</w:t>
      </w:r>
      <w:r w:rsidR="006E48C1">
        <w:t xml:space="preserve"> percent</w:t>
      </w:r>
      <w:r w:rsidR="00775E27">
        <w:t xml:space="preserve"> to 60</w:t>
      </w:r>
      <w:r w:rsidR="006E48C1">
        <w:t xml:space="preserve"> percent</w:t>
      </w:r>
      <w:r w:rsidR="00775E27">
        <w:t xml:space="preserve"> of income is spent on rent</w:t>
      </w:r>
      <w:r w:rsidR="007635B3">
        <w:t xml:space="preserve">, and Extremely Unaffordable is where </w:t>
      </w:r>
      <w:r w:rsidR="00775E27">
        <w:t>60</w:t>
      </w:r>
      <w:r w:rsidR="006E48C1">
        <w:t xml:space="preserve"> percent</w:t>
      </w:r>
      <w:r w:rsidR="00775E27">
        <w:t xml:space="preserve"> or more of income is spent on rent </w:t>
      </w:r>
      <w:sdt>
        <w:sdtPr>
          <w:id w:val="1076560938"/>
          <w:citation/>
        </w:sdtPr>
        <w:sdtContent>
          <w:r w:rsidR="004143CD">
            <w:fldChar w:fldCharType="begin"/>
          </w:r>
          <w:r w:rsidR="004143CD">
            <w:instrText xml:space="preserve">CITATION SGS23 \p 82 \t  \l 3081 </w:instrText>
          </w:r>
          <w:r w:rsidR="004143CD">
            <w:fldChar w:fldCharType="separate"/>
          </w:r>
          <w:r w:rsidR="00874F23">
            <w:rPr>
              <w:noProof/>
            </w:rPr>
            <w:t>(SGS Economics and Planning Pty Ltd, 2023, p. 82)</w:t>
          </w:r>
          <w:r w:rsidR="004143CD">
            <w:fldChar w:fldCharType="end"/>
          </w:r>
        </w:sdtContent>
      </w:sdt>
      <w:r w:rsidR="00775E27">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90291"/>
    <w:multiLevelType w:val="hybridMultilevel"/>
    <w:tmpl w:val="3C88C2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714F73"/>
    <w:multiLevelType w:val="hybridMultilevel"/>
    <w:tmpl w:val="66DEC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9C162F"/>
    <w:multiLevelType w:val="hybridMultilevel"/>
    <w:tmpl w:val="2076B24C"/>
    <w:lvl w:ilvl="0" w:tplc="0C090001">
      <w:start w:val="1"/>
      <w:numFmt w:val="bullet"/>
      <w:lvlText w:val=""/>
      <w:lvlJc w:val="left"/>
      <w:pPr>
        <w:ind w:left="720" w:hanging="360"/>
      </w:pPr>
      <w:rPr>
        <w:rFonts w:ascii="Symbol" w:hAnsi="Symbol" w:hint="default"/>
      </w:rPr>
    </w:lvl>
    <w:lvl w:ilvl="1" w:tplc="C2969C38">
      <w:start w:val="1"/>
      <w:numFmt w:val="bullet"/>
      <w:lvlText w:val="-"/>
      <w:lvlJc w:val="left"/>
      <w:pPr>
        <w:ind w:left="1440" w:hanging="360"/>
      </w:pPr>
      <w:rPr>
        <w:rFonts w:ascii="Arial" w:hAnsi="Arial" w:hint="default"/>
        <w:b w:val="0"/>
        <w:i w:val="0"/>
        <w:color w:val="auto"/>
        <w:sz w:val="18"/>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3EC10FB"/>
    <w:multiLevelType w:val="hybridMultilevel"/>
    <w:tmpl w:val="637049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E94A8D"/>
    <w:multiLevelType w:val="hybridMultilevel"/>
    <w:tmpl w:val="F920C938"/>
    <w:lvl w:ilvl="0" w:tplc="F3DC090E">
      <w:start w:val="1"/>
      <w:numFmt w:val="bullet"/>
      <w:pStyle w:val="BBulle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BB71611"/>
    <w:multiLevelType w:val="hybridMultilevel"/>
    <w:tmpl w:val="8E7EF4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C531E1"/>
    <w:multiLevelType w:val="hybridMultilevel"/>
    <w:tmpl w:val="BC5815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612BCA"/>
    <w:multiLevelType w:val="hybridMultilevel"/>
    <w:tmpl w:val="64B03278"/>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8" w15:restartNumberingAfterBreak="0">
    <w:nsid w:val="1C7A3945"/>
    <w:multiLevelType w:val="hybridMultilevel"/>
    <w:tmpl w:val="4B9AA4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F81A75"/>
    <w:multiLevelType w:val="hybridMultilevel"/>
    <w:tmpl w:val="61DCC1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D0741E1"/>
    <w:multiLevelType w:val="hybridMultilevel"/>
    <w:tmpl w:val="07C0C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1F56A1"/>
    <w:multiLevelType w:val="hybridMultilevel"/>
    <w:tmpl w:val="7C24D3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F33269C"/>
    <w:multiLevelType w:val="multilevel"/>
    <w:tmpl w:val="CE902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7033AB"/>
    <w:multiLevelType w:val="hybridMultilevel"/>
    <w:tmpl w:val="B16ADC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76A38C9"/>
    <w:multiLevelType w:val="hybridMultilevel"/>
    <w:tmpl w:val="FFD2C392"/>
    <w:lvl w:ilvl="0" w:tplc="A90EFF1A">
      <w:start w:val="1"/>
      <w:numFmt w:val="decimal"/>
      <w:pStyle w:val="BSnotes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28CF36A2"/>
    <w:multiLevelType w:val="hybridMultilevel"/>
    <w:tmpl w:val="6526ECC6"/>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6" w15:restartNumberingAfterBreak="0">
    <w:nsid w:val="2B077121"/>
    <w:multiLevelType w:val="multilevel"/>
    <w:tmpl w:val="949A5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3A3DCF"/>
    <w:multiLevelType w:val="hybridMultilevel"/>
    <w:tmpl w:val="FC747F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E8B4389"/>
    <w:multiLevelType w:val="hybridMultilevel"/>
    <w:tmpl w:val="609222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EFF2846"/>
    <w:multiLevelType w:val="hybridMultilevel"/>
    <w:tmpl w:val="9196ADD8"/>
    <w:lvl w:ilvl="0" w:tplc="0C090001">
      <w:start w:val="1"/>
      <w:numFmt w:val="bullet"/>
      <w:lvlText w:val=""/>
      <w:lvlJc w:val="left"/>
      <w:pPr>
        <w:ind w:left="825" w:hanging="360"/>
      </w:pPr>
      <w:rPr>
        <w:rFonts w:ascii="Symbol" w:hAnsi="Symbol" w:hint="default"/>
      </w:rPr>
    </w:lvl>
    <w:lvl w:ilvl="1" w:tplc="0C090003">
      <w:start w:val="1"/>
      <w:numFmt w:val="bullet"/>
      <w:lvlText w:val="o"/>
      <w:lvlJc w:val="left"/>
      <w:pPr>
        <w:ind w:left="1545" w:hanging="360"/>
      </w:pPr>
      <w:rPr>
        <w:rFonts w:ascii="Courier New" w:hAnsi="Courier New" w:cs="Courier New" w:hint="default"/>
      </w:rPr>
    </w:lvl>
    <w:lvl w:ilvl="2" w:tplc="0C090005">
      <w:start w:val="1"/>
      <w:numFmt w:val="bullet"/>
      <w:lvlText w:val=""/>
      <w:lvlJc w:val="left"/>
      <w:pPr>
        <w:ind w:left="2265" w:hanging="360"/>
      </w:pPr>
      <w:rPr>
        <w:rFonts w:ascii="Wingdings" w:hAnsi="Wingdings" w:hint="default"/>
      </w:rPr>
    </w:lvl>
    <w:lvl w:ilvl="3" w:tplc="0C090001">
      <w:start w:val="1"/>
      <w:numFmt w:val="bullet"/>
      <w:lvlText w:val=""/>
      <w:lvlJc w:val="left"/>
      <w:pPr>
        <w:ind w:left="2985" w:hanging="360"/>
      </w:pPr>
      <w:rPr>
        <w:rFonts w:ascii="Symbol" w:hAnsi="Symbol" w:hint="default"/>
      </w:rPr>
    </w:lvl>
    <w:lvl w:ilvl="4" w:tplc="0C090003">
      <w:start w:val="1"/>
      <w:numFmt w:val="bullet"/>
      <w:lvlText w:val="o"/>
      <w:lvlJc w:val="left"/>
      <w:pPr>
        <w:ind w:left="3705" w:hanging="360"/>
      </w:pPr>
      <w:rPr>
        <w:rFonts w:ascii="Courier New" w:hAnsi="Courier New" w:cs="Courier New" w:hint="default"/>
      </w:rPr>
    </w:lvl>
    <w:lvl w:ilvl="5" w:tplc="0C090005">
      <w:start w:val="1"/>
      <w:numFmt w:val="bullet"/>
      <w:lvlText w:val=""/>
      <w:lvlJc w:val="left"/>
      <w:pPr>
        <w:ind w:left="4425" w:hanging="360"/>
      </w:pPr>
      <w:rPr>
        <w:rFonts w:ascii="Wingdings" w:hAnsi="Wingdings" w:hint="default"/>
      </w:rPr>
    </w:lvl>
    <w:lvl w:ilvl="6" w:tplc="0C090001">
      <w:start w:val="1"/>
      <w:numFmt w:val="bullet"/>
      <w:lvlText w:val=""/>
      <w:lvlJc w:val="left"/>
      <w:pPr>
        <w:ind w:left="5145" w:hanging="360"/>
      </w:pPr>
      <w:rPr>
        <w:rFonts w:ascii="Symbol" w:hAnsi="Symbol" w:hint="default"/>
      </w:rPr>
    </w:lvl>
    <w:lvl w:ilvl="7" w:tplc="0C090003">
      <w:start w:val="1"/>
      <w:numFmt w:val="bullet"/>
      <w:lvlText w:val="o"/>
      <w:lvlJc w:val="left"/>
      <w:pPr>
        <w:ind w:left="5865" w:hanging="360"/>
      </w:pPr>
      <w:rPr>
        <w:rFonts w:ascii="Courier New" w:hAnsi="Courier New" w:cs="Courier New" w:hint="default"/>
      </w:rPr>
    </w:lvl>
    <w:lvl w:ilvl="8" w:tplc="0C090005">
      <w:start w:val="1"/>
      <w:numFmt w:val="bullet"/>
      <w:lvlText w:val=""/>
      <w:lvlJc w:val="left"/>
      <w:pPr>
        <w:ind w:left="6585" w:hanging="360"/>
      </w:pPr>
      <w:rPr>
        <w:rFonts w:ascii="Wingdings" w:hAnsi="Wingdings" w:hint="default"/>
      </w:rPr>
    </w:lvl>
  </w:abstractNum>
  <w:abstractNum w:abstractNumId="20" w15:restartNumberingAfterBreak="0">
    <w:nsid w:val="315D0640"/>
    <w:multiLevelType w:val="hybridMultilevel"/>
    <w:tmpl w:val="F89652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7393EDD"/>
    <w:multiLevelType w:val="multilevel"/>
    <w:tmpl w:val="D3BA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ABA4452"/>
    <w:multiLevelType w:val="hybridMultilevel"/>
    <w:tmpl w:val="9E0E11D6"/>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Arial"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Arial"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Arial" w:hint="default"/>
      </w:rPr>
    </w:lvl>
    <w:lvl w:ilvl="8" w:tplc="14090005" w:tentative="1">
      <w:start w:val="1"/>
      <w:numFmt w:val="bullet"/>
      <w:lvlText w:val=""/>
      <w:lvlJc w:val="left"/>
      <w:pPr>
        <w:ind w:left="6840" w:hanging="360"/>
      </w:pPr>
      <w:rPr>
        <w:rFonts w:ascii="Wingdings" w:hAnsi="Wingdings" w:hint="default"/>
      </w:rPr>
    </w:lvl>
  </w:abstractNum>
  <w:abstractNum w:abstractNumId="23" w15:restartNumberingAfterBreak="0">
    <w:nsid w:val="44E24296"/>
    <w:multiLevelType w:val="hybridMultilevel"/>
    <w:tmpl w:val="82709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845324E"/>
    <w:multiLevelType w:val="hybridMultilevel"/>
    <w:tmpl w:val="E11EE516"/>
    <w:lvl w:ilvl="0" w:tplc="14090001">
      <w:start w:val="1"/>
      <w:numFmt w:val="bullet"/>
      <w:lvlText w:val=""/>
      <w:lvlJc w:val="left"/>
      <w:pPr>
        <w:ind w:left="720" w:hanging="360"/>
      </w:pPr>
      <w:rPr>
        <w:rFonts w:ascii="Symbol" w:hAnsi="Symbol" w:hint="default"/>
      </w:rPr>
    </w:lvl>
    <w:lvl w:ilvl="1" w:tplc="AB2AF3E6">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Aria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Arial"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560D6D3A"/>
    <w:multiLevelType w:val="hybridMultilevel"/>
    <w:tmpl w:val="1556E7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6203F2E"/>
    <w:multiLevelType w:val="hybridMultilevel"/>
    <w:tmpl w:val="917A978E"/>
    <w:lvl w:ilvl="0" w:tplc="0C090001">
      <w:start w:val="1"/>
      <w:numFmt w:val="bullet"/>
      <w:lvlText w:val=""/>
      <w:lvlJc w:val="left"/>
      <w:pPr>
        <w:ind w:left="720" w:hanging="360"/>
      </w:pPr>
      <w:rPr>
        <w:rFonts w:ascii="Symbol" w:hAnsi="Symbol" w:hint="default"/>
      </w:rPr>
    </w:lvl>
    <w:lvl w:ilvl="1" w:tplc="AB2AF3E6">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8CD7751"/>
    <w:multiLevelType w:val="hybridMultilevel"/>
    <w:tmpl w:val="7F487F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FCF57B9"/>
    <w:multiLevelType w:val="hybridMultilevel"/>
    <w:tmpl w:val="2D8A8A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679D420E"/>
    <w:multiLevelType w:val="hybridMultilevel"/>
    <w:tmpl w:val="4E7EACC2"/>
    <w:lvl w:ilvl="0" w:tplc="39725C62">
      <w:start w:val="1"/>
      <w:numFmt w:val="bullet"/>
      <w:pStyle w:val="BSbullet1"/>
      <w:lvlText w:val=""/>
      <w:lvlJc w:val="left"/>
      <w:pPr>
        <w:tabs>
          <w:tab w:val="num" w:pos="360"/>
        </w:tabs>
        <w:ind w:left="357" w:hanging="357"/>
      </w:pPr>
      <w:rPr>
        <w:rFonts w:ascii="Symbol" w:hAnsi="Symbol" w:hint="default"/>
        <w:sz w:val="24"/>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6BB540FE"/>
    <w:multiLevelType w:val="hybridMultilevel"/>
    <w:tmpl w:val="1C2639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6D843A19"/>
    <w:multiLevelType w:val="hybridMultilevel"/>
    <w:tmpl w:val="CABE58E8"/>
    <w:lvl w:ilvl="0" w:tplc="A57E44E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59D6836"/>
    <w:multiLevelType w:val="hybridMultilevel"/>
    <w:tmpl w:val="411EA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A6B1C2D"/>
    <w:multiLevelType w:val="multilevel"/>
    <w:tmpl w:val="5C12A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C853F65"/>
    <w:multiLevelType w:val="hybridMultilevel"/>
    <w:tmpl w:val="9D2E75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305672116">
    <w:abstractNumId w:val="14"/>
  </w:num>
  <w:num w:numId="2" w16cid:durableId="2028553841">
    <w:abstractNumId w:val="29"/>
  </w:num>
  <w:num w:numId="3" w16cid:durableId="1144738741">
    <w:abstractNumId w:val="6"/>
  </w:num>
  <w:num w:numId="4" w16cid:durableId="448086162">
    <w:abstractNumId w:val="24"/>
  </w:num>
  <w:num w:numId="5" w16cid:durableId="1934318225">
    <w:abstractNumId w:val="17"/>
  </w:num>
  <w:num w:numId="6" w16cid:durableId="1422992953">
    <w:abstractNumId w:val="25"/>
  </w:num>
  <w:num w:numId="7" w16cid:durableId="145319798">
    <w:abstractNumId w:val="5"/>
  </w:num>
  <w:num w:numId="8" w16cid:durableId="1294218748">
    <w:abstractNumId w:val="31"/>
  </w:num>
  <w:num w:numId="9" w16cid:durableId="1169441335">
    <w:abstractNumId w:val="27"/>
  </w:num>
  <w:num w:numId="10" w16cid:durableId="2055811640">
    <w:abstractNumId w:val="22"/>
  </w:num>
  <w:num w:numId="11" w16cid:durableId="627053460">
    <w:abstractNumId w:val="30"/>
  </w:num>
  <w:num w:numId="12" w16cid:durableId="603460176">
    <w:abstractNumId w:val="15"/>
  </w:num>
  <w:num w:numId="13" w16cid:durableId="399788052">
    <w:abstractNumId w:val="19"/>
  </w:num>
  <w:num w:numId="14" w16cid:durableId="242448578">
    <w:abstractNumId w:val="28"/>
  </w:num>
  <w:num w:numId="15" w16cid:durableId="356005358">
    <w:abstractNumId w:val="34"/>
  </w:num>
  <w:num w:numId="16" w16cid:durableId="1882280228">
    <w:abstractNumId w:val="9"/>
  </w:num>
  <w:num w:numId="17" w16cid:durableId="1694456211">
    <w:abstractNumId w:val="7"/>
  </w:num>
  <w:num w:numId="18" w16cid:durableId="196771115">
    <w:abstractNumId w:val="26"/>
  </w:num>
  <w:num w:numId="19" w16cid:durableId="1791850308">
    <w:abstractNumId w:val="12"/>
  </w:num>
  <w:num w:numId="20" w16cid:durableId="1828785520">
    <w:abstractNumId w:val="21"/>
  </w:num>
  <w:num w:numId="21" w16cid:durableId="855077711">
    <w:abstractNumId w:val="16"/>
  </w:num>
  <w:num w:numId="22" w16cid:durableId="360665679">
    <w:abstractNumId w:val="33"/>
  </w:num>
  <w:num w:numId="23" w16cid:durableId="731268840">
    <w:abstractNumId w:val="0"/>
  </w:num>
  <w:num w:numId="24" w16cid:durableId="1311324254">
    <w:abstractNumId w:val="20"/>
  </w:num>
  <w:num w:numId="25" w16cid:durableId="1954703894">
    <w:abstractNumId w:val="8"/>
  </w:num>
  <w:num w:numId="26" w16cid:durableId="1441029200">
    <w:abstractNumId w:val="23"/>
  </w:num>
  <w:num w:numId="27" w16cid:durableId="404307011">
    <w:abstractNumId w:val="17"/>
  </w:num>
  <w:num w:numId="28" w16cid:durableId="1702709203">
    <w:abstractNumId w:val="6"/>
  </w:num>
  <w:num w:numId="29" w16cid:durableId="587272155">
    <w:abstractNumId w:val="3"/>
  </w:num>
  <w:num w:numId="30" w16cid:durableId="2066830665">
    <w:abstractNumId w:val="4"/>
  </w:num>
  <w:num w:numId="31" w16cid:durableId="1636717393">
    <w:abstractNumId w:val="13"/>
  </w:num>
  <w:num w:numId="32" w16cid:durableId="520094186">
    <w:abstractNumId w:val="11"/>
  </w:num>
  <w:num w:numId="33" w16cid:durableId="1789205">
    <w:abstractNumId w:val="32"/>
  </w:num>
  <w:num w:numId="34" w16cid:durableId="2091661029">
    <w:abstractNumId w:val="10"/>
  </w:num>
  <w:num w:numId="35" w16cid:durableId="1659191429">
    <w:abstractNumId w:val="1"/>
  </w:num>
  <w:num w:numId="36" w16cid:durableId="106437260">
    <w:abstractNumId w:val="18"/>
  </w:num>
  <w:num w:numId="37" w16cid:durableId="975797596">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07FA"/>
    <w:rsid w:val="0000012B"/>
    <w:rsid w:val="00000535"/>
    <w:rsid w:val="00000E1F"/>
    <w:rsid w:val="00001C5D"/>
    <w:rsid w:val="00001CF6"/>
    <w:rsid w:val="00002879"/>
    <w:rsid w:val="000035C8"/>
    <w:rsid w:val="0000389F"/>
    <w:rsid w:val="00003FB2"/>
    <w:rsid w:val="00004591"/>
    <w:rsid w:val="00004D4D"/>
    <w:rsid w:val="000051D7"/>
    <w:rsid w:val="0000522C"/>
    <w:rsid w:val="00005442"/>
    <w:rsid w:val="00005774"/>
    <w:rsid w:val="000062B0"/>
    <w:rsid w:val="00006BC5"/>
    <w:rsid w:val="00006E89"/>
    <w:rsid w:val="00007E6C"/>
    <w:rsid w:val="00007EA3"/>
    <w:rsid w:val="00010C5E"/>
    <w:rsid w:val="00010E68"/>
    <w:rsid w:val="000115AD"/>
    <w:rsid w:val="00011FF9"/>
    <w:rsid w:val="000127B5"/>
    <w:rsid w:val="000137BC"/>
    <w:rsid w:val="00013B4B"/>
    <w:rsid w:val="00013CD4"/>
    <w:rsid w:val="00013DCC"/>
    <w:rsid w:val="000143F2"/>
    <w:rsid w:val="00014A5C"/>
    <w:rsid w:val="00014E37"/>
    <w:rsid w:val="00015B28"/>
    <w:rsid w:val="00016130"/>
    <w:rsid w:val="00016307"/>
    <w:rsid w:val="0001649C"/>
    <w:rsid w:val="000164A7"/>
    <w:rsid w:val="00016BD0"/>
    <w:rsid w:val="00016CC3"/>
    <w:rsid w:val="00016E40"/>
    <w:rsid w:val="00017BCF"/>
    <w:rsid w:val="0002026F"/>
    <w:rsid w:val="000203D0"/>
    <w:rsid w:val="00020630"/>
    <w:rsid w:val="00021787"/>
    <w:rsid w:val="0002195E"/>
    <w:rsid w:val="000220CA"/>
    <w:rsid w:val="0002213C"/>
    <w:rsid w:val="000228A2"/>
    <w:rsid w:val="000228A8"/>
    <w:rsid w:val="00022A4F"/>
    <w:rsid w:val="00022CB9"/>
    <w:rsid w:val="00023136"/>
    <w:rsid w:val="0002391C"/>
    <w:rsid w:val="000240FC"/>
    <w:rsid w:val="000244FB"/>
    <w:rsid w:val="00024FB3"/>
    <w:rsid w:val="00025A9F"/>
    <w:rsid w:val="000265F1"/>
    <w:rsid w:val="00026BF1"/>
    <w:rsid w:val="00026C2E"/>
    <w:rsid w:val="00026D05"/>
    <w:rsid w:val="00027416"/>
    <w:rsid w:val="000275C6"/>
    <w:rsid w:val="00030379"/>
    <w:rsid w:val="00032A79"/>
    <w:rsid w:val="00032EC2"/>
    <w:rsid w:val="0003309C"/>
    <w:rsid w:val="00033EF4"/>
    <w:rsid w:val="0003405B"/>
    <w:rsid w:val="000341D8"/>
    <w:rsid w:val="0003424F"/>
    <w:rsid w:val="00034465"/>
    <w:rsid w:val="00034A34"/>
    <w:rsid w:val="00035C3A"/>
    <w:rsid w:val="0003647F"/>
    <w:rsid w:val="00036B59"/>
    <w:rsid w:val="00037C40"/>
    <w:rsid w:val="00037C85"/>
    <w:rsid w:val="00037D7A"/>
    <w:rsid w:val="0004086A"/>
    <w:rsid w:val="00040F2E"/>
    <w:rsid w:val="000415E2"/>
    <w:rsid w:val="00041D2B"/>
    <w:rsid w:val="00041E02"/>
    <w:rsid w:val="00042098"/>
    <w:rsid w:val="0004222B"/>
    <w:rsid w:val="00042AEE"/>
    <w:rsid w:val="00042EDE"/>
    <w:rsid w:val="000438C2"/>
    <w:rsid w:val="0004403D"/>
    <w:rsid w:val="0004419A"/>
    <w:rsid w:val="0004462F"/>
    <w:rsid w:val="00044DAC"/>
    <w:rsid w:val="00045111"/>
    <w:rsid w:val="00045245"/>
    <w:rsid w:val="00045A75"/>
    <w:rsid w:val="00045BBA"/>
    <w:rsid w:val="00045DC7"/>
    <w:rsid w:val="000460D9"/>
    <w:rsid w:val="00047209"/>
    <w:rsid w:val="00047B9F"/>
    <w:rsid w:val="00047EDD"/>
    <w:rsid w:val="0005019F"/>
    <w:rsid w:val="00050904"/>
    <w:rsid w:val="00050B69"/>
    <w:rsid w:val="00051360"/>
    <w:rsid w:val="00051499"/>
    <w:rsid w:val="00052200"/>
    <w:rsid w:val="00052543"/>
    <w:rsid w:val="00052762"/>
    <w:rsid w:val="0005285B"/>
    <w:rsid w:val="0005297B"/>
    <w:rsid w:val="00053253"/>
    <w:rsid w:val="00054259"/>
    <w:rsid w:val="00055D94"/>
    <w:rsid w:val="00055E68"/>
    <w:rsid w:val="000560A0"/>
    <w:rsid w:val="0005623F"/>
    <w:rsid w:val="000564CC"/>
    <w:rsid w:val="00056765"/>
    <w:rsid w:val="00056A50"/>
    <w:rsid w:val="00056D92"/>
    <w:rsid w:val="00056FA3"/>
    <w:rsid w:val="0005722B"/>
    <w:rsid w:val="000577D5"/>
    <w:rsid w:val="00057812"/>
    <w:rsid w:val="00057E05"/>
    <w:rsid w:val="0006045F"/>
    <w:rsid w:val="00060575"/>
    <w:rsid w:val="0006068F"/>
    <w:rsid w:val="00060857"/>
    <w:rsid w:val="000609A2"/>
    <w:rsid w:val="00061B15"/>
    <w:rsid w:val="000621AC"/>
    <w:rsid w:val="0006230E"/>
    <w:rsid w:val="000634DF"/>
    <w:rsid w:val="00063844"/>
    <w:rsid w:val="00063F96"/>
    <w:rsid w:val="0006433D"/>
    <w:rsid w:val="000647F8"/>
    <w:rsid w:val="000649A5"/>
    <w:rsid w:val="00064C33"/>
    <w:rsid w:val="00064C40"/>
    <w:rsid w:val="00065959"/>
    <w:rsid w:val="00065AF9"/>
    <w:rsid w:val="00065B85"/>
    <w:rsid w:val="00066343"/>
    <w:rsid w:val="00066ED0"/>
    <w:rsid w:val="00067526"/>
    <w:rsid w:val="0006791D"/>
    <w:rsid w:val="00067D0E"/>
    <w:rsid w:val="000701D6"/>
    <w:rsid w:val="000705CA"/>
    <w:rsid w:val="00070639"/>
    <w:rsid w:val="00070A01"/>
    <w:rsid w:val="00070D77"/>
    <w:rsid w:val="0007124B"/>
    <w:rsid w:val="00071634"/>
    <w:rsid w:val="000717C8"/>
    <w:rsid w:val="0007256C"/>
    <w:rsid w:val="000729BA"/>
    <w:rsid w:val="00072F94"/>
    <w:rsid w:val="0007314A"/>
    <w:rsid w:val="000734D9"/>
    <w:rsid w:val="00073BBF"/>
    <w:rsid w:val="00073F6E"/>
    <w:rsid w:val="000744A6"/>
    <w:rsid w:val="0007572C"/>
    <w:rsid w:val="0007575A"/>
    <w:rsid w:val="00075FC1"/>
    <w:rsid w:val="00077016"/>
    <w:rsid w:val="0008029C"/>
    <w:rsid w:val="000805F8"/>
    <w:rsid w:val="00080842"/>
    <w:rsid w:val="0008089A"/>
    <w:rsid w:val="0008199A"/>
    <w:rsid w:val="000821F2"/>
    <w:rsid w:val="0008248E"/>
    <w:rsid w:val="00082856"/>
    <w:rsid w:val="000829A9"/>
    <w:rsid w:val="00082EF4"/>
    <w:rsid w:val="00083373"/>
    <w:rsid w:val="000836F5"/>
    <w:rsid w:val="0008412F"/>
    <w:rsid w:val="00084429"/>
    <w:rsid w:val="00084611"/>
    <w:rsid w:val="000848B5"/>
    <w:rsid w:val="00084B1E"/>
    <w:rsid w:val="00084BB0"/>
    <w:rsid w:val="00085E72"/>
    <w:rsid w:val="0008702B"/>
    <w:rsid w:val="00087125"/>
    <w:rsid w:val="00090489"/>
    <w:rsid w:val="00090CC3"/>
    <w:rsid w:val="000912B8"/>
    <w:rsid w:val="00092098"/>
    <w:rsid w:val="0009230D"/>
    <w:rsid w:val="0009262D"/>
    <w:rsid w:val="00092A64"/>
    <w:rsid w:val="00092B9C"/>
    <w:rsid w:val="00092DFB"/>
    <w:rsid w:val="00094917"/>
    <w:rsid w:val="00095356"/>
    <w:rsid w:val="0009678F"/>
    <w:rsid w:val="0009686E"/>
    <w:rsid w:val="00096881"/>
    <w:rsid w:val="00096C5B"/>
    <w:rsid w:val="0009746C"/>
    <w:rsid w:val="0009761A"/>
    <w:rsid w:val="000A05A0"/>
    <w:rsid w:val="000A06C4"/>
    <w:rsid w:val="000A13FE"/>
    <w:rsid w:val="000A18AB"/>
    <w:rsid w:val="000A1C42"/>
    <w:rsid w:val="000A1CFA"/>
    <w:rsid w:val="000A2878"/>
    <w:rsid w:val="000A31B3"/>
    <w:rsid w:val="000A32C8"/>
    <w:rsid w:val="000A3710"/>
    <w:rsid w:val="000A39E7"/>
    <w:rsid w:val="000A3C97"/>
    <w:rsid w:val="000A4368"/>
    <w:rsid w:val="000A5532"/>
    <w:rsid w:val="000A6078"/>
    <w:rsid w:val="000A6126"/>
    <w:rsid w:val="000A6656"/>
    <w:rsid w:val="000A6FB0"/>
    <w:rsid w:val="000A70D5"/>
    <w:rsid w:val="000A70FF"/>
    <w:rsid w:val="000A7594"/>
    <w:rsid w:val="000A768A"/>
    <w:rsid w:val="000A7800"/>
    <w:rsid w:val="000A78B8"/>
    <w:rsid w:val="000A7BD7"/>
    <w:rsid w:val="000B0437"/>
    <w:rsid w:val="000B04FC"/>
    <w:rsid w:val="000B0790"/>
    <w:rsid w:val="000B161D"/>
    <w:rsid w:val="000B216B"/>
    <w:rsid w:val="000B2493"/>
    <w:rsid w:val="000B2D3C"/>
    <w:rsid w:val="000B389E"/>
    <w:rsid w:val="000B5552"/>
    <w:rsid w:val="000B563C"/>
    <w:rsid w:val="000B5DEA"/>
    <w:rsid w:val="000B61A2"/>
    <w:rsid w:val="000B62ED"/>
    <w:rsid w:val="000B6CDD"/>
    <w:rsid w:val="000B6E4B"/>
    <w:rsid w:val="000B71DF"/>
    <w:rsid w:val="000B733F"/>
    <w:rsid w:val="000B7783"/>
    <w:rsid w:val="000C01BB"/>
    <w:rsid w:val="000C0C23"/>
    <w:rsid w:val="000C1AAB"/>
    <w:rsid w:val="000C1C8B"/>
    <w:rsid w:val="000C1EBD"/>
    <w:rsid w:val="000C20AD"/>
    <w:rsid w:val="000C2288"/>
    <w:rsid w:val="000C2C38"/>
    <w:rsid w:val="000C30E9"/>
    <w:rsid w:val="000C316C"/>
    <w:rsid w:val="000C3C45"/>
    <w:rsid w:val="000C3CD7"/>
    <w:rsid w:val="000C3E47"/>
    <w:rsid w:val="000C51C3"/>
    <w:rsid w:val="000C52C9"/>
    <w:rsid w:val="000C5435"/>
    <w:rsid w:val="000C5594"/>
    <w:rsid w:val="000D031E"/>
    <w:rsid w:val="000D0C72"/>
    <w:rsid w:val="000D1772"/>
    <w:rsid w:val="000D1793"/>
    <w:rsid w:val="000D19C8"/>
    <w:rsid w:val="000D1DF8"/>
    <w:rsid w:val="000D2AFF"/>
    <w:rsid w:val="000D32E8"/>
    <w:rsid w:val="000D41A3"/>
    <w:rsid w:val="000D41FA"/>
    <w:rsid w:val="000D43AB"/>
    <w:rsid w:val="000D4602"/>
    <w:rsid w:val="000D4719"/>
    <w:rsid w:val="000D504F"/>
    <w:rsid w:val="000D512F"/>
    <w:rsid w:val="000D51E3"/>
    <w:rsid w:val="000D5331"/>
    <w:rsid w:val="000D5B10"/>
    <w:rsid w:val="000D6328"/>
    <w:rsid w:val="000D6FAC"/>
    <w:rsid w:val="000D7192"/>
    <w:rsid w:val="000D7A59"/>
    <w:rsid w:val="000D7A5B"/>
    <w:rsid w:val="000D7F20"/>
    <w:rsid w:val="000E069A"/>
    <w:rsid w:val="000E0BAC"/>
    <w:rsid w:val="000E168F"/>
    <w:rsid w:val="000E19DB"/>
    <w:rsid w:val="000E2793"/>
    <w:rsid w:val="000E286F"/>
    <w:rsid w:val="000E3996"/>
    <w:rsid w:val="000E4050"/>
    <w:rsid w:val="000E4089"/>
    <w:rsid w:val="000E4762"/>
    <w:rsid w:val="000E4848"/>
    <w:rsid w:val="000E4EF8"/>
    <w:rsid w:val="000E53B4"/>
    <w:rsid w:val="000E65B5"/>
    <w:rsid w:val="000E7220"/>
    <w:rsid w:val="000E72F1"/>
    <w:rsid w:val="000E73B1"/>
    <w:rsid w:val="000E75C4"/>
    <w:rsid w:val="000E77F6"/>
    <w:rsid w:val="000E7B04"/>
    <w:rsid w:val="000E7E11"/>
    <w:rsid w:val="000F0BE9"/>
    <w:rsid w:val="000F11E8"/>
    <w:rsid w:val="000F212B"/>
    <w:rsid w:val="000F29D3"/>
    <w:rsid w:val="000F2EEA"/>
    <w:rsid w:val="000F3240"/>
    <w:rsid w:val="000F5237"/>
    <w:rsid w:val="000F53A8"/>
    <w:rsid w:val="000F5465"/>
    <w:rsid w:val="000F57FC"/>
    <w:rsid w:val="000F5D12"/>
    <w:rsid w:val="000F69E6"/>
    <w:rsid w:val="000F6C8E"/>
    <w:rsid w:val="000F6D17"/>
    <w:rsid w:val="000F7CFC"/>
    <w:rsid w:val="00100023"/>
    <w:rsid w:val="00100319"/>
    <w:rsid w:val="00100C3C"/>
    <w:rsid w:val="0010123D"/>
    <w:rsid w:val="001014FB"/>
    <w:rsid w:val="001016EB"/>
    <w:rsid w:val="001019A4"/>
    <w:rsid w:val="00101CA3"/>
    <w:rsid w:val="00101EC7"/>
    <w:rsid w:val="0010284E"/>
    <w:rsid w:val="00102B84"/>
    <w:rsid w:val="001030F4"/>
    <w:rsid w:val="001032A3"/>
    <w:rsid w:val="00103DEC"/>
    <w:rsid w:val="00103E39"/>
    <w:rsid w:val="00103E92"/>
    <w:rsid w:val="00103F85"/>
    <w:rsid w:val="0010425C"/>
    <w:rsid w:val="001043BF"/>
    <w:rsid w:val="0010578C"/>
    <w:rsid w:val="00106E44"/>
    <w:rsid w:val="001074A0"/>
    <w:rsid w:val="0010765A"/>
    <w:rsid w:val="0011005D"/>
    <w:rsid w:val="001105F9"/>
    <w:rsid w:val="00110F2C"/>
    <w:rsid w:val="001111E4"/>
    <w:rsid w:val="00111237"/>
    <w:rsid w:val="00111571"/>
    <w:rsid w:val="00111636"/>
    <w:rsid w:val="00111A77"/>
    <w:rsid w:val="00111AFE"/>
    <w:rsid w:val="00112283"/>
    <w:rsid w:val="001127A9"/>
    <w:rsid w:val="00113040"/>
    <w:rsid w:val="00113086"/>
    <w:rsid w:val="001134B7"/>
    <w:rsid w:val="00114E67"/>
    <w:rsid w:val="001158A9"/>
    <w:rsid w:val="0011593E"/>
    <w:rsid w:val="00116352"/>
    <w:rsid w:val="00116722"/>
    <w:rsid w:val="00116BCE"/>
    <w:rsid w:val="00116EF7"/>
    <w:rsid w:val="001177AB"/>
    <w:rsid w:val="001178F8"/>
    <w:rsid w:val="00120132"/>
    <w:rsid w:val="001208AE"/>
    <w:rsid w:val="00120A61"/>
    <w:rsid w:val="00121CFC"/>
    <w:rsid w:val="00121D2A"/>
    <w:rsid w:val="00122987"/>
    <w:rsid w:val="00123938"/>
    <w:rsid w:val="00123D56"/>
    <w:rsid w:val="00123FFE"/>
    <w:rsid w:val="001243B9"/>
    <w:rsid w:val="001249D9"/>
    <w:rsid w:val="001250E5"/>
    <w:rsid w:val="001263B0"/>
    <w:rsid w:val="001267E4"/>
    <w:rsid w:val="00126FB4"/>
    <w:rsid w:val="001274AF"/>
    <w:rsid w:val="0013019B"/>
    <w:rsid w:val="00130531"/>
    <w:rsid w:val="00130988"/>
    <w:rsid w:val="00131079"/>
    <w:rsid w:val="00131508"/>
    <w:rsid w:val="001315B2"/>
    <w:rsid w:val="00131BA8"/>
    <w:rsid w:val="00131FB0"/>
    <w:rsid w:val="001325EE"/>
    <w:rsid w:val="001328F5"/>
    <w:rsid w:val="00132A49"/>
    <w:rsid w:val="0013343D"/>
    <w:rsid w:val="00133911"/>
    <w:rsid w:val="00133EFD"/>
    <w:rsid w:val="00133FEF"/>
    <w:rsid w:val="0013418F"/>
    <w:rsid w:val="001345C8"/>
    <w:rsid w:val="00134768"/>
    <w:rsid w:val="001364C8"/>
    <w:rsid w:val="00136740"/>
    <w:rsid w:val="00136AD4"/>
    <w:rsid w:val="00137833"/>
    <w:rsid w:val="00137E13"/>
    <w:rsid w:val="00137EC0"/>
    <w:rsid w:val="001400AF"/>
    <w:rsid w:val="00140418"/>
    <w:rsid w:val="00140543"/>
    <w:rsid w:val="001405FF"/>
    <w:rsid w:val="001409AB"/>
    <w:rsid w:val="00141019"/>
    <w:rsid w:val="00142021"/>
    <w:rsid w:val="0014238E"/>
    <w:rsid w:val="00142EF4"/>
    <w:rsid w:val="0014332A"/>
    <w:rsid w:val="00144183"/>
    <w:rsid w:val="00144CC7"/>
    <w:rsid w:val="00144F75"/>
    <w:rsid w:val="001451E0"/>
    <w:rsid w:val="001453BC"/>
    <w:rsid w:val="001458A9"/>
    <w:rsid w:val="001461C7"/>
    <w:rsid w:val="001463A7"/>
    <w:rsid w:val="00146E6E"/>
    <w:rsid w:val="001474BF"/>
    <w:rsid w:val="00147781"/>
    <w:rsid w:val="00147E52"/>
    <w:rsid w:val="00150958"/>
    <w:rsid w:val="00150AC0"/>
    <w:rsid w:val="00151B47"/>
    <w:rsid w:val="00152960"/>
    <w:rsid w:val="001533C0"/>
    <w:rsid w:val="0015363F"/>
    <w:rsid w:val="00153965"/>
    <w:rsid w:val="00153B8D"/>
    <w:rsid w:val="00154BE9"/>
    <w:rsid w:val="001556C8"/>
    <w:rsid w:val="0015582A"/>
    <w:rsid w:val="00155A16"/>
    <w:rsid w:val="00155C8D"/>
    <w:rsid w:val="00155CE2"/>
    <w:rsid w:val="00155D19"/>
    <w:rsid w:val="00155D9D"/>
    <w:rsid w:val="00156B29"/>
    <w:rsid w:val="0015778C"/>
    <w:rsid w:val="00157FF7"/>
    <w:rsid w:val="00160615"/>
    <w:rsid w:val="00160897"/>
    <w:rsid w:val="001609D3"/>
    <w:rsid w:val="00160BC9"/>
    <w:rsid w:val="00160D44"/>
    <w:rsid w:val="00160E16"/>
    <w:rsid w:val="00160E27"/>
    <w:rsid w:val="00160EA5"/>
    <w:rsid w:val="00161A65"/>
    <w:rsid w:val="00161C45"/>
    <w:rsid w:val="001628CE"/>
    <w:rsid w:val="00162C27"/>
    <w:rsid w:val="00162E04"/>
    <w:rsid w:val="00163830"/>
    <w:rsid w:val="0016391C"/>
    <w:rsid w:val="00164670"/>
    <w:rsid w:val="00164873"/>
    <w:rsid w:val="001648BC"/>
    <w:rsid w:val="00164DE7"/>
    <w:rsid w:val="00164E39"/>
    <w:rsid w:val="0016506B"/>
    <w:rsid w:val="00165176"/>
    <w:rsid w:val="00165518"/>
    <w:rsid w:val="001656A8"/>
    <w:rsid w:val="00166ED9"/>
    <w:rsid w:val="00166F35"/>
    <w:rsid w:val="0016739C"/>
    <w:rsid w:val="0016783B"/>
    <w:rsid w:val="001705F6"/>
    <w:rsid w:val="001706D6"/>
    <w:rsid w:val="0017080C"/>
    <w:rsid w:val="0017144D"/>
    <w:rsid w:val="001715D5"/>
    <w:rsid w:val="00171743"/>
    <w:rsid w:val="0017174A"/>
    <w:rsid w:val="00171AC0"/>
    <w:rsid w:val="00171E59"/>
    <w:rsid w:val="00172096"/>
    <w:rsid w:val="0017256D"/>
    <w:rsid w:val="00172E34"/>
    <w:rsid w:val="001730E8"/>
    <w:rsid w:val="0017329E"/>
    <w:rsid w:val="00173C1E"/>
    <w:rsid w:val="001743D1"/>
    <w:rsid w:val="00174F98"/>
    <w:rsid w:val="00175226"/>
    <w:rsid w:val="0017543E"/>
    <w:rsid w:val="00176605"/>
    <w:rsid w:val="001770BB"/>
    <w:rsid w:val="00177632"/>
    <w:rsid w:val="001778E5"/>
    <w:rsid w:val="00177BE1"/>
    <w:rsid w:val="00177DC6"/>
    <w:rsid w:val="00177E12"/>
    <w:rsid w:val="001802AF"/>
    <w:rsid w:val="00181001"/>
    <w:rsid w:val="00181CA1"/>
    <w:rsid w:val="00182085"/>
    <w:rsid w:val="00182324"/>
    <w:rsid w:val="00182439"/>
    <w:rsid w:val="001824C8"/>
    <w:rsid w:val="0018317B"/>
    <w:rsid w:val="001836BE"/>
    <w:rsid w:val="00183906"/>
    <w:rsid w:val="00183E51"/>
    <w:rsid w:val="00184392"/>
    <w:rsid w:val="00184D42"/>
    <w:rsid w:val="001850C8"/>
    <w:rsid w:val="0018518C"/>
    <w:rsid w:val="00185275"/>
    <w:rsid w:val="001855E2"/>
    <w:rsid w:val="001869E1"/>
    <w:rsid w:val="00186EFC"/>
    <w:rsid w:val="0019007C"/>
    <w:rsid w:val="00190FC6"/>
    <w:rsid w:val="001912F2"/>
    <w:rsid w:val="001915D3"/>
    <w:rsid w:val="0019191A"/>
    <w:rsid w:val="00192109"/>
    <w:rsid w:val="001921F4"/>
    <w:rsid w:val="00192246"/>
    <w:rsid w:val="00193770"/>
    <w:rsid w:val="00193A0D"/>
    <w:rsid w:val="00193CF1"/>
    <w:rsid w:val="00194446"/>
    <w:rsid w:val="001944AD"/>
    <w:rsid w:val="00194528"/>
    <w:rsid w:val="001957E2"/>
    <w:rsid w:val="00197899"/>
    <w:rsid w:val="001A094D"/>
    <w:rsid w:val="001A0BBF"/>
    <w:rsid w:val="001A0CA8"/>
    <w:rsid w:val="001A116B"/>
    <w:rsid w:val="001A190D"/>
    <w:rsid w:val="001A3191"/>
    <w:rsid w:val="001A34C8"/>
    <w:rsid w:val="001A4627"/>
    <w:rsid w:val="001A4742"/>
    <w:rsid w:val="001A667F"/>
    <w:rsid w:val="001A6E43"/>
    <w:rsid w:val="001A73AF"/>
    <w:rsid w:val="001A7AD0"/>
    <w:rsid w:val="001B001B"/>
    <w:rsid w:val="001B01E2"/>
    <w:rsid w:val="001B0666"/>
    <w:rsid w:val="001B277D"/>
    <w:rsid w:val="001B2BD7"/>
    <w:rsid w:val="001B2DB3"/>
    <w:rsid w:val="001B3122"/>
    <w:rsid w:val="001B331D"/>
    <w:rsid w:val="001B3552"/>
    <w:rsid w:val="001B3EA4"/>
    <w:rsid w:val="001B40E1"/>
    <w:rsid w:val="001B45F3"/>
    <w:rsid w:val="001B4F63"/>
    <w:rsid w:val="001B4FE9"/>
    <w:rsid w:val="001B4FF2"/>
    <w:rsid w:val="001B5DB9"/>
    <w:rsid w:val="001B6488"/>
    <w:rsid w:val="001B64FB"/>
    <w:rsid w:val="001B659A"/>
    <w:rsid w:val="001B7041"/>
    <w:rsid w:val="001B7083"/>
    <w:rsid w:val="001B751A"/>
    <w:rsid w:val="001B782E"/>
    <w:rsid w:val="001B7B3C"/>
    <w:rsid w:val="001B7C99"/>
    <w:rsid w:val="001B7DD0"/>
    <w:rsid w:val="001C040F"/>
    <w:rsid w:val="001C0843"/>
    <w:rsid w:val="001C12AF"/>
    <w:rsid w:val="001C1619"/>
    <w:rsid w:val="001C1D63"/>
    <w:rsid w:val="001C2049"/>
    <w:rsid w:val="001C239B"/>
    <w:rsid w:val="001C2995"/>
    <w:rsid w:val="001C2BFC"/>
    <w:rsid w:val="001C3557"/>
    <w:rsid w:val="001C3767"/>
    <w:rsid w:val="001C37DB"/>
    <w:rsid w:val="001C3EDC"/>
    <w:rsid w:val="001C4241"/>
    <w:rsid w:val="001C469C"/>
    <w:rsid w:val="001C4C30"/>
    <w:rsid w:val="001C5593"/>
    <w:rsid w:val="001C5650"/>
    <w:rsid w:val="001C5727"/>
    <w:rsid w:val="001C5A16"/>
    <w:rsid w:val="001C5C2E"/>
    <w:rsid w:val="001C5E0F"/>
    <w:rsid w:val="001C5FEC"/>
    <w:rsid w:val="001C641E"/>
    <w:rsid w:val="001C6BD4"/>
    <w:rsid w:val="001C7C4F"/>
    <w:rsid w:val="001C7C74"/>
    <w:rsid w:val="001D0BE3"/>
    <w:rsid w:val="001D0DAE"/>
    <w:rsid w:val="001D141E"/>
    <w:rsid w:val="001D15F1"/>
    <w:rsid w:val="001D162C"/>
    <w:rsid w:val="001D273E"/>
    <w:rsid w:val="001D2EB4"/>
    <w:rsid w:val="001D31CD"/>
    <w:rsid w:val="001D32C6"/>
    <w:rsid w:val="001D3630"/>
    <w:rsid w:val="001D4875"/>
    <w:rsid w:val="001D5470"/>
    <w:rsid w:val="001D5589"/>
    <w:rsid w:val="001D6411"/>
    <w:rsid w:val="001D751E"/>
    <w:rsid w:val="001D76BA"/>
    <w:rsid w:val="001E238C"/>
    <w:rsid w:val="001E3249"/>
    <w:rsid w:val="001E34DD"/>
    <w:rsid w:val="001E4926"/>
    <w:rsid w:val="001E5448"/>
    <w:rsid w:val="001E5C8A"/>
    <w:rsid w:val="001E5EB6"/>
    <w:rsid w:val="001E6F64"/>
    <w:rsid w:val="001E732A"/>
    <w:rsid w:val="001E7D0C"/>
    <w:rsid w:val="001E7E56"/>
    <w:rsid w:val="001F0568"/>
    <w:rsid w:val="001F10F5"/>
    <w:rsid w:val="001F2545"/>
    <w:rsid w:val="001F29A7"/>
    <w:rsid w:val="001F2F6B"/>
    <w:rsid w:val="001F3285"/>
    <w:rsid w:val="001F3881"/>
    <w:rsid w:val="001F3BE7"/>
    <w:rsid w:val="001F4013"/>
    <w:rsid w:val="001F4869"/>
    <w:rsid w:val="001F4BCF"/>
    <w:rsid w:val="001F51D1"/>
    <w:rsid w:val="001F5CC6"/>
    <w:rsid w:val="001F5E95"/>
    <w:rsid w:val="001F5FAB"/>
    <w:rsid w:val="001F6138"/>
    <w:rsid w:val="001F6FBF"/>
    <w:rsid w:val="001F7334"/>
    <w:rsid w:val="001F79C0"/>
    <w:rsid w:val="001F7B9C"/>
    <w:rsid w:val="001F7BC9"/>
    <w:rsid w:val="001F7C03"/>
    <w:rsid w:val="001F7FB7"/>
    <w:rsid w:val="002000A7"/>
    <w:rsid w:val="002003E4"/>
    <w:rsid w:val="00200ACA"/>
    <w:rsid w:val="00201185"/>
    <w:rsid w:val="00201FD8"/>
    <w:rsid w:val="002021DD"/>
    <w:rsid w:val="002023D2"/>
    <w:rsid w:val="00202972"/>
    <w:rsid w:val="00202989"/>
    <w:rsid w:val="002033EB"/>
    <w:rsid w:val="0020343A"/>
    <w:rsid w:val="00203E43"/>
    <w:rsid w:val="002045ED"/>
    <w:rsid w:val="002053A0"/>
    <w:rsid w:val="00205D91"/>
    <w:rsid w:val="002063CA"/>
    <w:rsid w:val="00206960"/>
    <w:rsid w:val="00207529"/>
    <w:rsid w:val="00210851"/>
    <w:rsid w:val="00210C4D"/>
    <w:rsid w:val="00210D98"/>
    <w:rsid w:val="00210DD4"/>
    <w:rsid w:val="00211670"/>
    <w:rsid w:val="002123CC"/>
    <w:rsid w:val="00212945"/>
    <w:rsid w:val="00212DA3"/>
    <w:rsid w:val="00213BE1"/>
    <w:rsid w:val="00213E1D"/>
    <w:rsid w:val="00213EDA"/>
    <w:rsid w:val="0021457E"/>
    <w:rsid w:val="002152A9"/>
    <w:rsid w:val="00215683"/>
    <w:rsid w:val="00215C70"/>
    <w:rsid w:val="00215D24"/>
    <w:rsid w:val="00215DF5"/>
    <w:rsid w:val="00215F59"/>
    <w:rsid w:val="00216D60"/>
    <w:rsid w:val="00216E7D"/>
    <w:rsid w:val="002176DA"/>
    <w:rsid w:val="002201EB"/>
    <w:rsid w:val="0022020C"/>
    <w:rsid w:val="0022079C"/>
    <w:rsid w:val="002209FD"/>
    <w:rsid w:val="00220E1A"/>
    <w:rsid w:val="00221BED"/>
    <w:rsid w:val="002223A7"/>
    <w:rsid w:val="00222C50"/>
    <w:rsid w:val="002238DD"/>
    <w:rsid w:val="00223D2A"/>
    <w:rsid w:val="00224197"/>
    <w:rsid w:val="00224573"/>
    <w:rsid w:val="002248BD"/>
    <w:rsid w:val="00226277"/>
    <w:rsid w:val="00226463"/>
    <w:rsid w:val="0022665B"/>
    <w:rsid w:val="00227165"/>
    <w:rsid w:val="00227BB6"/>
    <w:rsid w:val="0023065F"/>
    <w:rsid w:val="00231192"/>
    <w:rsid w:val="00231898"/>
    <w:rsid w:val="00232388"/>
    <w:rsid w:val="002323E4"/>
    <w:rsid w:val="00232C20"/>
    <w:rsid w:val="00232C45"/>
    <w:rsid w:val="002331B7"/>
    <w:rsid w:val="00233DD8"/>
    <w:rsid w:val="00234355"/>
    <w:rsid w:val="0023467A"/>
    <w:rsid w:val="0023543E"/>
    <w:rsid w:val="00235922"/>
    <w:rsid w:val="0023642E"/>
    <w:rsid w:val="0023663A"/>
    <w:rsid w:val="00236929"/>
    <w:rsid w:val="00236998"/>
    <w:rsid w:val="00236D48"/>
    <w:rsid w:val="00236DB2"/>
    <w:rsid w:val="00236E4E"/>
    <w:rsid w:val="00237089"/>
    <w:rsid w:val="00237CDB"/>
    <w:rsid w:val="002402DB"/>
    <w:rsid w:val="0024076A"/>
    <w:rsid w:val="002414B9"/>
    <w:rsid w:val="00241E1D"/>
    <w:rsid w:val="00242219"/>
    <w:rsid w:val="00242267"/>
    <w:rsid w:val="00242543"/>
    <w:rsid w:val="002437C7"/>
    <w:rsid w:val="00244C88"/>
    <w:rsid w:val="00245BAD"/>
    <w:rsid w:val="00245C82"/>
    <w:rsid w:val="0024632B"/>
    <w:rsid w:val="002464C4"/>
    <w:rsid w:val="00246562"/>
    <w:rsid w:val="00246653"/>
    <w:rsid w:val="00246702"/>
    <w:rsid w:val="00246C35"/>
    <w:rsid w:val="00246CD3"/>
    <w:rsid w:val="00247147"/>
    <w:rsid w:val="00247A53"/>
    <w:rsid w:val="00247AB8"/>
    <w:rsid w:val="00250366"/>
    <w:rsid w:val="0025037D"/>
    <w:rsid w:val="002503BC"/>
    <w:rsid w:val="00250448"/>
    <w:rsid w:val="002507C7"/>
    <w:rsid w:val="00250A08"/>
    <w:rsid w:val="00250AA7"/>
    <w:rsid w:val="00250E7C"/>
    <w:rsid w:val="00251086"/>
    <w:rsid w:val="002516FB"/>
    <w:rsid w:val="00251944"/>
    <w:rsid w:val="00251A0A"/>
    <w:rsid w:val="00251D4E"/>
    <w:rsid w:val="00252C33"/>
    <w:rsid w:val="00253306"/>
    <w:rsid w:val="00253805"/>
    <w:rsid w:val="0025398A"/>
    <w:rsid w:val="00253A85"/>
    <w:rsid w:val="00253B39"/>
    <w:rsid w:val="00253D1B"/>
    <w:rsid w:val="00253E4C"/>
    <w:rsid w:val="00253FAE"/>
    <w:rsid w:val="0025442C"/>
    <w:rsid w:val="00254562"/>
    <w:rsid w:val="00254ABE"/>
    <w:rsid w:val="00255711"/>
    <w:rsid w:val="00255A92"/>
    <w:rsid w:val="002561EC"/>
    <w:rsid w:val="00256EC1"/>
    <w:rsid w:val="00257C98"/>
    <w:rsid w:val="0026045A"/>
    <w:rsid w:val="00260648"/>
    <w:rsid w:val="00261290"/>
    <w:rsid w:val="00261789"/>
    <w:rsid w:val="00261A6C"/>
    <w:rsid w:val="00261B04"/>
    <w:rsid w:val="00261D18"/>
    <w:rsid w:val="00261E6C"/>
    <w:rsid w:val="00262D8E"/>
    <w:rsid w:val="00262DA8"/>
    <w:rsid w:val="00263260"/>
    <w:rsid w:val="0026377A"/>
    <w:rsid w:val="00263D51"/>
    <w:rsid w:val="0026439C"/>
    <w:rsid w:val="00264C9F"/>
    <w:rsid w:val="00265229"/>
    <w:rsid w:val="00265A31"/>
    <w:rsid w:val="00266959"/>
    <w:rsid w:val="00266E60"/>
    <w:rsid w:val="00266E83"/>
    <w:rsid w:val="002674F3"/>
    <w:rsid w:val="002676F6"/>
    <w:rsid w:val="002700B0"/>
    <w:rsid w:val="00270524"/>
    <w:rsid w:val="002705F9"/>
    <w:rsid w:val="00270DF7"/>
    <w:rsid w:val="00271012"/>
    <w:rsid w:val="002711AF"/>
    <w:rsid w:val="00271735"/>
    <w:rsid w:val="00271DB8"/>
    <w:rsid w:val="002722D4"/>
    <w:rsid w:val="0027230B"/>
    <w:rsid w:val="0027250E"/>
    <w:rsid w:val="00272517"/>
    <w:rsid w:val="00272CA1"/>
    <w:rsid w:val="00272D90"/>
    <w:rsid w:val="002734A1"/>
    <w:rsid w:val="00273CB9"/>
    <w:rsid w:val="002746A8"/>
    <w:rsid w:val="00274B99"/>
    <w:rsid w:val="002758A4"/>
    <w:rsid w:val="00275C4D"/>
    <w:rsid w:val="00276BD5"/>
    <w:rsid w:val="00276EAA"/>
    <w:rsid w:val="0027756B"/>
    <w:rsid w:val="00277CD3"/>
    <w:rsid w:val="0028034D"/>
    <w:rsid w:val="00280D55"/>
    <w:rsid w:val="00280F58"/>
    <w:rsid w:val="00281B5C"/>
    <w:rsid w:val="00281C57"/>
    <w:rsid w:val="0028228F"/>
    <w:rsid w:val="002823B2"/>
    <w:rsid w:val="00282686"/>
    <w:rsid w:val="00282B8D"/>
    <w:rsid w:val="002830D2"/>
    <w:rsid w:val="00283312"/>
    <w:rsid w:val="00283387"/>
    <w:rsid w:val="00283C2E"/>
    <w:rsid w:val="00284343"/>
    <w:rsid w:val="002846BF"/>
    <w:rsid w:val="00284C03"/>
    <w:rsid w:val="00284D58"/>
    <w:rsid w:val="00284E5A"/>
    <w:rsid w:val="0028507A"/>
    <w:rsid w:val="002853D0"/>
    <w:rsid w:val="002860A5"/>
    <w:rsid w:val="002866B9"/>
    <w:rsid w:val="00287494"/>
    <w:rsid w:val="002874D0"/>
    <w:rsid w:val="0028765D"/>
    <w:rsid w:val="002908CD"/>
    <w:rsid w:val="0029124E"/>
    <w:rsid w:val="002919D8"/>
    <w:rsid w:val="002920FC"/>
    <w:rsid w:val="00292197"/>
    <w:rsid w:val="0029282F"/>
    <w:rsid w:val="002931EA"/>
    <w:rsid w:val="0029330D"/>
    <w:rsid w:val="0029465B"/>
    <w:rsid w:val="002949B0"/>
    <w:rsid w:val="002949F6"/>
    <w:rsid w:val="00294D35"/>
    <w:rsid w:val="00294DBC"/>
    <w:rsid w:val="00295695"/>
    <w:rsid w:val="00295D6B"/>
    <w:rsid w:val="00296016"/>
    <w:rsid w:val="00296053"/>
    <w:rsid w:val="00296EEC"/>
    <w:rsid w:val="002974A5"/>
    <w:rsid w:val="0029771D"/>
    <w:rsid w:val="00297BBA"/>
    <w:rsid w:val="002A00B4"/>
    <w:rsid w:val="002A07CA"/>
    <w:rsid w:val="002A08B1"/>
    <w:rsid w:val="002A0E20"/>
    <w:rsid w:val="002A1066"/>
    <w:rsid w:val="002A13BC"/>
    <w:rsid w:val="002A159B"/>
    <w:rsid w:val="002A194C"/>
    <w:rsid w:val="002A214C"/>
    <w:rsid w:val="002A34C4"/>
    <w:rsid w:val="002A3757"/>
    <w:rsid w:val="002A3BF2"/>
    <w:rsid w:val="002A3FA6"/>
    <w:rsid w:val="002A43DA"/>
    <w:rsid w:val="002A5201"/>
    <w:rsid w:val="002A6BAB"/>
    <w:rsid w:val="002A714C"/>
    <w:rsid w:val="002A77A1"/>
    <w:rsid w:val="002B14EA"/>
    <w:rsid w:val="002B1D10"/>
    <w:rsid w:val="002B21DD"/>
    <w:rsid w:val="002B2451"/>
    <w:rsid w:val="002B2B9A"/>
    <w:rsid w:val="002B325B"/>
    <w:rsid w:val="002B4181"/>
    <w:rsid w:val="002B5417"/>
    <w:rsid w:val="002B568B"/>
    <w:rsid w:val="002B5BF8"/>
    <w:rsid w:val="002B5D2C"/>
    <w:rsid w:val="002B6C2D"/>
    <w:rsid w:val="002B78FF"/>
    <w:rsid w:val="002B79EE"/>
    <w:rsid w:val="002C0EC2"/>
    <w:rsid w:val="002C1187"/>
    <w:rsid w:val="002C131F"/>
    <w:rsid w:val="002C13E7"/>
    <w:rsid w:val="002C17A0"/>
    <w:rsid w:val="002C1F58"/>
    <w:rsid w:val="002C2BD6"/>
    <w:rsid w:val="002C330A"/>
    <w:rsid w:val="002C3540"/>
    <w:rsid w:val="002C37E7"/>
    <w:rsid w:val="002C3941"/>
    <w:rsid w:val="002C431F"/>
    <w:rsid w:val="002C44A3"/>
    <w:rsid w:val="002C4AE7"/>
    <w:rsid w:val="002C4C98"/>
    <w:rsid w:val="002C5920"/>
    <w:rsid w:val="002C59EE"/>
    <w:rsid w:val="002C62E8"/>
    <w:rsid w:val="002C6DBB"/>
    <w:rsid w:val="002C6E1F"/>
    <w:rsid w:val="002D0480"/>
    <w:rsid w:val="002D05D1"/>
    <w:rsid w:val="002D11D8"/>
    <w:rsid w:val="002D1914"/>
    <w:rsid w:val="002D19ED"/>
    <w:rsid w:val="002D215B"/>
    <w:rsid w:val="002D2EDF"/>
    <w:rsid w:val="002D2FF2"/>
    <w:rsid w:val="002D390E"/>
    <w:rsid w:val="002D4010"/>
    <w:rsid w:val="002D4AA1"/>
    <w:rsid w:val="002D505F"/>
    <w:rsid w:val="002D6243"/>
    <w:rsid w:val="002D6A39"/>
    <w:rsid w:val="002D7848"/>
    <w:rsid w:val="002D7B15"/>
    <w:rsid w:val="002D7C46"/>
    <w:rsid w:val="002D7CCA"/>
    <w:rsid w:val="002D7F11"/>
    <w:rsid w:val="002E0012"/>
    <w:rsid w:val="002E00B5"/>
    <w:rsid w:val="002E0188"/>
    <w:rsid w:val="002E07D2"/>
    <w:rsid w:val="002E18EB"/>
    <w:rsid w:val="002E1A0F"/>
    <w:rsid w:val="002E1A71"/>
    <w:rsid w:val="002E21F4"/>
    <w:rsid w:val="002E275D"/>
    <w:rsid w:val="002E2949"/>
    <w:rsid w:val="002E3531"/>
    <w:rsid w:val="002E453D"/>
    <w:rsid w:val="002E4685"/>
    <w:rsid w:val="002E4875"/>
    <w:rsid w:val="002E4A10"/>
    <w:rsid w:val="002E4CFC"/>
    <w:rsid w:val="002E54A5"/>
    <w:rsid w:val="002E5D06"/>
    <w:rsid w:val="002E5DA7"/>
    <w:rsid w:val="002E63E5"/>
    <w:rsid w:val="002E6426"/>
    <w:rsid w:val="002E6D9C"/>
    <w:rsid w:val="002F013D"/>
    <w:rsid w:val="002F0EDE"/>
    <w:rsid w:val="002F13A8"/>
    <w:rsid w:val="002F2878"/>
    <w:rsid w:val="002F2A5B"/>
    <w:rsid w:val="002F2CF3"/>
    <w:rsid w:val="002F2DB4"/>
    <w:rsid w:val="002F2DF0"/>
    <w:rsid w:val="002F4088"/>
    <w:rsid w:val="002F55E4"/>
    <w:rsid w:val="002F56E1"/>
    <w:rsid w:val="002F6974"/>
    <w:rsid w:val="002F6FFD"/>
    <w:rsid w:val="002F7056"/>
    <w:rsid w:val="002F7184"/>
    <w:rsid w:val="002F76CA"/>
    <w:rsid w:val="002F779B"/>
    <w:rsid w:val="00300284"/>
    <w:rsid w:val="00300543"/>
    <w:rsid w:val="00300CD1"/>
    <w:rsid w:val="003018D9"/>
    <w:rsid w:val="00301B9B"/>
    <w:rsid w:val="00301CAD"/>
    <w:rsid w:val="00302A1B"/>
    <w:rsid w:val="00302AF7"/>
    <w:rsid w:val="00302CBF"/>
    <w:rsid w:val="00302F6A"/>
    <w:rsid w:val="0030344E"/>
    <w:rsid w:val="0030347B"/>
    <w:rsid w:val="003035A1"/>
    <w:rsid w:val="00303959"/>
    <w:rsid w:val="00303BE8"/>
    <w:rsid w:val="00304613"/>
    <w:rsid w:val="00304D45"/>
    <w:rsid w:val="003050CD"/>
    <w:rsid w:val="003056AE"/>
    <w:rsid w:val="00305B67"/>
    <w:rsid w:val="00305F27"/>
    <w:rsid w:val="00305F74"/>
    <w:rsid w:val="00306268"/>
    <w:rsid w:val="0030638F"/>
    <w:rsid w:val="00306CBC"/>
    <w:rsid w:val="00306D17"/>
    <w:rsid w:val="00307159"/>
    <w:rsid w:val="003079DB"/>
    <w:rsid w:val="00307FE2"/>
    <w:rsid w:val="0031003F"/>
    <w:rsid w:val="00310B39"/>
    <w:rsid w:val="00310EFB"/>
    <w:rsid w:val="00312583"/>
    <w:rsid w:val="00313241"/>
    <w:rsid w:val="003132EF"/>
    <w:rsid w:val="003138C4"/>
    <w:rsid w:val="00313A94"/>
    <w:rsid w:val="00313C38"/>
    <w:rsid w:val="003148A6"/>
    <w:rsid w:val="00314D31"/>
    <w:rsid w:val="00315C8B"/>
    <w:rsid w:val="00315F8B"/>
    <w:rsid w:val="0031696B"/>
    <w:rsid w:val="00316C0D"/>
    <w:rsid w:val="00316C74"/>
    <w:rsid w:val="00316ED9"/>
    <w:rsid w:val="00317405"/>
    <w:rsid w:val="00317530"/>
    <w:rsid w:val="0031777A"/>
    <w:rsid w:val="00317BB0"/>
    <w:rsid w:val="0032020A"/>
    <w:rsid w:val="003204EE"/>
    <w:rsid w:val="00320597"/>
    <w:rsid w:val="003207C0"/>
    <w:rsid w:val="003208C0"/>
    <w:rsid w:val="0032144C"/>
    <w:rsid w:val="00321680"/>
    <w:rsid w:val="00321B22"/>
    <w:rsid w:val="00322267"/>
    <w:rsid w:val="00322EF4"/>
    <w:rsid w:val="003232F0"/>
    <w:rsid w:val="00324116"/>
    <w:rsid w:val="003241B8"/>
    <w:rsid w:val="00324637"/>
    <w:rsid w:val="003249F5"/>
    <w:rsid w:val="0032572A"/>
    <w:rsid w:val="003258D9"/>
    <w:rsid w:val="00325EE3"/>
    <w:rsid w:val="00326981"/>
    <w:rsid w:val="00326DE1"/>
    <w:rsid w:val="003271F4"/>
    <w:rsid w:val="00327288"/>
    <w:rsid w:val="003276AC"/>
    <w:rsid w:val="0032780F"/>
    <w:rsid w:val="00327880"/>
    <w:rsid w:val="00330009"/>
    <w:rsid w:val="0033086E"/>
    <w:rsid w:val="00331967"/>
    <w:rsid w:val="00331AFD"/>
    <w:rsid w:val="00331BAA"/>
    <w:rsid w:val="00331BB8"/>
    <w:rsid w:val="00332612"/>
    <w:rsid w:val="00332EDE"/>
    <w:rsid w:val="0033314B"/>
    <w:rsid w:val="00333DE4"/>
    <w:rsid w:val="0033477A"/>
    <w:rsid w:val="003347F0"/>
    <w:rsid w:val="00335C6D"/>
    <w:rsid w:val="003360B4"/>
    <w:rsid w:val="00336271"/>
    <w:rsid w:val="0033628A"/>
    <w:rsid w:val="003376F0"/>
    <w:rsid w:val="00337A51"/>
    <w:rsid w:val="003405F4"/>
    <w:rsid w:val="003408D6"/>
    <w:rsid w:val="00340A25"/>
    <w:rsid w:val="00340CEA"/>
    <w:rsid w:val="00341766"/>
    <w:rsid w:val="00341768"/>
    <w:rsid w:val="003417C2"/>
    <w:rsid w:val="003419F8"/>
    <w:rsid w:val="00341D9E"/>
    <w:rsid w:val="00342A26"/>
    <w:rsid w:val="00342CE2"/>
    <w:rsid w:val="003439AE"/>
    <w:rsid w:val="00343B8B"/>
    <w:rsid w:val="00344DD8"/>
    <w:rsid w:val="003450B4"/>
    <w:rsid w:val="00345138"/>
    <w:rsid w:val="0034515C"/>
    <w:rsid w:val="00345424"/>
    <w:rsid w:val="003457EA"/>
    <w:rsid w:val="00345E9F"/>
    <w:rsid w:val="00347736"/>
    <w:rsid w:val="00347EC6"/>
    <w:rsid w:val="003505C0"/>
    <w:rsid w:val="003510C8"/>
    <w:rsid w:val="00351744"/>
    <w:rsid w:val="00351993"/>
    <w:rsid w:val="00351D36"/>
    <w:rsid w:val="00351DBB"/>
    <w:rsid w:val="00351F0C"/>
    <w:rsid w:val="00351F24"/>
    <w:rsid w:val="00352298"/>
    <w:rsid w:val="0035338C"/>
    <w:rsid w:val="00353E1F"/>
    <w:rsid w:val="003540A7"/>
    <w:rsid w:val="003541B7"/>
    <w:rsid w:val="00354985"/>
    <w:rsid w:val="003553F5"/>
    <w:rsid w:val="003555FF"/>
    <w:rsid w:val="003556E9"/>
    <w:rsid w:val="00356757"/>
    <w:rsid w:val="003567DA"/>
    <w:rsid w:val="00356EED"/>
    <w:rsid w:val="0035702E"/>
    <w:rsid w:val="003572B1"/>
    <w:rsid w:val="00357867"/>
    <w:rsid w:val="00357E50"/>
    <w:rsid w:val="00360932"/>
    <w:rsid w:val="00361874"/>
    <w:rsid w:val="00362564"/>
    <w:rsid w:val="00362AC5"/>
    <w:rsid w:val="00363228"/>
    <w:rsid w:val="00363525"/>
    <w:rsid w:val="00364078"/>
    <w:rsid w:val="003644E9"/>
    <w:rsid w:val="0036468C"/>
    <w:rsid w:val="00365238"/>
    <w:rsid w:val="003654E6"/>
    <w:rsid w:val="00365AAB"/>
    <w:rsid w:val="00366377"/>
    <w:rsid w:val="00366ADB"/>
    <w:rsid w:val="00367656"/>
    <w:rsid w:val="00370CF0"/>
    <w:rsid w:val="00370DF5"/>
    <w:rsid w:val="0037158C"/>
    <w:rsid w:val="003717E4"/>
    <w:rsid w:val="003718E6"/>
    <w:rsid w:val="00371995"/>
    <w:rsid w:val="003724C6"/>
    <w:rsid w:val="00373F3E"/>
    <w:rsid w:val="00374559"/>
    <w:rsid w:val="003745EA"/>
    <w:rsid w:val="0037487B"/>
    <w:rsid w:val="00374BE8"/>
    <w:rsid w:val="00374C6B"/>
    <w:rsid w:val="00374DA6"/>
    <w:rsid w:val="00375A8D"/>
    <w:rsid w:val="00375C36"/>
    <w:rsid w:val="003764F0"/>
    <w:rsid w:val="00376955"/>
    <w:rsid w:val="003769FE"/>
    <w:rsid w:val="00376A99"/>
    <w:rsid w:val="0037726B"/>
    <w:rsid w:val="003801D8"/>
    <w:rsid w:val="00380432"/>
    <w:rsid w:val="00380E8A"/>
    <w:rsid w:val="00381151"/>
    <w:rsid w:val="00381519"/>
    <w:rsid w:val="0038161B"/>
    <w:rsid w:val="00382689"/>
    <w:rsid w:val="00382ED7"/>
    <w:rsid w:val="00383409"/>
    <w:rsid w:val="0038345C"/>
    <w:rsid w:val="00383EB8"/>
    <w:rsid w:val="00384212"/>
    <w:rsid w:val="00384752"/>
    <w:rsid w:val="00384D31"/>
    <w:rsid w:val="00385EF9"/>
    <w:rsid w:val="003869C0"/>
    <w:rsid w:val="00386D82"/>
    <w:rsid w:val="00386FA1"/>
    <w:rsid w:val="00387668"/>
    <w:rsid w:val="003879F8"/>
    <w:rsid w:val="00387DAA"/>
    <w:rsid w:val="003901F3"/>
    <w:rsid w:val="00390607"/>
    <w:rsid w:val="00390E87"/>
    <w:rsid w:val="00390E9F"/>
    <w:rsid w:val="003910F4"/>
    <w:rsid w:val="00391635"/>
    <w:rsid w:val="00391C1C"/>
    <w:rsid w:val="0039219A"/>
    <w:rsid w:val="0039251C"/>
    <w:rsid w:val="00392821"/>
    <w:rsid w:val="003931B8"/>
    <w:rsid w:val="0039322B"/>
    <w:rsid w:val="00393529"/>
    <w:rsid w:val="00393B44"/>
    <w:rsid w:val="00394017"/>
    <w:rsid w:val="00394CF2"/>
    <w:rsid w:val="00395034"/>
    <w:rsid w:val="00395C8F"/>
    <w:rsid w:val="00396074"/>
    <w:rsid w:val="00396215"/>
    <w:rsid w:val="00396D0E"/>
    <w:rsid w:val="00396F5F"/>
    <w:rsid w:val="00396FC5"/>
    <w:rsid w:val="00397633"/>
    <w:rsid w:val="0039782F"/>
    <w:rsid w:val="00397999"/>
    <w:rsid w:val="003A04C0"/>
    <w:rsid w:val="003A068F"/>
    <w:rsid w:val="003A0EA4"/>
    <w:rsid w:val="003A109B"/>
    <w:rsid w:val="003A1146"/>
    <w:rsid w:val="003A167D"/>
    <w:rsid w:val="003A1707"/>
    <w:rsid w:val="003A1EE0"/>
    <w:rsid w:val="003A235F"/>
    <w:rsid w:val="003A2C24"/>
    <w:rsid w:val="003A31AF"/>
    <w:rsid w:val="003A3C53"/>
    <w:rsid w:val="003A44A0"/>
    <w:rsid w:val="003A4AF4"/>
    <w:rsid w:val="003A4DA9"/>
    <w:rsid w:val="003A5853"/>
    <w:rsid w:val="003A61B9"/>
    <w:rsid w:val="003A6702"/>
    <w:rsid w:val="003A6917"/>
    <w:rsid w:val="003A6F9B"/>
    <w:rsid w:val="003B0B51"/>
    <w:rsid w:val="003B0BCB"/>
    <w:rsid w:val="003B0BF7"/>
    <w:rsid w:val="003B0E85"/>
    <w:rsid w:val="003B10DB"/>
    <w:rsid w:val="003B11E2"/>
    <w:rsid w:val="003B16F3"/>
    <w:rsid w:val="003B2125"/>
    <w:rsid w:val="003B2DA2"/>
    <w:rsid w:val="003B39AB"/>
    <w:rsid w:val="003B3AE2"/>
    <w:rsid w:val="003B3B3C"/>
    <w:rsid w:val="003B5E54"/>
    <w:rsid w:val="003B5F1A"/>
    <w:rsid w:val="003B6011"/>
    <w:rsid w:val="003B6422"/>
    <w:rsid w:val="003B6464"/>
    <w:rsid w:val="003B70DE"/>
    <w:rsid w:val="003B71A7"/>
    <w:rsid w:val="003B71B9"/>
    <w:rsid w:val="003B76B4"/>
    <w:rsid w:val="003C0000"/>
    <w:rsid w:val="003C08AA"/>
    <w:rsid w:val="003C08AD"/>
    <w:rsid w:val="003C1241"/>
    <w:rsid w:val="003C1388"/>
    <w:rsid w:val="003C1624"/>
    <w:rsid w:val="003C1D61"/>
    <w:rsid w:val="003C30E6"/>
    <w:rsid w:val="003C42BD"/>
    <w:rsid w:val="003C47A5"/>
    <w:rsid w:val="003C4F34"/>
    <w:rsid w:val="003C5854"/>
    <w:rsid w:val="003C5B34"/>
    <w:rsid w:val="003C628A"/>
    <w:rsid w:val="003C75FB"/>
    <w:rsid w:val="003C77DE"/>
    <w:rsid w:val="003C7E43"/>
    <w:rsid w:val="003C7EA4"/>
    <w:rsid w:val="003D07B9"/>
    <w:rsid w:val="003D0971"/>
    <w:rsid w:val="003D0CC7"/>
    <w:rsid w:val="003D1CE4"/>
    <w:rsid w:val="003D21A5"/>
    <w:rsid w:val="003D2259"/>
    <w:rsid w:val="003D307D"/>
    <w:rsid w:val="003D30C7"/>
    <w:rsid w:val="003D315B"/>
    <w:rsid w:val="003D41D2"/>
    <w:rsid w:val="003D499C"/>
    <w:rsid w:val="003D4FBF"/>
    <w:rsid w:val="003D6286"/>
    <w:rsid w:val="003D636B"/>
    <w:rsid w:val="003D65A3"/>
    <w:rsid w:val="003D69D0"/>
    <w:rsid w:val="003D6B82"/>
    <w:rsid w:val="003D6C29"/>
    <w:rsid w:val="003D73D6"/>
    <w:rsid w:val="003D77B1"/>
    <w:rsid w:val="003D7E49"/>
    <w:rsid w:val="003E020B"/>
    <w:rsid w:val="003E0409"/>
    <w:rsid w:val="003E053A"/>
    <w:rsid w:val="003E0A60"/>
    <w:rsid w:val="003E0A6D"/>
    <w:rsid w:val="003E0A84"/>
    <w:rsid w:val="003E0F54"/>
    <w:rsid w:val="003E139C"/>
    <w:rsid w:val="003E17D0"/>
    <w:rsid w:val="003E18ED"/>
    <w:rsid w:val="003E1979"/>
    <w:rsid w:val="003E1CC0"/>
    <w:rsid w:val="003E2346"/>
    <w:rsid w:val="003E262E"/>
    <w:rsid w:val="003E2A00"/>
    <w:rsid w:val="003E2A02"/>
    <w:rsid w:val="003E2BE8"/>
    <w:rsid w:val="003E2DDA"/>
    <w:rsid w:val="003E2E78"/>
    <w:rsid w:val="003E2EA7"/>
    <w:rsid w:val="003E2F43"/>
    <w:rsid w:val="003E37C9"/>
    <w:rsid w:val="003E3C17"/>
    <w:rsid w:val="003E51C4"/>
    <w:rsid w:val="003E5482"/>
    <w:rsid w:val="003E5941"/>
    <w:rsid w:val="003E60D1"/>
    <w:rsid w:val="003E6A82"/>
    <w:rsid w:val="003E6EAF"/>
    <w:rsid w:val="003E74F2"/>
    <w:rsid w:val="003E77D5"/>
    <w:rsid w:val="003E7A5F"/>
    <w:rsid w:val="003E7D37"/>
    <w:rsid w:val="003F07B5"/>
    <w:rsid w:val="003F088B"/>
    <w:rsid w:val="003F0A18"/>
    <w:rsid w:val="003F0A28"/>
    <w:rsid w:val="003F0AA9"/>
    <w:rsid w:val="003F0B27"/>
    <w:rsid w:val="003F1000"/>
    <w:rsid w:val="003F1412"/>
    <w:rsid w:val="003F190F"/>
    <w:rsid w:val="003F2017"/>
    <w:rsid w:val="003F2299"/>
    <w:rsid w:val="003F27B6"/>
    <w:rsid w:val="003F2968"/>
    <w:rsid w:val="003F40FB"/>
    <w:rsid w:val="003F4AE4"/>
    <w:rsid w:val="003F4BE6"/>
    <w:rsid w:val="003F4E9B"/>
    <w:rsid w:val="003F5176"/>
    <w:rsid w:val="003F53CF"/>
    <w:rsid w:val="003F5C07"/>
    <w:rsid w:val="003F6651"/>
    <w:rsid w:val="003F7D4D"/>
    <w:rsid w:val="00400487"/>
    <w:rsid w:val="00400FCB"/>
    <w:rsid w:val="00401027"/>
    <w:rsid w:val="004011C2"/>
    <w:rsid w:val="0040158A"/>
    <w:rsid w:val="00401BE8"/>
    <w:rsid w:val="00402BE6"/>
    <w:rsid w:val="00402E62"/>
    <w:rsid w:val="0040426E"/>
    <w:rsid w:val="00404CF7"/>
    <w:rsid w:val="00404E7E"/>
    <w:rsid w:val="004060A4"/>
    <w:rsid w:val="00406C4D"/>
    <w:rsid w:val="00407391"/>
    <w:rsid w:val="00407C51"/>
    <w:rsid w:val="00407C9D"/>
    <w:rsid w:val="00407F3E"/>
    <w:rsid w:val="00410597"/>
    <w:rsid w:val="00410A3F"/>
    <w:rsid w:val="00410CF6"/>
    <w:rsid w:val="00411738"/>
    <w:rsid w:val="004130BA"/>
    <w:rsid w:val="00413454"/>
    <w:rsid w:val="00413E38"/>
    <w:rsid w:val="004143CD"/>
    <w:rsid w:val="00414637"/>
    <w:rsid w:val="00414638"/>
    <w:rsid w:val="00414C8B"/>
    <w:rsid w:val="00415728"/>
    <w:rsid w:val="00415F46"/>
    <w:rsid w:val="004160EC"/>
    <w:rsid w:val="0041619F"/>
    <w:rsid w:val="00416558"/>
    <w:rsid w:val="004169C2"/>
    <w:rsid w:val="00416E23"/>
    <w:rsid w:val="00417784"/>
    <w:rsid w:val="004200A7"/>
    <w:rsid w:val="00420958"/>
    <w:rsid w:val="004211FA"/>
    <w:rsid w:val="004213F4"/>
    <w:rsid w:val="004214F0"/>
    <w:rsid w:val="0042174C"/>
    <w:rsid w:val="004217C6"/>
    <w:rsid w:val="00421860"/>
    <w:rsid w:val="00421956"/>
    <w:rsid w:val="004219F7"/>
    <w:rsid w:val="00421DFF"/>
    <w:rsid w:val="0042208E"/>
    <w:rsid w:val="004224BF"/>
    <w:rsid w:val="00422E72"/>
    <w:rsid w:val="004236BF"/>
    <w:rsid w:val="004239FC"/>
    <w:rsid w:val="00423A7C"/>
    <w:rsid w:val="0042506F"/>
    <w:rsid w:val="00425424"/>
    <w:rsid w:val="004259D5"/>
    <w:rsid w:val="00425B10"/>
    <w:rsid w:val="00425D32"/>
    <w:rsid w:val="00426A2D"/>
    <w:rsid w:val="00426A66"/>
    <w:rsid w:val="00426CDD"/>
    <w:rsid w:val="0042723E"/>
    <w:rsid w:val="004276DC"/>
    <w:rsid w:val="00427EB1"/>
    <w:rsid w:val="00427ECD"/>
    <w:rsid w:val="0043008E"/>
    <w:rsid w:val="00430545"/>
    <w:rsid w:val="0043076A"/>
    <w:rsid w:val="0043166D"/>
    <w:rsid w:val="00431BCA"/>
    <w:rsid w:val="00431EF8"/>
    <w:rsid w:val="0043205A"/>
    <w:rsid w:val="00432C2D"/>
    <w:rsid w:val="0043312B"/>
    <w:rsid w:val="004338A9"/>
    <w:rsid w:val="004341D4"/>
    <w:rsid w:val="0043446A"/>
    <w:rsid w:val="00434800"/>
    <w:rsid w:val="00435789"/>
    <w:rsid w:val="00435B66"/>
    <w:rsid w:val="0043603D"/>
    <w:rsid w:val="00437365"/>
    <w:rsid w:val="00437B0F"/>
    <w:rsid w:val="00437BAF"/>
    <w:rsid w:val="00440156"/>
    <w:rsid w:val="004407E1"/>
    <w:rsid w:val="00440D63"/>
    <w:rsid w:val="004414AB"/>
    <w:rsid w:val="00441BE5"/>
    <w:rsid w:val="00441EE8"/>
    <w:rsid w:val="00443995"/>
    <w:rsid w:val="00443AA3"/>
    <w:rsid w:val="00443B27"/>
    <w:rsid w:val="00444546"/>
    <w:rsid w:val="0044495E"/>
    <w:rsid w:val="00444D90"/>
    <w:rsid w:val="00444E35"/>
    <w:rsid w:val="00445979"/>
    <w:rsid w:val="00446458"/>
    <w:rsid w:val="00446543"/>
    <w:rsid w:val="004466E4"/>
    <w:rsid w:val="0044689D"/>
    <w:rsid w:val="00446A54"/>
    <w:rsid w:val="00446BC2"/>
    <w:rsid w:val="00450122"/>
    <w:rsid w:val="004504EF"/>
    <w:rsid w:val="0045089A"/>
    <w:rsid w:val="004511FF"/>
    <w:rsid w:val="0045208A"/>
    <w:rsid w:val="0045270B"/>
    <w:rsid w:val="00452A00"/>
    <w:rsid w:val="00452BA4"/>
    <w:rsid w:val="00452CC6"/>
    <w:rsid w:val="00453FAD"/>
    <w:rsid w:val="00454253"/>
    <w:rsid w:val="0045437A"/>
    <w:rsid w:val="00454C6D"/>
    <w:rsid w:val="00454FAF"/>
    <w:rsid w:val="00455EF2"/>
    <w:rsid w:val="00456050"/>
    <w:rsid w:val="00457433"/>
    <w:rsid w:val="00457F95"/>
    <w:rsid w:val="00460705"/>
    <w:rsid w:val="00460AE7"/>
    <w:rsid w:val="00460DED"/>
    <w:rsid w:val="004618B3"/>
    <w:rsid w:val="00461B86"/>
    <w:rsid w:val="004623AD"/>
    <w:rsid w:val="00462998"/>
    <w:rsid w:val="004629B9"/>
    <w:rsid w:val="00462AC6"/>
    <w:rsid w:val="00463CC1"/>
    <w:rsid w:val="00464540"/>
    <w:rsid w:val="004645ED"/>
    <w:rsid w:val="004647E4"/>
    <w:rsid w:val="00464CDC"/>
    <w:rsid w:val="00465D9A"/>
    <w:rsid w:val="00466758"/>
    <w:rsid w:val="004669AE"/>
    <w:rsid w:val="00466D11"/>
    <w:rsid w:val="00467104"/>
    <w:rsid w:val="0046741C"/>
    <w:rsid w:val="00467493"/>
    <w:rsid w:val="00467957"/>
    <w:rsid w:val="00467BD1"/>
    <w:rsid w:val="00467DE0"/>
    <w:rsid w:val="004700F4"/>
    <w:rsid w:val="0047039A"/>
    <w:rsid w:val="004703CD"/>
    <w:rsid w:val="004708D9"/>
    <w:rsid w:val="0047124B"/>
    <w:rsid w:val="00471EFA"/>
    <w:rsid w:val="00471F7D"/>
    <w:rsid w:val="00472411"/>
    <w:rsid w:val="00472500"/>
    <w:rsid w:val="004729D1"/>
    <w:rsid w:val="00472A80"/>
    <w:rsid w:val="004731D9"/>
    <w:rsid w:val="004732A1"/>
    <w:rsid w:val="004733C7"/>
    <w:rsid w:val="00473637"/>
    <w:rsid w:val="00473CE3"/>
    <w:rsid w:val="00474240"/>
    <w:rsid w:val="004745D8"/>
    <w:rsid w:val="00475550"/>
    <w:rsid w:val="00475653"/>
    <w:rsid w:val="00476578"/>
    <w:rsid w:val="00476611"/>
    <w:rsid w:val="00476692"/>
    <w:rsid w:val="00477101"/>
    <w:rsid w:val="00477EA3"/>
    <w:rsid w:val="00480075"/>
    <w:rsid w:val="004806BD"/>
    <w:rsid w:val="00480964"/>
    <w:rsid w:val="004812A6"/>
    <w:rsid w:val="00481428"/>
    <w:rsid w:val="00481452"/>
    <w:rsid w:val="00481719"/>
    <w:rsid w:val="00482FC3"/>
    <w:rsid w:val="004837A3"/>
    <w:rsid w:val="004837C5"/>
    <w:rsid w:val="00484221"/>
    <w:rsid w:val="004855E2"/>
    <w:rsid w:val="00485ABF"/>
    <w:rsid w:val="0048609C"/>
    <w:rsid w:val="00486C95"/>
    <w:rsid w:val="00487006"/>
    <w:rsid w:val="00487469"/>
    <w:rsid w:val="00487AB5"/>
    <w:rsid w:val="00487EB2"/>
    <w:rsid w:val="00490372"/>
    <w:rsid w:val="00490874"/>
    <w:rsid w:val="0049274D"/>
    <w:rsid w:val="0049296C"/>
    <w:rsid w:val="0049306F"/>
    <w:rsid w:val="00493BBB"/>
    <w:rsid w:val="00494208"/>
    <w:rsid w:val="004A00F7"/>
    <w:rsid w:val="004A01F0"/>
    <w:rsid w:val="004A041B"/>
    <w:rsid w:val="004A0F95"/>
    <w:rsid w:val="004A11AF"/>
    <w:rsid w:val="004A15C5"/>
    <w:rsid w:val="004A1DC8"/>
    <w:rsid w:val="004A231F"/>
    <w:rsid w:val="004A2E9B"/>
    <w:rsid w:val="004A3531"/>
    <w:rsid w:val="004A425E"/>
    <w:rsid w:val="004A4624"/>
    <w:rsid w:val="004A4C4C"/>
    <w:rsid w:val="004B00D0"/>
    <w:rsid w:val="004B0995"/>
    <w:rsid w:val="004B18C6"/>
    <w:rsid w:val="004B1F1B"/>
    <w:rsid w:val="004B2DA7"/>
    <w:rsid w:val="004B3AF4"/>
    <w:rsid w:val="004B3D5F"/>
    <w:rsid w:val="004B5509"/>
    <w:rsid w:val="004B5C1F"/>
    <w:rsid w:val="004B5E40"/>
    <w:rsid w:val="004B69CD"/>
    <w:rsid w:val="004B6B5F"/>
    <w:rsid w:val="004B717E"/>
    <w:rsid w:val="004B7269"/>
    <w:rsid w:val="004B78D5"/>
    <w:rsid w:val="004C0093"/>
    <w:rsid w:val="004C0766"/>
    <w:rsid w:val="004C13F2"/>
    <w:rsid w:val="004C1636"/>
    <w:rsid w:val="004C1866"/>
    <w:rsid w:val="004C1AA5"/>
    <w:rsid w:val="004C294F"/>
    <w:rsid w:val="004C3AE6"/>
    <w:rsid w:val="004C3F3F"/>
    <w:rsid w:val="004C5448"/>
    <w:rsid w:val="004C6BBF"/>
    <w:rsid w:val="004C7266"/>
    <w:rsid w:val="004C7303"/>
    <w:rsid w:val="004C7C06"/>
    <w:rsid w:val="004D0B42"/>
    <w:rsid w:val="004D184D"/>
    <w:rsid w:val="004D2267"/>
    <w:rsid w:val="004D28D9"/>
    <w:rsid w:val="004D2EDC"/>
    <w:rsid w:val="004D3155"/>
    <w:rsid w:val="004D3229"/>
    <w:rsid w:val="004D35DB"/>
    <w:rsid w:val="004D3C17"/>
    <w:rsid w:val="004D4643"/>
    <w:rsid w:val="004D4983"/>
    <w:rsid w:val="004D49B3"/>
    <w:rsid w:val="004D5756"/>
    <w:rsid w:val="004D5F03"/>
    <w:rsid w:val="004D676A"/>
    <w:rsid w:val="004D6CA6"/>
    <w:rsid w:val="004D78A1"/>
    <w:rsid w:val="004E004A"/>
    <w:rsid w:val="004E0853"/>
    <w:rsid w:val="004E15A8"/>
    <w:rsid w:val="004E15BD"/>
    <w:rsid w:val="004E1DB1"/>
    <w:rsid w:val="004E1FF5"/>
    <w:rsid w:val="004E229D"/>
    <w:rsid w:val="004E234F"/>
    <w:rsid w:val="004E2E8F"/>
    <w:rsid w:val="004E3171"/>
    <w:rsid w:val="004E517F"/>
    <w:rsid w:val="004E5403"/>
    <w:rsid w:val="004E6237"/>
    <w:rsid w:val="004E66E9"/>
    <w:rsid w:val="004E6927"/>
    <w:rsid w:val="004E6B8F"/>
    <w:rsid w:val="004E70DE"/>
    <w:rsid w:val="004E7B38"/>
    <w:rsid w:val="004F0B2E"/>
    <w:rsid w:val="004F15D2"/>
    <w:rsid w:val="004F194A"/>
    <w:rsid w:val="004F1F63"/>
    <w:rsid w:val="004F236B"/>
    <w:rsid w:val="004F242B"/>
    <w:rsid w:val="004F257F"/>
    <w:rsid w:val="004F2CE2"/>
    <w:rsid w:val="004F2E40"/>
    <w:rsid w:val="004F382F"/>
    <w:rsid w:val="004F3881"/>
    <w:rsid w:val="004F50EE"/>
    <w:rsid w:val="004F53D7"/>
    <w:rsid w:val="004F5443"/>
    <w:rsid w:val="004F6075"/>
    <w:rsid w:val="004F651D"/>
    <w:rsid w:val="004F70C5"/>
    <w:rsid w:val="004F7485"/>
    <w:rsid w:val="004F7D07"/>
    <w:rsid w:val="004F7F68"/>
    <w:rsid w:val="00500308"/>
    <w:rsid w:val="00500651"/>
    <w:rsid w:val="00500AC3"/>
    <w:rsid w:val="00501144"/>
    <w:rsid w:val="0050186C"/>
    <w:rsid w:val="00501E69"/>
    <w:rsid w:val="00501F27"/>
    <w:rsid w:val="005022AE"/>
    <w:rsid w:val="0050258E"/>
    <w:rsid w:val="00502768"/>
    <w:rsid w:val="0050293E"/>
    <w:rsid w:val="00502B96"/>
    <w:rsid w:val="00502D99"/>
    <w:rsid w:val="00502E78"/>
    <w:rsid w:val="00502ED6"/>
    <w:rsid w:val="00503D38"/>
    <w:rsid w:val="00504C3D"/>
    <w:rsid w:val="00505B1A"/>
    <w:rsid w:val="005063FC"/>
    <w:rsid w:val="00506F3C"/>
    <w:rsid w:val="0051044B"/>
    <w:rsid w:val="0051070A"/>
    <w:rsid w:val="005118BE"/>
    <w:rsid w:val="00511925"/>
    <w:rsid w:val="0051209D"/>
    <w:rsid w:val="00512473"/>
    <w:rsid w:val="005127D1"/>
    <w:rsid w:val="00513198"/>
    <w:rsid w:val="00513AA2"/>
    <w:rsid w:val="00513D68"/>
    <w:rsid w:val="005143F5"/>
    <w:rsid w:val="00514A3B"/>
    <w:rsid w:val="00514B73"/>
    <w:rsid w:val="0051516D"/>
    <w:rsid w:val="005158EF"/>
    <w:rsid w:val="00515F96"/>
    <w:rsid w:val="00516572"/>
    <w:rsid w:val="00516CF4"/>
    <w:rsid w:val="00516D74"/>
    <w:rsid w:val="00516DB0"/>
    <w:rsid w:val="005171DF"/>
    <w:rsid w:val="00517484"/>
    <w:rsid w:val="00517656"/>
    <w:rsid w:val="005179C8"/>
    <w:rsid w:val="00517FB6"/>
    <w:rsid w:val="005202E8"/>
    <w:rsid w:val="005204E9"/>
    <w:rsid w:val="00521C79"/>
    <w:rsid w:val="00521C7B"/>
    <w:rsid w:val="00522A73"/>
    <w:rsid w:val="00522DF0"/>
    <w:rsid w:val="005230F0"/>
    <w:rsid w:val="00523A3B"/>
    <w:rsid w:val="00523C90"/>
    <w:rsid w:val="00523D4B"/>
    <w:rsid w:val="00525098"/>
    <w:rsid w:val="00525AE1"/>
    <w:rsid w:val="005266E4"/>
    <w:rsid w:val="00526853"/>
    <w:rsid w:val="00526D8D"/>
    <w:rsid w:val="00527237"/>
    <w:rsid w:val="00527282"/>
    <w:rsid w:val="005277AA"/>
    <w:rsid w:val="005278E4"/>
    <w:rsid w:val="00527A08"/>
    <w:rsid w:val="00530B3F"/>
    <w:rsid w:val="00531118"/>
    <w:rsid w:val="00531522"/>
    <w:rsid w:val="005318D1"/>
    <w:rsid w:val="00531FC2"/>
    <w:rsid w:val="0053315B"/>
    <w:rsid w:val="0053355B"/>
    <w:rsid w:val="0053378B"/>
    <w:rsid w:val="00533A8B"/>
    <w:rsid w:val="00533CDF"/>
    <w:rsid w:val="0053408D"/>
    <w:rsid w:val="00535518"/>
    <w:rsid w:val="00535A4D"/>
    <w:rsid w:val="00535AD6"/>
    <w:rsid w:val="0053607C"/>
    <w:rsid w:val="00536702"/>
    <w:rsid w:val="00536A04"/>
    <w:rsid w:val="00536BD3"/>
    <w:rsid w:val="005375DB"/>
    <w:rsid w:val="00537FBC"/>
    <w:rsid w:val="00540250"/>
    <w:rsid w:val="005406E1"/>
    <w:rsid w:val="00541425"/>
    <w:rsid w:val="00541B34"/>
    <w:rsid w:val="005427D8"/>
    <w:rsid w:val="005429B2"/>
    <w:rsid w:val="00542DC9"/>
    <w:rsid w:val="005439EB"/>
    <w:rsid w:val="005447FA"/>
    <w:rsid w:val="00544A7B"/>
    <w:rsid w:val="00544F1B"/>
    <w:rsid w:val="0054514E"/>
    <w:rsid w:val="0054551F"/>
    <w:rsid w:val="005457DD"/>
    <w:rsid w:val="005464E2"/>
    <w:rsid w:val="00546CA9"/>
    <w:rsid w:val="00546D7B"/>
    <w:rsid w:val="005470E5"/>
    <w:rsid w:val="005473ED"/>
    <w:rsid w:val="0054781E"/>
    <w:rsid w:val="0055019D"/>
    <w:rsid w:val="005502EB"/>
    <w:rsid w:val="005505CA"/>
    <w:rsid w:val="00550608"/>
    <w:rsid w:val="00550A61"/>
    <w:rsid w:val="00550AB1"/>
    <w:rsid w:val="00550C60"/>
    <w:rsid w:val="00551399"/>
    <w:rsid w:val="00551AF7"/>
    <w:rsid w:val="00551FB6"/>
    <w:rsid w:val="00552A96"/>
    <w:rsid w:val="00553362"/>
    <w:rsid w:val="005533E8"/>
    <w:rsid w:val="00553659"/>
    <w:rsid w:val="005537CB"/>
    <w:rsid w:val="00553E45"/>
    <w:rsid w:val="00553E9B"/>
    <w:rsid w:val="00553F0F"/>
    <w:rsid w:val="005548D2"/>
    <w:rsid w:val="00554E23"/>
    <w:rsid w:val="0055503F"/>
    <w:rsid w:val="00555D0F"/>
    <w:rsid w:val="00555DF4"/>
    <w:rsid w:val="00556237"/>
    <w:rsid w:val="005562E9"/>
    <w:rsid w:val="0055657A"/>
    <w:rsid w:val="00556DD8"/>
    <w:rsid w:val="00557134"/>
    <w:rsid w:val="00560061"/>
    <w:rsid w:val="0056189E"/>
    <w:rsid w:val="00561CED"/>
    <w:rsid w:val="00561EF1"/>
    <w:rsid w:val="00562485"/>
    <w:rsid w:val="00562AFC"/>
    <w:rsid w:val="00562BAD"/>
    <w:rsid w:val="00563396"/>
    <w:rsid w:val="00564CB4"/>
    <w:rsid w:val="005652CD"/>
    <w:rsid w:val="005654BC"/>
    <w:rsid w:val="005655A9"/>
    <w:rsid w:val="005656C9"/>
    <w:rsid w:val="00565B33"/>
    <w:rsid w:val="00565BED"/>
    <w:rsid w:val="00565C9A"/>
    <w:rsid w:val="00566635"/>
    <w:rsid w:val="005668C3"/>
    <w:rsid w:val="005670ED"/>
    <w:rsid w:val="005671CB"/>
    <w:rsid w:val="005675A0"/>
    <w:rsid w:val="00567BF8"/>
    <w:rsid w:val="00570FA9"/>
    <w:rsid w:val="00571414"/>
    <w:rsid w:val="00571789"/>
    <w:rsid w:val="00571888"/>
    <w:rsid w:val="00571F58"/>
    <w:rsid w:val="0057262C"/>
    <w:rsid w:val="00572E6F"/>
    <w:rsid w:val="00573650"/>
    <w:rsid w:val="0057386B"/>
    <w:rsid w:val="005739B5"/>
    <w:rsid w:val="00573CB9"/>
    <w:rsid w:val="00574830"/>
    <w:rsid w:val="0057485B"/>
    <w:rsid w:val="005758D3"/>
    <w:rsid w:val="00575CDA"/>
    <w:rsid w:val="0057619B"/>
    <w:rsid w:val="005762D9"/>
    <w:rsid w:val="00576DB5"/>
    <w:rsid w:val="005778F9"/>
    <w:rsid w:val="00580A90"/>
    <w:rsid w:val="00581513"/>
    <w:rsid w:val="0058165A"/>
    <w:rsid w:val="00581AAD"/>
    <w:rsid w:val="00581AD2"/>
    <w:rsid w:val="00581D02"/>
    <w:rsid w:val="00581DCC"/>
    <w:rsid w:val="005838F6"/>
    <w:rsid w:val="00583A0E"/>
    <w:rsid w:val="00583E6D"/>
    <w:rsid w:val="00583EFC"/>
    <w:rsid w:val="0058437E"/>
    <w:rsid w:val="005848DF"/>
    <w:rsid w:val="005849E2"/>
    <w:rsid w:val="00584C96"/>
    <w:rsid w:val="005866DD"/>
    <w:rsid w:val="005879EA"/>
    <w:rsid w:val="00590D65"/>
    <w:rsid w:val="00590FB4"/>
    <w:rsid w:val="00591000"/>
    <w:rsid w:val="00591150"/>
    <w:rsid w:val="00591328"/>
    <w:rsid w:val="00591891"/>
    <w:rsid w:val="00593A3F"/>
    <w:rsid w:val="00593C1E"/>
    <w:rsid w:val="00594B2A"/>
    <w:rsid w:val="00594C41"/>
    <w:rsid w:val="0059504C"/>
    <w:rsid w:val="00595254"/>
    <w:rsid w:val="00596EF4"/>
    <w:rsid w:val="005A061B"/>
    <w:rsid w:val="005A0688"/>
    <w:rsid w:val="005A0928"/>
    <w:rsid w:val="005A0C24"/>
    <w:rsid w:val="005A0CF7"/>
    <w:rsid w:val="005A0E1B"/>
    <w:rsid w:val="005A0EB2"/>
    <w:rsid w:val="005A1976"/>
    <w:rsid w:val="005A28E2"/>
    <w:rsid w:val="005A2DE9"/>
    <w:rsid w:val="005A3BA7"/>
    <w:rsid w:val="005A4664"/>
    <w:rsid w:val="005A46B7"/>
    <w:rsid w:val="005A4D64"/>
    <w:rsid w:val="005A4E15"/>
    <w:rsid w:val="005A5175"/>
    <w:rsid w:val="005A5607"/>
    <w:rsid w:val="005A5A0F"/>
    <w:rsid w:val="005A5F45"/>
    <w:rsid w:val="005A6069"/>
    <w:rsid w:val="005A7222"/>
    <w:rsid w:val="005A782A"/>
    <w:rsid w:val="005A79FF"/>
    <w:rsid w:val="005A7C47"/>
    <w:rsid w:val="005A7E2A"/>
    <w:rsid w:val="005B0424"/>
    <w:rsid w:val="005B074A"/>
    <w:rsid w:val="005B0F34"/>
    <w:rsid w:val="005B13B5"/>
    <w:rsid w:val="005B14E7"/>
    <w:rsid w:val="005B1901"/>
    <w:rsid w:val="005B1DB7"/>
    <w:rsid w:val="005B35D1"/>
    <w:rsid w:val="005B35E1"/>
    <w:rsid w:val="005B3BEA"/>
    <w:rsid w:val="005B3D40"/>
    <w:rsid w:val="005B431E"/>
    <w:rsid w:val="005B4964"/>
    <w:rsid w:val="005B4E03"/>
    <w:rsid w:val="005B56BC"/>
    <w:rsid w:val="005B5C08"/>
    <w:rsid w:val="005B5D7F"/>
    <w:rsid w:val="005B5FC1"/>
    <w:rsid w:val="005B6E11"/>
    <w:rsid w:val="005B6FC8"/>
    <w:rsid w:val="005B7374"/>
    <w:rsid w:val="005B74DF"/>
    <w:rsid w:val="005B7F8D"/>
    <w:rsid w:val="005C0069"/>
    <w:rsid w:val="005C0E20"/>
    <w:rsid w:val="005C15DE"/>
    <w:rsid w:val="005C183F"/>
    <w:rsid w:val="005C2758"/>
    <w:rsid w:val="005C314F"/>
    <w:rsid w:val="005C3222"/>
    <w:rsid w:val="005C3547"/>
    <w:rsid w:val="005C3B46"/>
    <w:rsid w:val="005C4C32"/>
    <w:rsid w:val="005C4FA9"/>
    <w:rsid w:val="005C4FFA"/>
    <w:rsid w:val="005C59E8"/>
    <w:rsid w:val="005C5BB5"/>
    <w:rsid w:val="005C5CB9"/>
    <w:rsid w:val="005C5DE4"/>
    <w:rsid w:val="005C5EF5"/>
    <w:rsid w:val="005C6A63"/>
    <w:rsid w:val="005C743A"/>
    <w:rsid w:val="005C7AD5"/>
    <w:rsid w:val="005D08B9"/>
    <w:rsid w:val="005D0BE4"/>
    <w:rsid w:val="005D1ADE"/>
    <w:rsid w:val="005D338E"/>
    <w:rsid w:val="005D3687"/>
    <w:rsid w:val="005D3886"/>
    <w:rsid w:val="005D3E81"/>
    <w:rsid w:val="005D3FE9"/>
    <w:rsid w:val="005D491B"/>
    <w:rsid w:val="005D494D"/>
    <w:rsid w:val="005D604A"/>
    <w:rsid w:val="005D61C2"/>
    <w:rsid w:val="005D6BEB"/>
    <w:rsid w:val="005D6D31"/>
    <w:rsid w:val="005D6DBA"/>
    <w:rsid w:val="005D7043"/>
    <w:rsid w:val="005D71E6"/>
    <w:rsid w:val="005D73F3"/>
    <w:rsid w:val="005E038B"/>
    <w:rsid w:val="005E0E0E"/>
    <w:rsid w:val="005E1C02"/>
    <w:rsid w:val="005E1D3D"/>
    <w:rsid w:val="005E2192"/>
    <w:rsid w:val="005E261F"/>
    <w:rsid w:val="005E26B7"/>
    <w:rsid w:val="005E2E1D"/>
    <w:rsid w:val="005E2FA1"/>
    <w:rsid w:val="005E3259"/>
    <w:rsid w:val="005E3D2C"/>
    <w:rsid w:val="005E4723"/>
    <w:rsid w:val="005E4887"/>
    <w:rsid w:val="005E514F"/>
    <w:rsid w:val="005E54EA"/>
    <w:rsid w:val="005E5E8E"/>
    <w:rsid w:val="005E6490"/>
    <w:rsid w:val="005E69AD"/>
    <w:rsid w:val="005E7420"/>
    <w:rsid w:val="005E7A1F"/>
    <w:rsid w:val="005F0027"/>
    <w:rsid w:val="005F0570"/>
    <w:rsid w:val="005F077D"/>
    <w:rsid w:val="005F0939"/>
    <w:rsid w:val="005F0E74"/>
    <w:rsid w:val="005F11BD"/>
    <w:rsid w:val="005F11D9"/>
    <w:rsid w:val="005F19CB"/>
    <w:rsid w:val="005F1A3E"/>
    <w:rsid w:val="005F2F6C"/>
    <w:rsid w:val="005F2FDB"/>
    <w:rsid w:val="005F3ACB"/>
    <w:rsid w:val="005F4592"/>
    <w:rsid w:val="005F4919"/>
    <w:rsid w:val="005F4ECB"/>
    <w:rsid w:val="005F55C1"/>
    <w:rsid w:val="005F5D40"/>
    <w:rsid w:val="005F60B8"/>
    <w:rsid w:val="005F6B08"/>
    <w:rsid w:val="005F6C61"/>
    <w:rsid w:val="005F6C83"/>
    <w:rsid w:val="005F6EF7"/>
    <w:rsid w:val="005F74D5"/>
    <w:rsid w:val="005F7BF1"/>
    <w:rsid w:val="006000DB"/>
    <w:rsid w:val="006003C1"/>
    <w:rsid w:val="006003EB"/>
    <w:rsid w:val="006004BE"/>
    <w:rsid w:val="00600BB6"/>
    <w:rsid w:val="00600CFE"/>
    <w:rsid w:val="00600E9A"/>
    <w:rsid w:val="006017DC"/>
    <w:rsid w:val="0060220B"/>
    <w:rsid w:val="006023DE"/>
    <w:rsid w:val="006028F9"/>
    <w:rsid w:val="0060375E"/>
    <w:rsid w:val="00603815"/>
    <w:rsid w:val="00603959"/>
    <w:rsid w:val="00603B6C"/>
    <w:rsid w:val="00604BF0"/>
    <w:rsid w:val="006058AE"/>
    <w:rsid w:val="00605955"/>
    <w:rsid w:val="00606739"/>
    <w:rsid w:val="00606BD9"/>
    <w:rsid w:val="0060714C"/>
    <w:rsid w:val="0061088E"/>
    <w:rsid w:val="00611419"/>
    <w:rsid w:val="0061165D"/>
    <w:rsid w:val="006119A5"/>
    <w:rsid w:val="00612899"/>
    <w:rsid w:val="00612BD3"/>
    <w:rsid w:val="006130CD"/>
    <w:rsid w:val="00613879"/>
    <w:rsid w:val="0061427C"/>
    <w:rsid w:val="00614C41"/>
    <w:rsid w:val="00615362"/>
    <w:rsid w:val="0061599C"/>
    <w:rsid w:val="00616584"/>
    <w:rsid w:val="00616CAD"/>
    <w:rsid w:val="006171EE"/>
    <w:rsid w:val="00617A19"/>
    <w:rsid w:val="00621469"/>
    <w:rsid w:val="006215EE"/>
    <w:rsid w:val="0062188E"/>
    <w:rsid w:val="00621C42"/>
    <w:rsid w:val="006232B9"/>
    <w:rsid w:val="006233FA"/>
    <w:rsid w:val="006234B5"/>
    <w:rsid w:val="006241F5"/>
    <w:rsid w:val="00625653"/>
    <w:rsid w:val="0062579D"/>
    <w:rsid w:val="0062581B"/>
    <w:rsid w:val="0062652E"/>
    <w:rsid w:val="00626584"/>
    <w:rsid w:val="006267BC"/>
    <w:rsid w:val="00626962"/>
    <w:rsid w:val="00627179"/>
    <w:rsid w:val="00627D2A"/>
    <w:rsid w:val="00630CF6"/>
    <w:rsid w:val="006311F0"/>
    <w:rsid w:val="006314BD"/>
    <w:rsid w:val="00632083"/>
    <w:rsid w:val="006320C3"/>
    <w:rsid w:val="006321B1"/>
    <w:rsid w:val="006335EC"/>
    <w:rsid w:val="00633C60"/>
    <w:rsid w:val="00634311"/>
    <w:rsid w:val="00634773"/>
    <w:rsid w:val="00634CFD"/>
    <w:rsid w:val="00634E39"/>
    <w:rsid w:val="00636169"/>
    <w:rsid w:val="006362A7"/>
    <w:rsid w:val="00637A35"/>
    <w:rsid w:val="006401FB"/>
    <w:rsid w:val="006416BF"/>
    <w:rsid w:val="006422F5"/>
    <w:rsid w:val="006423D7"/>
    <w:rsid w:val="00642784"/>
    <w:rsid w:val="0064298B"/>
    <w:rsid w:val="0064390D"/>
    <w:rsid w:val="00643998"/>
    <w:rsid w:val="00643AB7"/>
    <w:rsid w:val="00643C33"/>
    <w:rsid w:val="0064428F"/>
    <w:rsid w:val="0064523C"/>
    <w:rsid w:val="00645407"/>
    <w:rsid w:val="0064540D"/>
    <w:rsid w:val="006460B5"/>
    <w:rsid w:val="006470FB"/>
    <w:rsid w:val="0064746D"/>
    <w:rsid w:val="0064767D"/>
    <w:rsid w:val="00647D43"/>
    <w:rsid w:val="00650602"/>
    <w:rsid w:val="00650ACC"/>
    <w:rsid w:val="00651092"/>
    <w:rsid w:val="00651AE9"/>
    <w:rsid w:val="00651EC8"/>
    <w:rsid w:val="0065209E"/>
    <w:rsid w:val="00652F78"/>
    <w:rsid w:val="00653544"/>
    <w:rsid w:val="0065359B"/>
    <w:rsid w:val="00653866"/>
    <w:rsid w:val="00653ABE"/>
    <w:rsid w:val="00653E9E"/>
    <w:rsid w:val="00654AEA"/>
    <w:rsid w:val="00654C54"/>
    <w:rsid w:val="00654D9D"/>
    <w:rsid w:val="006553E2"/>
    <w:rsid w:val="0065580E"/>
    <w:rsid w:val="006560FD"/>
    <w:rsid w:val="00656AC4"/>
    <w:rsid w:val="00656BD8"/>
    <w:rsid w:val="00656F25"/>
    <w:rsid w:val="00656F3B"/>
    <w:rsid w:val="006576AA"/>
    <w:rsid w:val="00657901"/>
    <w:rsid w:val="00660AB0"/>
    <w:rsid w:val="00660ED8"/>
    <w:rsid w:val="00660F04"/>
    <w:rsid w:val="00661773"/>
    <w:rsid w:val="00661EB3"/>
    <w:rsid w:val="00662CC6"/>
    <w:rsid w:val="00662E84"/>
    <w:rsid w:val="006636A6"/>
    <w:rsid w:val="00664303"/>
    <w:rsid w:val="00664925"/>
    <w:rsid w:val="00664989"/>
    <w:rsid w:val="00664CE7"/>
    <w:rsid w:val="006657ED"/>
    <w:rsid w:val="00666AA9"/>
    <w:rsid w:val="00666DE4"/>
    <w:rsid w:val="00666EF9"/>
    <w:rsid w:val="00667D9D"/>
    <w:rsid w:val="00667E13"/>
    <w:rsid w:val="00667F2D"/>
    <w:rsid w:val="00670392"/>
    <w:rsid w:val="0067098E"/>
    <w:rsid w:val="00670E89"/>
    <w:rsid w:val="00671790"/>
    <w:rsid w:val="006721C0"/>
    <w:rsid w:val="00672265"/>
    <w:rsid w:val="00672BD8"/>
    <w:rsid w:val="00672E8C"/>
    <w:rsid w:val="00673CF8"/>
    <w:rsid w:val="006750FC"/>
    <w:rsid w:val="00675474"/>
    <w:rsid w:val="00675900"/>
    <w:rsid w:val="00676D7D"/>
    <w:rsid w:val="00676E79"/>
    <w:rsid w:val="006809A0"/>
    <w:rsid w:val="00680A2B"/>
    <w:rsid w:val="00680C75"/>
    <w:rsid w:val="00680EED"/>
    <w:rsid w:val="00681553"/>
    <w:rsid w:val="00681D2A"/>
    <w:rsid w:val="00681E9A"/>
    <w:rsid w:val="0068231D"/>
    <w:rsid w:val="00682ABB"/>
    <w:rsid w:val="00683FA7"/>
    <w:rsid w:val="006845FC"/>
    <w:rsid w:val="0068480B"/>
    <w:rsid w:val="006849B7"/>
    <w:rsid w:val="006849FF"/>
    <w:rsid w:val="00685ECC"/>
    <w:rsid w:val="006862CF"/>
    <w:rsid w:val="006865EF"/>
    <w:rsid w:val="006871F2"/>
    <w:rsid w:val="006876DF"/>
    <w:rsid w:val="00687C0D"/>
    <w:rsid w:val="00690651"/>
    <w:rsid w:val="006906FA"/>
    <w:rsid w:val="00690FBE"/>
    <w:rsid w:val="006915FE"/>
    <w:rsid w:val="006918B5"/>
    <w:rsid w:val="00691D73"/>
    <w:rsid w:val="00692382"/>
    <w:rsid w:val="00692685"/>
    <w:rsid w:val="00692870"/>
    <w:rsid w:val="00692E28"/>
    <w:rsid w:val="00692F2E"/>
    <w:rsid w:val="00693228"/>
    <w:rsid w:val="006937B6"/>
    <w:rsid w:val="0069392D"/>
    <w:rsid w:val="00694026"/>
    <w:rsid w:val="00694589"/>
    <w:rsid w:val="00694C12"/>
    <w:rsid w:val="00694D47"/>
    <w:rsid w:val="0069558F"/>
    <w:rsid w:val="00695F6B"/>
    <w:rsid w:val="00695FFF"/>
    <w:rsid w:val="006967FF"/>
    <w:rsid w:val="006972B3"/>
    <w:rsid w:val="00697A04"/>
    <w:rsid w:val="00697ADE"/>
    <w:rsid w:val="00697D6E"/>
    <w:rsid w:val="006A022F"/>
    <w:rsid w:val="006A0C58"/>
    <w:rsid w:val="006A111C"/>
    <w:rsid w:val="006A1248"/>
    <w:rsid w:val="006A18EF"/>
    <w:rsid w:val="006A1CFB"/>
    <w:rsid w:val="006A1DC2"/>
    <w:rsid w:val="006A230A"/>
    <w:rsid w:val="006A289C"/>
    <w:rsid w:val="006A2903"/>
    <w:rsid w:val="006A2B61"/>
    <w:rsid w:val="006A2EB1"/>
    <w:rsid w:val="006A31C7"/>
    <w:rsid w:val="006A31E2"/>
    <w:rsid w:val="006A444E"/>
    <w:rsid w:val="006A46A7"/>
    <w:rsid w:val="006A5157"/>
    <w:rsid w:val="006A58B6"/>
    <w:rsid w:val="006A59E2"/>
    <w:rsid w:val="006A5BE9"/>
    <w:rsid w:val="006A67A0"/>
    <w:rsid w:val="006A76A6"/>
    <w:rsid w:val="006B00A4"/>
    <w:rsid w:val="006B026A"/>
    <w:rsid w:val="006B0279"/>
    <w:rsid w:val="006B09BE"/>
    <w:rsid w:val="006B0E4F"/>
    <w:rsid w:val="006B0E73"/>
    <w:rsid w:val="006B0FD4"/>
    <w:rsid w:val="006B148A"/>
    <w:rsid w:val="006B1F44"/>
    <w:rsid w:val="006B2CB5"/>
    <w:rsid w:val="006B2D75"/>
    <w:rsid w:val="006B3121"/>
    <w:rsid w:val="006B32E4"/>
    <w:rsid w:val="006B3806"/>
    <w:rsid w:val="006B386E"/>
    <w:rsid w:val="006B3BB2"/>
    <w:rsid w:val="006B45FD"/>
    <w:rsid w:val="006B466F"/>
    <w:rsid w:val="006B4A42"/>
    <w:rsid w:val="006B4EAA"/>
    <w:rsid w:val="006B5AFA"/>
    <w:rsid w:val="006B5DBA"/>
    <w:rsid w:val="006B5FE2"/>
    <w:rsid w:val="006B64DC"/>
    <w:rsid w:val="006B65D4"/>
    <w:rsid w:val="006B66A1"/>
    <w:rsid w:val="006B7B2C"/>
    <w:rsid w:val="006B7E38"/>
    <w:rsid w:val="006C1031"/>
    <w:rsid w:val="006C13CF"/>
    <w:rsid w:val="006C172C"/>
    <w:rsid w:val="006C2929"/>
    <w:rsid w:val="006C2ABF"/>
    <w:rsid w:val="006C2AC5"/>
    <w:rsid w:val="006C3595"/>
    <w:rsid w:val="006C3A65"/>
    <w:rsid w:val="006C42D0"/>
    <w:rsid w:val="006C44BE"/>
    <w:rsid w:val="006C44C1"/>
    <w:rsid w:val="006C458F"/>
    <w:rsid w:val="006C5360"/>
    <w:rsid w:val="006C581A"/>
    <w:rsid w:val="006C5E55"/>
    <w:rsid w:val="006C640F"/>
    <w:rsid w:val="006C669F"/>
    <w:rsid w:val="006C6883"/>
    <w:rsid w:val="006C6AA6"/>
    <w:rsid w:val="006C7189"/>
    <w:rsid w:val="006C71C8"/>
    <w:rsid w:val="006C7A6A"/>
    <w:rsid w:val="006D0B17"/>
    <w:rsid w:val="006D0BF8"/>
    <w:rsid w:val="006D16A7"/>
    <w:rsid w:val="006D1A91"/>
    <w:rsid w:val="006D27DC"/>
    <w:rsid w:val="006D2867"/>
    <w:rsid w:val="006D2B7F"/>
    <w:rsid w:val="006D31A0"/>
    <w:rsid w:val="006D3AE2"/>
    <w:rsid w:val="006D4276"/>
    <w:rsid w:val="006D4368"/>
    <w:rsid w:val="006D440A"/>
    <w:rsid w:val="006D47CD"/>
    <w:rsid w:val="006D4AA5"/>
    <w:rsid w:val="006D53F1"/>
    <w:rsid w:val="006D549E"/>
    <w:rsid w:val="006D592E"/>
    <w:rsid w:val="006D62F6"/>
    <w:rsid w:val="006D6333"/>
    <w:rsid w:val="006D662E"/>
    <w:rsid w:val="006D691C"/>
    <w:rsid w:val="006D7183"/>
    <w:rsid w:val="006D7AA7"/>
    <w:rsid w:val="006E04A9"/>
    <w:rsid w:val="006E06A8"/>
    <w:rsid w:val="006E15E8"/>
    <w:rsid w:val="006E1704"/>
    <w:rsid w:val="006E1891"/>
    <w:rsid w:val="006E1DAF"/>
    <w:rsid w:val="006E2333"/>
    <w:rsid w:val="006E2362"/>
    <w:rsid w:val="006E242D"/>
    <w:rsid w:val="006E2509"/>
    <w:rsid w:val="006E3258"/>
    <w:rsid w:val="006E3703"/>
    <w:rsid w:val="006E3B34"/>
    <w:rsid w:val="006E3C52"/>
    <w:rsid w:val="006E44CB"/>
    <w:rsid w:val="006E4644"/>
    <w:rsid w:val="006E48C1"/>
    <w:rsid w:val="006E4F81"/>
    <w:rsid w:val="006E51BC"/>
    <w:rsid w:val="006E5343"/>
    <w:rsid w:val="006E5B81"/>
    <w:rsid w:val="006E6A9D"/>
    <w:rsid w:val="006E6B07"/>
    <w:rsid w:val="006E74A8"/>
    <w:rsid w:val="006E7667"/>
    <w:rsid w:val="006F0489"/>
    <w:rsid w:val="006F0C22"/>
    <w:rsid w:val="006F0F38"/>
    <w:rsid w:val="006F0F80"/>
    <w:rsid w:val="006F17A1"/>
    <w:rsid w:val="006F23EC"/>
    <w:rsid w:val="006F28F3"/>
    <w:rsid w:val="006F2D6A"/>
    <w:rsid w:val="006F41ED"/>
    <w:rsid w:val="006F466F"/>
    <w:rsid w:val="006F4BB0"/>
    <w:rsid w:val="006F5630"/>
    <w:rsid w:val="006F60AF"/>
    <w:rsid w:val="006F74E8"/>
    <w:rsid w:val="006F7649"/>
    <w:rsid w:val="00700155"/>
    <w:rsid w:val="0070080F"/>
    <w:rsid w:val="00701B00"/>
    <w:rsid w:val="007022FA"/>
    <w:rsid w:val="007026EC"/>
    <w:rsid w:val="00702BBF"/>
    <w:rsid w:val="007032D6"/>
    <w:rsid w:val="00703412"/>
    <w:rsid w:val="00703EE1"/>
    <w:rsid w:val="00704AC5"/>
    <w:rsid w:val="00704CB5"/>
    <w:rsid w:val="00705140"/>
    <w:rsid w:val="007051C0"/>
    <w:rsid w:val="00705D8D"/>
    <w:rsid w:val="0070630A"/>
    <w:rsid w:val="007069CC"/>
    <w:rsid w:val="00706C16"/>
    <w:rsid w:val="007070EE"/>
    <w:rsid w:val="00707503"/>
    <w:rsid w:val="00710640"/>
    <w:rsid w:val="00711501"/>
    <w:rsid w:val="007119CE"/>
    <w:rsid w:val="007126B2"/>
    <w:rsid w:val="007132D7"/>
    <w:rsid w:val="00713E6E"/>
    <w:rsid w:val="00713F7B"/>
    <w:rsid w:val="0071404D"/>
    <w:rsid w:val="00714B12"/>
    <w:rsid w:val="00714D0F"/>
    <w:rsid w:val="00714DC7"/>
    <w:rsid w:val="00715282"/>
    <w:rsid w:val="0071567B"/>
    <w:rsid w:val="00715911"/>
    <w:rsid w:val="00715B1D"/>
    <w:rsid w:val="00715DE8"/>
    <w:rsid w:val="007165CD"/>
    <w:rsid w:val="00716A15"/>
    <w:rsid w:val="00716F07"/>
    <w:rsid w:val="007172E3"/>
    <w:rsid w:val="007179A4"/>
    <w:rsid w:val="00717A06"/>
    <w:rsid w:val="00720609"/>
    <w:rsid w:val="00720818"/>
    <w:rsid w:val="0072134F"/>
    <w:rsid w:val="00721A50"/>
    <w:rsid w:val="00721CFE"/>
    <w:rsid w:val="007229C2"/>
    <w:rsid w:val="007235CD"/>
    <w:rsid w:val="00723613"/>
    <w:rsid w:val="00724A9A"/>
    <w:rsid w:val="0072515A"/>
    <w:rsid w:val="0072544B"/>
    <w:rsid w:val="00725603"/>
    <w:rsid w:val="00726405"/>
    <w:rsid w:val="00726637"/>
    <w:rsid w:val="00726A77"/>
    <w:rsid w:val="00726E68"/>
    <w:rsid w:val="0072741C"/>
    <w:rsid w:val="007277CD"/>
    <w:rsid w:val="00727BCF"/>
    <w:rsid w:val="00730903"/>
    <w:rsid w:val="00730E74"/>
    <w:rsid w:val="0073180D"/>
    <w:rsid w:val="00731B8C"/>
    <w:rsid w:val="00732033"/>
    <w:rsid w:val="00732042"/>
    <w:rsid w:val="00733247"/>
    <w:rsid w:val="00734BD2"/>
    <w:rsid w:val="007353B7"/>
    <w:rsid w:val="00735B87"/>
    <w:rsid w:val="007365CD"/>
    <w:rsid w:val="00736B91"/>
    <w:rsid w:val="00737242"/>
    <w:rsid w:val="0073739D"/>
    <w:rsid w:val="007379D4"/>
    <w:rsid w:val="00737E45"/>
    <w:rsid w:val="0074081C"/>
    <w:rsid w:val="007411D8"/>
    <w:rsid w:val="00741845"/>
    <w:rsid w:val="00741C0D"/>
    <w:rsid w:val="0074314C"/>
    <w:rsid w:val="0074318A"/>
    <w:rsid w:val="007435DA"/>
    <w:rsid w:val="00743F6D"/>
    <w:rsid w:val="00743F9E"/>
    <w:rsid w:val="007441E7"/>
    <w:rsid w:val="00744298"/>
    <w:rsid w:val="007446B8"/>
    <w:rsid w:val="0074483A"/>
    <w:rsid w:val="0074497A"/>
    <w:rsid w:val="00744F17"/>
    <w:rsid w:val="007466CF"/>
    <w:rsid w:val="00746C47"/>
    <w:rsid w:val="007474E5"/>
    <w:rsid w:val="00750D3E"/>
    <w:rsid w:val="0075158C"/>
    <w:rsid w:val="00751652"/>
    <w:rsid w:val="00751677"/>
    <w:rsid w:val="007516C1"/>
    <w:rsid w:val="007516EC"/>
    <w:rsid w:val="00751C29"/>
    <w:rsid w:val="0075285C"/>
    <w:rsid w:val="00752AA1"/>
    <w:rsid w:val="00754189"/>
    <w:rsid w:val="00754696"/>
    <w:rsid w:val="00754AF7"/>
    <w:rsid w:val="00754C97"/>
    <w:rsid w:val="00755C02"/>
    <w:rsid w:val="00755DEA"/>
    <w:rsid w:val="00755F50"/>
    <w:rsid w:val="007562DF"/>
    <w:rsid w:val="007565E1"/>
    <w:rsid w:val="00756BC4"/>
    <w:rsid w:val="00756C14"/>
    <w:rsid w:val="00756D27"/>
    <w:rsid w:val="007576B5"/>
    <w:rsid w:val="00757A12"/>
    <w:rsid w:val="00760C58"/>
    <w:rsid w:val="00760E13"/>
    <w:rsid w:val="007619C9"/>
    <w:rsid w:val="007620CE"/>
    <w:rsid w:val="007630B9"/>
    <w:rsid w:val="007631E5"/>
    <w:rsid w:val="0076337C"/>
    <w:rsid w:val="007635B3"/>
    <w:rsid w:val="00763A6B"/>
    <w:rsid w:val="00763D01"/>
    <w:rsid w:val="00763EDE"/>
    <w:rsid w:val="00764920"/>
    <w:rsid w:val="00765757"/>
    <w:rsid w:val="007657FB"/>
    <w:rsid w:val="00765FD6"/>
    <w:rsid w:val="0076638B"/>
    <w:rsid w:val="0076672F"/>
    <w:rsid w:val="0076689C"/>
    <w:rsid w:val="00770220"/>
    <w:rsid w:val="00770BB0"/>
    <w:rsid w:val="00770E8B"/>
    <w:rsid w:val="00772795"/>
    <w:rsid w:val="007730A2"/>
    <w:rsid w:val="007734BC"/>
    <w:rsid w:val="007737D8"/>
    <w:rsid w:val="007739FB"/>
    <w:rsid w:val="00775E27"/>
    <w:rsid w:val="00776055"/>
    <w:rsid w:val="00777379"/>
    <w:rsid w:val="00777975"/>
    <w:rsid w:val="007779A1"/>
    <w:rsid w:val="00780FFD"/>
    <w:rsid w:val="0078249B"/>
    <w:rsid w:val="00782A0A"/>
    <w:rsid w:val="00784069"/>
    <w:rsid w:val="00784303"/>
    <w:rsid w:val="007843FA"/>
    <w:rsid w:val="007846B1"/>
    <w:rsid w:val="007847C7"/>
    <w:rsid w:val="00785CBF"/>
    <w:rsid w:val="00785CD0"/>
    <w:rsid w:val="00785F69"/>
    <w:rsid w:val="007868ED"/>
    <w:rsid w:val="00786E80"/>
    <w:rsid w:val="007873B5"/>
    <w:rsid w:val="007878D7"/>
    <w:rsid w:val="0079045E"/>
    <w:rsid w:val="0079099C"/>
    <w:rsid w:val="00791149"/>
    <w:rsid w:val="0079193E"/>
    <w:rsid w:val="00791B98"/>
    <w:rsid w:val="00791D40"/>
    <w:rsid w:val="00791FB5"/>
    <w:rsid w:val="00792125"/>
    <w:rsid w:val="0079222E"/>
    <w:rsid w:val="007924AD"/>
    <w:rsid w:val="0079287D"/>
    <w:rsid w:val="00793314"/>
    <w:rsid w:val="00793B72"/>
    <w:rsid w:val="00793EB0"/>
    <w:rsid w:val="007944D1"/>
    <w:rsid w:val="0079558B"/>
    <w:rsid w:val="00795709"/>
    <w:rsid w:val="00796865"/>
    <w:rsid w:val="00796C7B"/>
    <w:rsid w:val="007974AC"/>
    <w:rsid w:val="00797D68"/>
    <w:rsid w:val="00797DAC"/>
    <w:rsid w:val="007A05DD"/>
    <w:rsid w:val="007A09F2"/>
    <w:rsid w:val="007A0C05"/>
    <w:rsid w:val="007A0C29"/>
    <w:rsid w:val="007A2238"/>
    <w:rsid w:val="007A3D04"/>
    <w:rsid w:val="007A3E91"/>
    <w:rsid w:val="007A428C"/>
    <w:rsid w:val="007A48F2"/>
    <w:rsid w:val="007A4CA5"/>
    <w:rsid w:val="007A4EC9"/>
    <w:rsid w:val="007A5BE7"/>
    <w:rsid w:val="007A5C34"/>
    <w:rsid w:val="007A603D"/>
    <w:rsid w:val="007A6226"/>
    <w:rsid w:val="007A6800"/>
    <w:rsid w:val="007A6F31"/>
    <w:rsid w:val="007A7B6F"/>
    <w:rsid w:val="007A7E17"/>
    <w:rsid w:val="007B00D7"/>
    <w:rsid w:val="007B03FD"/>
    <w:rsid w:val="007B122C"/>
    <w:rsid w:val="007B1D8F"/>
    <w:rsid w:val="007B25E6"/>
    <w:rsid w:val="007B2C6B"/>
    <w:rsid w:val="007B3CAE"/>
    <w:rsid w:val="007B3D84"/>
    <w:rsid w:val="007B432F"/>
    <w:rsid w:val="007B440C"/>
    <w:rsid w:val="007B494F"/>
    <w:rsid w:val="007B5221"/>
    <w:rsid w:val="007B5483"/>
    <w:rsid w:val="007B5733"/>
    <w:rsid w:val="007B57FB"/>
    <w:rsid w:val="007B660C"/>
    <w:rsid w:val="007B75E1"/>
    <w:rsid w:val="007B790C"/>
    <w:rsid w:val="007B794C"/>
    <w:rsid w:val="007C042E"/>
    <w:rsid w:val="007C0442"/>
    <w:rsid w:val="007C0A7D"/>
    <w:rsid w:val="007C146F"/>
    <w:rsid w:val="007C14EC"/>
    <w:rsid w:val="007C2D1B"/>
    <w:rsid w:val="007C3F67"/>
    <w:rsid w:val="007C3FE6"/>
    <w:rsid w:val="007C42AC"/>
    <w:rsid w:val="007C4758"/>
    <w:rsid w:val="007C55FA"/>
    <w:rsid w:val="007C6E22"/>
    <w:rsid w:val="007C6EB1"/>
    <w:rsid w:val="007C70B9"/>
    <w:rsid w:val="007C797A"/>
    <w:rsid w:val="007D0256"/>
    <w:rsid w:val="007D0B44"/>
    <w:rsid w:val="007D11BB"/>
    <w:rsid w:val="007D1852"/>
    <w:rsid w:val="007D2322"/>
    <w:rsid w:val="007D2497"/>
    <w:rsid w:val="007D2711"/>
    <w:rsid w:val="007D2A6B"/>
    <w:rsid w:val="007D35A9"/>
    <w:rsid w:val="007D46C4"/>
    <w:rsid w:val="007D46D5"/>
    <w:rsid w:val="007D4AB7"/>
    <w:rsid w:val="007D5348"/>
    <w:rsid w:val="007D64B4"/>
    <w:rsid w:val="007D67D1"/>
    <w:rsid w:val="007D6C86"/>
    <w:rsid w:val="007E0C23"/>
    <w:rsid w:val="007E16E5"/>
    <w:rsid w:val="007E1AAB"/>
    <w:rsid w:val="007E1FF7"/>
    <w:rsid w:val="007E2AF4"/>
    <w:rsid w:val="007E2DB6"/>
    <w:rsid w:val="007E2EE9"/>
    <w:rsid w:val="007E302C"/>
    <w:rsid w:val="007E3A4E"/>
    <w:rsid w:val="007E3CF4"/>
    <w:rsid w:val="007E3FCD"/>
    <w:rsid w:val="007E438C"/>
    <w:rsid w:val="007E4F0E"/>
    <w:rsid w:val="007E5D2F"/>
    <w:rsid w:val="007E6534"/>
    <w:rsid w:val="007E7FC3"/>
    <w:rsid w:val="007F0735"/>
    <w:rsid w:val="007F0A23"/>
    <w:rsid w:val="007F0D8D"/>
    <w:rsid w:val="007F1234"/>
    <w:rsid w:val="007F156D"/>
    <w:rsid w:val="007F18C6"/>
    <w:rsid w:val="007F1978"/>
    <w:rsid w:val="007F19CA"/>
    <w:rsid w:val="007F1A14"/>
    <w:rsid w:val="007F2557"/>
    <w:rsid w:val="007F2C34"/>
    <w:rsid w:val="007F39D4"/>
    <w:rsid w:val="007F41DC"/>
    <w:rsid w:val="007F5AFB"/>
    <w:rsid w:val="007F5C7A"/>
    <w:rsid w:val="007F5F7A"/>
    <w:rsid w:val="007F653A"/>
    <w:rsid w:val="007F6920"/>
    <w:rsid w:val="007F6BE4"/>
    <w:rsid w:val="007F6E14"/>
    <w:rsid w:val="007F7A84"/>
    <w:rsid w:val="007F7AEF"/>
    <w:rsid w:val="008000E4"/>
    <w:rsid w:val="008008B0"/>
    <w:rsid w:val="00801402"/>
    <w:rsid w:val="008018B2"/>
    <w:rsid w:val="00801D4D"/>
    <w:rsid w:val="00801E9C"/>
    <w:rsid w:val="008020A1"/>
    <w:rsid w:val="008023A5"/>
    <w:rsid w:val="0080260C"/>
    <w:rsid w:val="0080363E"/>
    <w:rsid w:val="00803778"/>
    <w:rsid w:val="00803FD2"/>
    <w:rsid w:val="008044A1"/>
    <w:rsid w:val="00804ACF"/>
    <w:rsid w:val="00804B23"/>
    <w:rsid w:val="00804CA4"/>
    <w:rsid w:val="00805A78"/>
    <w:rsid w:val="00805D83"/>
    <w:rsid w:val="00805F43"/>
    <w:rsid w:val="00806572"/>
    <w:rsid w:val="00806654"/>
    <w:rsid w:val="00806716"/>
    <w:rsid w:val="008067EB"/>
    <w:rsid w:val="00806CAF"/>
    <w:rsid w:val="0080715C"/>
    <w:rsid w:val="00807250"/>
    <w:rsid w:val="008075F3"/>
    <w:rsid w:val="00807BAF"/>
    <w:rsid w:val="00810759"/>
    <w:rsid w:val="008107F7"/>
    <w:rsid w:val="008114FD"/>
    <w:rsid w:val="00811CFE"/>
    <w:rsid w:val="008123A4"/>
    <w:rsid w:val="00813125"/>
    <w:rsid w:val="00814112"/>
    <w:rsid w:val="008144BE"/>
    <w:rsid w:val="00814BFA"/>
    <w:rsid w:val="00814C61"/>
    <w:rsid w:val="008154B6"/>
    <w:rsid w:val="00815613"/>
    <w:rsid w:val="0081659E"/>
    <w:rsid w:val="00816FC7"/>
    <w:rsid w:val="0081716A"/>
    <w:rsid w:val="0081742C"/>
    <w:rsid w:val="00817461"/>
    <w:rsid w:val="00817F97"/>
    <w:rsid w:val="00820FAF"/>
    <w:rsid w:val="00821781"/>
    <w:rsid w:val="00821855"/>
    <w:rsid w:val="00821C63"/>
    <w:rsid w:val="00822133"/>
    <w:rsid w:val="00822A81"/>
    <w:rsid w:val="00822E80"/>
    <w:rsid w:val="008232D5"/>
    <w:rsid w:val="008241C9"/>
    <w:rsid w:val="00824A64"/>
    <w:rsid w:val="00825281"/>
    <w:rsid w:val="00825677"/>
    <w:rsid w:val="00826DCA"/>
    <w:rsid w:val="008273D6"/>
    <w:rsid w:val="00827526"/>
    <w:rsid w:val="00827C15"/>
    <w:rsid w:val="0083086C"/>
    <w:rsid w:val="0083099E"/>
    <w:rsid w:val="00830D42"/>
    <w:rsid w:val="00831879"/>
    <w:rsid w:val="0083190F"/>
    <w:rsid w:val="00831CA8"/>
    <w:rsid w:val="0083244D"/>
    <w:rsid w:val="008325C3"/>
    <w:rsid w:val="00832BCE"/>
    <w:rsid w:val="00833279"/>
    <w:rsid w:val="00833566"/>
    <w:rsid w:val="0083366A"/>
    <w:rsid w:val="00833945"/>
    <w:rsid w:val="0083397B"/>
    <w:rsid w:val="008339C7"/>
    <w:rsid w:val="008342D3"/>
    <w:rsid w:val="008343A7"/>
    <w:rsid w:val="00834B30"/>
    <w:rsid w:val="008354CF"/>
    <w:rsid w:val="008356EE"/>
    <w:rsid w:val="008358CC"/>
    <w:rsid w:val="00835C53"/>
    <w:rsid w:val="00836725"/>
    <w:rsid w:val="00837443"/>
    <w:rsid w:val="0083773B"/>
    <w:rsid w:val="008378B0"/>
    <w:rsid w:val="00837938"/>
    <w:rsid w:val="00837B8F"/>
    <w:rsid w:val="00840001"/>
    <w:rsid w:val="00840427"/>
    <w:rsid w:val="008408F8"/>
    <w:rsid w:val="0084096D"/>
    <w:rsid w:val="00840DED"/>
    <w:rsid w:val="00840E09"/>
    <w:rsid w:val="008410ED"/>
    <w:rsid w:val="0084115F"/>
    <w:rsid w:val="008415C2"/>
    <w:rsid w:val="00841D34"/>
    <w:rsid w:val="008426F2"/>
    <w:rsid w:val="00842F99"/>
    <w:rsid w:val="00843065"/>
    <w:rsid w:val="008440B9"/>
    <w:rsid w:val="00844A85"/>
    <w:rsid w:val="0084509D"/>
    <w:rsid w:val="00845C1C"/>
    <w:rsid w:val="0084607E"/>
    <w:rsid w:val="00846299"/>
    <w:rsid w:val="00846516"/>
    <w:rsid w:val="0084679F"/>
    <w:rsid w:val="00846E5A"/>
    <w:rsid w:val="00846E9E"/>
    <w:rsid w:val="00847A23"/>
    <w:rsid w:val="0085008A"/>
    <w:rsid w:val="00850256"/>
    <w:rsid w:val="00850559"/>
    <w:rsid w:val="008514E7"/>
    <w:rsid w:val="00851699"/>
    <w:rsid w:val="00851A09"/>
    <w:rsid w:val="00851AB9"/>
    <w:rsid w:val="00851E1A"/>
    <w:rsid w:val="0085235E"/>
    <w:rsid w:val="00852425"/>
    <w:rsid w:val="0085327C"/>
    <w:rsid w:val="00853322"/>
    <w:rsid w:val="00853E2A"/>
    <w:rsid w:val="0085452E"/>
    <w:rsid w:val="008546A9"/>
    <w:rsid w:val="008548BC"/>
    <w:rsid w:val="00854A97"/>
    <w:rsid w:val="00854C47"/>
    <w:rsid w:val="008552BD"/>
    <w:rsid w:val="0085543A"/>
    <w:rsid w:val="00855463"/>
    <w:rsid w:val="00855533"/>
    <w:rsid w:val="00855A48"/>
    <w:rsid w:val="008565A6"/>
    <w:rsid w:val="00856FF8"/>
    <w:rsid w:val="00857338"/>
    <w:rsid w:val="008573B2"/>
    <w:rsid w:val="008579E3"/>
    <w:rsid w:val="00857B47"/>
    <w:rsid w:val="00860105"/>
    <w:rsid w:val="008605B3"/>
    <w:rsid w:val="00860AA0"/>
    <w:rsid w:val="00860CE0"/>
    <w:rsid w:val="008612EB"/>
    <w:rsid w:val="00861D10"/>
    <w:rsid w:val="0086206A"/>
    <w:rsid w:val="008627FD"/>
    <w:rsid w:val="00863A2A"/>
    <w:rsid w:val="00863BEF"/>
    <w:rsid w:val="008648AB"/>
    <w:rsid w:val="00865569"/>
    <w:rsid w:val="00865F79"/>
    <w:rsid w:val="008660DD"/>
    <w:rsid w:val="00866352"/>
    <w:rsid w:val="008663BB"/>
    <w:rsid w:val="0086645D"/>
    <w:rsid w:val="00867AB5"/>
    <w:rsid w:val="00870510"/>
    <w:rsid w:val="00870529"/>
    <w:rsid w:val="00870C8B"/>
    <w:rsid w:val="00870DAF"/>
    <w:rsid w:val="00870F81"/>
    <w:rsid w:val="00871422"/>
    <w:rsid w:val="00871520"/>
    <w:rsid w:val="00871C4D"/>
    <w:rsid w:val="008723D1"/>
    <w:rsid w:val="00872CEA"/>
    <w:rsid w:val="00873BCB"/>
    <w:rsid w:val="008740B9"/>
    <w:rsid w:val="00874731"/>
    <w:rsid w:val="00874943"/>
    <w:rsid w:val="00874F23"/>
    <w:rsid w:val="00875213"/>
    <w:rsid w:val="0087540F"/>
    <w:rsid w:val="0087706C"/>
    <w:rsid w:val="0087740F"/>
    <w:rsid w:val="00877BCF"/>
    <w:rsid w:val="008806F3"/>
    <w:rsid w:val="0088129E"/>
    <w:rsid w:val="0088137B"/>
    <w:rsid w:val="0088140B"/>
    <w:rsid w:val="00881B6E"/>
    <w:rsid w:val="008825A0"/>
    <w:rsid w:val="00885066"/>
    <w:rsid w:val="008852C0"/>
    <w:rsid w:val="00885ADC"/>
    <w:rsid w:val="00885CC0"/>
    <w:rsid w:val="008866E9"/>
    <w:rsid w:val="00886A87"/>
    <w:rsid w:val="00886C20"/>
    <w:rsid w:val="00886C92"/>
    <w:rsid w:val="008871D1"/>
    <w:rsid w:val="00887C10"/>
    <w:rsid w:val="00887C24"/>
    <w:rsid w:val="00890720"/>
    <w:rsid w:val="00890BEE"/>
    <w:rsid w:val="00890FB2"/>
    <w:rsid w:val="0089113B"/>
    <w:rsid w:val="008918E0"/>
    <w:rsid w:val="00891E04"/>
    <w:rsid w:val="00892532"/>
    <w:rsid w:val="00892C67"/>
    <w:rsid w:val="00893020"/>
    <w:rsid w:val="00893518"/>
    <w:rsid w:val="0089380D"/>
    <w:rsid w:val="008939A6"/>
    <w:rsid w:val="00893C3A"/>
    <w:rsid w:val="00893F68"/>
    <w:rsid w:val="0089481F"/>
    <w:rsid w:val="0089493E"/>
    <w:rsid w:val="008952C4"/>
    <w:rsid w:val="0089533E"/>
    <w:rsid w:val="008954C0"/>
    <w:rsid w:val="008962AD"/>
    <w:rsid w:val="008963DE"/>
    <w:rsid w:val="00896798"/>
    <w:rsid w:val="0089705C"/>
    <w:rsid w:val="008978D5"/>
    <w:rsid w:val="00897C72"/>
    <w:rsid w:val="008A0193"/>
    <w:rsid w:val="008A0569"/>
    <w:rsid w:val="008A0897"/>
    <w:rsid w:val="008A1158"/>
    <w:rsid w:val="008A1751"/>
    <w:rsid w:val="008A1814"/>
    <w:rsid w:val="008A1A6A"/>
    <w:rsid w:val="008A1AB0"/>
    <w:rsid w:val="008A2836"/>
    <w:rsid w:val="008A2979"/>
    <w:rsid w:val="008A2C21"/>
    <w:rsid w:val="008A2DE9"/>
    <w:rsid w:val="008A33A4"/>
    <w:rsid w:val="008A362F"/>
    <w:rsid w:val="008A366C"/>
    <w:rsid w:val="008A373D"/>
    <w:rsid w:val="008A3A48"/>
    <w:rsid w:val="008A3CAC"/>
    <w:rsid w:val="008A3D4A"/>
    <w:rsid w:val="008A441B"/>
    <w:rsid w:val="008A4863"/>
    <w:rsid w:val="008A5CBF"/>
    <w:rsid w:val="008A5D8E"/>
    <w:rsid w:val="008A67F7"/>
    <w:rsid w:val="008A722C"/>
    <w:rsid w:val="008B02E2"/>
    <w:rsid w:val="008B0538"/>
    <w:rsid w:val="008B0C40"/>
    <w:rsid w:val="008B1A6B"/>
    <w:rsid w:val="008B1AE2"/>
    <w:rsid w:val="008B1CB6"/>
    <w:rsid w:val="008B1CCF"/>
    <w:rsid w:val="008B2230"/>
    <w:rsid w:val="008B2775"/>
    <w:rsid w:val="008B2952"/>
    <w:rsid w:val="008B2D71"/>
    <w:rsid w:val="008B2F4A"/>
    <w:rsid w:val="008B34C8"/>
    <w:rsid w:val="008B36EE"/>
    <w:rsid w:val="008B3967"/>
    <w:rsid w:val="008B4686"/>
    <w:rsid w:val="008B52FE"/>
    <w:rsid w:val="008B5480"/>
    <w:rsid w:val="008B580F"/>
    <w:rsid w:val="008B5F77"/>
    <w:rsid w:val="008B60FD"/>
    <w:rsid w:val="008B62B5"/>
    <w:rsid w:val="008B6AF6"/>
    <w:rsid w:val="008B76AB"/>
    <w:rsid w:val="008B7848"/>
    <w:rsid w:val="008C0152"/>
    <w:rsid w:val="008C18F4"/>
    <w:rsid w:val="008C1A96"/>
    <w:rsid w:val="008C1E95"/>
    <w:rsid w:val="008C1F6D"/>
    <w:rsid w:val="008C224B"/>
    <w:rsid w:val="008C2A8F"/>
    <w:rsid w:val="008C3446"/>
    <w:rsid w:val="008C3E21"/>
    <w:rsid w:val="008C404D"/>
    <w:rsid w:val="008C45CB"/>
    <w:rsid w:val="008C4A90"/>
    <w:rsid w:val="008C5E2A"/>
    <w:rsid w:val="008C5F54"/>
    <w:rsid w:val="008C5FDA"/>
    <w:rsid w:val="008C6170"/>
    <w:rsid w:val="008C7986"/>
    <w:rsid w:val="008D018B"/>
    <w:rsid w:val="008D0CC2"/>
    <w:rsid w:val="008D12DE"/>
    <w:rsid w:val="008D175A"/>
    <w:rsid w:val="008D18C8"/>
    <w:rsid w:val="008D25B2"/>
    <w:rsid w:val="008D2789"/>
    <w:rsid w:val="008D2D37"/>
    <w:rsid w:val="008D3114"/>
    <w:rsid w:val="008D32BA"/>
    <w:rsid w:val="008D33FF"/>
    <w:rsid w:val="008D36E3"/>
    <w:rsid w:val="008D3BE3"/>
    <w:rsid w:val="008D3DD7"/>
    <w:rsid w:val="008D4038"/>
    <w:rsid w:val="008D4096"/>
    <w:rsid w:val="008D4306"/>
    <w:rsid w:val="008D440F"/>
    <w:rsid w:val="008D5696"/>
    <w:rsid w:val="008D5956"/>
    <w:rsid w:val="008D5B53"/>
    <w:rsid w:val="008D725D"/>
    <w:rsid w:val="008D78D5"/>
    <w:rsid w:val="008D796E"/>
    <w:rsid w:val="008E107E"/>
    <w:rsid w:val="008E15A9"/>
    <w:rsid w:val="008E19AA"/>
    <w:rsid w:val="008E20C8"/>
    <w:rsid w:val="008E35FD"/>
    <w:rsid w:val="008E418D"/>
    <w:rsid w:val="008E41EA"/>
    <w:rsid w:val="008E44A0"/>
    <w:rsid w:val="008E44D2"/>
    <w:rsid w:val="008E4569"/>
    <w:rsid w:val="008E4BBF"/>
    <w:rsid w:val="008E4E18"/>
    <w:rsid w:val="008E5565"/>
    <w:rsid w:val="008E5693"/>
    <w:rsid w:val="008E6D10"/>
    <w:rsid w:val="008E6D2F"/>
    <w:rsid w:val="008E6EDA"/>
    <w:rsid w:val="008E73DE"/>
    <w:rsid w:val="008E7B1E"/>
    <w:rsid w:val="008F0C15"/>
    <w:rsid w:val="008F0DD8"/>
    <w:rsid w:val="008F10C7"/>
    <w:rsid w:val="008F24B3"/>
    <w:rsid w:val="008F2A41"/>
    <w:rsid w:val="008F2D7D"/>
    <w:rsid w:val="008F330B"/>
    <w:rsid w:val="008F347F"/>
    <w:rsid w:val="008F3980"/>
    <w:rsid w:val="008F4093"/>
    <w:rsid w:val="008F4161"/>
    <w:rsid w:val="008F548D"/>
    <w:rsid w:val="008F66D1"/>
    <w:rsid w:val="008F6E87"/>
    <w:rsid w:val="008F6F8B"/>
    <w:rsid w:val="008F7150"/>
    <w:rsid w:val="008F75F7"/>
    <w:rsid w:val="008F7618"/>
    <w:rsid w:val="008F765F"/>
    <w:rsid w:val="008F771A"/>
    <w:rsid w:val="008F784F"/>
    <w:rsid w:val="008F7AD7"/>
    <w:rsid w:val="0090047E"/>
    <w:rsid w:val="00900550"/>
    <w:rsid w:val="00900719"/>
    <w:rsid w:val="009015BE"/>
    <w:rsid w:val="009015EC"/>
    <w:rsid w:val="00901611"/>
    <w:rsid w:val="009017EC"/>
    <w:rsid w:val="00902626"/>
    <w:rsid w:val="009027FB"/>
    <w:rsid w:val="00902EF1"/>
    <w:rsid w:val="00903E14"/>
    <w:rsid w:val="009041FB"/>
    <w:rsid w:val="0090424B"/>
    <w:rsid w:val="00904995"/>
    <w:rsid w:val="0090518A"/>
    <w:rsid w:val="0090539E"/>
    <w:rsid w:val="009056A9"/>
    <w:rsid w:val="00906168"/>
    <w:rsid w:val="009064A2"/>
    <w:rsid w:val="00906B58"/>
    <w:rsid w:val="00906D6C"/>
    <w:rsid w:val="00906FBC"/>
    <w:rsid w:val="00907DAE"/>
    <w:rsid w:val="00910943"/>
    <w:rsid w:val="00910B2F"/>
    <w:rsid w:val="00911455"/>
    <w:rsid w:val="00911572"/>
    <w:rsid w:val="0091178A"/>
    <w:rsid w:val="00912083"/>
    <w:rsid w:val="009127C1"/>
    <w:rsid w:val="00912CB1"/>
    <w:rsid w:val="00913083"/>
    <w:rsid w:val="00913434"/>
    <w:rsid w:val="0091369A"/>
    <w:rsid w:val="00913AC4"/>
    <w:rsid w:val="0091441A"/>
    <w:rsid w:val="00914C3B"/>
    <w:rsid w:val="00915383"/>
    <w:rsid w:val="00915DB5"/>
    <w:rsid w:val="00915EAC"/>
    <w:rsid w:val="00916190"/>
    <w:rsid w:val="0091644F"/>
    <w:rsid w:val="00916D05"/>
    <w:rsid w:val="0091714E"/>
    <w:rsid w:val="009173FC"/>
    <w:rsid w:val="0091766E"/>
    <w:rsid w:val="00920313"/>
    <w:rsid w:val="00920F5F"/>
    <w:rsid w:val="00921C0A"/>
    <w:rsid w:val="00921C4A"/>
    <w:rsid w:val="00921FCF"/>
    <w:rsid w:val="00922665"/>
    <w:rsid w:val="009233FD"/>
    <w:rsid w:val="0092388A"/>
    <w:rsid w:val="00923ED9"/>
    <w:rsid w:val="009240D5"/>
    <w:rsid w:val="00924798"/>
    <w:rsid w:val="00924C9C"/>
    <w:rsid w:val="00925061"/>
    <w:rsid w:val="009257AC"/>
    <w:rsid w:val="00926098"/>
    <w:rsid w:val="009265B0"/>
    <w:rsid w:val="00926919"/>
    <w:rsid w:val="009269D1"/>
    <w:rsid w:val="00926F32"/>
    <w:rsid w:val="009271C1"/>
    <w:rsid w:val="0092732B"/>
    <w:rsid w:val="00927B19"/>
    <w:rsid w:val="00927B92"/>
    <w:rsid w:val="00927DE8"/>
    <w:rsid w:val="0093005A"/>
    <w:rsid w:val="009302FE"/>
    <w:rsid w:val="00930358"/>
    <w:rsid w:val="00930B88"/>
    <w:rsid w:val="009313F6"/>
    <w:rsid w:val="00931F56"/>
    <w:rsid w:val="009325E9"/>
    <w:rsid w:val="00932E08"/>
    <w:rsid w:val="00933591"/>
    <w:rsid w:val="0093519C"/>
    <w:rsid w:val="00935CE2"/>
    <w:rsid w:val="00935F0F"/>
    <w:rsid w:val="0093656A"/>
    <w:rsid w:val="00936B3A"/>
    <w:rsid w:val="0093709A"/>
    <w:rsid w:val="00937774"/>
    <w:rsid w:val="00937AEC"/>
    <w:rsid w:val="00940399"/>
    <w:rsid w:val="00940894"/>
    <w:rsid w:val="00940B69"/>
    <w:rsid w:val="00940FBC"/>
    <w:rsid w:val="00941077"/>
    <w:rsid w:val="0094261F"/>
    <w:rsid w:val="0094280B"/>
    <w:rsid w:val="00942BE2"/>
    <w:rsid w:val="00942C4A"/>
    <w:rsid w:val="00943162"/>
    <w:rsid w:val="009436B5"/>
    <w:rsid w:val="00943B8D"/>
    <w:rsid w:val="00943C49"/>
    <w:rsid w:val="00944020"/>
    <w:rsid w:val="00944057"/>
    <w:rsid w:val="009446E7"/>
    <w:rsid w:val="009446E8"/>
    <w:rsid w:val="00944995"/>
    <w:rsid w:val="00944A65"/>
    <w:rsid w:val="00944D80"/>
    <w:rsid w:val="00944DB9"/>
    <w:rsid w:val="00945180"/>
    <w:rsid w:val="00945413"/>
    <w:rsid w:val="00945B9C"/>
    <w:rsid w:val="009460E1"/>
    <w:rsid w:val="00946A30"/>
    <w:rsid w:val="00946B7F"/>
    <w:rsid w:val="00947EED"/>
    <w:rsid w:val="00947F03"/>
    <w:rsid w:val="00950064"/>
    <w:rsid w:val="009505D2"/>
    <w:rsid w:val="00950A58"/>
    <w:rsid w:val="00950BD9"/>
    <w:rsid w:val="00950E91"/>
    <w:rsid w:val="00951203"/>
    <w:rsid w:val="009517F1"/>
    <w:rsid w:val="00952022"/>
    <w:rsid w:val="009526B9"/>
    <w:rsid w:val="00952826"/>
    <w:rsid w:val="0095332A"/>
    <w:rsid w:val="00953589"/>
    <w:rsid w:val="009536C9"/>
    <w:rsid w:val="00953F49"/>
    <w:rsid w:val="0095450C"/>
    <w:rsid w:val="0095527C"/>
    <w:rsid w:val="009554BF"/>
    <w:rsid w:val="009554E0"/>
    <w:rsid w:val="00955CBE"/>
    <w:rsid w:val="009562A2"/>
    <w:rsid w:val="009563E6"/>
    <w:rsid w:val="00956952"/>
    <w:rsid w:val="009569BE"/>
    <w:rsid w:val="009603DD"/>
    <w:rsid w:val="00961543"/>
    <w:rsid w:val="0096159F"/>
    <w:rsid w:val="00961626"/>
    <w:rsid w:val="00961D48"/>
    <w:rsid w:val="009624B4"/>
    <w:rsid w:val="0096267F"/>
    <w:rsid w:val="00962A26"/>
    <w:rsid w:val="00962C96"/>
    <w:rsid w:val="00962D99"/>
    <w:rsid w:val="009631F0"/>
    <w:rsid w:val="009632DE"/>
    <w:rsid w:val="00963FF7"/>
    <w:rsid w:val="009652A2"/>
    <w:rsid w:val="0096531E"/>
    <w:rsid w:val="009663B3"/>
    <w:rsid w:val="009665A6"/>
    <w:rsid w:val="00966C7E"/>
    <w:rsid w:val="0096727E"/>
    <w:rsid w:val="00967292"/>
    <w:rsid w:val="00967370"/>
    <w:rsid w:val="00967694"/>
    <w:rsid w:val="009676F6"/>
    <w:rsid w:val="00967EF4"/>
    <w:rsid w:val="00970672"/>
    <w:rsid w:val="00970786"/>
    <w:rsid w:val="00970D38"/>
    <w:rsid w:val="00971349"/>
    <w:rsid w:val="00971BB7"/>
    <w:rsid w:val="0097219F"/>
    <w:rsid w:val="009729C6"/>
    <w:rsid w:val="00972B18"/>
    <w:rsid w:val="00972C58"/>
    <w:rsid w:val="00972C6B"/>
    <w:rsid w:val="009730EB"/>
    <w:rsid w:val="00973583"/>
    <w:rsid w:val="00973886"/>
    <w:rsid w:val="00973CC2"/>
    <w:rsid w:val="00975801"/>
    <w:rsid w:val="009758BA"/>
    <w:rsid w:val="00975ECB"/>
    <w:rsid w:val="00975F43"/>
    <w:rsid w:val="00976523"/>
    <w:rsid w:val="0097657D"/>
    <w:rsid w:val="009766B6"/>
    <w:rsid w:val="00976C32"/>
    <w:rsid w:val="009774FE"/>
    <w:rsid w:val="0097795F"/>
    <w:rsid w:val="00977D91"/>
    <w:rsid w:val="00980FD5"/>
    <w:rsid w:val="0098104A"/>
    <w:rsid w:val="00981635"/>
    <w:rsid w:val="00981D33"/>
    <w:rsid w:val="00982BBD"/>
    <w:rsid w:val="00982BF7"/>
    <w:rsid w:val="00982CFB"/>
    <w:rsid w:val="00982D19"/>
    <w:rsid w:val="00982EB3"/>
    <w:rsid w:val="009830B1"/>
    <w:rsid w:val="0098337F"/>
    <w:rsid w:val="00983429"/>
    <w:rsid w:val="0098352D"/>
    <w:rsid w:val="00983BF2"/>
    <w:rsid w:val="0098416C"/>
    <w:rsid w:val="009844B8"/>
    <w:rsid w:val="00984DE8"/>
    <w:rsid w:val="00985D80"/>
    <w:rsid w:val="00985F31"/>
    <w:rsid w:val="0098600E"/>
    <w:rsid w:val="009861F3"/>
    <w:rsid w:val="0098646D"/>
    <w:rsid w:val="0098663E"/>
    <w:rsid w:val="00986831"/>
    <w:rsid w:val="00986833"/>
    <w:rsid w:val="0098691E"/>
    <w:rsid w:val="00986B17"/>
    <w:rsid w:val="0098754F"/>
    <w:rsid w:val="009906D2"/>
    <w:rsid w:val="00990C3E"/>
    <w:rsid w:val="00990FEF"/>
    <w:rsid w:val="00992C6D"/>
    <w:rsid w:val="00992D5F"/>
    <w:rsid w:val="00993073"/>
    <w:rsid w:val="0099324A"/>
    <w:rsid w:val="0099333C"/>
    <w:rsid w:val="0099397D"/>
    <w:rsid w:val="00993F8B"/>
    <w:rsid w:val="00994506"/>
    <w:rsid w:val="00994BBA"/>
    <w:rsid w:val="00994C49"/>
    <w:rsid w:val="00994C8F"/>
    <w:rsid w:val="00995DB0"/>
    <w:rsid w:val="00996AC1"/>
    <w:rsid w:val="00996F27"/>
    <w:rsid w:val="00997435"/>
    <w:rsid w:val="00997AF6"/>
    <w:rsid w:val="00997C5E"/>
    <w:rsid w:val="009A0915"/>
    <w:rsid w:val="009A1ABE"/>
    <w:rsid w:val="009A1AEC"/>
    <w:rsid w:val="009A23F4"/>
    <w:rsid w:val="009A25E8"/>
    <w:rsid w:val="009A391F"/>
    <w:rsid w:val="009A3B53"/>
    <w:rsid w:val="009A4294"/>
    <w:rsid w:val="009A5089"/>
    <w:rsid w:val="009A551D"/>
    <w:rsid w:val="009A598A"/>
    <w:rsid w:val="009A5E91"/>
    <w:rsid w:val="009A60EF"/>
    <w:rsid w:val="009A6599"/>
    <w:rsid w:val="009A6E60"/>
    <w:rsid w:val="009A713C"/>
    <w:rsid w:val="009A73DF"/>
    <w:rsid w:val="009A7D04"/>
    <w:rsid w:val="009B031D"/>
    <w:rsid w:val="009B0679"/>
    <w:rsid w:val="009B1A73"/>
    <w:rsid w:val="009B1C8E"/>
    <w:rsid w:val="009B1FFC"/>
    <w:rsid w:val="009B2A82"/>
    <w:rsid w:val="009B2BCE"/>
    <w:rsid w:val="009B3070"/>
    <w:rsid w:val="009B3455"/>
    <w:rsid w:val="009B38E3"/>
    <w:rsid w:val="009B4139"/>
    <w:rsid w:val="009B4449"/>
    <w:rsid w:val="009B4E85"/>
    <w:rsid w:val="009B5A43"/>
    <w:rsid w:val="009B5C0D"/>
    <w:rsid w:val="009B67C0"/>
    <w:rsid w:val="009C1AC8"/>
    <w:rsid w:val="009C268F"/>
    <w:rsid w:val="009C2DBF"/>
    <w:rsid w:val="009C368F"/>
    <w:rsid w:val="009C37F8"/>
    <w:rsid w:val="009C3DF5"/>
    <w:rsid w:val="009C428C"/>
    <w:rsid w:val="009C43CD"/>
    <w:rsid w:val="009C4B09"/>
    <w:rsid w:val="009C6317"/>
    <w:rsid w:val="009D00DF"/>
    <w:rsid w:val="009D067A"/>
    <w:rsid w:val="009D0EC0"/>
    <w:rsid w:val="009D187E"/>
    <w:rsid w:val="009D34FD"/>
    <w:rsid w:val="009D4424"/>
    <w:rsid w:val="009D44B2"/>
    <w:rsid w:val="009D5DC3"/>
    <w:rsid w:val="009D6024"/>
    <w:rsid w:val="009D62A1"/>
    <w:rsid w:val="009D65F7"/>
    <w:rsid w:val="009D6DCF"/>
    <w:rsid w:val="009D6EA2"/>
    <w:rsid w:val="009D7CAF"/>
    <w:rsid w:val="009D7E35"/>
    <w:rsid w:val="009E00B1"/>
    <w:rsid w:val="009E0262"/>
    <w:rsid w:val="009E0EAF"/>
    <w:rsid w:val="009E1924"/>
    <w:rsid w:val="009E192B"/>
    <w:rsid w:val="009E1A91"/>
    <w:rsid w:val="009E2B79"/>
    <w:rsid w:val="009E3076"/>
    <w:rsid w:val="009E3648"/>
    <w:rsid w:val="009E399C"/>
    <w:rsid w:val="009E3AE7"/>
    <w:rsid w:val="009E3D6C"/>
    <w:rsid w:val="009E3EED"/>
    <w:rsid w:val="009E3F20"/>
    <w:rsid w:val="009E4BFD"/>
    <w:rsid w:val="009E4D69"/>
    <w:rsid w:val="009E4F6F"/>
    <w:rsid w:val="009E51ED"/>
    <w:rsid w:val="009E5811"/>
    <w:rsid w:val="009E5D70"/>
    <w:rsid w:val="009E6A21"/>
    <w:rsid w:val="009E70AA"/>
    <w:rsid w:val="009E7A2A"/>
    <w:rsid w:val="009E7B56"/>
    <w:rsid w:val="009E7E13"/>
    <w:rsid w:val="009F052C"/>
    <w:rsid w:val="009F0947"/>
    <w:rsid w:val="009F0A42"/>
    <w:rsid w:val="009F0CE3"/>
    <w:rsid w:val="009F1209"/>
    <w:rsid w:val="009F1790"/>
    <w:rsid w:val="009F2248"/>
    <w:rsid w:val="009F268E"/>
    <w:rsid w:val="009F2765"/>
    <w:rsid w:val="009F29B2"/>
    <w:rsid w:val="009F327E"/>
    <w:rsid w:val="009F365D"/>
    <w:rsid w:val="009F37AD"/>
    <w:rsid w:val="009F3D2A"/>
    <w:rsid w:val="009F4607"/>
    <w:rsid w:val="009F62FF"/>
    <w:rsid w:val="009F70E0"/>
    <w:rsid w:val="009F72ED"/>
    <w:rsid w:val="009F74A2"/>
    <w:rsid w:val="009F77F2"/>
    <w:rsid w:val="00A00081"/>
    <w:rsid w:val="00A000D4"/>
    <w:rsid w:val="00A00596"/>
    <w:rsid w:val="00A01B81"/>
    <w:rsid w:val="00A01C28"/>
    <w:rsid w:val="00A02F45"/>
    <w:rsid w:val="00A0439B"/>
    <w:rsid w:val="00A05221"/>
    <w:rsid w:val="00A0681E"/>
    <w:rsid w:val="00A06F82"/>
    <w:rsid w:val="00A0737F"/>
    <w:rsid w:val="00A076CB"/>
    <w:rsid w:val="00A0775F"/>
    <w:rsid w:val="00A07A3C"/>
    <w:rsid w:val="00A07D89"/>
    <w:rsid w:val="00A07DE0"/>
    <w:rsid w:val="00A10584"/>
    <w:rsid w:val="00A10711"/>
    <w:rsid w:val="00A116B0"/>
    <w:rsid w:val="00A11CD8"/>
    <w:rsid w:val="00A13098"/>
    <w:rsid w:val="00A134C6"/>
    <w:rsid w:val="00A14B8D"/>
    <w:rsid w:val="00A14C36"/>
    <w:rsid w:val="00A150BF"/>
    <w:rsid w:val="00A156ED"/>
    <w:rsid w:val="00A1572F"/>
    <w:rsid w:val="00A159B9"/>
    <w:rsid w:val="00A16978"/>
    <w:rsid w:val="00A16B34"/>
    <w:rsid w:val="00A16BD0"/>
    <w:rsid w:val="00A1765A"/>
    <w:rsid w:val="00A201C8"/>
    <w:rsid w:val="00A2059C"/>
    <w:rsid w:val="00A20817"/>
    <w:rsid w:val="00A210E5"/>
    <w:rsid w:val="00A2118F"/>
    <w:rsid w:val="00A21A76"/>
    <w:rsid w:val="00A22668"/>
    <w:rsid w:val="00A239FC"/>
    <w:rsid w:val="00A24123"/>
    <w:rsid w:val="00A24642"/>
    <w:rsid w:val="00A255C6"/>
    <w:rsid w:val="00A2681E"/>
    <w:rsid w:val="00A26975"/>
    <w:rsid w:val="00A2719F"/>
    <w:rsid w:val="00A2792E"/>
    <w:rsid w:val="00A27AEC"/>
    <w:rsid w:val="00A30274"/>
    <w:rsid w:val="00A30434"/>
    <w:rsid w:val="00A30A71"/>
    <w:rsid w:val="00A30ABA"/>
    <w:rsid w:val="00A30B26"/>
    <w:rsid w:val="00A30F76"/>
    <w:rsid w:val="00A31D84"/>
    <w:rsid w:val="00A32680"/>
    <w:rsid w:val="00A329F1"/>
    <w:rsid w:val="00A32A53"/>
    <w:rsid w:val="00A32F61"/>
    <w:rsid w:val="00A33391"/>
    <w:rsid w:val="00A3356C"/>
    <w:rsid w:val="00A33ABC"/>
    <w:rsid w:val="00A33BC9"/>
    <w:rsid w:val="00A33EAD"/>
    <w:rsid w:val="00A33F39"/>
    <w:rsid w:val="00A3401D"/>
    <w:rsid w:val="00A34893"/>
    <w:rsid w:val="00A354CB"/>
    <w:rsid w:val="00A35797"/>
    <w:rsid w:val="00A35A58"/>
    <w:rsid w:val="00A363A1"/>
    <w:rsid w:val="00A368A9"/>
    <w:rsid w:val="00A36A3E"/>
    <w:rsid w:val="00A36F43"/>
    <w:rsid w:val="00A40664"/>
    <w:rsid w:val="00A408C3"/>
    <w:rsid w:val="00A40D56"/>
    <w:rsid w:val="00A40D88"/>
    <w:rsid w:val="00A416AE"/>
    <w:rsid w:val="00A416C1"/>
    <w:rsid w:val="00A41A01"/>
    <w:rsid w:val="00A42086"/>
    <w:rsid w:val="00A423E4"/>
    <w:rsid w:val="00A42C7D"/>
    <w:rsid w:val="00A43B4F"/>
    <w:rsid w:val="00A4438F"/>
    <w:rsid w:val="00A443CD"/>
    <w:rsid w:val="00A452AC"/>
    <w:rsid w:val="00A4583F"/>
    <w:rsid w:val="00A45EEE"/>
    <w:rsid w:val="00A46039"/>
    <w:rsid w:val="00A4634E"/>
    <w:rsid w:val="00A46842"/>
    <w:rsid w:val="00A4712C"/>
    <w:rsid w:val="00A474C5"/>
    <w:rsid w:val="00A47598"/>
    <w:rsid w:val="00A478DF"/>
    <w:rsid w:val="00A50657"/>
    <w:rsid w:val="00A50D7F"/>
    <w:rsid w:val="00A50DD2"/>
    <w:rsid w:val="00A511BC"/>
    <w:rsid w:val="00A51501"/>
    <w:rsid w:val="00A52E36"/>
    <w:rsid w:val="00A53241"/>
    <w:rsid w:val="00A53390"/>
    <w:rsid w:val="00A5341D"/>
    <w:rsid w:val="00A53D48"/>
    <w:rsid w:val="00A53F95"/>
    <w:rsid w:val="00A54A63"/>
    <w:rsid w:val="00A54FCB"/>
    <w:rsid w:val="00A55144"/>
    <w:rsid w:val="00A55591"/>
    <w:rsid w:val="00A5579D"/>
    <w:rsid w:val="00A5788A"/>
    <w:rsid w:val="00A57D85"/>
    <w:rsid w:val="00A60175"/>
    <w:rsid w:val="00A60347"/>
    <w:rsid w:val="00A60BDC"/>
    <w:rsid w:val="00A61103"/>
    <w:rsid w:val="00A61F41"/>
    <w:rsid w:val="00A62E78"/>
    <w:rsid w:val="00A63069"/>
    <w:rsid w:val="00A64B18"/>
    <w:rsid w:val="00A64CB5"/>
    <w:rsid w:val="00A654E3"/>
    <w:rsid w:val="00A65C77"/>
    <w:rsid w:val="00A66256"/>
    <w:rsid w:val="00A66397"/>
    <w:rsid w:val="00A674DC"/>
    <w:rsid w:val="00A677A5"/>
    <w:rsid w:val="00A67BA0"/>
    <w:rsid w:val="00A707F9"/>
    <w:rsid w:val="00A70BD1"/>
    <w:rsid w:val="00A70F71"/>
    <w:rsid w:val="00A72277"/>
    <w:rsid w:val="00A72481"/>
    <w:rsid w:val="00A72C2D"/>
    <w:rsid w:val="00A72E95"/>
    <w:rsid w:val="00A72FEC"/>
    <w:rsid w:val="00A749A8"/>
    <w:rsid w:val="00A74FD8"/>
    <w:rsid w:val="00A75002"/>
    <w:rsid w:val="00A75331"/>
    <w:rsid w:val="00A756BC"/>
    <w:rsid w:val="00A75A10"/>
    <w:rsid w:val="00A76CDF"/>
    <w:rsid w:val="00A807E7"/>
    <w:rsid w:val="00A8129E"/>
    <w:rsid w:val="00A8173D"/>
    <w:rsid w:val="00A817C6"/>
    <w:rsid w:val="00A81DB1"/>
    <w:rsid w:val="00A8290C"/>
    <w:rsid w:val="00A829C9"/>
    <w:rsid w:val="00A82ABF"/>
    <w:rsid w:val="00A83734"/>
    <w:rsid w:val="00A83863"/>
    <w:rsid w:val="00A85946"/>
    <w:rsid w:val="00A85AB7"/>
    <w:rsid w:val="00A86BDF"/>
    <w:rsid w:val="00A86CFF"/>
    <w:rsid w:val="00A8754C"/>
    <w:rsid w:val="00A902AA"/>
    <w:rsid w:val="00A90410"/>
    <w:rsid w:val="00A904FD"/>
    <w:rsid w:val="00A90A30"/>
    <w:rsid w:val="00A9126B"/>
    <w:rsid w:val="00A918D0"/>
    <w:rsid w:val="00A91CCA"/>
    <w:rsid w:val="00A91F90"/>
    <w:rsid w:val="00A92369"/>
    <w:rsid w:val="00A923B6"/>
    <w:rsid w:val="00A92832"/>
    <w:rsid w:val="00A92B50"/>
    <w:rsid w:val="00A92F39"/>
    <w:rsid w:val="00A93DC8"/>
    <w:rsid w:val="00A93FD1"/>
    <w:rsid w:val="00A94167"/>
    <w:rsid w:val="00A941C6"/>
    <w:rsid w:val="00A94744"/>
    <w:rsid w:val="00A9487A"/>
    <w:rsid w:val="00A94915"/>
    <w:rsid w:val="00A94CCC"/>
    <w:rsid w:val="00A9502B"/>
    <w:rsid w:val="00A953B7"/>
    <w:rsid w:val="00A95C7C"/>
    <w:rsid w:val="00A96C94"/>
    <w:rsid w:val="00A97363"/>
    <w:rsid w:val="00AA08AD"/>
    <w:rsid w:val="00AA092B"/>
    <w:rsid w:val="00AA1C87"/>
    <w:rsid w:val="00AA27E5"/>
    <w:rsid w:val="00AA2B80"/>
    <w:rsid w:val="00AA3302"/>
    <w:rsid w:val="00AA3A7C"/>
    <w:rsid w:val="00AA4134"/>
    <w:rsid w:val="00AA4577"/>
    <w:rsid w:val="00AA5161"/>
    <w:rsid w:val="00AA5C72"/>
    <w:rsid w:val="00AA67C5"/>
    <w:rsid w:val="00AA6C45"/>
    <w:rsid w:val="00AA72EA"/>
    <w:rsid w:val="00AA7348"/>
    <w:rsid w:val="00AA7374"/>
    <w:rsid w:val="00AA73E9"/>
    <w:rsid w:val="00AA7B2D"/>
    <w:rsid w:val="00AB05D0"/>
    <w:rsid w:val="00AB1819"/>
    <w:rsid w:val="00AB281D"/>
    <w:rsid w:val="00AB2E18"/>
    <w:rsid w:val="00AB2E45"/>
    <w:rsid w:val="00AB312F"/>
    <w:rsid w:val="00AB3510"/>
    <w:rsid w:val="00AB3853"/>
    <w:rsid w:val="00AB40E9"/>
    <w:rsid w:val="00AB4318"/>
    <w:rsid w:val="00AB4F9B"/>
    <w:rsid w:val="00AB5221"/>
    <w:rsid w:val="00AB593A"/>
    <w:rsid w:val="00AB5CA5"/>
    <w:rsid w:val="00AB5E04"/>
    <w:rsid w:val="00AB5F74"/>
    <w:rsid w:val="00AB5FC9"/>
    <w:rsid w:val="00AB5FCE"/>
    <w:rsid w:val="00AB6525"/>
    <w:rsid w:val="00AB6771"/>
    <w:rsid w:val="00AB6973"/>
    <w:rsid w:val="00AB6C65"/>
    <w:rsid w:val="00AB6FFA"/>
    <w:rsid w:val="00AB7125"/>
    <w:rsid w:val="00AC0A9B"/>
    <w:rsid w:val="00AC2654"/>
    <w:rsid w:val="00AC28E3"/>
    <w:rsid w:val="00AC2A30"/>
    <w:rsid w:val="00AC2BB9"/>
    <w:rsid w:val="00AC2E47"/>
    <w:rsid w:val="00AC3C73"/>
    <w:rsid w:val="00AC4A6F"/>
    <w:rsid w:val="00AC5456"/>
    <w:rsid w:val="00AC55B4"/>
    <w:rsid w:val="00AC5A03"/>
    <w:rsid w:val="00AC60BB"/>
    <w:rsid w:val="00AC6727"/>
    <w:rsid w:val="00AC6A0D"/>
    <w:rsid w:val="00AC6F48"/>
    <w:rsid w:val="00AC7747"/>
    <w:rsid w:val="00AC7A51"/>
    <w:rsid w:val="00AD0821"/>
    <w:rsid w:val="00AD08C2"/>
    <w:rsid w:val="00AD0F62"/>
    <w:rsid w:val="00AD145D"/>
    <w:rsid w:val="00AD2896"/>
    <w:rsid w:val="00AD30BA"/>
    <w:rsid w:val="00AD3349"/>
    <w:rsid w:val="00AD34B8"/>
    <w:rsid w:val="00AD441B"/>
    <w:rsid w:val="00AD4FE7"/>
    <w:rsid w:val="00AD509D"/>
    <w:rsid w:val="00AD5581"/>
    <w:rsid w:val="00AD5972"/>
    <w:rsid w:val="00AD59AE"/>
    <w:rsid w:val="00AD6314"/>
    <w:rsid w:val="00AD78D8"/>
    <w:rsid w:val="00AE0BA9"/>
    <w:rsid w:val="00AE1975"/>
    <w:rsid w:val="00AE1C04"/>
    <w:rsid w:val="00AE297C"/>
    <w:rsid w:val="00AE29E2"/>
    <w:rsid w:val="00AE2E01"/>
    <w:rsid w:val="00AE2EBF"/>
    <w:rsid w:val="00AE3020"/>
    <w:rsid w:val="00AE31E7"/>
    <w:rsid w:val="00AE32FD"/>
    <w:rsid w:val="00AE3566"/>
    <w:rsid w:val="00AE3B87"/>
    <w:rsid w:val="00AE445F"/>
    <w:rsid w:val="00AE5702"/>
    <w:rsid w:val="00AE5C2F"/>
    <w:rsid w:val="00AE5F96"/>
    <w:rsid w:val="00AE6227"/>
    <w:rsid w:val="00AE6233"/>
    <w:rsid w:val="00AE63AB"/>
    <w:rsid w:val="00AE63CB"/>
    <w:rsid w:val="00AE68EB"/>
    <w:rsid w:val="00AE6C56"/>
    <w:rsid w:val="00AF00A5"/>
    <w:rsid w:val="00AF0545"/>
    <w:rsid w:val="00AF09C1"/>
    <w:rsid w:val="00AF0A49"/>
    <w:rsid w:val="00AF1099"/>
    <w:rsid w:val="00AF10C4"/>
    <w:rsid w:val="00AF181D"/>
    <w:rsid w:val="00AF207D"/>
    <w:rsid w:val="00AF21DA"/>
    <w:rsid w:val="00AF27A8"/>
    <w:rsid w:val="00AF3437"/>
    <w:rsid w:val="00AF4573"/>
    <w:rsid w:val="00AF47DC"/>
    <w:rsid w:val="00AF4AA5"/>
    <w:rsid w:val="00AF5030"/>
    <w:rsid w:val="00AF54CC"/>
    <w:rsid w:val="00AF5700"/>
    <w:rsid w:val="00AF585A"/>
    <w:rsid w:val="00AF5D36"/>
    <w:rsid w:val="00AF6665"/>
    <w:rsid w:val="00AF7E46"/>
    <w:rsid w:val="00B004ED"/>
    <w:rsid w:val="00B01A3B"/>
    <w:rsid w:val="00B01BC2"/>
    <w:rsid w:val="00B01D0B"/>
    <w:rsid w:val="00B02047"/>
    <w:rsid w:val="00B02281"/>
    <w:rsid w:val="00B029D3"/>
    <w:rsid w:val="00B02DA3"/>
    <w:rsid w:val="00B0319E"/>
    <w:rsid w:val="00B031D4"/>
    <w:rsid w:val="00B033CE"/>
    <w:rsid w:val="00B04971"/>
    <w:rsid w:val="00B05D2A"/>
    <w:rsid w:val="00B05ED3"/>
    <w:rsid w:val="00B05FF5"/>
    <w:rsid w:val="00B06203"/>
    <w:rsid w:val="00B0634E"/>
    <w:rsid w:val="00B065F1"/>
    <w:rsid w:val="00B06D0B"/>
    <w:rsid w:val="00B0740D"/>
    <w:rsid w:val="00B07BF7"/>
    <w:rsid w:val="00B07CD3"/>
    <w:rsid w:val="00B1042C"/>
    <w:rsid w:val="00B106C2"/>
    <w:rsid w:val="00B11270"/>
    <w:rsid w:val="00B1173F"/>
    <w:rsid w:val="00B124D4"/>
    <w:rsid w:val="00B127E3"/>
    <w:rsid w:val="00B12EFE"/>
    <w:rsid w:val="00B13889"/>
    <w:rsid w:val="00B13BC6"/>
    <w:rsid w:val="00B13EF6"/>
    <w:rsid w:val="00B14529"/>
    <w:rsid w:val="00B148EA"/>
    <w:rsid w:val="00B15591"/>
    <w:rsid w:val="00B1594C"/>
    <w:rsid w:val="00B15B48"/>
    <w:rsid w:val="00B163C7"/>
    <w:rsid w:val="00B17BDB"/>
    <w:rsid w:val="00B2021B"/>
    <w:rsid w:val="00B20C69"/>
    <w:rsid w:val="00B21528"/>
    <w:rsid w:val="00B21818"/>
    <w:rsid w:val="00B21F54"/>
    <w:rsid w:val="00B21F75"/>
    <w:rsid w:val="00B224FE"/>
    <w:rsid w:val="00B225AC"/>
    <w:rsid w:val="00B22D86"/>
    <w:rsid w:val="00B23092"/>
    <w:rsid w:val="00B232C8"/>
    <w:rsid w:val="00B24041"/>
    <w:rsid w:val="00B24A13"/>
    <w:rsid w:val="00B24A3F"/>
    <w:rsid w:val="00B24D25"/>
    <w:rsid w:val="00B2552E"/>
    <w:rsid w:val="00B25A72"/>
    <w:rsid w:val="00B26184"/>
    <w:rsid w:val="00B267EE"/>
    <w:rsid w:val="00B269FC"/>
    <w:rsid w:val="00B26E70"/>
    <w:rsid w:val="00B26F40"/>
    <w:rsid w:val="00B30E60"/>
    <w:rsid w:val="00B31790"/>
    <w:rsid w:val="00B31C58"/>
    <w:rsid w:val="00B31C9E"/>
    <w:rsid w:val="00B31E42"/>
    <w:rsid w:val="00B320D8"/>
    <w:rsid w:val="00B32720"/>
    <w:rsid w:val="00B32750"/>
    <w:rsid w:val="00B335E0"/>
    <w:rsid w:val="00B33768"/>
    <w:rsid w:val="00B34092"/>
    <w:rsid w:val="00B343B6"/>
    <w:rsid w:val="00B34E75"/>
    <w:rsid w:val="00B34F76"/>
    <w:rsid w:val="00B34F96"/>
    <w:rsid w:val="00B357B0"/>
    <w:rsid w:val="00B35CDD"/>
    <w:rsid w:val="00B36065"/>
    <w:rsid w:val="00B36B3A"/>
    <w:rsid w:val="00B37563"/>
    <w:rsid w:val="00B37718"/>
    <w:rsid w:val="00B40E2D"/>
    <w:rsid w:val="00B42143"/>
    <w:rsid w:val="00B4254D"/>
    <w:rsid w:val="00B429D3"/>
    <w:rsid w:val="00B435C0"/>
    <w:rsid w:val="00B43E61"/>
    <w:rsid w:val="00B44117"/>
    <w:rsid w:val="00B455AF"/>
    <w:rsid w:val="00B45976"/>
    <w:rsid w:val="00B45F7D"/>
    <w:rsid w:val="00B466E5"/>
    <w:rsid w:val="00B47626"/>
    <w:rsid w:val="00B4788C"/>
    <w:rsid w:val="00B47A9B"/>
    <w:rsid w:val="00B5037A"/>
    <w:rsid w:val="00B5095E"/>
    <w:rsid w:val="00B50C85"/>
    <w:rsid w:val="00B51124"/>
    <w:rsid w:val="00B514F7"/>
    <w:rsid w:val="00B519C8"/>
    <w:rsid w:val="00B51DE9"/>
    <w:rsid w:val="00B51EF2"/>
    <w:rsid w:val="00B52BF9"/>
    <w:rsid w:val="00B52EB8"/>
    <w:rsid w:val="00B52EC0"/>
    <w:rsid w:val="00B5355B"/>
    <w:rsid w:val="00B53648"/>
    <w:rsid w:val="00B53EEB"/>
    <w:rsid w:val="00B5478C"/>
    <w:rsid w:val="00B54A4C"/>
    <w:rsid w:val="00B54E37"/>
    <w:rsid w:val="00B55595"/>
    <w:rsid w:val="00B556AF"/>
    <w:rsid w:val="00B558B5"/>
    <w:rsid w:val="00B55ED8"/>
    <w:rsid w:val="00B56423"/>
    <w:rsid w:val="00B56FB7"/>
    <w:rsid w:val="00B56FC0"/>
    <w:rsid w:val="00B572C2"/>
    <w:rsid w:val="00B5783B"/>
    <w:rsid w:val="00B57C82"/>
    <w:rsid w:val="00B610A0"/>
    <w:rsid w:val="00B61212"/>
    <w:rsid w:val="00B61BFC"/>
    <w:rsid w:val="00B62139"/>
    <w:rsid w:val="00B624CC"/>
    <w:rsid w:val="00B62FFE"/>
    <w:rsid w:val="00B638A7"/>
    <w:rsid w:val="00B63A9B"/>
    <w:rsid w:val="00B63EC3"/>
    <w:rsid w:val="00B63EC4"/>
    <w:rsid w:val="00B643F5"/>
    <w:rsid w:val="00B6529D"/>
    <w:rsid w:val="00B65FF6"/>
    <w:rsid w:val="00B669F0"/>
    <w:rsid w:val="00B66A3B"/>
    <w:rsid w:val="00B66C58"/>
    <w:rsid w:val="00B66F0B"/>
    <w:rsid w:val="00B70373"/>
    <w:rsid w:val="00B705A7"/>
    <w:rsid w:val="00B71495"/>
    <w:rsid w:val="00B714BB"/>
    <w:rsid w:val="00B71621"/>
    <w:rsid w:val="00B71BB5"/>
    <w:rsid w:val="00B730C6"/>
    <w:rsid w:val="00B7377B"/>
    <w:rsid w:val="00B74477"/>
    <w:rsid w:val="00B74532"/>
    <w:rsid w:val="00B74560"/>
    <w:rsid w:val="00B74E9C"/>
    <w:rsid w:val="00B74EA9"/>
    <w:rsid w:val="00B74ED5"/>
    <w:rsid w:val="00B7514C"/>
    <w:rsid w:val="00B76243"/>
    <w:rsid w:val="00B76721"/>
    <w:rsid w:val="00B77F1C"/>
    <w:rsid w:val="00B77FEB"/>
    <w:rsid w:val="00B80ABA"/>
    <w:rsid w:val="00B80DB9"/>
    <w:rsid w:val="00B816CA"/>
    <w:rsid w:val="00B81871"/>
    <w:rsid w:val="00B820A4"/>
    <w:rsid w:val="00B82151"/>
    <w:rsid w:val="00B82325"/>
    <w:rsid w:val="00B82800"/>
    <w:rsid w:val="00B83626"/>
    <w:rsid w:val="00B836A6"/>
    <w:rsid w:val="00B83B4C"/>
    <w:rsid w:val="00B84B90"/>
    <w:rsid w:val="00B852C5"/>
    <w:rsid w:val="00B85564"/>
    <w:rsid w:val="00B85779"/>
    <w:rsid w:val="00B865B2"/>
    <w:rsid w:val="00B86840"/>
    <w:rsid w:val="00B86884"/>
    <w:rsid w:val="00B86A1D"/>
    <w:rsid w:val="00B87677"/>
    <w:rsid w:val="00B90396"/>
    <w:rsid w:val="00B905C5"/>
    <w:rsid w:val="00B90E34"/>
    <w:rsid w:val="00B91724"/>
    <w:rsid w:val="00B91CB9"/>
    <w:rsid w:val="00B923FE"/>
    <w:rsid w:val="00B92402"/>
    <w:rsid w:val="00B92F68"/>
    <w:rsid w:val="00B937DD"/>
    <w:rsid w:val="00B938B8"/>
    <w:rsid w:val="00B93CED"/>
    <w:rsid w:val="00B94740"/>
    <w:rsid w:val="00B94770"/>
    <w:rsid w:val="00B94F09"/>
    <w:rsid w:val="00B95112"/>
    <w:rsid w:val="00B955E3"/>
    <w:rsid w:val="00B95A10"/>
    <w:rsid w:val="00B95E1B"/>
    <w:rsid w:val="00B9602E"/>
    <w:rsid w:val="00B960C9"/>
    <w:rsid w:val="00B9644F"/>
    <w:rsid w:val="00B96921"/>
    <w:rsid w:val="00B9702F"/>
    <w:rsid w:val="00B974BD"/>
    <w:rsid w:val="00B97E78"/>
    <w:rsid w:val="00BA06AA"/>
    <w:rsid w:val="00BA0EDF"/>
    <w:rsid w:val="00BA116F"/>
    <w:rsid w:val="00BA1363"/>
    <w:rsid w:val="00BA15B5"/>
    <w:rsid w:val="00BA1618"/>
    <w:rsid w:val="00BA17BD"/>
    <w:rsid w:val="00BA1939"/>
    <w:rsid w:val="00BA2056"/>
    <w:rsid w:val="00BA27B5"/>
    <w:rsid w:val="00BA2D58"/>
    <w:rsid w:val="00BA30A7"/>
    <w:rsid w:val="00BA37ED"/>
    <w:rsid w:val="00BA3E3B"/>
    <w:rsid w:val="00BA5B98"/>
    <w:rsid w:val="00BA5C81"/>
    <w:rsid w:val="00BA6077"/>
    <w:rsid w:val="00BA64E5"/>
    <w:rsid w:val="00BA66D9"/>
    <w:rsid w:val="00BA6FE0"/>
    <w:rsid w:val="00BA7497"/>
    <w:rsid w:val="00BA7510"/>
    <w:rsid w:val="00BA7841"/>
    <w:rsid w:val="00BB21C0"/>
    <w:rsid w:val="00BB220C"/>
    <w:rsid w:val="00BB2912"/>
    <w:rsid w:val="00BB2A13"/>
    <w:rsid w:val="00BB2E52"/>
    <w:rsid w:val="00BB34A8"/>
    <w:rsid w:val="00BB45B0"/>
    <w:rsid w:val="00BB4637"/>
    <w:rsid w:val="00BB4BF0"/>
    <w:rsid w:val="00BB503C"/>
    <w:rsid w:val="00BB576B"/>
    <w:rsid w:val="00BB5817"/>
    <w:rsid w:val="00BB58B1"/>
    <w:rsid w:val="00BB6176"/>
    <w:rsid w:val="00BB6383"/>
    <w:rsid w:val="00BB63C7"/>
    <w:rsid w:val="00BB67D8"/>
    <w:rsid w:val="00BB6A19"/>
    <w:rsid w:val="00BB6A3D"/>
    <w:rsid w:val="00BB73C5"/>
    <w:rsid w:val="00BB7550"/>
    <w:rsid w:val="00BB7B2E"/>
    <w:rsid w:val="00BC0E2A"/>
    <w:rsid w:val="00BC11F0"/>
    <w:rsid w:val="00BC1263"/>
    <w:rsid w:val="00BC193A"/>
    <w:rsid w:val="00BC1A81"/>
    <w:rsid w:val="00BC2076"/>
    <w:rsid w:val="00BC212D"/>
    <w:rsid w:val="00BC241B"/>
    <w:rsid w:val="00BC24E7"/>
    <w:rsid w:val="00BC3F81"/>
    <w:rsid w:val="00BC4A37"/>
    <w:rsid w:val="00BC4D6A"/>
    <w:rsid w:val="00BC5460"/>
    <w:rsid w:val="00BC54BF"/>
    <w:rsid w:val="00BC5B22"/>
    <w:rsid w:val="00BC63CC"/>
    <w:rsid w:val="00BC6713"/>
    <w:rsid w:val="00BC7356"/>
    <w:rsid w:val="00BC79DC"/>
    <w:rsid w:val="00BC7EE2"/>
    <w:rsid w:val="00BD045E"/>
    <w:rsid w:val="00BD0725"/>
    <w:rsid w:val="00BD08EA"/>
    <w:rsid w:val="00BD17E8"/>
    <w:rsid w:val="00BD1DF3"/>
    <w:rsid w:val="00BD2DF2"/>
    <w:rsid w:val="00BD2F54"/>
    <w:rsid w:val="00BD3ABD"/>
    <w:rsid w:val="00BD3F8D"/>
    <w:rsid w:val="00BD442D"/>
    <w:rsid w:val="00BD46A3"/>
    <w:rsid w:val="00BD5628"/>
    <w:rsid w:val="00BD5A16"/>
    <w:rsid w:val="00BD5DFC"/>
    <w:rsid w:val="00BD669B"/>
    <w:rsid w:val="00BD6947"/>
    <w:rsid w:val="00BD6F18"/>
    <w:rsid w:val="00BD75BB"/>
    <w:rsid w:val="00BD7B34"/>
    <w:rsid w:val="00BE0523"/>
    <w:rsid w:val="00BE0A91"/>
    <w:rsid w:val="00BE16C6"/>
    <w:rsid w:val="00BE1942"/>
    <w:rsid w:val="00BE1E29"/>
    <w:rsid w:val="00BE20D1"/>
    <w:rsid w:val="00BE2AAF"/>
    <w:rsid w:val="00BE3083"/>
    <w:rsid w:val="00BE3254"/>
    <w:rsid w:val="00BE3F08"/>
    <w:rsid w:val="00BE3FD2"/>
    <w:rsid w:val="00BE5CE0"/>
    <w:rsid w:val="00BE6450"/>
    <w:rsid w:val="00BE67F0"/>
    <w:rsid w:val="00BE6A82"/>
    <w:rsid w:val="00BE7487"/>
    <w:rsid w:val="00BE7F77"/>
    <w:rsid w:val="00BF05E6"/>
    <w:rsid w:val="00BF066C"/>
    <w:rsid w:val="00BF102A"/>
    <w:rsid w:val="00BF12C4"/>
    <w:rsid w:val="00BF1D4D"/>
    <w:rsid w:val="00BF218F"/>
    <w:rsid w:val="00BF39F3"/>
    <w:rsid w:val="00BF3EBB"/>
    <w:rsid w:val="00BF4297"/>
    <w:rsid w:val="00BF429F"/>
    <w:rsid w:val="00BF4961"/>
    <w:rsid w:val="00BF4968"/>
    <w:rsid w:val="00BF4E31"/>
    <w:rsid w:val="00BF515D"/>
    <w:rsid w:val="00BF578B"/>
    <w:rsid w:val="00BF663E"/>
    <w:rsid w:val="00BF6B75"/>
    <w:rsid w:val="00BF6BCF"/>
    <w:rsid w:val="00BF7643"/>
    <w:rsid w:val="00BF7821"/>
    <w:rsid w:val="00BF7BE9"/>
    <w:rsid w:val="00BF7F86"/>
    <w:rsid w:val="00C00903"/>
    <w:rsid w:val="00C00B65"/>
    <w:rsid w:val="00C01337"/>
    <w:rsid w:val="00C01769"/>
    <w:rsid w:val="00C0215A"/>
    <w:rsid w:val="00C02A0A"/>
    <w:rsid w:val="00C02CBF"/>
    <w:rsid w:val="00C02FD3"/>
    <w:rsid w:val="00C0391B"/>
    <w:rsid w:val="00C03ADB"/>
    <w:rsid w:val="00C040ED"/>
    <w:rsid w:val="00C04BB0"/>
    <w:rsid w:val="00C04BF4"/>
    <w:rsid w:val="00C04CFA"/>
    <w:rsid w:val="00C04DE0"/>
    <w:rsid w:val="00C05B49"/>
    <w:rsid w:val="00C060FD"/>
    <w:rsid w:val="00C06635"/>
    <w:rsid w:val="00C06911"/>
    <w:rsid w:val="00C06D6B"/>
    <w:rsid w:val="00C07461"/>
    <w:rsid w:val="00C07850"/>
    <w:rsid w:val="00C10483"/>
    <w:rsid w:val="00C116C4"/>
    <w:rsid w:val="00C11CE8"/>
    <w:rsid w:val="00C11FFD"/>
    <w:rsid w:val="00C12100"/>
    <w:rsid w:val="00C12216"/>
    <w:rsid w:val="00C12411"/>
    <w:rsid w:val="00C1262A"/>
    <w:rsid w:val="00C12DBA"/>
    <w:rsid w:val="00C13314"/>
    <w:rsid w:val="00C13368"/>
    <w:rsid w:val="00C13EAA"/>
    <w:rsid w:val="00C14E39"/>
    <w:rsid w:val="00C15694"/>
    <w:rsid w:val="00C15B19"/>
    <w:rsid w:val="00C15CFF"/>
    <w:rsid w:val="00C16340"/>
    <w:rsid w:val="00C1639B"/>
    <w:rsid w:val="00C167BF"/>
    <w:rsid w:val="00C16A8A"/>
    <w:rsid w:val="00C1702B"/>
    <w:rsid w:val="00C1780C"/>
    <w:rsid w:val="00C17A7D"/>
    <w:rsid w:val="00C17A8B"/>
    <w:rsid w:val="00C204E0"/>
    <w:rsid w:val="00C2071C"/>
    <w:rsid w:val="00C20C56"/>
    <w:rsid w:val="00C20E12"/>
    <w:rsid w:val="00C20F2D"/>
    <w:rsid w:val="00C2154D"/>
    <w:rsid w:val="00C21E98"/>
    <w:rsid w:val="00C21F75"/>
    <w:rsid w:val="00C221A6"/>
    <w:rsid w:val="00C2255C"/>
    <w:rsid w:val="00C227EC"/>
    <w:rsid w:val="00C228C7"/>
    <w:rsid w:val="00C232B6"/>
    <w:rsid w:val="00C239C1"/>
    <w:rsid w:val="00C23BA5"/>
    <w:rsid w:val="00C24246"/>
    <w:rsid w:val="00C24611"/>
    <w:rsid w:val="00C247F7"/>
    <w:rsid w:val="00C248E0"/>
    <w:rsid w:val="00C25690"/>
    <w:rsid w:val="00C25943"/>
    <w:rsid w:val="00C25965"/>
    <w:rsid w:val="00C26027"/>
    <w:rsid w:val="00C260E3"/>
    <w:rsid w:val="00C268F8"/>
    <w:rsid w:val="00C271A1"/>
    <w:rsid w:val="00C277FA"/>
    <w:rsid w:val="00C303EF"/>
    <w:rsid w:val="00C3050B"/>
    <w:rsid w:val="00C30E7A"/>
    <w:rsid w:val="00C31357"/>
    <w:rsid w:val="00C32D1E"/>
    <w:rsid w:val="00C32E6A"/>
    <w:rsid w:val="00C3322F"/>
    <w:rsid w:val="00C332A1"/>
    <w:rsid w:val="00C3367F"/>
    <w:rsid w:val="00C33697"/>
    <w:rsid w:val="00C3384F"/>
    <w:rsid w:val="00C339AA"/>
    <w:rsid w:val="00C33B50"/>
    <w:rsid w:val="00C33F22"/>
    <w:rsid w:val="00C35627"/>
    <w:rsid w:val="00C372EB"/>
    <w:rsid w:val="00C40AB2"/>
    <w:rsid w:val="00C411CF"/>
    <w:rsid w:val="00C41673"/>
    <w:rsid w:val="00C42526"/>
    <w:rsid w:val="00C42EC1"/>
    <w:rsid w:val="00C43143"/>
    <w:rsid w:val="00C4349D"/>
    <w:rsid w:val="00C43B66"/>
    <w:rsid w:val="00C43EAE"/>
    <w:rsid w:val="00C44D93"/>
    <w:rsid w:val="00C453F1"/>
    <w:rsid w:val="00C45599"/>
    <w:rsid w:val="00C45B2D"/>
    <w:rsid w:val="00C462C7"/>
    <w:rsid w:val="00C46DA0"/>
    <w:rsid w:val="00C47570"/>
    <w:rsid w:val="00C47E78"/>
    <w:rsid w:val="00C47EB1"/>
    <w:rsid w:val="00C50435"/>
    <w:rsid w:val="00C506BB"/>
    <w:rsid w:val="00C5081C"/>
    <w:rsid w:val="00C50DBE"/>
    <w:rsid w:val="00C5210C"/>
    <w:rsid w:val="00C52439"/>
    <w:rsid w:val="00C52685"/>
    <w:rsid w:val="00C529E1"/>
    <w:rsid w:val="00C52B2E"/>
    <w:rsid w:val="00C52C9F"/>
    <w:rsid w:val="00C52FD0"/>
    <w:rsid w:val="00C52FD6"/>
    <w:rsid w:val="00C52FF0"/>
    <w:rsid w:val="00C53B65"/>
    <w:rsid w:val="00C53C28"/>
    <w:rsid w:val="00C54887"/>
    <w:rsid w:val="00C555A2"/>
    <w:rsid w:val="00C55793"/>
    <w:rsid w:val="00C55AE8"/>
    <w:rsid w:val="00C561AB"/>
    <w:rsid w:val="00C56967"/>
    <w:rsid w:val="00C56BC8"/>
    <w:rsid w:val="00C56CA9"/>
    <w:rsid w:val="00C57510"/>
    <w:rsid w:val="00C57E06"/>
    <w:rsid w:val="00C57FA1"/>
    <w:rsid w:val="00C6050A"/>
    <w:rsid w:val="00C6062E"/>
    <w:rsid w:val="00C613C8"/>
    <w:rsid w:val="00C6196C"/>
    <w:rsid w:val="00C62062"/>
    <w:rsid w:val="00C62154"/>
    <w:rsid w:val="00C62913"/>
    <w:rsid w:val="00C63112"/>
    <w:rsid w:val="00C63DEF"/>
    <w:rsid w:val="00C64438"/>
    <w:rsid w:val="00C64815"/>
    <w:rsid w:val="00C64B27"/>
    <w:rsid w:val="00C651CD"/>
    <w:rsid w:val="00C659BA"/>
    <w:rsid w:val="00C65D9F"/>
    <w:rsid w:val="00C65FCF"/>
    <w:rsid w:val="00C66055"/>
    <w:rsid w:val="00C66915"/>
    <w:rsid w:val="00C66D91"/>
    <w:rsid w:val="00C67047"/>
    <w:rsid w:val="00C677BE"/>
    <w:rsid w:val="00C67A85"/>
    <w:rsid w:val="00C70283"/>
    <w:rsid w:val="00C70611"/>
    <w:rsid w:val="00C70877"/>
    <w:rsid w:val="00C710FF"/>
    <w:rsid w:val="00C71194"/>
    <w:rsid w:val="00C711E0"/>
    <w:rsid w:val="00C713A1"/>
    <w:rsid w:val="00C7198D"/>
    <w:rsid w:val="00C72130"/>
    <w:rsid w:val="00C7280D"/>
    <w:rsid w:val="00C73A68"/>
    <w:rsid w:val="00C74A99"/>
    <w:rsid w:val="00C74D73"/>
    <w:rsid w:val="00C74E01"/>
    <w:rsid w:val="00C755BC"/>
    <w:rsid w:val="00C75A71"/>
    <w:rsid w:val="00C75B35"/>
    <w:rsid w:val="00C76135"/>
    <w:rsid w:val="00C76B09"/>
    <w:rsid w:val="00C76C4D"/>
    <w:rsid w:val="00C76F25"/>
    <w:rsid w:val="00C77124"/>
    <w:rsid w:val="00C772B2"/>
    <w:rsid w:val="00C80300"/>
    <w:rsid w:val="00C80B39"/>
    <w:rsid w:val="00C818C7"/>
    <w:rsid w:val="00C81F8A"/>
    <w:rsid w:val="00C823DE"/>
    <w:rsid w:val="00C82B99"/>
    <w:rsid w:val="00C82FCA"/>
    <w:rsid w:val="00C831A0"/>
    <w:rsid w:val="00C84BEB"/>
    <w:rsid w:val="00C84C5F"/>
    <w:rsid w:val="00C85046"/>
    <w:rsid w:val="00C85946"/>
    <w:rsid w:val="00C85D3E"/>
    <w:rsid w:val="00C85E3C"/>
    <w:rsid w:val="00C860F8"/>
    <w:rsid w:val="00C87247"/>
    <w:rsid w:val="00C87679"/>
    <w:rsid w:val="00C8774B"/>
    <w:rsid w:val="00C87BA4"/>
    <w:rsid w:val="00C87F19"/>
    <w:rsid w:val="00C9124B"/>
    <w:rsid w:val="00C91801"/>
    <w:rsid w:val="00C92898"/>
    <w:rsid w:val="00C9317F"/>
    <w:rsid w:val="00C94140"/>
    <w:rsid w:val="00C953E5"/>
    <w:rsid w:val="00C95DAA"/>
    <w:rsid w:val="00C96547"/>
    <w:rsid w:val="00C965F1"/>
    <w:rsid w:val="00C97203"/>
    <w:rsid w:val="00C9774B"/>
    <w:rsid w:val="00C97FF8"/>
    <w:rsid w:val="00CA08B7"/>
    <w:rsid w:val="00CA08BA"/>
    <w:rsid w:val="00CA0FA7"/>
    <w:rsid w:val="00CA12B1"/>
    <w:rsid w:val="00CA157A"/>
    <w:rsid w:val="00CA19C6"/>
    <w:rsid w:val="00CA1DFF"/>
    <w:rsid w:val="00CA2463"/>
    <w:rsid w:val="00CA2A23"/>
    <w:rsid w:val="00CA2E7A"/>
    <w:rsid w:val="00CA36A4"/>
    <w:rsid w:val="00CA373F"/>
    <w:rsid w:val="00CA3E65"/>
    <w:rsid w:val="00CA3FB9"/>
    <w:rsid w:val="00CA4E52"/>
    <w:rsid w:val="00CA5289"/>
    <w:rsid w:val="00CA6515"/>
    <w:rsid w:val="00CA6E85"/>
    <w:rsid w:val="00CA6F22"/>
    <w:rsid w:val="00CA735B"/>
    <w:rsid w:val="00CA7D83"/>
    <w:rsid w:val="00CB02C9"/>
    <w:rsid w:val="00CB03B5"/>
    <w:rsid w:val="00CB0A29"/>
    <w:rsid w:val="00CB0C14"/>
    <w:rsid w:val="00CB129F"/>
    <w:rsid w:val="00CB1545"/>
    <w:rsid w:val="00CB1B8D"/>
    <w:rsid w:val="00CB268B"/>
    <w:rsid w:val="00CB2AA4"/>
    <w:rsid w:val="00CB3DB1"/>
    <w:rsid w:val="00CB3EB6"/>
    <w:rsid w:val="00CB4145"/>
    <w:rsid w:val="00CB497E"/>
    <w:rsid w:val="00CB4BA1"/>
    <w:rsid w:val="00CB4F31"/>
    <w:rsid w:val="00CB5457"/>
    <w:rsid w:val="00CB5AEB"/>
    <w:rsid w:val="00CB70CD"/>
    <w:rsid w:val="00CB7412"/>
    <w:rsid w:val="00CB74F9"/>
    <w:rsid w:val="00CB79C2"/>
    <w:rsid w:val="00CB7B9D"/>
    <w:rsid w:val="00CB7C58"/>
    <w:rsid w:val="00CC0093"/>
    <w:rsid w:val="00CC09A0"/>
    <w:rsid w:val="00CC0AC3"/>
    <w:rsid w:val="00CC10B6"/>
    <w:rsid w:val="00CC1223"/>
    <w:rsid w:val="00CC1D9C"/>
    <w:rsid w:val="00CC2371"/>
    <w:rsid w:val="00CC2615"/>
    <w:rsid w:val="00CC2FCE"/>
    <w:rsid w:val="00CC38A8"/>
    <w:rsid w:val="00CC40A7"/>
    <w:rsid w:val="00CC478E"/>
    <w:rsid w:val="00CC57AA"/>
    <w:rsid w:val="00CC6C9A"/>
    <w:rsid w:val="00CC7B0F"/>
    <w:rsid w:val="00CC7EB2"/>
    <w:rsid w:val="00CD0E3E"/>
    <w:rsid w:val="00CD10D8"/>
    <w:rsid w:val="00CD1B21"/>
    <w:rsid w:val="00CD21AE"/>
    <w:rsid w:val="00CD2769"/>
    <w:rsid w:val="00CD277E"/>
    <w:rsid w:val="00CD31F2"/>
    <w:rsid w:val="00CD3761"/>
    <w:rsid w:val="00CD3C40"/>
    <w:rsid w:val="00CD44A4"/>
    <w:rsid w:val="00CD4DD2"/>
    <w:rsid w:val="00CD5F55"/>
    <w:rsid w:val="00CD5F9C"/>
    <w:rsid w:val="00CD609F"/>
    <w:rsid w:val="00CD66B2"/>
    <w:rsid w:val="00CD69EB"/>
    <w:rsid w:val="00CD75EE"/>
    <w:rsid w:val="00CD7953"/>
    <w:rsid w:val="00CD7C4C"/>
    <w:rsid w:val="00CE0725"/>
    <w:rsid w:val="00CE0998"/>
    <w:rsid w:val="00CE2119"/>
    <w:rsid w:val="00CE228C"/>
    <w:rsid w:val="00CE2751"/>
    <w:rsid w:val="00CE28CB"/>
    <w:rsid w:val="00CE2FC0"/>
    <w:rsid w:val="00CE3137"/>
    <w:rsid w:val="00CE320A"/>
    <w:rsid w:val="00CE3580"/>
    <w:rsid w:val="00CE3CCA"/>
    <w:rsid w:val="00CE4287"/>
    <w:rsid w:val="00CE4706"/>
    <w:rsid w:val="00CE6406"/>
    <w:rsid w:val="00CE6750"/>
    <w:rsid w:val="00CF0384"/>
    <w:rsid w:val="00CF0C81"/>
    <w:rsid w:val="00CF1FF4"/>
    <w:rsid w:val="00CF275E"/>
    <w:rsid w:val="00CF3AD6"/>
    <w:rsid w:val="00CF3D15"/>
    <w:rsid w:val="00CF4272"/>
    <w:rsid w:val="00CF4515"/>
    <w:rsid w:val="00CF4DA1"/>
    <w:rsid w:val="00CF54F1"/>
    <w:rsid w:val="00CF6727"/>
    <w:rsid w:val="00CF70B2"/>
    <w:rsid w:val="00CF713D"/>
    <w:rsid w:val="00D00568"/>
    <w:rsid w:val="00D011C6"/>
    <w:rsid w:val="00D018CC"/>
    <w:rsid w:val="00D01AC9"/>
    <w:rsid w:val="00D01CFD"/>
    <w:rsid w:val="00D03EAA"/>
    <w:rsid w:val="00D0479F"/>
    <w:rsid w:val="00D049AF"/>
    <w:rsid w:val="00D04BB6"/>
    <w:rsid w:val="00D04EC5"/>
    <w:rsid w:val="00D05245"/>
    <w:rsid w:val="00D0554B"/>
    <w:rsid w:val="00D05734"/>
    <w:rsid w:val="00D05B3F"/>
    <w:rsid w:val="00D05C20"/>
    <w:rsid w:val="00D063D0"/>
    <w:rsid w:val="00D0665B"/>
    <w:rsid w:val="00D06BC4"/>
    <w:rsid w:val="00D06D98"/>
    <w:rsid w:val="00D06F20"/>
    <w:rsid w:val="00D076F4"/>
    <w:rsid w:val="00D078C5"/>
    <w:rsid w:val="00D10671"/>
    <w:rsid w:val="00D10BEE"/>
    <w:rsid w:val="00D10DBD"/>
    <w:rsid w:val="00D112D7"/>
    <w:rsid w:val="00D113E6"/>
    <w:rsid w:val="00D118B7"/>
    <w:rsid w:val="00D12341"/>
    <w:rsid w:val="00D12780"/>
    <w:rsid w:val="00D129F0"/>
    <w:rsid w:val="00D137B0"/>
    <w:rsid w:val="00D14553"/>
    <w:rsid w:val="00D14751"/>
    <w:rsid w:val="00D1481C"/>
    <w:rsid w:val="00D151E8"/>
    <w:rsid w:val="00D15729"/>
    <w:rsid w:val="00D157CE"/>
    <w:rsid w:val="00D15865"/>
    <w:rsid w:val="00D1682D"/>
    <w:rsid w:val="00D173D5"/>
    <w:rsid w:val="00D17C72"/>
    <w:rsid w:val="00D17F8E"/>
    <w:rsid w:val="00D206BE"/>
    <w:rsid w:val="00D2070B"/>
    <w:rsid w:val="00D210CF"/>
    <w:rsid w:val="00D21AEA"/>
    <w:rsid w:val="00D21E4E"/>
    <w:rsid w:val="00D2265B"/>
    <w:rsid w:val="00D22686"/>
    <w:rsid w:val="00D2331E"/>
    <w:rsid w:val="00D23B64"/>
    <w:rsid w:val="00D23D7B"/>
    <w:rsid w:val="00D24109"/>
    <w:rsid w:val="00D248C7"/>
    <w:rsid w:val="00D24982"/>
    <w:rsid w:val="00D255F3"/>
    <w:rsid w:val="00D25D88"/>
    <w:rsid w:val="00D25F2C"/>
    <w:rsid w:val="00D2669E"/>
    <w:rsid w:val="00D26765"/>
    <w:rsid w:val="00D26C8D"/>
    <w:rsid w:val="00D26C91"/>
    <w:rsid w:val="00D27858"/>
    <w:rsid w:val="00D27D84"/>
    <w:rsid w:val="00D303AB"/>
    <w:rsid w:val="00D3081B"/>
    <w:rsid w:val="00D30966"/>
    <w:rsid w:val="00D30A2C"/>
    <w:rsid w:val="00D3102D"/>
    <w:rsid w:val="00D31245"/>
    <w:rsid w:val="00D315BF"/>
    <w:rsid w:val="00D32B70"/>
    <w:rsid w:val="00D32EC0"/>
    <w:rsid w:val="00D33039"/>
    <w:rsid w:val="00D353E9"/>
    <w:rsid w:val="00D35642"/>
    <w:rsid w:val="00D3591C"/>
    <w:rsid w:val="00D35C92"/>
    <w:rsid w:val="00D35F92"/>
    <w:rsid w:val="00D36784"/>
    <w:rsid w:val="00D36B7D"/>
    <w:rsid w:val="00D3736C"/>
    <w:rsid w:val="00D37EA5"/>
    <w:rsid w:val="00D401EB"/>
    <w:rsid w:val="00D407FA"/>
    <w:rsid w:val="00D40967"/>
    <w:rsid w:val="00D40B06"/>
    <w:rsid w:val="00D41DC0"/>
    <w:rsid w:val="00D42CE7"/>
    <w:rsid w:val="00D43372"/>
    <w:rsid w:val="00D43452"/>
    <w:rsid w:val="00D43BD2"/>
    <w:rsid w:val="00D43D8F"/>
    <w:rsid w:val="00D4426A"/>
    <w:rsid w:val="00D44868"/>
    <w:rsid w:val="00D45607"/>
    <w:rsid w:val="00D457CF"/>
    <w:rsid w:val="00D461EC"/>
    <w:rsid w:val="00D4640F"/>
    <w:rsid w:val="00D46B16"/>
    <w:rsid w:val="00D46F2F"/>
    <w:rsid w:val="00D476AF"/>
    <w:rsid w:val="00D50722"/>
    <w:rsid w:val="00D50C4F"/>
    <w:rsid w:val="00D51A68"/>
    <w:rsid w:val="00D52515"/>
    <w:rsid w:val="00D525D7"/>
    <w:rsid w:val="00D529EC"/>
    <w:rsid w:val="00D52B70"/>
    <w:rsid w:val="00D53194"/>
    <w:rsid w:val="00D54051"/>
    <w:rsid w:val="00D54379"/>
    <w:rsid w:val="00D54DE9"/>
    <w:rsid w:val="00D54F90"/>
    <w:rsid w:val="00D56B40"/>
    <w:rsid w:val="00D56DE0"/>
    <w:rsid w:val="00D60781"/>
    <w:rsid w:val="00D60B05"/>
    <w:rsid w:val="00D60B5C"/>
    <w:rsid w:val="00D60CAE"/>
    <w:rsid w:val="00D6149A"/>
    <w:rsid w:val="00D61BF0"/>
    <w:rsid w:val="00D6275F"/>
    <w:rsid w:val="00D62C00"/>
    <w:rsid w:val="00D63ED0"/>
    <w:rsid w:val="00D64894"/>
    <w:rsid w:val="00D65153"/>
    <w:rsid w:val="00D6564B"/>
    <w:rsid w:val="00D65728"/>
    <w:rsid w:val="00D659A9"/>
    <w:rsid w:val="00D65D96"/>
    <w:rsid w:val="00D66F54"/>
    <w:rsid w:val="00D67CE6"/>
    <w:rsid w:val="00D67DBC"/>
    <w:rsid w:val="00D701F3"/>
    <w:rsid w:val="00D70270"/>
    <w:rsid w:val="00D71258"/>
    <w:rsid w:val="00D7125F"/>
    <w:rsid w:val="00D712E6"/>
    <w:rsid w:val="00D7158F"/>
    <w:rsid w:val="00D7159B"/>
    <w:rsid w:val="00D71D6B"/>
    <w:rsid w:val="00D72BBE"/>
    <w:rsid w:val="00D73070"/>
    <w:rsid w:val="00D73A6E"/>
    <w:rsid w:val="00D74FAB"/>
    <w:rsid w:val="00D74FCF"/>
    <w:rsid w:val="00D75FE8"/>
    <w:rsid w:val="00D7611A"/>
    <w:rsid w:val="00D7640C"/>
    <w:rsid w:val="00D765CB"/>
    <w:rsid w:val="00D7664C"/>
    <w:rsid w:val="00D77623"/>
    <w:rsid w:val="00D77688"/>
    <w:rsid w:val="00D77D1E"/>
    <w:rsid w:val="00D80268"/>
    <w:rsid w:val="00D80301"/>
    <w:rsid w:val="00D814DA"/>
    <w:rsid w:val="00D81E08"/>
    <w:rsid w:val="00D8261F"/>
    <w:rsid w:val="00D82811"/>
    <w:rsid w:val="00D828A1"/>
    <w:rsid w:val="00D82A5E"/>
    <w:rsid w:val="00D82E54"/>
    <w:rsid w:val="00D83997"/>
    <w:rsid w:val="00D839C9"/>
    <w:rsid w:val="00D84AFA"/>
    <w:rsid w:val="00D84FDE"/>
    <w:rsid w:val="00D852AF"/>
    <w:rsid w:val="00D85760"/>
    <w:rsid w:val="00D859E3"/>
    <w:rsid w:val="00D85C14"/>
    <w:rsid w:val="00D8615A"/>
    <w:rsid w:val="00D8664C"/>
    <w:rsid w:val="00D867ED"/>
    <w:rsid w:val="00D8681E"/>
    <w:rsid w:val="00D86B01"/>
    <w:rsid w:val="00D86E49"/>
    <w:rsid w:val="00D872D5"/>
    <w:rsid w:val="00D874F2"/>
    <w:rsid w:val="00D87D36"/>
    <w:rsid w:val="00D90BF9"/>
    <w:rsid w:val="00D90CE5"/>
    <w:rsid w:val="00D90DC3"/>
    <w:rsid w:val="00D90DFD"/>
    <w:rsid w:val="00D91F2E"/>
    <w:rsid w:val="00D92470"/>
    <w:rsid w:val="00D9439A"/>
    <w:rsid w:val="00D95589"/>
    <w:rsid w:val="00D956D7"/>
    <w:rsid w:val="00D95C13"/>
    <w:rsid w:val="00D95DFE"/>
    <w:rsid w:val="00D95F67"/>
    <w:rsid w:val="00D9623B"/>
    <w:rsid w:val="00D964EC"/>
    <w:rsid w:val="00D96785"/>
    <w:rsid w:val="00D974D4"/>
    <w:rsid w:val="00D97B30"/>
    <w:rsid w:val="00D97D34"/>
    <w:rsid w:val="00DA0035"/>
    <w:rsid w:val="00DA04DA"/>
    <w:rsid w:val="00DA09CA"/>
    <w:rsid w:val="00DA1321"/>
    <w:rsid w:val="00DA153B"/>
    <w:rsid w:val="00DA17EB"/>
    <w:rsid w:val="00DA1A27"/>
    <w:rsid w:val="00DA1F2E"/>
    <w:rsid w:val="00DA22D6"/>
    <w:rsid w:val="00DA255E"/>
    <w:rsid w:val="00DA2E22"/>
    <w:rsid w:val="00DA2F10"/>
    <w:rsid w:val="00DA3404"/>
    <w:rsid w:val="00DA3907"/>
    <w:rsid w:val="00DA4392"/>
    <w:rsid w:val="00DA4591"/>
    <w:rsid w:val="00DA62B3"/>
    <w:rsid w:val="00DA73C0"/>
    <w:rsid w:val="00DB0247"/>
    <w:rsid w:val="00DB04F9"/>
    <w:rsid w:val="00DB0A27"/>
    <w:rsid w:val="00DB0A54"/>
    <w:rsid w:val="00DB0B2C"/>
    <w:rsid w:val="00DB1179"/>
    <w:rsid w:val="00DB2112"/>
    <w:rsid w:val="00DB222D"/>
    <w:rsid w:val="00DB2236"/>
    <w:rsid w:val="00DB234C"/>
    <w:rsid w:val="00DB281B"/>
    <w:rsid w:val="00DB2EA9"/>
    <w:rsid w:val="00DB3531"/>
    <w:rsid w:val="00DB3E85"/>
    <w:rsid w:val="00DB4942"/>
    <w:rsid w:val="00DB4B84"/>
    <w:rsid w:val="00DB5806"/>
    <w:rsid w:val="00DB5A6B"/>
    <w:rsid w:val="00DB5F16"/>
    <w:rsid w:val="00DB5FE9"/>
    <w:rsid w:val="00DB6613"/>
    <w:rsid w:val="00DB6964"/>
    <w:rsid w:val="00DB6B3A"/>
    <w:rsid w:val="00DB6BF3"/>
    <w:rsid w:val="00DB6CCE"/>
    <w:rsid w:val="00DB7156"/>
    <w:rsid w:val="00DB7F26"/>
    <w:rsid w:val="00DB7FA6"/>
    <w:rsid w:val="00DC0302"/>
    <w:rsid w:val="00DC083F"/>
    <w:rsid w:val="00DC0CED"/>
    <w:rsid w:val="00DC10B0"/>
    <w:rsid w:val="00DC16F1"/>
    <w:rsid w:val="00DC18A9"/>
    <w:rsid w:val="00DC21C8"/>
    <w:rsid w:val="00DC2FD2"/>
    <w:rsid w:val="00DC33A9"/>
    <w:rsid w:val="00DC3619"/>
    <w:rsid w:val="00DC372B"/>
    <w:rsid w:val="00DC3CC0"/>
    <w:rsid w:val="00DC4741"/>
    <w:rsid w:val="00DC5339"/>
    <w:rsid w:val="00DC5C61"/>
    <w:rsid w:val="00DC60CE"/>
    <w:rsid w:val="00DC794F"/>
    <w:rsid w:val="00DD0529"/>
    <w:rsid w:val="00DD0A1C"/>
    <w:rsid w:val="00DD0FD5"/>
    <w:rsid w:val="00DD15B2"/>
    <w:rsid w:val="00DD15D7"/>
    <w:rsid w:val="00DD34C4"/>
    <w:rsid w:val="00DD351E"/>
    <w:rsid w:val="00DD371E"/>
    <w:rsid w:val="00DD390E"/>
    <w:rsid w:val="00DD3D7A"/>
    <w:rsid w:val="00DD4A6F"/>
    <w:rsid w:val="00DD52A9"/>
    <w:rsid w:val="00DD567F"/>
    <w:rsid w:val="00DD59BB"/>
    <w:rsid w:val="00DD6378"/>
    <w:rsid w:val="00DD6929"/>
    <w:rsid w:val="00DD6E38"/>
    <w:rsid w:val="00DD74FA"/>
    <w:rsid w:val="00DD7856"/>
    <w:rsid w:val="00DD7B23"/>
    <w:rsid w:val="00DE00AC"/>
    <w:rsid w:val="00DE0747"/>
    <w:rsid w:val="00DE0AF3"/>
    <w:rsid w:val="00DE298A"/>
    <w:rsid w:val="00DE2CE6"/>
    <w:rsid w:val="00DE3ED6"/>
    <w:rsid w:val="00DE3FE1"/>
    <w:rsid w:val="00DE41AF"/>
    <w:rsid w:val="00DE464A"/>
    <w:rsid w:val="00DE49F8"/>
    <w:rsid w:val="00DE4B2C"/>
    <w:rsid w:val="00DE4E41"/>
    <w:rsid w:val="00DE5213"/>
    <w:rsid w:val="00DE5F46"/>
    <w:rsid w:val="00DE6336"/>
    <w:rsid w:val="00DE67F9"/>
    <w:rsid w:val="00DE7A55"/>
    <w:rsid w:val="00DF01FF"/>
    <w:rsid w:val="00DF025D"/>
    <w:rsid w:val="00DF0346"/>
    <w:rsid w:val="00DF0828"/>
    <w:rsid w:val="00DF1138"/>
    <w:rsid w:val="00DF13F8"/>
    <w:rsid w:val="00DF1962"/>
    <w:rsid w:val="00DF2532"/>
    <w:rsid w:val="00DF2A08"/>
    <w:rsid w:val="00DF2E5C"/>
    <w:rsid w:val="00DF300E"/>
    <w:rsid w:val="00DF39B6"/>
    <w:rsid w:val="00DF3D3E"/>
    <w:rsid w:val="00DF3E69"/>
    <w:rsid w:val="00DF41BF"/>
    <w:rsid w:val="00DF427C"/>
    <w:rsid w:val="00DF465A"/>
    <w:rsid w:val="00DF5570"/>
    <w:rsid w:val="00DF5924"/>
    <w:rsid w:val="00DF5DC2"/>
    <w:rsid w:val="00DF5F92"/>
    <w:rsid w:val="00DF60D9"/>
    <w:rsid w:val="00DF701B"/>
    <w:rsid w:val="00E002AC"/>
    <w:rsid w:val="00E008D0"/>
    <w:rsid w:val="00E0108C"/>
    <w:rsid w:val="00E01BA3"/>
    <w:rsid w:val="00E01F7E"/>
    <w:rsid w:val="00E027DA"/>
    <w:rsid w:val="00E03358"/>
    <w:rsid w:val="00E0357E"/>
    <w:rsid w:val="00E0399B"/>
    <w:rsid w:val="00E04551"/>
    <w:rsid w:val="00E051BC"/>
    <w:rsid w:val="00E0520D"/>
    <w:rsid w:val="00E05427"/>
    <w:rsid w:val="00E054F4"/>
    <w:rsid w:val="00E05F8C"/>
    <w:rsid w:val="00E07024"/>
    <w:rsid w:val="00E07260"/>
    <w:rsid w:val="00E076EA"/>
    <w:rsid w:val="00E078CC"/>
    <w:rsid w:val="00E07C1F"/>
    <w:rsid w:val="00E07C5C"/>
    <w:rsid w:val="00E10FCF"/>
    <w:rsid w:val="00E11456"/>
    <w:rsid w:val="00E1208B"/>
    <w:rsid w:val="00E12241"/>
    <w:rsid w:val="00E12679"/>
    <w:rsid w:val="00E12CB2"/>
    <w:rsid w:val="00E12E86"/>
    <w:rsid w:val="00E13A0A"/>
    <w:rsid w:val="00E13B2C"/>
    <w:rsid w:val="00E14B48"/>
    <w:rsid w:val="00E14BE2"/>
    <w:rsid w:val="00E15868"/>
    <w:rsid w:val="00E16313"/>
    <w:rsid w:val="00E163EC"/>
    <w:rsid w:val="00E16884"/>
    <w:rsid w:val="00E16E1F"/>
    <w:rsid w:val="00E20613"/>
    <w:rsid w:val="00E20C58"/>
    <w:rsid w:val="00E20EF9"/>
    <w:rsid w:val="00E2115E"/>
    <w:rsid w:val="00E21932"/>
    <w:rsid w:val="00E21A90"/>
    <w:rsid w:val="00E23B6B"/>
    <w:rsid w:val="00E23FBB"/>
    <w:rsid w:val="00E24C3C"/>
    <w:rsid w:val="00E24EEC"/>
    <w:rsid w:val="00E252C0"/>
    <w:rsid w:val="00E2567E"/>
    <w:rsid w:val="00E25932"/>
    <w:rsid w:val="00E268C2"/>
    <w:rsid w:val="00E278FD"/>
    <w:rsid w:val="00E27B75"/>
    <w:rsid w:val="00E3032A"/>
    <w:rsid w:val="00E30B7C"/>
    <w:rsid w:val="00E30EB7"/>
    <w:rsid w:val="00E30F44"/>
    <w:rsid w:val="00E31780"/>
    <w:rsid w:val="00E31B72"/>
    <w:rsid w:val="00E322B9"/>
    <w:rsid w:val="00E32D98"/>
    <w:rsid w:val="00E32DC2"/>
    <w:rsid w:val="00E33052"/>
    <w:rsid w:val="00E334ED"/>
    <w:rsid w:val="00E33903"/>
    <w:rsid w:val="00E33A78"/>
    <w:rsid w:val="00E33FFA"/>
    <w:rsid w:val="00E34036"/>
    <w:rsid w:val="00E34058"/>
    <w:rsid w:val="00E3433F"/>
    <w:rsid w:val="00E3468B"/>
    <w:rsid w:val="00E35BB5"/>
    <w:rsid w:val="00E37216"/>
    <w:rsid w:val="00E4048C"/>
    <w:rsid w:val="00E40793"/>
    <w:rsid w:val="00E40B0B"/>
    <w:rsid w:val="00E41783"/>
    <w:rsid w:val="00E41E5D"/>
    <w:rsid w:val="00E429A4"/>
    <w:rsid w:val="00E42A25"/>
    <w:rsid w:val="00E43A76"/>
    <w:rsid w:val="00E43B27"/>
    <w:rsid w:val="00E44B10"/>
    <w:rsid w:val="00E454F0"/>
    <w:rsid w:val="00E45BC9"/>
    <w:rsid w:val="00E45D88"/>
    <w:rsid w:val="00E466F8"/>
    <w:rsid w:val="00E467FF"/>
    <w:rsid w:val="00E47483"/>
    <w:rsid w:val="00E4756D"/>
    <w:rsid w:val="00E47EF0"/>
    <w:rsid w:val="00E50A02"/>
    <w:rsid w:val="00E51258"/>
    <w:rsid w:val="00E51834"/>
    <w:rsid w:val="00E51DD0"/>
    <w:rsid w:val="00E52169"/>
    <w:rsid w:val="00E5216F"/>
    <w:rsid w:val="00E531EF"/>
    <w:rsid w:val="00E5322D"/>
    <w:rsid w:val="00E53239"/>
    <w:rsid w:val="00E53629"/>
    <w:rsid w:val="00E53A1D"/>
    <w:rsid w:val="00E53AD1"/>
    <w:rsid w:val="00E53B63"/>
    <w:rsid w:val="00E543A1"/>
    <w:rsid w:val="00E545AA"/>
    <w:rsid w:val="00E55056"/>
    <w:rsid w:val="00E55361"/>
    <w:rsid w:val="00E55CDE"/>
    <w:rsid w:val="00E55CEE"/>
    <w:rsid w:val="00E55E05"/>
    <w:rsid w:val="00E55E96"/>
    <w:rsid w:val="00E6041D"/>
    <w:rsid w:val="00E60422"/>
    <w:rsid w:val="00E6261F"/>
    <w:rsid w:val="00E62753"/>
    <w:rsid w:val="00E627B4"/>
    <w:rsid w:val="00E6318F"/>
    <w:rsid w:val="00E64296"/>
    <w:rsid w:val="00E64808"/>
    <w:rsid w:val="00E66F28"/>
    <w:rsid w:val="00E70096"/>
    <w:rsid w:val="00E70194"/>
    <w:rsid w:val="00E703EB"/>
    <w:rsid w:val="00E70559"/>
    <w:rsid w:val="00E70B47"/>
    <w:rsid w:val="00E7124D"/>
    <w:rsid w:val="00E71304"/>
    <w:rsid w:val="00E7170D"/>
    <w:rsid w:val="00E719C7"/>
    <w:rsid w:val="00E71D74"/>
    <w:rsid w:val="00E71E2D"/>
    <w:rsid w:val="00E72891"/>
    <w:rsid w:val="00E72C9C"/>
    <w:rsid w:val="00E739F1"/>
    <w:rsid w:val="00E7455E"/>
    <w:rsid w:val="00E74652"/>
    <w:rsid w:val="00E74993"/>
    <w:rsid w:val="00E7574E"/>
    <w:rsid w:val="00E75B24"/>
    <w:rsid w:val="00E75BEF"/>
    <w:rsid w:val="00E75DEB"/>
    <w:rsid w:val="00E75EF6"/>
    <w:rsid w:val="00E766EA"/>
    <w:rsid w:val="00E76D9F"/>
    <w:rsid w:val="00E76E07"/>
    <w:rsid w:val="00E77748"/>
    <w:rsid w:val="00E80D99"/>
    <w:rsid w:val="00E81ABF"/>
    <w:rsid w:val="00E81E83"/>
    <w:rsid w:val="00E839BB"/>
    <w:rsid w:val="00E83E24"/>
    <w:rsid w:val="00E83EDC"/>
    <w:rsid w:val="00E84792"/>
    <w:rsid w:val="00E8522A"/>
    <w:rsid w:val="00E85AF4"/>
    <w:rsid w:val="00E8622E"/>
    <w:rsid w:val="00E8629B"/>
    <w:rsid w:val="00E86DE0"/>
    <w:rsid w:val="00E871CE"/>
    <w:rsid w:val="00E900F5"/>
    <w:rsid w:val="00E90DB1"/>
    <w:rsid w:val="00E91360"/>
    <w:rsid w:val="00E916BB"/>
    <w:rsid w:val="00E924C9"/>
    <w:rsid w:val="00E924F2"/>
    <w:rsid w:val="00E928CD"/>
    <w:rsid w:val="00E930E7"/>
    <w:rsid w:val="00E94AE9"/>
    <w:rsid w:val="00E94C73"/>
    <w:rsid w:val="00E94DE1"/>
    <w:rsid w:val="00E9515A"/>
    <w:rsid w:val="00E9545F"/>
    <w:rsid w:val="00E95AA3"/>
    <w:rsid w:val="00E95B97"/>
    <w:rsid w:val="00E95F8C"/>
    <w:rsid w:val="00E96974"/>
    <w:rsid w:val="00E970E2"/>
    <w:rsid w:val="00E976B9"/>
    <w:rsid w:val="00E97EDE"/>
    <w:rsid w:val="00EA0810"/>
    <w:rsid w:val="00EA09B5"/>
    <w:rsid w:val="00EA0ED6"/>
    <w:rsid w:val="00EA110A"/>
    <w:rsid w:val="00EA1BFD"/>
    <w:rsid w:val="00EA20C8"/>
    <w:rsid w:val="00EA22BE"/>
    <w:rsid w:val="00EA2792"/>
    <w:rsid w:val="00EA2DFE"/>
    <w:rsid w:val="00EA2E5B"/>
    <w:rsid w:val="00EA34A2"/>
    <w:rsid w:val="00EA34C1"/>
    <w:rsid w:val="00EA3A00"/>
    <w:rsid w:val="00EA3A96"/>
    <w:rsid w:val="00EA49AD"/>
    <w:rsid w:val="00EA4A54"/>
    <w:rsid w:val="00EA4B61"/>
    <w:rsid w:val="00EA4EE5"/>
    <w:rsid w:val="00EA5419"/>
    <w:rsid w:val="00EA5AA1"/>
    <w:rsid w:val="00EA5C92"/>
    <w:rsid w:val="00EA67B3"/>
    <w:rsid w:val="00EA6ABF"/>
    <w:rsid w:val="00EA6E1D"/>
    <w:rsid w:val="00EA6FA1"/>
    <w:rsid w:val="00EA7313"/>
    <w:rsid w:val="00EA74AF"/>
    <w:rsid w:val="00EA7609"/>
    <w:rsid w:val="00EA7CBA"/>
    <w:rsid w:val="00EA7D57"/>
    <w:rsid w:val="00EB02CA"/>
    <w:rsid w:val="00EB0433"/>
    <w:rsid w:val="00EB0D5A"/>
    <w:rsid w:val="00EB154D"/>
    <w:rsid w:val="00EB199F"/>
    <w:rsid w:val="00EB19C8"/>
    <w:rsid w:val="00EB1BF1"/>
    <w:rsid w:val="00EB1C8A"/>
    <w:rsid w:val="00EB1D73"/>
    <w:rsid w:val="00EB2737"/>
    <w:rsid w:val="00EB33E6"/>
    <w:rsid w:val="00EB3FD9"/>
    <w:rsid w:val="00EB3FDE"/>
    <w:rsid w:val="00EB445F"/>
    <w:rsid w:val="00EB4A49"/>
    <w:rsid w:val="00EB4B5E"/>
    <w:rsid w:val="00EB4F9E"/>
    <w:rsid w:val="00EB587D"/>
    <w:rsid w:val="00EB5DF0"/>
    <w:rsid w:val="00EB60A4"/>
    <w:rsid w:val="00EB78B3"/>
    <w:rsid w:val="00EB7B85"/>
    <w:rsid w:val="00EC03A8"/>
    <w:rsid w:val="00EC086B"/>
    <w:rsid w:val="00EC08DF"/>
    <w:rsid w:val="00EC1334"/>
    <w:rsid w:val="00EC1650"/>
    <w:rsid w:val="00EC186F"/>
    <w:rsid w:val="00EC2465"/>
    <w:rsid w:val="00EC2652"/>
    <w:rsid w:val="00EC2B3A"/>
    <w:rsid w:val="00EC2B80"/>
    <w:rsid w:val="00EC37B1"/>
    <w:rsid w:val="00EC3E58"/>
    <w:rsid w:val="00EC453E"/>
    <w:rsid w:val="00EC4988"/>
    <w:rsid w:val="00EC4DDE"/>
    <w:rsid w:val="00EC4F44"/>
    <w:rsid w:val="00EC5579"/>
    <w:rsid w:val="00EC5C80"/>
    <w:rsid w:val="00EC5EAD"/>
    <w:rsid w:val="00EC5EE7"/>
    <w:rsid w:val="00EC615A"/>
    <w:rsid w:val="00EC6269"/>
    <w:rsid w:val="00EC6907"/>
    <w:rsid w:val="00EC6DB6"/>
    <w:rsid w:val="00EC78B3"/>
    <w:rsid w:val="00ED02CC"/>
    <w:rsid w:val="00ED0C7C"/>
    <w:rsid w:val="00ED11A1"/>
    <w:rsid w:val="00ED230B"/>
    <w:rsid w:val="00ED2656"/>
    <w:rsid w:val="00ED27A6"/>
    <w:rsid w:val="00ED2E8F"/>
    <w:rsid w:val="00ED2F64"/>
    <w:rsid w:val="00ED3731"/>
    <w:rsid w:val="00ED4302"/>
    <w:rsid w:val="00ED4676"/>
    <w:rsid w:val="00ED4CCA"/>
    <w:rsid w:val="00ED64E6"/>
    <w:rsid w:val="00ED6578"/>
    <w:rsid w:val="00ED743F"/>
    <w:rsid w:val="00ED7562"/>
    <w:rsid w:val="00ED7E8D"/>
    <w:rsid w:val="00ED7F91"/>
    <w:rsid w:val="00EE0AF9"/>
    <w:rsid w:val="00EE0D44"/>
    <w:rsid w:val="00EE0F91"/>
    <w:rsid w:val="00EE1103"/>
    <w:rsid w:val="00EE1989"/>
    <w:rsid w:val="00EE1BDA"/>
    <w:rsid w:val="00EE1E18"/>
    <w:rsid w:val="00EE3722"/>
    <w:rsid w:val="00EE536B"/>
    <w:rsid w:val="00EE5D1B"/>
    <w:rsid w:val="00EE5FD3"/>
    <w:rsid w:val="00EE6362"/>
    <w:rsid w:val="00EE646A"/>
    <w:rsid w:val="00EE6EE7"/>
    <w:rsid w:val="00EE7027"/>
    <w:rsid w:val="00EE745B"/>
    <w:rsid w:val="00EF09C4"/>
    <w:rsid w:val="00EF0C9A"/>
    <w:rsid w:val="00EF1E06"/>
    <w:rsid w:val="00EF2089"/>
    <w:rsid w:val="00EF24D4"/>
    <w:rsid w:val="00EF28F8"/>
    <w:rsid w:val="00EF2BE6"/>
    <w:rsid w:val="00EF309C"/>
    <w:rsid w:val="00EF32EA"/>
    <w:rsid w:val="00EF3459"/>
    <w:rsid w:val="00EF3E3B"/>
    <w:rsid w:val="00EF4999"/>
    <w:rsid w:val="00EF500B"/>
    <w:rsid w:val="00EF533A"/>
    <w:rsid w:val="00EF575E"/>
    <w:rsid w:val="00EF5EC7"/>
    <w:rsid w:val="00EF616F"/>
    <w:rsid w:val="00EF73C2"/>
    <w:rsid w:val="00EF7821"/>
    <w:rsid w:val="00EF7AC1"/>
    <w:rsid w:val="00F000D0"/>
    <w:rsid w:val="00F0177B"/>
    <w:rsid w:val="00F01A3F"/>
    <w:rsid w:val="00F01CD0"/>
    <w:rsid w:val="00F02440"/>
    <w:rsid w:val="00F0585B"/>
    <w:rsid w:val="00F05A30"/>
    <w:rsid w:val="00F05B50"/>
    <w:rsid w:val="00F07034"/>
    <w:rsid w:val="00F0729C"/>
    <w:rsid w:val="00F100D7"/>
    <w:rsid w:val="00F101C0"/>
    <w:rsid w:val="00F10614"/>
    <w:rsid w:val="00F106E8"/>
    <w:rsid w:val="00F11398"/>
    <w:rsid w:val="00F11ACA"/>
    <w:rsid w:val="00F11D46"/>
    <w:rsid w:val="00F11EF5"/>
    <w:rsid w:val="00F1243C"/>
    <w:rsid w:val="00F12554"/>
    <w:rsid w:val="00F129FD"/>
    <w:rsid w:val="00F12B43"/>
    <w:rsid w:val="00F12B6F"/>
    <w:rsid w:val="00F13F44"/>
    <w:rsid w:val="00F153A3"/>
    <w:rsid w:val="00F15D99"/>
    <w:rsid w:val="00F1620D"/>
    <w:rsid w:val="00F16593"/>
    <w:rsid w:val="00F16DB3"/>
    <w:rsid w:val="00F1721F"/>
    <w:rsid w:val="00F17484"/>
    <w:rsid w:val="00F17D7A"/>
    <w:rsid w:val="00F206B5"/>
    <w:rsid w:val="00F21890"/>
    <w:rsid w:val="00F22614"/>
    <w:rsid w:val="00F2277A"/>
    <w:rsid w:val="00F22AB6"/>
    <w:rsid w:val="00F234D8"/>
    <w:rsid w:val="00F23ACD"/>
    <w:rsid w:val="00F252D4"/>
    <w:rsid w:val="00F259F3"/>
    <w:rsid w:val="00F25D08"/>
    <w:rsid w:val="00F26086"/>
    <w:rsid w:val="00F2620D"/>
    <w:rsid w:val="00F262D7"/>
    <w:rsid w:val="00F26482"/>
    <w:rsid w:val="00F26A5C"/>
    <w:rsid w:val="00F2715A"/>
    <w:rsid w:val="00F27C58"/>
    <w:rsid w:val="00F27E08"/>
    <w:rsid w:val="00F3000D"/>
    <w:rsid w:val="00F302AE"/>
    <w:rsid w:val="00F31189"/>
    <w:rsid w:val="00F320E3"/>
    <w:rsid w:val="00F3285B"/>
    <w:rsid w:val="00F32C7A"/>
    <w:rsid w:val="00F3332F"/>
    <w:rsid w:val="00F33352"/>
    <w:rsid w:val="00F3444E"/>
    <w:rsid w:val="00F345D5"/>
    <w:rsid w:val="00F34B3B"/>
    <w:rsid w:val="00F34BFF"/>
    <w:rsid w:val="00F35362"/>
    <w:rsid w:val="00F35452"/>
    <w:rsid w:val="00F35821"/>
    <w:rsid w:val="00F361C1"/>
    <w:rsid w:val="00F3749A"/>
    <w:rsid w:val="00F37D8B"/>
    <w:rsid w:val="00F37E73"/>
    <w:rsid w:val="00F4009F"/>
    <w:rsid w:val="00F40419"/>
    <w:rsid w:val="00F40518"/>
    <w:rsid w:val="00F4058E"/>
    <w:rsid w:val="00F40905"/>
    <w:rsid w:val="00F41316"/>
    <w:rsid w:val="00F4156B"/>
    <w:rsid w:val="00F42132"/>
    <w:rsid w:val="00F42189"/>
    <w:rsid w:val="00F424CF"/>
    <w:rsid w:val="00F42670"/>
    <w:rsid w:val="00F43914"/>
    <w:rsid w:val="00F43A78"/>
    <w:rsid w:val="00F43E07"/>
    <w:rsid w:val="00F44034"/>
    <w:rsid w:val="00F44604"/>
    <w:rsid w:val="00F44CBF"/>
    <w:rsid w:val="00F46FFC"/>
    <w:rsid w:val="00F50226"/>
    <w:rsid w:val="00F5096B"/>
    <w:rsid w:val="00F509B9"/>
    <w:rsid w:val="00F509E6"/>
    <w:rsid w:val="00F50CD0"/>
    <w:rsid w:val="00F50DB2"/>
    <w:rsid w:val="00F50EE8"/>
    <w:rsid w:val="00F5153C"/>
    <w:rsid w:val="00F5188F"/>
    <w:rsid w:val="00F52114"/>
    <w:rsid w:val="00F5283B"/>
    <w:rsid w:val="00F52FFF"/>
    <w:rsid w:val="00F53374"/>
    <w:rsid w:val="00F54076"/>
    <w:rsid w:val="00F54516"/>
    <w:rsid w:val="00F5475E"/>
    <w:rsid w:val="00F55A03"/>
    <w:rsid w:val="00F55AC2"/>
    <w:rsid w:val="00F55D16"/>
    <w:rsid w:val="00F55DD4"/>
    <w:rsid w:val="00F563A9"/>
    <w:rsid w:val="00F565A5"/>
    <w:rsid w:val="00F565B9"/>
    <w:rsid w:val="00F5684B"/>
    <w:rsid w:val="00F576DA"/>
    <w:rsid w:val="00F57C12"/>
    <w:rsid w:val="00F60522"/>
    <w:rsid w:val="00F608C5"/>
    <w:rsid w:val="00F61423"/>
    <w:rsid w:val="00F61CF5"/>
    <w:rsid w:val="00F62439"/>
    <w:rsid w:val="00F62930"/>
    <w:rsid w:val="00F6295A"/>
    <w:rsid w:val="00F62C32"/>
    <w:rsid w:val="00F6304F"/>
    <w:rsid w:val="00F63440"/>
    <w:rsid w:val="00F63526"/>
    <w:rsid w:val="00F63723"/>
    <w:rsid w:val="00F64673"/>
    <w:rsid w:val="00F64B7F"/>
    <w:rsid w:val="00F656DC"/>
    <w:rsid w:val="00F65DE8"/>
    <w:rsid w:val="00F66BA3"/>
    <w:rsid w:val="00F6706B"/>
    <w:rsid w:val="00F67A2E"/>
    <w:rsid w:val="00F70DBF"/>
    <w:rsid w:val="00F70EBE"/>
    <w:rsid w:val="00F71094"/>
    <w:rsid w:val="00F71181"/>
    <w:rsid w:val="00F71A02"/>
    <w:rsid w:val="00F71C8C"/>
    <w:rsid w:val="00F71F82"/>
    <w:rsid w:val="00F73101"/>
    <w:rsid w:val="00F73116"/>
    <w:rsid w:val="00F7362F"/>
    <w:rsid w:val="00F7388F"/>
    <w:rsid w:val="00F73A1E"/>
    <w:rsid w:val="00F73FA8"/>
    <w:rsid w:val="00F743E1"/>
    <w:rsid w:val="00F752CD"/>
    <w:rsid w:val="00F75309"/>
    <w:rsid w:val="00F75516"/>
    <w:rsid w:val="00F75A0C"/>
    <w:rsid w:val="00F762D8"/>
    <w:rsid w:val="00F76369"/>
    <w:rsid w:val="00F76D26"/>
    <w:rsid w:val="00F776A4"/>
    <w:rsid w:val="00F77B01"/>
    <w:rsid w:val="00F8042B"/>
    <w:rsid w:val="00F810F9"/>
    <w:rsid w:val="00F81407"/>
    <w:rsid w:val="00F81AF3"/>
    <w:rsid w:val="00F82411"/>
    <w:rsid w:val="00F828B8"/>
    <w:rsid w:val="00F82CAA"/>
    <w:rsid w:val="00F83F29"/>
    <w:rsid w:val="00F842BB"/>
    <w:rsid w:val="00F84868"/>
    <w:rsid w:val="00F84BEA"/>
    <w:rsid w:val="00F85C47"/>
    <w:rsid w:val="00F85D8C"/>
    <w:rsid w:val="00F866EF"/>
    <w:rsid w:val="00F86CFC"/>
    <w:rsid w:val="00F87962"/>
    <w:rsid w:val="00F87970"/>
    <w:rsid w:val="00F87D35"/>
    <w:rsid w:val="00F900F1"/>
    <w:rsid w:val="00F908F5"/>
    <w:rsid w:val="00F90966"/>
    <w:rsid w:val="00F90CE5"/>
    <w:rsid w:val="00F90D4C"/>
    <w:rsid w:val="00F911BD"/>
    <w:rsid w:val="00F91479"/>
    <w:rsid w:val="00F917F6"/>
    <w:rsid w:val="00F918F5"/>
    <w:rsid w:val="00F91B8E"/>
    <w:rsid w:val="00F92730"/>
    <w:rsid w:val="00F92E44"/>
    <w:rsid w:val="00F930D4"/>
    <w:rsid w:val="00F930FE"/>
    <w:rsid w:val="00F93BC0"/>
    <w:rsid w:val="00F94484"/>
    <w:rsid w:val="00F950F1"/>
    <w:rsid w:val="00F951A1"/>
    <w:rsid w:val="00F95542"/>
    <w:rsid w:val="00F964DE"/>
    <w:rsid w:val="00F969B7"/>
    <w:rsid w:val="00F96A55"/>
    <w:rsid w:val="00F96A74"/>
    <w:rsid w:val="00F96D2E"/>
    <w:rsid w:val="00F9727E"/>
    <w:rsid w:val="00F973E0"/>
    <w:rsid w:val="00F97C53"/>
    <w:rsid w:val="00FA04C5"/>
    <w:rsid w:val="00FA0B11"/>
    <w:rsid w:val="00FA10F0"/>
    <w:rsid w:val="00FA127D"/>
    <w:rsid w:val="00FA1410"/>
    <w:rsid w:val="00FA167E"/>
    <w:rsid w:val="00FA186E"/>
    <w:rsid w:val="00FA1C40"/>
    <w:rsid w:val="00FA1D84"/>
    <w:rsid w:val="00FA1DD9"/>
    <w:rsid w:val="00FA1EC3"/>
    <w:rsid w:val="00FA1FF9"/>
    <w:rsid w:val="00FA25D0"/>
    <w:rsid w:val="00FA287B"/>
    <w:rsid w:val="00FA346F"/>
    <w:rsid w:val="00FA3CF5"/>
    <w:rsid w:val="00FA3D45"/>
    <w:rsid w:val="00FA428E"/>
    <w:rsid w:val="00FA55B2"/>
    <w:rsid w:val="00FA5F75"/>
    <w:rsid w:val="00FA68AC"/>
    <w:rsid w:val="00FA6903"/>
    <w:rsid w:val="00FA6A2A"/>
    <w:rsid w:val="00FA6B67"/>
    <w:rsid w:val="00FA6C2E"/>
    <w:rsid w:val="00FA6F97"/>
    <w:rsid w:val="00FA70C9"/>
    <w:rsid w:val="00FB0B96"/>
    <w:rsid w:val="00FB0C1C"/>
    <w:rsid w:val="00FB1C4B"/>
    <w:rsid w:val="00FB1C64"/>
    <w:rsid w:val="00FB1DFD"/>
    <w:rsid w:val="00FB2250"/>
    <w:rsid w:val="00FB2302"/>
    <w:rsid w:val="00FB2700"/>
    <w:rsid w:val="00FB3D1C"/>
    <w:rsid w:val="00FB4465"/>
    <w:rsid w:val="00FB4911"/>
    <w:rsid w:val="00FB4D02"/>
    <w:rsid w:val="00FB5C1F"/>
    <w:rsid w:val="00FB5F08"/>
    <w:rsid w:val="00FB6136"/>
    <w:rsid w:val="00FB63FF"/>
    <w:rsid w:val="00FB6634"/>
    <w:rsid w:val="00FB67A7"/>
    <w:rsid w:val="00FB6F1D"/>
    <w:rsid w:val="00FB700B"/>
    <w:rsid w:val="00FB7652"/>
    <w:rsid w:val="00FB7782"/>
    <w:rsid w:val="00FB7A69"/>
    <w:rsid w:val="00FB7E17"/>
    <w:rsid w:val="00FB7F9B"/>
    <w:rsid w:val="00FC1A2C"/>
    <w:rsid w:val="00FC32A8"/>
    <w:rsid w:val="00FC41B9"/>
    <w:rsid w:val="00FC505A"/>
    <w:rsid w:val="00FC571D"/>
    <w:rsid w:val="00FC5BD8"/>
    <w:rsid w:val="00FC6179"/>
    <w:rsid w:val="00FC6933"/>
    <w:rsid w:val="00FC7299"/>
    <w:rsid w:val="00FD0183"/>
    <w:rsid w:val="00FD085D"/>
    <w:rsid w:val="00FD0EBD"/>
    <w:rsid w:val="00FD16CE"/>
    <w:rsid w:val="00FD1C4C"/>
    <w:rsid w:val="00FD224D"/>
    <w:rsid w:val="00FD2B9F"/>
    <w:rsid w:val="00FD2E73"/>
    <w:rsid w:val="00FD33D8"/>
    <w:rsid w:val="00FD3D21"/>
    <w:rsid w:val="00FD3E6F"/>
    <w:rsid w:val="00FD5AF7"/>
    <w:rsid w:val="00FD5F4F"/>
    <w:rsid w:val="00FD617C"/>
    <w:rsid w:val="00FD620A"/>
    <w:rsid w:val="00FD629E"/>
    <w:rsid w:val="00FD6386"/>
    <w:rsid w:val="00FD66AC"/>
    <w:rsid w:val="00FD684B"/>
    <w:rsid w:val="00FD6AE4"/>
    <w:rsid w:val="00FD7407"/>
    <w:rsid w:val="00FE029E"/>
    <w:rsid w:val="00FE047F"/>
    <w:rsid w:val="00FE0B32"/>
    <w:rsid w:val="00FE110A"/>
    <w:rsid w:val="00FE20C2"/>
    <w:rsid w:val="00FE2442"/>
    <w:rsid w:val="00FE2985"/>
    <w:rsid w:val="00FE3417"/>
    <w:rsid w:val="00FE4562"/>
    <w:rsid w:val="00FE4FD6"/>
    <w:rsid w:val="00FE5010"/>
    <w:rsid w:val="00FE555C"/>
    <w:rsid w:val="00FE5F56"/>
    <w:rsid w:val="00FE6A23"/>
    <w:rsid w:val="00FE6D2D"/>
    <w:rsid w:val="00FE724D"/>
    <w:rsid w:val="00FF0655"/>
    <w:rsid w:val="00FF0A92"/>
    <w:rsid w:val="00FF26CF"/>
    <w:rsid w:val="00FF2F6E"/>
    <w:rsid w:val="00FF376E"/>
    <w:rsid w:val="00FF3792"/>
    <w:rsid w:val="00FF3D37"/>
    <w:rsid w:val="00FF4055"/>
    <w:rsid w:val="00FF419F"/>
    <w:rsid w:val="00FF4633"/>
    <w:rsid w:val="00FF4E4F"/>
    <w:rsid w:val="00FF4E5B"/>
    <w:rsid w:val="00FF52D8"/>
    <w:rsid w:val="00FF5D91"/>
    <w:rsid w:val="00FF60F9"/>
    <w:rsid w:val="00FF63BC"/>
    <w:rsid w:val="00FF655B"/>
    <w:rsid w:val="00FF6E31"/>
    <w:rsid w:val="00FF6FB6"/>
    <w:rsid w:val="00FF6FD5"/>
    <w:rsid w:val="00FF7301"/>
    <w:rsid w:val="00FF77B1"/>
  </w:rsids>
  <m:mathPr>
    <m:mathFont m:val="Cambria Math"/>
    <m:brkBin m:val="before"/>
    <m:brkBinSub m:val="--"/>
    <m:smallFrac/>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C70E30"/>
  <w15:docId w15:val="{2EBF82B3-108F-45A7-A038-C06E004E8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before="120" w:after="120"/>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4" w:semiHidden="1" w:unhideWhenUsed="1"/>
    <w:lsdException w:name="List Bullet 5"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99"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uiPriority="29"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D78D5"/>
  </w:style>
  <w:style w:type="paragraph" w:styleId="Heading1">
    <w:name w:val="heading 1"/>
    <w:basedOn w:val="Normal"/>
    <w:next w:val="Normal"/>
    <w:link w:val="Heading1Char"/>
    <w:uiPriority w:val="9"/>
    <w:qFormat/>
    <w:rsid w:val="00F62C3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223A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next w:val="Normal"/>
    <w:link w:val="Heading3Char"/>
    <w:uiPriority w:val="9"/>
    <w:unhideWhenUsed/>
    <w:qFormat/>
    <w:rsid w:val="00715911"/>
    <w:pPr>
      <w:keepNext/>
      <w:keepLines/>
      <w:spacing w:after="189"/>
      <w:ind w:left="10" w:hanging="10"/>
      <w:outlineLvl w:val="2"/>
    </w:pPr>
    <w:rPr>
      <w:rFonts w:ascii="Calibri" w:eastAsia="Calibri" w:hAnsi="Calibri" w:cs="Calibri"/>
      <w:i/>
      <w:color w:val="235A9C"/>
      <w:sz w:val="24"/>
      <w:lang w:val="en-NZ" w:eastAsia="en-NZ"/>
    </w:rPr>
  </w:style>
  <w:style w:type="paragraph" w:styleId="Heading4">
    <w:name w:val="heading 4"/>
    <w:basedOn w:val="Normal"/>
    <w:next w:val="Normal"/>
    <w:link w:val="Heading4Char"/>
    <w:uiPriority w:val="9"/>
    <w:unhideWhenUsed/>
    <w:qFormat/>
    <w:rsid w:val="00C30E7A"/>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next w:val="Normal"/>
    <w:link w:val="Heading5Char"/>
    <w:uiPriority w:val="9"/>
    <w:unhideWhenUsed/>
    <w:qFormat/>
    <w:rsid w:val="00C30E7A"/>
    <w:pPr>
      <w:keepNext/>
      <w:keepLines/>
      <w:spacing w:after="0"/>
      <w:ind w:left="11" w:hanging="10"/>
      <w:outlineLvl w:val="4"/>
    </w:pPr>
    <w:rPr>
      <w:rFonts w:ascii="Calibri" w:eastAsia="Calibri" w:hAnsi="Calibri" w:cs="Calibri"/>
      <w:b/>
      <w:color w:val="4F82BC"/>
      <w:sz w:val="24"/>
      <w:lang w:val="en-NZ" w:eastAsia="en-NZ"/>
    </w:rPr>
  </w:style>
  <w:style w:type="paragraph" w:styleId="Heading6">
    <w:name w:val="heading 6"/>
    <w:next w:val="Normal"/>
    <w:link w:val="Heading6Char"/>
    <w:uiPriority w:val="9"/>
    <w:unhideWhenUsed/>
    <w:qFormat/>
    <w:rsid w:val="00C30E7A"/>
    <w:pPr>
      <w:keepNext/>
      <w:keepLines/>
      <w:spacing w:after="3"/>
      <w:ind w:left="11" w:hanging="10"/>
      <w:outlineLvl w:val="5"/>
    </w:pPr>
    <w:rPr>
      <w:rFonts w:ascii="Calibri" w:eastAsia="Calibri" w:hAnsi="Calibri" w:cs="Calibri"/>
      <w:b/>
      <w:color w:val="000000"/>
      <w:sz w:val="18"/>
      <w:lang w:val="en-NZ"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474B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44F75"/>
    <w:pPr>
      <w:spacing w:after="0"/>
    </w:pPr>
    <w:rPr>
      <w:b/>
      <w:i/>
      <w:iCs/>
      <w:color w:val="44546A" w:themeColor="text2"/>
    </w:rPr>
  </w:style>
  <w:style w:type="paragraph" w:styleId="NoSpacing">
    <w:name w:val="No Spacing"/>
    <w:link w:val="NoSpacingChar"/>
    <w:uiPriority w:val="1"/>
    <w:qFormat/>
    <w:rsid w:val="00F62C32"/>
    <w:pPr>
      <w:spacing w:after="0"/>
    </w:pPr>
    <w:rPr>
      <w:rFonts w:eastAsiaTheme="minorEastAsia"/>
      <w:lang w:val="en-US"/>
    </w:rPr>
  </w:style>
  <w:style w:type="character" w:customStyle="1" w:styleId="NoSpacingChar">
    <w:name w:val="No Spacing Char"/>
    <w:basedOn w:val="DefaultParagraphFont"/>
    <w:link w:val="NoSpacing"/>
    <w:uiPriority w:val="1"/>
    <w:rsid w:val="00F62C32"/>
    <w:rPr>
      <w:rFonts w:eastAsiaTheme="minorEastAsia"/>
      <w:lang w:val="en-US"/>
    </w:rPr>
  </w:style>
  <w:style w:type="character" w:customStyle="1" w:styleId="Heading1Char">
    <w:name w:val="Heading 1 Char"/>
    <w:basedOn w:val="DefaultParagraphFont"/>
    <w:link w:val="Heading1"/>
    <w:uiPriority w:val="9"/>
    <w:rsid w:val="00F62C3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2223A7"/>
    <w:rPr>
      <w:rFonts w:asciiTheme="majorHAnsi" w:eastAsiaTheme="majorEastAsia" w:hAnsiTheme="majorHAnsi" w:cstheme="majorBidi"/>
      <w:color w:val="2E74B5" w:themeColor="accent1" w:themeShade="BF"/>
      <w:sz w:val="26"/>
      <w:szCs w:val="26"/>
    </w:rPr>
  </w:style>
  <w:style w:type="paragraph" w:styleId="FootnoteText">
    <w:name w:val="footnote text"/>
    <w:basedOn w:val="Normal"/>
    <w:link w:val="FootnoteTextChar"/>
    <w:uiPriority w:val="99"/>
    <w:unhideWhenUsed/>
    <w:rsid w:val="00F509B9"/>
    <w:pPr>
      <w:spacing w:after="0"/>
    </w:pPr>
    <w:rPr>
      <w:sz w:val="20"/>
      <w:szCs w:val="20"/>
    </w:rPr>
  </w:style>
  <w:style w:type="character" w:customStyle="1" w:styleId="FootnoteTextChar">
    <w:name w:val="Footnote Text Char"/>
    <w:basedOn w:val="DefaultParagraphFont"/>
    <w:link w:val="FootnoteText"/>
    <w:uiPriority w:val="99"/>
    <w:rsid w:val="00F509B9"/>
    <w:rPr>
      <w:sz w:val="20"/>
      <w:szCs w:val="20"/>
    </w:rPr>
  </w:style>
  <w:style w:type="character" w:styleId="FootnoteReference">
    <w:name w:val="footnote reference"/>
    <w:basedOn w:val="DefaultParagraphFont"/>
    <w:uiPriority w:val="99"/>
    <w:unhideWhenUsed/>
    <w:rsid w:val="00F509B9"/>
    <w:rPr>
      <w:vertAlign w:val="superscript"/>
    </w:rPr>
  </w:style>
  <w:style w:type="paragraph" w:customStyle="1" w:styleId="BStablefigures">
    <w:name w:val="BS_table figures"/>
    <w:basedOn w:val="BStabletext"/>
    <w:link w:val="BStablefiguresChar"/>
    <w:autoRedefine/>
    <w:qFormat/>
    <w:rsid w:val="00E2567E"/>
    <w:pPr>
      <w:framePr w:wrap="around"/>
      <w:jc w:val="right"/>
    </w:pPr>
    <w:rPr>
      <w:bCs/>
    </w:rPr>
  </w:style>
  <w:style w:type="paragraph" w:customStyle="1" w:styleId="BStabletext">
    <w:name w:val="BS_table text"/>
    <w:basedOn w:val="Normal"/>
    <w:link w:val="BStabletextChar"/>
    <w:autoRedefine/>
    <w:qFormat/>
    <w:rsid w:val="00540250"/>
    <w:pPr>
      <w:keepNext/>
      <w:framePr w:hSpace="180" w:wrap="around" w:vAnchor="text" w:hAnchor="text" w:y="1"/>
      <w:tabs>
        <w:tab w:val="left" w:pos="337"/>
      </w:tabs>
      <w:spacing w:after="0" w:line="256" w:lineRule="auto"/>
      <w:suppressOverlap/>
    </w:pPr>
    <w:rPr>
      <w:rFonts w:ascii="Calibri" w:eastAsia="Times New Roman" w:hAnsi="Calibri" w:cs="Times New Roman"/>
      <w:sz w:val="20"/>
      <w:szCs w:val="20"/>
      <w:lang w:val="en-NZ"/>
    </w:rPr>
  </w:style>
  <w:style w:type="character" w:customStyle="1" w:styleId="BStablefiguresChar">
    <w:name w:val="BS_table figures Char"/>
    <w:basedOn w:val="DefaultParagraphFont"/>
    <w:link w:val="BStablefigures"/>
    <w:rsid w:val="00E2567E"/>
    <w:rPr>
      <w:rFonts w:ascii="Calibri" w:eastAsia="Times New Roman" w:hAnsi="Calibri" w:cs="Times New Roman"/>
      <w:sz w:val="20"/>
      <w:szCs w:val="20"/>
      <w:lang w:val="en-NZ" w:eastAsia="en-AU"/>
    </w:rPr>
  </w:style>
  <w:style w:type="character" w:customStyle="1" w:styleId="BStabletextChar">
    <w:name w:val="BS_table text Char"/>
    <w:link w:val="BStabletext"/>
    <w:rsid w:val="00540250"/>
    <w:rPr>
      <w:rFonts w:ascii="Calibri" w:eastAsia="Times New Roman" w:hAnsi="Calibri" w:cs="Times New Roman"/>
      <w:sz w:val="20"/>
      <w:szCs w:val="20"/>
      <w:lang w:val="en-NZ"/>
    </w:rPr>
  </w:style>
  <w:style w:type="paragraph" w:customStyle="1" w:styleId="BStableheading">
    <w:name w:val="BS_table heading"/>
    <w:basedOn w:val="Normal"/>
    <w:link w:val="BStableheadingChar"/>
    <w:qFormat/>
    <w:rsid w:val="00E2567E"/>
    <w:pPr>
      <w:framePr w:wrap="around" w:vAnchor="text" w:hAnchor="text" w:y="1"/>
      <w:spacing w:after="0"/>
      <w:jc w:val="right"/>
    </w:pPr>
    <w:rPr>
      <w:rFonts w:ascii="Calibri" w:eastAsia="Times New Roman" w:hAnsi="Calibri" w:cs="Times New Roman"/>
      <w:b/>
      <w:sz w:val="20"/>
      <w:szCs w:val="20"/>
      <w:lang w:val="en-NZ"/>
    </w:rPr>
  </w:style>
  <w:style w:type="character" w:customStyle="1" w:styleId="BStableheadingChar">
    <w:name w:val="BS_table heading Char"/>
    <w:basedOn w:val="DefaultParagraphFont"/>
    <w:link w:val="BStableheading"/>
    <w:rsid w:val="00E2567E"/>
    <w:rPr>
      <w:rFonts w:ascii="Calibri" w:eastAsia="Times New Roman" w:hAnsi="Calibri" w:cs="Times New Roman"/>
      <w:b/>
      <w:sz w:val="20"/>
      <w:szCs w:val="20"/>
      <w:lang w:val="en-NZ"/>
    </w:rPr>
  </w:style>
  <w:style w:type="paragraph" w:customStyle="1" w:styleId="BStabletextbold">
    <w:name w:val="BS_table text bold"/>
    <w:basedOn w:val="BStabletext"/>
    <w:qFormat/>
    <w:rsid w:val="00E2567E"/>
    <w:pPr>
      <w:framePr w:wrap="around"/>
    </w:pPr>
    <w:rPr>
      <w:b/>
    </w:rPr>
  </w:style>
  <w:style w:type="paragraph" w:customStyle="1" w:styleId="BStablefiguresbold">
    <w:name w:val="BS_table figures bold"/>
    <w:basedOn w:val="BStablefigures"/>
    <w:link w:val="BStablefiguresboldChar"/>
    <w:qFormat/>
    <w:rsid w:val="00E2567E"/>
    <w:pPr>
      <w:framePr w:wrap="around"/>
    </w:pPr>
    <w:rPr>
      <w:b/>
    </w:rPr>
  </w:style>
  <w:style w:type="paragraph" w:customStyle="1" w:styleId="EmptyCell">
    <w:name w:val="Empty Cell"/>
    <w:basedOn w:val="Normal"/>
    <w:qFormat/>
    <w:rsid w:val="00E2567E"/>
    <w:pPr>
      <w:spacing w:after="0"/>
      <w:jc w:val="right"/>
    </w:pPr>
    <w:rPr>
      <w:rFonts w:ascii="Calibri" w:eastAsia="Times New Roman" w:hAnsi="Calibri" w:cs="Calibri"/>
      <w:color w:val="FFFFFF"/>
      <w:sz w:val="8"/>
      <w:szCs w:val="20"/>
    </w:rPr>
  </w:style>
  <w:style w:type="character" w:customStyle="1" w:styleId="BStablefiguresboldChar">
    <w:name w:val="BS_table figures bold Char"/>
    <w:link w:val="BStablefiguresbold"/>
    <w:rsid w:val="00E2567E"/>
    <w:rPr>
      <w:rFonts w:ascii="Calibri" w:eastAsia="Times New Roman" w:hAnsi="Calibri" w:cs="Times New Roman"/>
      <w:b/>
      <w:sz w:val="20"/>
      <w:szCs w:val="20"/>
      <w:lang w:val="en-NZ" w:eastAsia="en-AU"/>
    </w:rPr>
  </w:style>
  <w:style w:type="paragraph" w:styleId="ListParagraph">
    <w:name w:val="List Paragraph"/>
    <w:basedOn w:val="Normal"/>
    <w:uiPriority w:val="34"/>
    <w:qFormat/>
    <w:rsid w:val="00EB33E6"/>
    <w:pPr>
      <w:ind w:left="720"/>
      <w:contextualSpacing/>
    </w:pPr>
  </w:style>
  <w:style w:type="paragraph" w:styleId="BodyText">
    <w:name w:val="Body Text"/>
    <w:link w:val="BodyTextChar"/>
    <w:qFormat/>
    <w:rsid w:val="00DC3CC0"/>
    <w:rPr>
      <w:rFonts w:ascii="Calibri" w:eastAsia="Times New Roman" w:hAnsi="Calibri" w:cs="Times New Roman"/>
      <w:szCs w:val="24"/>
      <w:lang w:eastAsia="en-AU"/>
    </w:rPr>
  </w:style>
  <w:style w:type="character" w:customStyle="1" w:styleId="BodyTextChar">
    <w:name w:val="Body Text Char"/>
    <w:basedOn w:val="DefaultParagraphFont"/>
    <w:link w:val="BodyText"/>
    <w:rsid w:val="00DC3CC0"/>
    <w:rPr>
      <w:rFonts w:ascii="Calibri" w:eastAsia="Times New Roman" w:hAnsi="Calibri" w:cs="Times New Roman"/>
      <w:szCs w:val="24"/>
      <w:lang w:eastAsia="en-AU"/>
    </w:rPr>
  </w:style>
  <w:style w:type="paragraph" w:styleId="Header">
    <w:name w:val="header"/>
    <w:basedOn w:val="Normal"/>
    <w:link w:val="HeaderChar"/>
    <w:uiPriority w:val="99"/>
    <w:unhideWhenUsed/>
    <w:rsid w:val="004504EF"/>
    <w:pPr>
      <w:tabs>
        <w:tab w:val="center" w:pos="4513"/>
        <w:tab w:val="right" w:pos="9026"/>
      </w:tabs>
      <w:spacing w:after="0"/>
    </w:pPr>
  </w:style>
  <w:style w:type="character" w:customStyle="1" w:styleId="HeaderChar">
    <w:name w:val="Header Char"/>
    <w:basedOn w:val="DefaultParagraphFont"/>
    <w:link w:val="Header"/>
    <w:uiPriority w:val="99"/>
    <w:rsid w:val="004504EF"/>
  </w:style>
  <w:style w:type="paragraph" w:styleId="Footer">
    <w:name w:val="footer"/>
    <w:basedOn w:val="Normal"/>
    <w:link w:val="FooterChar"/>
    <w:uiPriority w:val="99"/>
    <w:unhideWhenUsed/>
    <w:rsid w:val="004504EF"/>
    <w:pPr>
      <w:tabs>
        <w:tab w:val="center" w:pos="4513"/>
        <w:tab w:val="right" w:pos="9026"/>
      </w:tabs>
      <w:spacing w:after="0"/>
    </w:pPr>
  </w:style>
  <w:style w:type="character" w:customStyle="1" w:styleId="FooterChar">
    <w:name w:val="Footer Char"/>
    <w:basedOn w:val="DefaultParagraphFont"/>
    <w:link w:val="Footer"/>
    <w:uiPriority w:val="99"/>
    <w:rsid w:val="004504EF"/>
  </w:style>
  <w:style w:type="paragraph" w:styleId="Bibliography">
    <w:name w:val="Bibliography"/>
    <w:basedOn w:val="Normal"/>
    <w:next w:val="Normal"/>
    <w:uiPriority w:val="37"/>
    <w:unhideWhenUsed/>
    <w:rsid w:val="00D74FAB"/>
  </w:style>
  <w:style w:type="paragraph" w:customStyle="1" w:styleId="BSnoteslist">
    <w:name w:val="BS_notes list"/>
    <w:basedOn w:val="Normal"/>
    <w:link w:val="BSnoteslistChar"/>
    <w:qFormat/>
    <w:rsid w:val="00E278FD"/>
    <w:pPr>
      <w:numPr>
        <w:numId w:val="1"/>
      </w:numPr>
      <w:spacing w:after="0"/>
    </w:pPr>
    <w:rPr>
      <w:rFonts w:ascii="Calibri" w:eastAsia="Times New Roman" w:hAnsi="Calibri" w:cs="Times New Roman"/>
      <w:sz w:val="18"/>
      <w:szCs w:val="24"/>
    </w:rPr>
  </w:style>
  <w:style w:type="character" w:styleId="Strong">
    <w:name w:val="Strong"/>
    <w:basedOn w:val="DefaultParagraphFont"/>
    <w:qFormat/>
    <w:rsid w:val="0011005D"/>
    <w:rPr>
      <w:b/>
      <w:bCs/>
      <w:color w:val="333333"/>
    </w:rPr>
  </w:style>
  <w:style w:type="character" w:customStyle="1" w:styleId="Heading4Char">
    <w:name w:val="Heading 4 Char"/>
    <w:basedOn w:val="DefaultParagraphFont"/>
    <w:link w:val="Heading4"/>
    <w:rsid w:val="00C30E7A"/>
    <w:rPr>
      <w:rFonts w:asciiTheme="majorHAnsi" w:eastAsiaTheme="majorEastAsia" w:hAnsiTheme="majorHAnsi" w:cstheme="majorBidi"/>
      <w:i/>
      <w:iCs/>
      <w:color w:val="2E74B5" w:themeColor="accent1" w:themeShade="BF"/>
    </w:rPr>
  </w:style>
  <w:style w:type="character" w:customStyle="1" w:styleId="Heading3Char">
    <w:name w:val="Heading 3 Char"/>
    <w:basedOn w:val="DefaultParagraphFont"/>
    <w:link w:val="Heading3"/>
    <w:uiPriority w:val="9"/>
    <w:rsid w:val="00715911"/>
    <w:rPr>
      <w:rFonts w:ascii="Calibri" w:eastAsia="Calibri" w:hAnsi="Calibri" w:cs="Calibri"/>
      <w:i/>
      <w:color w:val="235A9C"/>
      <w:sz w:val="24"/>
      <w:lang w:val="en-NZ" w:eastAsia="en-NZ"/>
    </w:rPr>
  </w:style>
  <w:style w:type="character" w:customStyle="1" w:styleId="Heading5Char">
    <w:name w:val="Heading 5 Char"/>
    <w:basedOn w:val="DefaultParagraphFont"/>
    <w:link w:val="Heading5"/>
    <w:uiPriority w:val="9"/>
    <w:rsid w:val="00C30E7A"/>
    <w:rPr>
      <w:rFonts w:ascii="Calibri" w:eastAsia="Calibri" w:hAnsi="Calibri" w:cs="Calibri"/>
      <w:b/>
      <w:color w:val="4F82BC"/>
      <w:sz w:val="24"/>
      <w:lang w:val="en-NZ" w:eastAsia="en-NZ"/>
    </w:rPr>
  </w:style>
  <w:style w:type="character" w:customStyle="1" w:styleId="Heading6Char">
    <w:name w:val="Heading 6 Char"/>
    <w:basedOn w:val="DefaultParagraphFont"/>
    <w:link w:val="Heading6"/>
    <w:uiPriority w:val="9"/>
    <w:rsid w:val="00C30E7A"/>
    <w:rPr>
      <w:rFonts w:ascii="Calibri" w:eastAsia="Calibri" w:hAnsi="Calibri" w:cs="Calibri"/>
      <w:b/>
      <w:color w:val="000000"/>
      <w:sz w:val="18"/>
      <w:lang w:val="en-NZ" w:eastAsia="en-NZ"/>
    </w:rPr>
  </w:style>
  <w:style w:type="paragraph" w:customStyle="1" w:styleId="footnotedescription">
    <w:name w:val="footnote description"/>
    <w:next w:val="Normal"/>
    <w:link w:val="footnotedescriptionChar"/>
    <w:hidden/>
    <w:rsid w:val="00C30E7A"/>
    <w:pPr>
      <w:spacing w:after="0" w:line="216" w:lineRule="auto"/>
      <w:ind w:left="2" w:right="53" w:hanging="1"/>
    </w:pPr>
    <w:rPr>
      <w:rFonts w:ascii="Calibri" w:eastAsia="Calibri" w:hAnsi="Calibri" w:cs="Calibri"/>
      <w:color w:val="000000"/>
      <w:sz w:val="20"/>
      <w:lang w:val="en-NZ" w:eastAsia="en-NZ"/>
    </w:rPr>
  </w:style>
  <w:style w:type="character" w:customStyle="1" w:styleId="footnotedescriptionChar">
    <w:name w:val="footnote description Char"/>
    <w:link w:val="footnotedescription"/>
    <w:rsid w:val="00C30E7A"/>
    <w:rPr>
      <w:rFonts w:ascii="Calibri" w:eastAsia="Calibri" w:hAnsi="Calibri" w:cs="Calibri"/>
      <w:color w:val="000000"/>
      <w:sz w:val="20"/>
      <w:lang w:val="en-NZ" w:eastAsia="en-NZ"/>
    </w:rPr>
  </w:style>
  <w:style w:type="paragraph" w:styleId="TOC1">
    <w:name w:val="toc 1"/>
    <w:hidden/>
    <w:uiPriority w:val="39"/>
    <w:rsid w:val="00C30E7A"/>
    <w:pPr>
      <w:spacing w:after="219"/>
      <w:ind w:left="26" w:right="21" w:hanging="10"/>
    </w:pPr>
    <w:rPr>
      <w:rFonts w:ascii="Calibri" w:eastAsia="Calibri" w:hAnsi="Calibri" w:cs="Calibri"/>
      <w:b/>
      <w:color w:val="000000"/>
      <w:lang w:val="en-NZ" w:eastAsia="en-NZ"/>
    </w:rPr>
  </w:style>
  <w:style w:type="paragraph" w:styleId="TOC2">
    <w:name w:val="toc 2"/>
    <w:hidden/>
    <w:uiPriority w:val="39"/>
    <w:rsid w:val="00C30E7A"/>
    <w:pPr>
      <w:spacing w:after="1" w:line="348" w:lineRule="auto"/>
      <w:ind w:left="441" w:right="32" w:hanging="10"/>
      <w:jc w:val="center"/>
    </w:pPr>
    <w:rPr>
      <w:rFonts w:ascii="Calibri" w:eastAsia="Calibri" w:hAnsi="Calibri" w:cs="Calibri"/>
      <w:color w:val="000000"/>
      <w:lang w:val="en-NZ" w:eastAsia="en-NZ"/>
    </w:rPr>
  </w:style>
  <w:style w:type="character" w:customStyle="1" w:styleId="footnotemark">
    <w:name w:val="footnote mark"/>
    <w:hidden/>
    <w:rsid w:val="00C30E7A"/>
    <w:rPr>
      <w:rFonts w:ascii="Calibri" w:eastAsia="Calibri" w:hAnsi="Calibri" w:cs="Calibri"/>
      <w:b/>
      <w:color w:val="000000"/>
      <w:sz w:val="18"/>
      <w:vertAlign w:val="superscript"/>
    </w:rPr>
  </w:style>
  <w:style w:type="table" w:customStyle="1" w:styleId="TableGrid0">
    <w:name w:val="TableGrid"/>
    <w:rsid w:val="00C30E7A"/>
    <w:pPr>
      <w:spacing w:after="0"/>
    </w:pPr>
    <w:rPr>
      <w:rFonts w:eastAsiaTheme="minorEastAsia"/>
      <w:lang w:val="en-NZ" w:eastAsia="en-NZ"/>
    </w:rPr>
    <w:tblPr>
      <w:tblCellMar>
        <w:top w:w="0" w:type="dxa"/>
        <w:left w:w="0" w:type="dxa"/>
        <w:bottom w:w="0" w:type="dxa"/>
        <w:right w:w="0" w:type="dxa"/>
      </w:tblCellMar>
    </w:tblPr>
  </w:style>
  <w:style w:type="character" w:styleId="Emphasis">
    <w:name w:val="Emphasis"/>
    <w:qFormat/>
    <w:rsid w:val="007C14EC"/>
    <w:rPr>
      <w:rFonts w:ascii="Calibri" w:hAnsi="Calibri"/>
      <w:i/>
      <w:iCs/>
    </w:rPr>
  </w:style>
  <w:style w:type="paragraph" w:customStyle="1" w:styleId="BSnote">
    <w:name w:val="BS_note"/>
    <w:basedOn w:val="NoteHeading"/>
    <w:link w:val="BSnoteChar"/>
    <w:qFormat/>
    <w:rsid w:val="007C14EC"/>
    <w:pPr>
      <w:keepNext/>
    </w:pPr>
    <w:rPr>
      <w:rFonts w:ascii="Calibri" w:eastAsia="Times New Roman" w:hAnsi="Calibri" w:cs="Times New Roman"/>
      <w:b/>
      <w:sz w:val="18"/>
      <w:szCs w:val="16"/>
    </w:rPr>
  </w:style>
  <w:style w:type="character" w:customStyle="1" w:styleId="BSnoteChar">
    <w:name w:val="BS_note Char"/>
    <w:link w:val="BSnote"/>
    <w:rsid w:val="007C14EC"/>
    <w:rPr>
      <w:rFonts w:ascii="Calibri" w:eastAsia="Times New Roman" w:hAnsi="Calibri" w:cs="Times New Roman"/>
      <w:b/>
      <w:sz w:val="18"/>
      <w:szCs w:val="16"/>
    </w:rPr>
  </w:style>
  <w:style w:type="character" w:customStyle="1" w:styleId="BSnoteslistChar">
    <w:name w:val="BS_notes list Char"/>
    <w:basedOn w:val="DefaultParagraphFont"/>
    <w:link w:val="BSnoteslist"/>
    <w:rsid w:val="007C14EC"/>
    <w:rPr>
      <w:rFonts w:ascii="Calibri" w:eastAsia="Times New Roman" w:hAnsi="Calibri" w:cs="Times New Roman"/>
      <w:sz w:val="18"/>
      <w:szCs w:val="24"/>
    </w:rPr>
  </w:style>
  <w:style w:type="paragraph" w:customStyle="1" w:styleId="BSnotetext">
    <w:name w:val="BS_note text"/>
    <w:basedOn w:val="BSnote"/>
    <w:link w:val="BSnotetextChar"/>
    <w:qFormat/>
    <w:rsid w:val="007C14EC"/>
    <w:rPr>
      <w:b w:val="0"/>
    </w:rPr>
  </w:style>
  <w:style w:type="character" w:customStyle="1" w:styleId="BSnotetextChar">
    <w:name w:val="BS_note text Char"/>
    <w:basedOn w:val="BSnoteChar"/>
    <w:link w:val="BSnotetext"/>
    <w:rsid w:val="007C14EC"/>
    <w:rPr>
      <w:rFonts w:ascii="Calibri" w:eastAsia="Times New Roman" w:hAnsi="Calibri" w:cs="Times New Roman"/>
      <w:b w:val="0"/>
      <w:sz w:val="18"/>
      <w:szCs w:val="16"/>
    </w:rPr>
  </w:style>
  <w:style w:type="paragraph" w:styleId="NoteHeading">
    <w:name w:val="Note Heading"/>
    <w:basedOn w:val="Normal"/>
    <w:next w:val="Normal"/>
    <w:link w:val="NoteHeadingChar"/>
    <w:uiPriority w:val="99"/>
    <w:semiHidden/>
    <w:unhideWhenUsed/>
    <w:rsid w:val="007C14EC"/>
    <w:pPr>
      <w:spacing w:after="0"/>
    </w:pPr>
  </w:style>
  <w:style w:type="character" w:customStyle="1" w:styleId="NoteHeadingChar">
    <w:name w:val="Note Heading Char"/>
    <w:basedOn w:val="DefaultParagraphFont"/>
    <w:link w:val="NoteHeading"/>
    <w:uiPriority w:val="99"/>
    <w:semiHidden/>
    <w:rsid w:val="007C14EC"/>
  </w:style>
  <w:style w:type="paragraph" w:customStyle="1" w:styleId="InitTextL">
    <w:name w:val="Init Text L"/>
    <w:basedOn w:val="Normal"/>
    <w:qFormat/>
    <w:rsid w:val="00EE1103"/>
    <w:pPr>
      <w:spacing w:after="0"/>
    </w:pPr>
    <w:rPr>
      <w:rFonts w:ascii="Calibri" w:eastAsia="Times New Roman" w:hAnsi="Calibri" w:cs="Times New Roman"/>
      <w:sz w:val="24"/>
      <w:szCs w:val="20"/>
    </w:rPr>
  </w:style>
  <w:style w:type="paragraph" w:customStyle="1" w:styleId="InitFigR">
    <w:name w:val="Init Fig R"/>
    <w:basedOn w:val="InitTextL"/>
    <w:qFormat/>
    <w:rsid w:val="00EE1103"/>
    <w:pPr>
      <w:jc w:val="right"/>
    </w:pPr>
  </w:style>
  <w:style w:type="paragraph" w:customStyle="1" w:styleId="InitFigBR">
    <w:name w:val="Init Fig BR"/>
    <w:basedOn w:val="InitFigR"/>
    <w:qFormat/>
    <w:rsid w:val="00EE1103"/>
    <w:rPr>
      <w:b/>
    </w:rPr>
  </w:style>
  <w:style w:type="character" w:styleId="CommentReference">
    <w:name w:val="annotation reference"/>
    <w:basedOn w:val="DefaultParagraphFont"/>
    <w:uiPriority w:val="99"/>
    <w:semiHidden/>
    <w:unhideWhenUsed/>
    <w:rsid w:val="00EB4B5E"/>
    <w:rPr>
      <w:sz w:val="16"/>
      <w:szCs w:val="16"/>
    </w:rPr>
  </w:style>
  <w:style w:type="paragraph" w:styleId="CommentText">
    <w:name w:val="annotation text"/>
    <w:basedOn w:val="Normal"/>
    <w:link w:val="CommentTextChar"/>
    <w:uiPriority w:val="99"/>
    <w:unhideWhenUsed/>
    <w:rsid w:val="00EB4B5E"/>
    <w:rPr>
      <w:sz w:val="20"/>
      <w:szCs w:val="20"/>
    </w:rPr>
  </w:style>
  <w:style w:type="character" w:customStyle="1" w:styleId="CommentTextChar">
    <w:name w:val="Comment Text Char"/>
    <w:basedOn w:val="DefaultParagraphFont"/>
    <w:link w:val="CommentText"/>
    <w:uiPriority w:val="99"/>
    <w:rsid w:val="00EB4B5E"/>
    <w:rPr>
      <w:sz w:val="20"/>
      <w:szCs w:val="20"/>
    </w:rPr>
  </w:style>
  <w:style w:type="paragraph" w:styleId="CommentSubject">
    <w:name w:val="annotation subject"/>
    <w:basedOn w:val="CommentText"/>
    <w:next w:val="CommentText"/>
    <w:link w:val="CommentSubjectChar"/>
    <w:uiPriority w:val="99"/>
    <w:semiHidden/>
    <w:unhideWhenUsed/>
    <w:rsid w:val="00EB4B5E"/>
    <w:rPr>
      <w:b/>
      <w:bCs/>
    </w:rPr>
  </w:style>
  <w:style w:type="character" w:customStyle="1" w:styleId="CommentSubjectChar">
    <w:name w:val="Comment Subject Char"/>
    <w:basedOn w:val="CommentTextChar"/>
    <w:link w:val="CommentSubject"/>
    <w:uiPriority w:val="99"/>
    <w:semiHidden/>
    <w:rsid w:val="00EB4B5E"/>
    <w:rPr>
      <w:b/>
      <w:bCs/>
      <w:sz w:val="20"/>
      <w:szCs w:val="20"/>
    </w:rPr>
  </w:style>
  <w:style w:type="paragraph" w:styleId="BalloonText">
    <w:name w:val="Balloon Text"/>
    <w:basedOn w:val="Normal"/>
    <w:link w:val="BalloonTextChar"/>
    <w:uiPriority w:val="99"/>
    <w:semiHidden/>
    <w:unhideWhenUsed/>
    <w:rsid w:val="00EB4B5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4B5E"/>
    <w:rPr>
      <w:rFonts w:ascii="Segoe UI" w:hAnsi="Segoe UI" w:cs="Segoe UI"/>
      <w:sz w:val="18"/>
      <w:szCs w:val="18"/>
    </w:rPr>
  </w:style>
  <w:style w:type="paragraph" w:customStyle="1" w:styleId="BSbullet1">
    <w:name w:val="BS_bullet 1"/>
    <w:basedOn w:val="BodyTextIndent"/>
    <w:link w:val="BSbullet1Char"/>
    <w:qFormat/>
    <w:rsid w:val="004B00D0"/>
    <w:pPr>
      <w:numPr>
        <w:numId w:val="2"/>
      </w:numPr>
      <w:spacing w:before="200"/>
    </w:pPr>
    <w:rPr>
      <w:rFonts w:ascii="Calibri" w:eastAsia="Times New Roman" w:hAnsi="Calibri" w:cs="Times New Roman"/>
      <w:sz w:val="24"/>
      <w:szCs w:val="24"/>
    </w:rPr>
  </w:style>
  <w:style w:type="character" w:customStyle="1" w:styleId="BSbullet1Char">
    <w:name w:val="BS_bullet 1 Char"/>
    <w:basedOn w:val="BodyTextIndentChar"/>
    <w:link w:val="BSbullet1"/>
    <w:rsid w:val="004B00D0"/>
    <w:rPr>
      <w:rFonts w:ascii="Calibri" w:eastAsia="Times New Roman" w:hAnsi="Calibri" w:cs="Times New Roman"/>
      <w:sz w:val="24"/>
      <w:szCs w:val="24"/>
    </w:rPr>
  </w:style>
  <w:style w:type="paragraph" w:styleId="BodyTextIndent">
    <w:name w:val="Body Text Indent"/>
    <w:basedOn w:val="Normal"/>
    <w:link w:val="BodyTextIndentChar"/>
    <w:uiPriority w:val="99"/>
    <w:semiHidden/>
    <w:unhideWhenUsed/>
    <w:rsid w:val="004B00D0"/>
    <w:pPr>
      <w:ind w:left="283"/>
    </w:pPr>
  </w:style>
  <w:style w:type="character" w:customStyle="1" w:styleId="BodyTextIndentChar">
    <w:name w:val="Body Text Indent Char"/>
    <w:basedOn w:val="DefaultParagraphFont"/>
    <w:link w:val="BodyTextIndent"/>
    <w:uiPriority w:val="99"/>
    <w:semiHidden/>
    <w:rsid w:val="004B00D0"/>
  </w:style>
  <w:style w:type="paragraph" w:styleId="TOCHeading">
    <w:name w:val="TOC Heading"/>
    <w:basedOn w:val="Heading1"/>
    <w:next w:val="Normal"/>
    <w:uiPriority w:val="39"/>
    <w:unhideWhenUsed/>
    <w:qFormat/>
    <w:rsid w:val="001E7E56"/>
    <w:pPr>
      <w:outlineLvl w:val="9"/>
    </w:pPr>
    <w:rPr>
      <w:lang w:val="en-US"/>
    </w:rPr>
  </w:style>
  <w:style w:type="character" w:styleId="Hyperlink">
    <w:name w:val="Hyperlink"/>
    <w:basedOn w:val="DefaultParagraphFont"/>
    <w:uiPriority w:val="99"/>
    <w:unhideWhenUsed/>
    <w:rsid w:val="001E7E56"/>
    <w:rPr>
      <w:color w:val="0563C1" w:themeColor="hyperlink"/>
      <w:u w:val="single"/>
    </w:rPr>
  </w:style>
  <w:style w:type="paragraph" w:styleId="TableofFigures">
    <w:name w:val="table of figures"/>
    <w:basedOn w:val="Normal"/>
    <w:next w:val="Normal"/>
    <w:uiPriority w:val="99"/>
    <w:unhideWhenUsed/>
    <w:rsid w:val="001E7E56"/>
    <w:pPr>
      <w:spacing w:after="0"/>
    </w:pPr>
  </w:style>
  <w:style w:type="paragraph" w:customStyle="1" w:styleId="BStableheading1">
    <w:name w:val="BS_table heading 1"/>
    <w:basedOn w:val="NoSpacing"/>
    <w:link w:val="BStableheading1Char"/>
    <w:rsid w:val="00C227EC"/>
    <w:pPr>
      <w:framePr w:wrap="around" w:vAnchor="text" w:hAnchor="text" w:y="1"/>
      <w:jc w:val="right"/>
    </w:pPr>
    <w:rPr>
      <w:rFonts w:ascii="Calibri" w:eastAsia="Times New Roman" w:hAnsi="Calibri" w:cs="Times New Roman"/>
      <w:b/>
      <w:bCs/>
      <w:sz w:val="20"/>
      <w:szCs w:val="20"/>
      <w:lang w:val="en-NZ"/>
    </w:rPr>
  </w:style>
  <w:style w:type="character" w:customStyle="1" w:styleId="BStableheading1Char">
    <w:name w:val="BS_table heading 1 Char"/>
    <w:link w:val="BStableheading1"/>
    <w:rsid w:val="00C227EC"/>
    <w:rPr>
      <w:rFonts w:ascii="Calibri" w:eastAsia="Times New Roman" w:hAnsi="Calibri" w:cs="Times New Roman"/>
      <w:b/>
      <w:bCs/>
      <w:sz w:val="20"/>
      <w:szCs w:val="20"/>
      <w:lang w:val="en-NZ"/>
    </w:rPr>
  </w:style>
  <w:style w:type="character" w:customStyle="1" w:styleId="apple-converted-space">
    <w:name w:val="apple-converted-space"/>
    <w:basedOn w:val="DefaultParagraphFont"/>
    <w:rsid w:val="00AB40E9"/>
  </w:style>
  <w:style w:type="paragraph" w:styleId="Revision">
    <w:name w:val="Revision"/>
    <w:hidden/>
    <w:uiPriority w:val="99"/>
    <w:semiHidden/>
    <w:rsid w:val="00177E12"/>
    <w:pPr>
      <w:spacing w:after="0"/>
    </w:pPr>
  </w:style>
  <w:style w:type="paragraph" w:styleId="Title">
    <w:name w:val="Title"/>
    <w:link w:val="TitleChar"/>
    <w:qFormat/>
    <w:rsid w:val="0051070A"/>
    <w:pPr>
      <w:spacing w:before="180" w:after="0" w:line="560" w:lineRule="exact"/>
      <w:ind w:left="539"/>
      <w:jc w:val="right"/>
    </w:pPr>
    <w:rPr>
      <w:rFonts w:ascii="Century Gothic" w:eastAsia="Times New Roman" w:hAnsi="Century Gothic" w:cs="Times New Roman"/>
      <w:b/>
      <w:kern w:val="40"/>
      <w:sz w:val="40"/>
      <w:szCs w:val="24"/>
    </w:rPr>
  </w:style>
  <w:style w:type="character" w:customStyle="1" w:styleId="TitleChar">
    <w:name w:val="Title Char"/>
    <w:basedOn w:val="DefaultParagraphFont"/>
    <w:link w:val="Title"/>
    <w:rsid w:val="0051070A"/>
    <w:rPr>
      <w:rFonts w:ascii="Century Gothic" w:eastAsia="Times New Roman" w:hAnsi="Century Gothic" w:cs="Times New Roman"/>
      <w:b/>
      <w:kern w:val="40"/>
      <w:sz w:val="40"/>
      <w:szCs w:val="24"/>
    </w:rPr>
  </w:style>
  <w:style w:type="paragraph" w:customStyle="1" w:styleId="UnnumtextBodytext">
    <w:name w:val="Unnum text: Body text"/>
    <w:basedOn w:val="Normal"/>
    <w:qFormat/>
    <w:rsid w:val="00694C12"/>
    <w:pPr>
      <w:spacing w:after="170" w:line="260" w:lineRule="atLeast"/>
    </w:pPr>
    <w:rPr>
      <w:rFonts w:ascii="Garamond" w:eastAsia="Times New Roman" w:hAnsi="Garamond" w:cs="Times New Roman"/>
      <w:lang w:val="en-NZ" w:eastAsia="en-NZ"/>
    </w:rPr>
  </w:style>
  <w:style w:type="paragraph" w:customStyle="1" w:styleId="Quotation">
    <w:name w:val="Quotation"/>
    <w:basedOn w:val="Normal"/>
    <w:rsid w:val="00694C12"/>
    <w:pPr>
      <w:spacing w:after="170" w:line="260" w:lineRule="atLeast"/>
      <w:ind w:left="227"/>
    </w:pPr>
    <w:rPr>
      <w:rFonts w:ascii="Garamond" w:eastAsia="Times New Roman" w:hAnsi="Garamond" w:cs="Times New Roman"/>
      <w:i/>
      <w:spacing w:val="15"/>
      <w:sz w:val="21"/>
      <w:lang w:val="en-NZ" w:eastAsia="en-NZ"/>
    </w:rPr>
  </w:style>
  <w:style w:type="paragraph" w:customStyle="1" w:styleId="Default">
    <w:name w:val="Default"/>
    <w:rsid w:val="00537FBC"/>
    <w:pPr>
      <w:autoSpaceDE w:val="0"/>
      <w:autoSpaceDN w:val="0"/>
      <w:adjustRightInd w:val="0"/>
      <w:spacing w:after="0"/>
    </w:pPr>
    <w:rPr>
      <w:rFonts w:ascii="QKXAS F+ Calibri" w:hAnsi="QKXAS F+ Calibri" w:cs="QKXAS F+ Calibri"/>
      <w:color w:val="000000"/>
      <w:sz w:val="24"/>
      <w:szCs w:val="24"/>
    </w:rPr>
  </w:style>
  <w:style w:type="paragraph" w:styleId="NormalWeb">
    <w:name w:val="Normal (Web)"/>
    <w:basedOn w:val="Normal"/>
    <w:uiPriority w:val="99"/>
    <w:unhideWhenUsed/>
    <w:rsid w:val="009758BA"/>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BStabletextunbold">
    <w:name w:val="BS_table text unbold"/>
    <w:basedOn w:val="BStabletext"/>
    <w:qFormat/>
    <w:rsid w:val="0033628A"/>
    <w:pPr>
      <w:keepNext w:val="0"/>
      <w:framePr w:wrap="around"/>
      <w:ind w:left="227" w:hanging="227"/>
    </w:pPr>
    <w:rPr>
      <w:b/>
    </w:rPr>
  </w:style>
  <w:style w:type="paragraph" w:customStyle="1" w:styleId="BStablefiguresunbold">
    <w:name w:val="BS_table figures unbold"/>
    <w:basedOn w:val="BStablefigures"/>
    <w:link w:val="BStablefiguresunboldChar"/>
    <w:qFormat/>
    <w:rsid w:val="0033628A"/>
    <w:pPr>
      <w:keepNext w:val="0"/>
      <w:framePr w:wrap="around"/>
      <w:ind w:left="227" w:hanging="227"/>
    </w:pPr>
    <w:rPr>
      <w:b/>
      <w:szCs w:val="24"/>
    </w:rPr>
  </w:style>
  <w:style w:type="character" w:customStyle="1" w:styleId="BStablefiguresunboldChar">
    <w:name w:val="BS_table figures unbold Char"/>
    <w:basedOn w:val="DefaultParagraphFont"/>
    <w:link w:val="BStablefiguresunbold"/>
    <w:locked/>
    <w:rsid w:val="0033628A"/>
    <w:rPr>
      <w:rFonts w:ascii="Calibri" w:eastAsia="Times New Roman" w:hAnsi="Calibri" w:cs="Times New Roman"/>
      <w:sz w:val="20"/>
      <w:szCs w:val="24"/>
    </w:rPr>
  </w:style>
  <w:style w:type="paragraph" w:customStyle="1" w:styleId="Style1">
    <w:name w:val="Style1"/>
    <w:basedOn w:val="Quote"/>
    <w:link w:val="Style1Char"/>
    <w:qFormat/>
    <w:rsid w:val="00846E5A"/>
    <w:rPr>
      <w:color w:val="2E74B5" w:themeColor="accent1" w:themeShade="BF"/>
    </w:rPr>
  </w:style>
  <w:style w:type="paragraph" w:styleId="Quote">
    <w:name w:val="Quote"/>
    <w:basedOn w:val="Normal"/>
    <w:next w:val="Normal"/>
    <w:link w:val="QuoteChar"/>
    <w:uiPriority w:val="29"/>
    <w:qFormat/>
    <w:rsid w:val="0099333C"/>
    <w:pPr>
      <w:spacing w:before="200"/>
      <w:ind w:left="864" w:right="864"/>
    </w:pPr>
    <w:rPr>
      <w:i/>
      <w:iCs/>
      <w:color w:val="0070C0"/>
    </w:rPr>
  </w:style>
  <w:style w:type="character" w:customStyle="1" w:styleId="QuoteChar">
    <w:name w:val="Quote Char"/>
    <w:basedOn w:val="DefaultParagraphFont"/>
    <w:link w:val="Quote"/>
    <w:uiPriority w:val="29"/>
    <w:rsid w:val="0099333C"/>
    <w:rPr>
      <w:i/>
      <w:iCs/>
      <w:color w:val="0070C0"/>
    </w:rPr>
  </w:style>
  <w:style w:type="character" w:customStyle="1" w:styleId="Style1Char">
    <w:name w:val="Style1 Char"/>
    <w:basedOn w:val="QuoteChar"/>
    <w:link w:val="Style1"/>
    <w:rsid w:val="00846E5A"/>
    <w:rPr>
      <w:i/>
      <w:iCs/>
      <w:color w:val="2E74B5" w:themeColor="accent1" w:themeShade="BF"/>
    </w:rPr>
  </w:style>
  <w:style w:type="character" w:customStyle="1" w:styleId="UnresolvedMention1">
    <w:name w:val="Unresolved Mention1"/>
    <w:basedOn w:val="DefaultParagraphFont"/>
    <w:uiPriority w:val="99"/>
    <w:semiHidden/>
    <w:unhideWhenUsed/>
    <w:rsid w:val="00C65FCF"/>
    <w:rPr>
      <w:color w:val="605E5C"/>
      <w:shd w:val="clear" w:color="auto" w:fill="E1DFDD"/>
    </w:rPr>
  </w:style>
  <w:style w:type="paragraph" w:styleId="TOC3">
    <w:name w:val="toc 3"/>
    <w:basedOn w:val="Normal"/>
    <w:next w:val="Normal"/>
    <w:autoRedefine/>
    <w:uiPriority w:val="39"/>
    <w:unhideWhenUsed/>
    <w:rsid w:val="005447FA"/>
    <w:pPr>
      <w:spacing w:after="100"/>
      <w:ind w:left="440"/>
    </w:pPr>
  </w:style>
  <w:style w:type="paragraph" w:customStyle="1" w:styleId="gmail-msolistparagraph">
    <w:name w:val="gmail-msolistparagraph"/>
    <w:basedOn w:val="Normal"/>
    <w:rsid w:val="00202972"/>
    <w:pPr>
      <w:spacing w:before="100" w:beforeAutospacing="1" w:after="100" w:afterAutospacing="1"/>
    </w:pPr>
    <w:rPr>
      <w:rFonts w:ascii="Calibri" w:hAnsi="Calibri" w:cs="Calibri"/>
      <w:lang w:eastAsia="en-AU"/>
    </w:rPr>
  </w:style>
  <w:style w:type="paragraph" w:customStyle="1" w:styleId="Bbodytext">
    <w:name w:val="B_body_text"/>
    <w:basedOn w:val="Normal"/>
    <w:link w:val="BbodytextChar"/>
    <w:qFormat/>
    <w:rsid w:val="00351993"/>
  </w:style>
  <w:style w:type="character" w:customStyle="1" w:styleId="BbodytextChar">
    <w:name w:val="B_body_text Char"/>
    <w:basedOn w:val="DefaultParagraphFont"/>
    <w:link w:val="Bbodytext"/>
    <w:rsid w:val="00351993"/>
  </w:style>
  <w:style w:type="table" w:customStyle="1" w:styleId="TableGridLight1">
    <w:name w:val="Table Grid Light1"/>
    <w:basedOn w:val="TableNormal"/>
    <w:uiPriority w:val="40"/>
    <w:rsid w:val="005A0CF7"/>
    <w:pPr>
      <w:spacing w:before="0" w:after="0"/>
    </w:pPr>
    <w:rPr>
      <w:kern w:val="2"/>
      <w:sz w:val="24"/>
      <w:szCs w:val="24"/>
      <w14:ligatures w14:val="standardContextual"/>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arkedcontent">
    <w:name w:val="markedcontent"/>
    <w:basedOn w:val="DefaultParagraphFont"/>
    <w:rsid w:val="008241C9"/>
  </w:style>
  <w:style w:type="character" w:customStyle="1" w:styleId="BBullet1Char">
    <w:name w:val="B_Bullet_1 Char"/>
    <w:basedOn w:val="BbodytextChar"/>
    <w:link w:val="BBullet1"/>
    <w:locked/>
    <w:rsid w:val="008A2C21"/>
    <w:rPr>
      <w:sz w:val="24"/>
    </w:rPr>
  </w:style>
  <w:style w:type="paragraph" w:customStyle="1" w:styleId="BBullet1">
    <w:name w:val="B_Bullet_1"/>
    <w:basedOn w:val="Bbodytext"/>
    <w:link w:val="BBullet1Char"/>
    <w:qFormat/>
    <w:rsid w:val="008A2C21"/>
    <w:pPr>
      <w:numPr>
        <w:numId w:val="30"/>
      </w:numPr>
      <w:tabs>
        <w:tab w:val="left" w:pos="426"/>
      </w:tabs>
      <w:spacing w:before="0"/>
      <w:ind w:left="426" w:hanging="426"/>
    </w:pPr>
  </w:style>
  <w:style w:type="character" w:customStyle="1" w:styleId="A21">
    <w:name w:val="A21"/>
    <w:uiPriority w:val="99"/>
    <w:rsid w:val="00351993"/>
    <w:rPr>
      <w:rFonts w:cs="Source Sans Pro"/>
      <w:b/>
      <w:b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9440">
      <w:bodyDiv w:val="1"/>
      <w:marLeft w:val="0"/>
      <w:marRight w:val="0"/>
      <w:marTop w:val="0"/>
      <w:marBottom w:val="0"/>
      <w:divBdr>
        <w:top w:val="none" w:sz="0" w:space="0" w:color="auto"/>
        <w:left w:val="none" w:sz="0" w:space="0" w:color="auto"/>
        <w:bottom w:val="none" w:sz="0" w:space="0" w:color="auto"/>
        <w:right w:val="none" w:sz="0" w:space="0" w:color="auto"/>
      </w:divBdr>
    </w:div>
    <w:div w:id="550875">
      <w:bodyDiv w:val="1"/>
      <w:marLeft w:val="0"/>
      <w:marRight w:val="0"/>
      <w:marTop w:val="0"/>
      <w:marBottom w:val="0"/>
      <w:divBdr>
        <w:top w:val="none" w:sz="0" w:space="0" w:color="auto"/>
        <w:left w:val="none" w:sz="0" w:space="0" w:color="auto"/>
        <w:bottom w:val="none" w:sz="0" w:space="0" w:color="auto"/>
        <w:right w:val="none" w:sz="0" w:space="0" w:color="auto"/>
      </w:divBdr>
    </w:div>
    <w:div w:id="1395509">
      <w:bodyDiv w:val="1"/>
      <w:marLeft w:val="0"/>
      <w:marRight w:val="0"/>
      <w:marTop w:val="0"/>
      <w:marBottom w:val="0"/>
      <w:divBdr>
        <w:top w:val="none" w:sz="0" w:space="0" w:color="auto"/>
        <w:left w:val="none" w:sz="0" w:space="0" w:color="auto"/>
        <w:bottom w:val="none" w:sz="0" w:space="0" w:color="auto"/>
        <w:right w:val="none" w:sz="0" w:space="0" w:color="auto"/>
      </w:divBdr>
    </w:div>
    <w:div w:id="2125919">
      <w:bodyDiv w:val="1"/>
      <w:marLeft w:val="0"/>
      <w:marRight w:val="0"/>
      <w:marTop w:val="0"/>
      <w:marBottom w:val="0"/>
      <w:divBdr>
        <w:top w:val="none" w:sz="0" w:space="0" w:color="auto"/>
        <w:left w:val="none" w:sz="0" w:space="0" w:color="auto"/>
        <w:bottom w:val="none" w:sz="0" w:space="0" w:color="auto"/>
        <w:right w:val="none" w:sz="0" w:space="0" w:color="auto"/>
      </w:divBdr>
    </w:div>
    <w:div w:id="2360195">
      <w:bodyDiv w:val="1"/>
      <w:marLeft w:val="0"/>
      <w:marRight w:val="0"/>
      <w:marTop w:val="0"/>
      <w:marBottom w:val="0"/>
      <w:divBdr>
        <w:top w:val="none" w:sz="0" w:space="0" w:color="auto"/>
        <w:left w:val="none" w:sz="0" w:space="0" w:color="auto"/>
        <w:bottom w:val="none" w:sz="0" w:space="0" w:color="auto"/>
        <w:right w:val="none" w:sz="0" w:space="0" w:color="auto"/>
      </w:divBdr>
    </w:div>
    <w:div w:id="3095911">
      <w:bodyDiv w:val="1"/>
      <w:marLeft w:val="0"/>
      <w:marRight w:val="0"/>
      <w:marTop w:val="0"/>
      <w:marBottom w:val="0"/>
      <w:divBdr>
        <w:top w:val="none" w:sz="0" w:space="0" w:color="auto"/>
        <w:left w:val="none" w:sz="0" w:space="0" w:color="auto"/>
        <w:bottom w:val="none" w:sz="0" w:space="0" w:color="auto"/>
        <w:right w:val="none" w:sz="0" w:space="0" w:color="auto"/>
      </w:divBdr>
    </w:div>
    <w:div w:id="6175746">
      <w:bodyDiv w:val="1"/>
      <w:marLeft w:val="0"/>
      <w:marRight w:val="0"/>
      <w:marTop w:val="0"/>
      <w:marBottom w:val="0"/>
      <w:divBdr>
        <w:top w:val="none" w:sz="0" w:space="0" w:color="auto"/>
        <w:left w:val="none" w:sz="0" w:space="0" w:color="auto"/>
        <w:bottom w:val="none" w:sz="0" w:space="0" w:color="auto"/>
        <w:right w:val="none" w:sz="0" w:space="0" w:color="auto"/>
      </w:divBdr>
    </w:div>
    <w:div w:id="6293762">
      <w:bodyDiv w:val="1"/>
      <w:marLeft w:val="0"/>
      <w:marRight w:val="0"/>
      <w:marTop w:val="0"/>
      <w:marBottom w:val="0"/>
      <w:divBdr>
        <w:top w:val="none" w:sz="0" w:space="0" w:color="auto"/>
        <w:left w:val="none" w:sz="0" w:space="0" w:color="auto"/>
        <w:bottom w:val="none" w:sz="0" w:space="0" w:color="auto"/>
        <w:right w:val="none" w:sz="0" w:space="0" w:color="auto"/>
      </w:divBdr>
    </w:div>
    <w:div w:id="8257561">
      <w:bodyDiv w:val="1"/>
      <w:marLeft w:val="0"/>
      <w:marRight w:val="0"/>
      <w:marTop w:val="0"/>
      <w:marBottom w:val="0"/>
      <w:divBdr>
        <w:top w:val="none" w:sz="0" w:space="0" w:color="auto"/>
        <w:left w:val="none" w:sz="0" w:space="0" w:color="auto"/>
        <w:bottom w:val="none" w:sz="0" w:space="0" w:color="auto"/>
        <w:right w:val="none" w:sz="0" w:space="0" w:color="auto"/>
      </w:divBdr>
    </w:div>
    <w:div w:id="8918502">
      <w:bodyDiv w:val="1"/>
      <w:marLeft w:val="0"/>
      <w:marRight w:val="0"/>
      <w:marTop w:val="0"/>
      <w:marBottom w:val="0"/>
      <w:divBdr>
        <w:top w:val="none" w:sz="0" w:space="0" w:color="auto"/>
        <w:left w:val="none" w:sz="0" w:space="0" w:color="auto"/>
        <w:bottom w:val="none" w:sz="0" w:space="0" w:color="auto"/>
        <w:right w:val="none" w:sz="0" w:space="0" w:color="auto"/>
      </w:divBdr>
    </w:div>
    <w:div w:id="9838416">
      <w:bodyDiv w:val="1"/>
      <w:marLeft w:val="0"/>
      <w:marRight w:val="0"/>
      <w:marTop w:val="0"/>
      <w:marBottom w:val="0"/>
      <w:divBdr>
        <w:top w:val="none" w:sz="0" w:space="0" w:color="auto"/>
        <w:left w:val="none" w:sz="0" w:space="0" w:color="auto"/>
        <w:bottom w:val="none" w:sz="0" w:space="0" w:color="auto"/>
        <w:right w:val="none" w:sz="0" w:space="0" w:color="auto"/>
      </w:divBdr>
    </w:div>
    <w:div w:id="10498315">
      <w:bodyDiv w:val="1"/>
      <w:marLeft w:val="0"/>
      <w:marRight w:val="0"/>
      <w:marTop w:val="0"/>
      <w:marBottom w:val="0"/>
      <w:divBdr>
        <w:top w:val="none" w:sz="0" w:space="0" w:color="auto"/>
        <w:left w:val="none" w:sz="0" w:space="0" w:color="auto"/>
        <w:bottom w:val="none" w:sz="0" w:space="0" w:color="auto"/>
        <w:right w:val="none" w:sz="0" w:space="0" w:color="auto"/>
      </w:divBdr>
    </w:div>
    <w:div w:id="12387997">
      <w:bodyDiv w:val="1"/>
      <w:marLeft w:val="0"/>
      <w:marRight w:val="0"/>
      <w:marTop w:val="0"/>
      <w:marBottom w:val="0"/>
      <w:divBdr>
        <w:top w:val="none" w:sz="0" w:space="0" w:color="auto"/>
        <w:left w:val="none" w:sz="0" w:space="0" w:color="auto"/>
        <w:bottom w:val="none" w:sz="0" w:space="0" w:color="auto"/>
        <w:right w:val="none" w:sz="0" w:space="0" w:color="auto"/>
      </w:divBdr>
    </w:div>
    <w:div w:id="13118793">
      <w:bodyDiv w:val="1"/>
      <w:marLeft w:val="0"/>
      <w:marRight w:val="0"/>
      <w:marTop w:val="0"/>
      <w:marBottom w:val="0"/>
      <w:divBdr>
        <w:top w:val="none" w:sz="0" w:space="0" w:color="auto"/>
        <w:left w:val="none" w:sz="0" w:space="0" w:color="auto"/>
        <w:bottom w:val="none" w:sz="0" w:space="0" w:color="auto"/>
        <w:right w:val="none" w:sz="0" w:space="0" w:color="auto"/>
      </w:divBdr>
    </w:div>
    <w:div w:id="14574406">
      <w:bodyDiv w:val="1"/>
      <w:marLeft w:val="0"/>
      <w:marRight w:val="0"/>
      <w:marTop w:val="0"/>
      <w:marBottom w:val="0"/>
      <w:divBdr>
        <w:top w:val="none" w:sz="0" w:space="0" w:color="auto"/>
        <w:left w:val="none" w:sz="0" w:space="0" w:color="auto"/>
        <w:bottom w:val="none" w:sz="0" w:space="0" w:color="auto"/>
        <w:right w:val="none" w:sz="0" w:space="0" w:color="auto"/>
      </w:divBdr>
    </w:div>
    <w:div w:id="14772699">
      <w:bodyDiv w:val="1"/>
      <w:marLeft w:val="0"/>
      <w:marRight w:val="0"/>
      <w:marTop w:val="0"/>
      <w:marBottom w:val="0"/>
      <w:divBdr>
        <w:top w:val="none" w:sz="0" w:space="0" w:color="auto"/>
        <w:left w:val="none" w:sz="0" w:space="0" w:color="auto"/>
        <w:bottom w:val="none" w:sz="0" w:space="0" w:color="auto"/>
        <w:right w:val="none" w:sz="0" w:space="0" w:color="auto"/>
      </w:divBdr>
    </w:div>
    <w:div w:id="16203872">
      <w:bodyDiv w:val="1"/>
      <w:marLeft w:val="0"/>
      <w:marRight w:val="0"/>
      <w:marTop w:val="0"/>
      <w:marBottom w:val="0"/>
      <w:divBdr>
        <w:top w:val="none" w:sz="0" w:space="0" w:color="auto"/>
        <w:left w:val="none" w:sz="0" w:space="0" w:color="auto"/>
        <w:bottom w:val="none" w:sz="0" w:space="0" w:color="auto"/>
        <w:right w:val="none" w:sz="0" w:space="0" w:color="auto"/>
      </w:divBdr>
    </w:div>
    <w:div w:id="17514232">
      <w:bodyDiv w:val="1"/>
      <w:marLeft w:val="0"/>
      <w:marRight w:val="0"/>
      <w:marTop w:val="0"/>
      <w:marBottom w:val="0"/>
      <w:divBdr>
        <w:top w:val="none" w:sz="0" w:space="0" w:color="auto"/>
        <w:left w:val="none" w:sz="0" w:space="0" w:color="auto"/>
        <w:bottom w:val="none" w:sz="0" w:space="0" w:color="auto"/>
        <w:right w:val="none" w:sz="0" w:space="0" w:color="auto"/>
      </w:divBdr>
    </w:div>
    <w:div w:id="17779219">
      <w:bodyDiv w:val="1"/>
      <w:marLeft w:val="0"/>
      <w:marRight w:val="0"/>
      <w:marTop w:val="0"/>
      <w:marBottom w:val="0"/>
      <w:divBdr>
        <w:top w:val="none" w:sz="0" w:space="0" w:color="auto"/>
        <w:left w:val="none" w:sz="0" w:space="0" w:color="auto"/>
        <w:bottom w:val="none" w:sz="0" w:space="0" w:color="auto"/>
        <w:right w:val="none" w:sz="0" w:space="0" w:color="auto"/>
      </w:divBdr>
    </w:div>
    <w:div w:id="18090255">
      <w:bodyDiv w:val="1"/>
      <w:marLeft w:val="0"/>
      <w:marRight w:val="0"/>
      <w:marTop w:val="0"/>
      <w:marBottom w:val="0"/>
      <w:divBdr>
        <w:top w:val="none" w:sz="0" w:space="0" w:color="auto"/>
        <w:left w:val="none" w:sz="0" w:space="0" w:color="auto"/>
        <w:bottom w:val="none" w:sz="0" w:space="0" w:color="auto"/>
        <w:right w:val="none" w:sz="0" w:space="0" w:color="auto"/>
      </w:divBdr>
    </w:div>
    <w:div w:id="18822935">
      <w:bodyDiv w:val="1"/>
      <w:marLeft w:val="0"/>
      <w:marRight w:val="0"/>
      <w:marTop w:val="0"/>
      <w:marBottom w:val="0"/>
      <w:divBdr>
        <w:top w:val="none" w:sz="0" w:space="0" w:color="auto"/>
        <w:left w:val="none" w:sz="0" w:space="0" w:color="auto"/>
        <w:bottom w:val="none" w:sz="0" w:space="0" w:color="auto"/>
        <w:right w:val="none" w:sz="0" w:space="0" w:color="auto"/>
      </w:divBdr>
    </w:div>
    <w:div w:id="19164542">
      <w:bodyDiv w:val="1"/>
      <w:marLeft w:val="0"/>
      <w:marRight w:val="0"/>
      <w:marTop w:val="0"/>
      <w:marBottom w:val="0"/>
      <w:divBdr>
        <w:top w:val="none" w:sz="0" w:space="0" w:color="auto"/>
        <w:left w:val="none" w:sz="0" w:space="0" w:color="auto"/>
        <w:bottom w:val="none" w:sz="0" w:space="0" w:color="auto"/>
        <w:right w:val="none" w:sz="0" w:space="0" w:color="auto"/>
      </w:divBdr>
    </w:div>
    <w:div w:id="20325806">
      <w:bodyDiv w:val="1"/>
      <w:marLeft w:val="0"/>
      <w:marRight w:val="0"/>
      <w:marTop w:val="0"/>
      <w:marBottom w:val="0"/>
      <w:divBdr>
        <w:top w:val="none" w:sz="0" w:space="0" w:color="auto"/>
        <w:left w:val="none" w:sz="0" w:space="0" w:color="auto"/>
        <w:bottom w:val="none" w:sz="0" w:space="0" w:color="auto"/>
        <w:right w:val="none" w:sz="0" w:space="0" w:color="auto"/>
      </w:divBdr>
    </w:div>
    <w:div w:id="21370384">
      <w:bodyDiv w:val="1"/>
      <w:marLeft w:val="0"/>
      <w:marRight w:val="0"/>
      <w:marTop w:val="0"/>
      <w:marBottom w:val="0"/>
      <w:divBdr>
        <w:top w:val="none" w:sz="0" w:space="0" w:color="auto"/>
        <w:left w:val="none" w:sz="0" w:space="0" w:color="auto"/>
        <w:bottom w:val="none" w:sz="0" w:space="0" w:color="auto"/>
        <w:right w:val="none" w:sz="0" w:space="0" w:color="auto"/>
      </w:divBdr>
    </w:div>
    <w:div w:id="21979816">
      <w:bodyDiv w:val="1"/>
      <w:marLeft w:val="0"/>
      <w:marRight w:val="0"/>
      <w:marTop w:val="0"/>
      <w:marBottom w:val="0"/>
      <w:divBdr>
        <w:top w:val="none" w:sz="0" w:space="0" w:color="auto"/>
        <w:left w:val="none" w:sz="0" w:space="0" w:color="auto"/>
        <w:bottom w:val="none" w:sz="0" w:space="0" w:color="auto"/>
        <w:right w:val="none" w:sz="0" w:space="0" w:color="auto"/>
      </w:divBdr>
    </w:div>
    <w:div w:id="22218718">
      <w:bodyDiv w:val="1"/>
      <w:marLeft w:val="0"/>
      <w:marRight w:val="0"/>
      <w:marTop w:val="0"/>
      <w:marBottom w:val="0"/>
      <w:divBdr>
        <w:top w:val="none" w:sz="0" w:space="0" w:color="auto"/>
        <w:left w:val="none" w:sz="0" w:space="0" w:color="auto"/>
        <w:bottom w:val="none" w:sz="0" w:space="0" w:color="auto"/>
        <w:right w:val="none" w:sz="0" w:space="0" w:color="auto"/>
      </w:divBdr>
    </w:div>
    <w:div w:id="23218023">
      <w:bodyDiv w:val="1"/>
      <w:marLeft w:val="0"/>
      <w:marRight w:val="0"/>
      <w:marTop w:val="0"/>
      <w:marBottom w:val="0"/>
      <w:divBdr>
        <w:top w:val="none" w:sz="0" w:space="0" w:color="auto"/>
        <w:left w:val="none" w:sz="0" w:space="0" w:color="auto"/>
        <w:bottom w:val="none" w:sz="0" w:space="0" w:color="auto"/>
        <w:right w:val="none" w:sz="0" w:space="0" w:color="auto"/>
      </w:divBdr>
    </w:div>
    <w:div w:id="24138888">
      <w:bodyDiv w:val="1"/>
      <w:marLeft w:val="0"/>
      <w:marRight w:val="0"/>
      <w:marTop w:val="0"/>
      <w:marBottom w:val="0"/>
      <w:divBdr>
        <w:top w:val="none" w:sz="0" w:space="0" w:color="auto"/>
        <w:left w:val="none" w:sz="0" w:space="0" w:color="auto"/>
        <w:bottom w:val="none" w:sz="0" w:space="0" w:color="auto"/>
        <w:right w:val="none" w:sz="0" w:space="0" w:color="auto"/>
      </w:divBdr>
    </w:div>
    <w:div w:id="24330522">
      <w:bodyDiv w:val="1"/>
      <w:marLeft w:val="0"/>
      <w:marRight w:val="0"/>
      <w:marTop w:val="0"/>
      <w:marBottom w:val="0"/>
      <w:divBdr>
        <w:top w:val="none" w:sz="0" w:space="0" w:color="auto"/>
        <w:left w:val="none" w:sz="0" w:space="0" w:color="auto"/>
        <w:bottom w:val="none" w:sz="0" w:space="0" w:color="auto"/>
        <w:right w:val="none" w:sz="0" w:space="0" w:color="auto"/>
      </w:divBdr>
    </w:div>
    <w:div w:id="27030396">
      <w:bodyDiv w:val="1"/>
      <w:marLeft w:val="0"/>
      <w:marRight w:val="0"/>
      <w:marTop w:val="0"/>
      <w:marBottom w:val="0"/>
      <w:divBdr>
        <w:top w:val="none" w:sz="0" w:space="0" w:color="auto"/>
        <w:left w:val="none" w:sz="0" w:space="0" w:color="auto"/>
        <w:bottom w:val="none" w:sz="0" w:space="0" w:color="auto"/>
        <w:right w:val="none" w:sz="0" w:space="0" w:color="auto"/>
      </w:divBdr>
    </w:div>
    <w:div w:id="27419478">
      <w:bodyDiv w:val="1"/>
      <w:marLeft w:val="0"/>
      <w:marRight w:val="0"/>
      <w:marTop w:val="0"/>
      <w:marBottom w:val="0"/>
      <w:divBdr>
        <w:top w:val="none" w:sz="0" w:space="0" w:color="auto"/>
        <w:left w:val="none" w:sz="0" w:space="0" w:color="auto"/>
        <w:bottom w:val="none" w:sz="0" w:space="0" w:color="auto"/>
        <w:right w:val="none" w:sz="0" w:space="0" w:color="auto"/>
      </w:divBdr>
    </w:div>
    <w:div w:id="28261012">
      <w:bodyDiv w:val="1"/>
      <w:marLeft w:val="0"/>
      <w:marRight w:val="0"/>
      <w:marTop w:val="0"/>
      <w:marBottom w:val="0"/>
      <w:divBdr>
        <w:top w:val="none" w:sz="0" w:space="0" w:color="auto"/>
        <w:left w:val="none" w:sz="0" w:space="0" w:color="auto"/>
        <w:bottom w:val="none" w:sz="0" w:space="0" w:color="auto"/>
        <w:right w:val="none" w:sz="0" w:space="0" w:color="auto"/>
      </w:divBdr>
    </w:div>
    <w:div w:id="28456059">
      <w:bodyDiv w:val="1"/>
      <w:marLeft w:val="0"/>
      <w:marRight w:val="0"/>
      <w:marTop w:val="0"/>
      <w:marBottom w:val="0"/>
      <w:divBdr>
        <w:top w:val="none" w:sz="0" w:space="0" w:color="auto"/>
        <w:left w:val="none" w:sz="0" w:space="0" w:color="auto"/>
        <w:bottom w:val="none" w:sz="0" w:space="0" w:color="auto"/>
        <w:right w:val="none" w:sz="0" w:space="0" w:color="auto"/>
      </w:divBdr>
    </w:div>
    <w:div w:id="28604940">
      <w:bodyDiv w:val="1"/>
      <w:marLeft w:val="0"/>
      <w:marRight w:val="0"/>
      <w:marTop w:val="0"/>
      <w:marBottom w:val="0"/>
      <w:divBdr>
        <w:top w:val="none" w:sz="0" w:space="0" w:color="auto"/>
        <w:left w:val="none" w:sz="0" w:space="0" w:color="auto"/>
        <w:bottom w:val="none" w:sz="0" w:space="0" w:color="auto"/>
        <w:right w:val="none" w:sz="0" w:space="0" w:color="auto"/>
      </w:divBdr>
    </w:div>
    <w:div w:id="29231623">
      <w:bodyDiv w:val="1"/>
      <w:marLeft w:val="0"/>
      <w:marRight w:val="0"/>
      <w:marTop w:val="0"/>
      <w:marBottom w:val="0"/>
      <w:divBdr>
        <w:top w:val="none" w:sz="0" w:space="0" w:color="auto"/>
        <w:left w:val="none" w:sz="0" w:space="0" w:color="auto"/>
        <w:bottom w:val="none" w:sz="0" w:space="0" w:color="auto"/>
        <w:right w:val="none" w:sz="0" w:space="0" w:color="auto"/>
      </w:divBdr>
    </w:div>
    <w:div w:id="29964011">
      <w:bodyDiv w:val="1"/>
      <w:marLeft w:val="0"/>
      <w:marRight w:val="0"/>
      <w:marTop w:val="0"/>
      <w:marBottom w:val="0"/>
      <w:divBdr>
        <w:top w:val="none" w:sz="0" w:space="0" w:color="auto"/>
        <w:left w:val="none" w:sz="0" w:space="0" w:color="auto"/>
        <w:bottom w:val="none" w:sz="0" w:space="0" w:color="auto"/>
        <w:right w:val="none" w:sz="0" w:space="0" w:color="auto"/>
      </w:divBdr>
    </w:div>
    <w:div w:id="30306137">
      <w:bodyDiv w:val="1"/>
      <w:marLeft w:val="0"/>
      <w:marRight w:val="0"/>
      <w:marTop w:val="0"/>
      <w:marBottom w:val="0"/>
      <w:divBdr>
        <w:top w:val="none" w:sz="0" w:space="0" w:color="auto"/>
        <w:left w:val="none" w:sz="0" w:space="0" w:color="auto"/>
        <w:bottom w:val="none" w:sz="0" w:space="0" w:color="auto"/>
        <w:right w:val="none" w:sz="0" w:space="0" w:color="auto"/>
      </w:divBdr>
    </w:div>
    <w:div w:id="30619821">
      <w:bodyDiv w:val="1"/>
      <w:marLeft w:val="0"/>
      <w:marRight w:val="0"/>
      <w:marTop w:val="0"/>
      <w:marBottom w:val="0"/>
      <w:divBdr>
        <w:top w:val="none" w:sz="0" w:space="0" w:color="auto"/>
        <w:left w:val="none" w:sz="0" w:space="0" w:color="auto"/>
        <w:bottom w:val="none" w:sz="0" w:space="0" w:color="auto"/>
        <w:right w:val="none" w:sz="0" w:space="0" w:color="auto"/>
      </w:divBdr>
    </w:div>
    <w:div w:id="30809107">
      <w:bodyDiv w:val="1"/>
      <w:marLeft w:val="0"/>
      <w:marRight w:val="0"/>
      <w:marTop w:val="0"/>
      <w:marBottom w:val="0"/>
      <w:divBdr>
        <w:top w:val="none" w:sz="0" w:space="0" w:color="auto"/>
        <w:left w:val="none" w:sz="0" w:space="0" w:color="auto"/>
        <w:bottom w:val="none" w:sz="0" w:space="0" w:color="auto"/>
        <w:right w:val="none" w:sz="0" w:space="0" w:color="auto"/>
      </w:divBdr>
    </w:div>
    <w:div w:id="31078458">
      <w:bodyDiv w:val="1"/>
      <w:marLeft w:val="0"/>
      <w:marRight w:val="0"/>
      <w:marTop w:val="0"/>
      <w:marBottom w:val="0"/>
      <w:divBdr>
        <w:top w:val="none" w:sz="0" w:space="0" w:color="auto"/>
        <w:left w:val="none" w:sz="0" w:space="0" w:color="auto"/>
        <w:bottom w:val="none" w:sz="0" w:space="0" w:color="auto"/>
        <w:right w:val="none" w:sz="0" w:space="0" w:color="auto"/>
      </w:divBdr>
    </w:div>
    <w:div w:id="33241485">
      <w:bodyDiv w:val="1"/>
      <w:marLeft w:val="0"/>
      <w:marRight w:val="0"/>
      <w:marTop w:val="0"/>
      <w:marBottom w:val="0"/>
      <w:divBdr>
        <w:top w:val="none" w:sz="0" w:space="0" w:color="auto"/>
        <w:left w:val="none" w:sz="0" w:space="0" w:color="auto"/>
        <w:bottom w:val="none" w:sz="0" w:space="0" w:color="auto"/>
        <w:right w:val="none" w:sz="0" w:space="0" w:color="auto"/>
      </w:divBdr>
    </w:div>
    <w:div w:id="33505161">
      <w:bodyDiv w:val="1"/>
      <w:marLeft w:val="0"/>
      <w:marRight w:val="0"/>
      <w:marTop w:val="0"/>
      <w:marBottom w:val="0"/>
      <w:divBdr>
        <w:top w:val="none" w:sz="0" w:space="0" w:color="auto"/>
        <w:left w:val="none" w:sz="0" w:space="0" w:color="auto"/>
        <w:bottom w:val="none" w:sz="0" w:space="0" w:color="auto"/>
        <w:right w:val="none" w:sz="0" w:space="0" w:color="auto"/>
      </w:divBdr>
    </w:div>
    <w:div w:id="34082279">
      <w:bodyDiv w:val="1"/>
      <w:marLeft w:val="0"/>
      <w:marRight w:val="0"/>
      <w:marTop w:val="0"/>
      <w:marBottom w:val="0"/>
      <w:divBdr>
        <w:top w:val="none" w:sz="0" w:space="0" w:color="auto"/>
        <w:left w:val="none" w:sz="0" w:space="0" w:color="auto"/>
        <w:bottom w:val="none" w:sz="0" w:space="0" w:color="auto"/>
        <w:right w:val="none" w:sz="0" w:space="0" w:color="auto"/>
      </w:divBdr>
    </w:div>
    <w:div w:id="34232819">
      <w:bodyDiv w:val="1"/>
      <w:marLeft w:val="0"/>
      <w:marRight w:val="0"/>
      <w:marTop w:val="0"/>
      <w:marBottom w:val="0"/>
      <w:divBdr>
        <w:top w:val="none" w:sz="0" w:space="0" w:color="auto"/>
        <w:left w:val="none" w:sz="0" w:space="0" w:color="auto"/>
        <w:bottom w:val="none" w:sz="0" w:space="0" w:color="auto"/>
        <w:right w:val="none" w:sz="0" w:space="0" w:color="auto"/>
      </w:divBdr>
    </w:div>
    <w:div w:id="35393084">
      <w:bodyDiv w:val="1"/>
      <w:marLeft w:val="0"/>
      <w:marRight w:val="0"/>
      <w:marTop w:val="0"/>
      <w:marBottom w:val="0"/>
      <w:divBdr>
        <w:top w:val="none" w:sz="0" w:space="0" w:color="auto"/>
        <w:left w:val="none" w:sz="0" w:space="0" w:color="auto"/>
        <w:bottom w:val="none" w:sz="0" w:space="0" w:color="auto"/>
        <w:right w:val="none" w:sz="0" w:space="0" w:color="auto"/>
      </w:divBdr>
    </w:div>
    <w:div w:id="35933689">
      <w:bodyDiv w:val="1"/>
      <w:marLeft w:val="0"/>
      <w:marRight w:val="0"/>
      <w:marTop w:val="0"/>
      <w:marBottom w:val="0"/>
      <w:divBdr>
        <w:top w:val="none" w:sz="0" w:space="0" w:color="auto"/>
        <w:left w:val="none" w:sz="0" w:space="0" w:color="auto"/>
        <w:bottom w:val="none" w:sz="0" w:space="0" w:color="auto"/>
        <w:right w:val="none" w:sz="0" w:space="0" w:color="auto"/>
      </w:divBdr>
    </w:div>
    <w:div w:id="36509058">
      <w:bodyDiv w:val="1"/>
      <w:marLeft w:val="0"/>
      <w:marRight w:val="0"/>
      <w:marTop w:val="0"/>
      <w:marBottom w:val="0"/>
      <w:divBdr>
        <w:top w:val="none" w:sz="0" w:space="0" w:color="auto"/>
        <w:left w:val="none" w:sz="0" w:space="0" w:color="auto"/>
        <w:bottom w:val="none" w:sz="0" w:space="0" w:color="auto"/>
        <w:right w:val="none" w:sz="0" w:space="0" w:color="auto"/>
      </w:divBdr>
    </w:div>
    <w:div w:id="36666644">
      <w:bodyDiv w:val="1"/>
      <w:marLeft w:val="0"/>
      <w:marRight w:val="0"/>
      <w:marTop w:val="0"/>
      <w:marBottom w:val="0"/>
      <w:divBdr>
        <w:top w:val="none" w:sz="0" w:space="0" w:color="auto"/>
        <w:left w:val="none" w:sz="0" w:space="0" w:color="auto"/>
        <w:bottom w:val="none" w:sz="0" w:space="0" w:color="auto"/>
        <w:right w:val="none" w:sz="0" w:space="0" w:color="auto"/>
      </w:divBdr>
    </w:div>
    <w:div w:id="37554307">
      <w:bodyDiv w:val="1"/>
      <w:marLeft w:val="0"/>
      <w:marRight w:val="0"/>
      <w:marTop w:val="0"/>
      <w:marBottom w:val="0"/>
      <w:divBdr>
        <w:top w:val="none" w:sz="0" w:space="0" w:color="auto"/>
        <w:left w:val="none" w:sz="0" w:space="0" w:color="auto"/>
        <w:bottom w:val="none" w:sz="0" w:space="0" w:color="auto"/>
        <w:right w:val="none" w:sz="0" w:space="0" w:color="auto"/>
      </w:divBdr>
    </w:div>
    <w:div w:id="38090438">
      <w:bodyDiv w:val="1"/>
      <w:marLeft w:val="0"/>
      <w:marRight w:val="0"/>
      <w:marTop w:val="0"/>
      <w:marBottom w:val="0"/>
      <w:divBdr>
        <w:top w:val="none" w:sz="0" w:space="0" w:color="auto"/>
        <w:left w:val="none" w:sz="0" w:space="0" w:color="auto"/>
        <w:bottom w:val="none" w:sz="0" w:space="0" w:color="auto"/>
        <w:right w:val="none" w:sz="0" w:space="0" w:color="auto"/>
      </w:divBdr>
    </w:div>
    <w:div w:id="38213704">
      <w:bodyDiv w:val="1"/>
      <w:marLeft w:val="0"/>
      <w:marRight w:val="0"/>
      <w:marTop w:val="0"/>
      <w:marBottom w:val="0"/>
      <w:divBdr>
        <w:top w:val="none" w:sz="0" w:space="0" w:color="auto"/>
        <w:left w:val="none" w:sz="0" w:space="0" w:color="auto"/>
        <w:bottom w:val="none" w:sz="0" w:space="0" w:color="auto"/>
        <w:right w:val="none" w:sz="0" w:space="0" w:color="auto"/>
      </w:divBdr>
    </w:div>
    <w:div w:id="38281675">
      <w:bodyDiv w:val="1"/>
      <w:marLeft w:val="0"/>
      <w:marRight w:val="0"/>
      <w:marTop w:val="0"/>
      <w:marBottom w:val="0"/>
      <w:divBdr>
        <w:top w:val="none" w:sz="0" w:space="0" w:color="auto"/>
        <w:left w:val="none" w:sz="0" w:space="0" w:color="auto"/>
        <w:bottom w:val="none" w:sz="0" w:space="0" w:color="auto"/>
        <w:right w:val="none" w:sz="0" w:space="0" w:color="auto"/>
      </w:divBdr>
    </w:div>
    <w:div w:id="39013829">
      <w:bodyDiv w:val="1"/>
      <w:marLeft w:val="0"/>
      <w:marRight w:val="0"/>
      <w:marTop w:val="0"/>
      <w:marBottom w:val="0"/>
      <w:divBdr>
        <w:top w:val="none" w:sz="0" w:space="0" w:color="auto"/>
        <w:left w:val="none" w:sz="0" w:space="0" w:color="auto"/>
        <w:bottom w:val="none" w:sz="0" w:space="0" w:color="auto"/>
        <w:right w:val="none" w:sz="0" w:space="0" w:color="auto"/>
      </w:divBdr>
    </w:div>
    <w:div w:id="39205780">
      <w:bodyDiv w:val="1"/>
      <w:marLeft w:val="0"/>
      <w:marRight w:val="0"/>
      <w:marTop w:val="0"/>
      <w:marBottom w:val="0"/>
      <w:divBdr>
        <w:top w:val="none" w:sz="0" w:space="0" w:color="auto"/>
        <w:left w:val="none" w:sz="0" w:space="0" w:color="auto"/>
        <w:bottom w:val="none" w:sz="0" w:space="0" w:color="auto"/>
        <w:right w:val="none" w:sz="0" w:space="0" w:color="auto"/>
      </w:divBdr>
    </w:div>
    <w:div w:id="39209538">
      <w:bodyDiv w:val="1"/>
      <w:marLeft w:val="0"/>
      <w:marRight w:val="0"/>
      <w:marTop w:val="0"/>
      <w:marBottom w:val="0"/>
      <w:divBdr>
        <w:top w:val="none" w:sz="0" w:space="0" w:color="auto"/>
        <w:left w:val="none" w:sz="0" w:space="0" w:color="auto"/>
        <w:bottom w:val="none" w:sz="0" w:space="0" w:color="auto"/>
        <w:right w:val="none" w:sz="0" w:space="0" w:color="auto"/>
      </w:divBdr>
    </w:div>
    <w:div w:id="39256352">
      <w:bodyDiv w:val="1"/>
      <w:marLeft w:val="0"/>
      <w:marRight w:val="0"/>
      <w:marTop w:val="0"/>
      <w:marBottom w:val="0"/>
      <w:divBdr>
        <w:top w:val="none" w:sz="0" w:space="0" w:color="auto"/>
        <w:left w:val="none" w:sz="0" w:space="0" w:color="auto"/>
        <w:bottom w:val="none" w:sz="0" w:space="0" w:color="auto"/>
        <w:right w:val="none" w:sz="0" w:space="0" w:color="auto"/>
      </w:divBdr>
    </w:div>
    <w:div w:id="39599093">
      <w:bodyDiv w:val="1"/>
      <w:marLeft w:val="0"/>
      <w:marRight w:val="0"/>
      <w:marTop w:val="0"/>
      <w:marBottom w:val="0"/>
      <w:divBdr>
        <w:top w:val="none" w:sz="0" w:space="0" w:color="auto"/>
        <w:left w:val="none" w:sz="0" w:space="0" w:color="auto"/>
        <w:bottom w:val="none" w:sz="0" w:space="0" w:color="auto"/>
        <w:right w:val="none" w:sz="0" w:space="0" w:color="auto"/>
      </w:divBdr>
    </w:div>
    <w:div w:id="41877792">
      <w:bodyDiv w:val="1"/>
      <w:marLeft w:val="0"/>
      <w:marRight w:val="0"/>
      <w:marTop w:val="0"/>
      <w:marBottom w:val="0"/>
      <w:divBdr>
        <w:top w:val="none" w:sz="0" w:space="0" w:color="auto"/>
        <w:left w:val="none" w:sz="0" w:space="0" w:color="auto"/>
        <w:bottom w:val="none" w:sz="0" w:space="0" w:color="auto"/>
        <w:right w:val="none" w:sz="0" w:space="0" w:color="auto"/>
      </w:divBdr>
    </w:div>
    <w:div w:id="41950386">
      <w:bodyDiv w:val="1"/>
      <w:marLeft w:val="0"/>
      <w:marRight w:val="0"/>
      <w:marTop w:val="0"/>
      <w:marBottom w:val="0"/>
      <w:divBdr>
        <w:top w:val="none" w:sz="0" w:space="0" w:color="auto"/>
        <w:left w:val="none" w:sz="0" w:space="0" w:color="auto"/>
        <w:bottom w:val="none" w:sz="0" w:space="0" w:color="auto"/>
        <w:right w:val="none" w:sz="0" w:space="0" w:color="auto"/>
      </w:divBdr>
    </w:div>
    <w:div w:id="44305124">
      <w:bodyDiv w:val="1"/>
      <w:marLeft w:val="0"/>
      <w:marRight w:val="0"/>
      <w:marTop w:val="0"/>
      <w:marBottom w:val="0"/>
      <w:divBdr>
        <w:top w:val="none" w:sz="0" w:space="0" w:color="auto"/>
        <w:left w:val="none" w:sz="0" w:space="0" w:color="auto"/>
        <w:bottom w:val="none" w:sz="0" w:space="0" w:color="auto"/>
        <w:right w:val="none" w:sz="0" w:space="0" w:color="auto"/>
      </w:divBdr>
    </w:div>
    <w:div w:id="44761732">
      <w:bodyDiv w:val="1"/>
      <w:marLeft w:val="0"/>
      <w:marRight w:val="0"/>
      <w:marTop w:val="0"/>
      <w:marBottom w:val="0"/>
      <w:divBdr>
        <w:top w:val="none" w:sz="0" w:space="0" w:color="auto"/>
        <w:left w:val="none" w:sz="0" w:space="0" w:color="auto"/>
        <w:bottom w:val="none" w:sz="0" w:space="0" w:color="auto"/>
        <w:right w:val="none" w:sz="0" w:space="0" w:color="auto"/>
      </w:divBdr>
    </w:div>
    <w:div w:id="44909783">
      <w:bodyDiv w:val="1"/>
      <w:marLeft w:val="0"/>
      <w:marRight w:val="0"/>
      <w:marTop w:val="0"/>
      <w:marBottom w:val="0"/>
      <w:divBdr>
        <w:top w:val="none" w:sz="0" w:space="0" w:color="auto"/>
        <w:left w:val="none" w:sz="0" w:space="0" w:color="auto"/>
        <w:bottom w:val="none" w:sz="0" w:space="0" w:color="auto"/>
        <w:right w:val="none" w:sz="0" w:space="0" w:color="auto"/>
      </w:divBdr>
    </w:div>
    <w:div w:id="45108361">
      <w:bodyDiv w:val="1"/>
      <w:marLeft w:val="0"/>
      <w:marRight w:val="0"/>
      <w:marTop w:val="0"/>
      <w:marBottom w:val="0"/>
      <w:divBdr>
        <w:top w:val="none" w:sz="0" w:space="0" w:color="auto"/>
        <w:left w:val="none" w:sz="0" w:space="0" w:color="auto"/>
        <w:bottom w:val="none" w:sz="0" w:space="0" w:color="auto"/>
        <w:right w:val="none" w:sz="0" w:space="0" w:color="auto"/>
      </w:divBdr>
    </w:div>
    <w:div w:id="45498226">
      <w:bodyDiv w:val="1"/>
      <w:marLeft w:val="0"/>
      <w:marRight w:val="0"/>
      <w:marTop w:val="0"/>
      <w:marBottom w:val="0"/>
      <w:divBdr>
        <w:top w:val="none" w:sz="0" w:space="0" w:color="auto"/>
        <w:left w:val="none" w:sz="0" w:space="0" w:color="auto"/>
        <w:bottom w:val="none" w:sz="0" w:space="0" w:color="auto"/>
        <w:right w:val="none" w:sz="0" w:space="0" w:color="auto"/>
      </w:divBdr>
    </w:div>
    <w:div w:id="45571072">
      <w:bodyDiv w:val="1"/>
      <w:marLeft w:val="0"/>
      <w:marRight w:val="0"/>
      <w:marTop w:val="0"/>
      <w:marBottom w:val="0"/>
      <w:divBdr>
        <w:top w:val="none" w:sz="0" w:space="0" w:color="auto"/>
        <w:left w:val="none" w:sz="0" w:space="0" w:color="auto"/>
        <w:bottom w:val="none" w:sz="0" w:space="0" w:color="auto"/>
        <w:right w:val="none" w:sz="0" w:space="0" w:color="auto"/>
      </w:divBdr>
    </w:div>
    <w:div w:id="47460323">
      <w:bodyDiv w:val="1"/>
      <w:marLeft w:val="0"/>
      <w:marRight w:val="0"/>
      <w:marTop w:val="0"/>
      <w:marBottom w:val="0"/>
      <w:divBdr>
        <w:top w:val="none" w:sz="0" w:space="0" w:color="auto"/>
        <w:left w:val="none" w:sz="0" w:space="0" w:color="auto"/>
        <w:bottom w:val="none" w:sz="0" w:space="0" w:color="auto"/>
        <w:right w:val="none" w:sz="0" w:space="0" w:color="auto"/>
      </w:divBdr>
    </w:div>
    <w:div w:id="47802625">
      <w:bodyDiv w:val="1"/>
      <w:marLeft w:val="0"/>
      <w:marRight w:val="0"/>
      <w:marTop w:val="0"/>
      <w:marBottom w:val="0"/>
      <w:divBdr>
        <w:top w:val="none" w:sz="0" w:space="0" w:color="auto"/>
        <w:left w:val="none" w:sz="0" w:space="0" w:color="auto"/>
        <w:bottom w:val="none" w:sz="0" w:space="0" w:color="auto"/>
        <w:right w:val="none" w:sz="0" w:space="0" w:color="auto"/>
      </w:divBdr>
    </w:div>
    <w:div w:id="49230437">
      <w:bodyDiv w:val="1"/>
      <w:marLeft w:val="0"/>
      <w:marRight w:val="0"/>
      <w:marTop w:val="0"/>
      <w:marBottom w:val="0"/>
      <w:divBdr>
        <w:top w:val="none" w:sz="0" w:space="0" w:color="auto"/>
        <w:left w:val="none" w:sz="0" w:space="0" w:color="auto"/>
        <w:bottom w:val="none" w:sz="0" w:space="0" w:color="auto"/>
        <w:right w:val="none" w:sz="0" w:space="0" w:color="auto"/>
      </w:divBdr>
    </w:div>
    <w:div w:id="50464946">
      <w:bodyDiv w:val="1"/>
      <w:marLeft w:val="0"/>
      <w:marRight w:val="0"/>
      <w:marTop w:val="0"/>
      <w:marBottom w:val="0"/>
      <w:divBdr>
        <w:top w:val="none" w:sz="0" w:space="0" w:color="auto"/>
        <w:left w:val="none" w:sz="0" w:space="0" w:color="auto"/>
        <w:bottom w:val="none" w:sz="0" w:space="0" w:color="auto"/>
        <w:right w:val="none" w:sz="0" w:space="0" w:color="auto"/>
      </w:divBdr>
    </w:div>
    <w:div w:id="50470867">
      <w:bodyDiv w:val="1"/>
      <w:marLeft w:val="0"/>
      <w:marRight w:val="0"/>
      <w:marTop w:val="0"/>
      <w:marBottom w:val="0"/>
      <w:divBdr>
        <w:top w:val="none" w:sz="0" w:space="0" w:color="auto"/>
        <w:left w:val="none" w:sz="0" w:space="0" w:color="auto"/>
        <w:bottom w:val="none" w:sz="0" w:space="0" w:color="auto"/>
        <w:right w:val="none" w:sz="0" w:space="0" w:color="auto"/>
      </w:divBdr>
    </w:div>
    <w:div w:id="50934098">
      <w:bodyDiv w:val="1"/>
      <w:marLeft w:val="0"/>
      <w:marRight w:val="0"/>
      <w:marTop w:val="0"/>
      <w:marBottom w:val="0"/>
      <w:divBdr>
        <w:top w:val="none" w:sz="0" w:space="0" w:color="auto"/>
        <w:left w:val="none" w:sz="0" w:space="0" w:color="auto"/>
        <w:bottom w:val="none" w:sz="0" w:space="0" w:color="auto"/>
        <w:right w:val="none" w:sz="0" w:space="0" w:color="auto"/>
      </w:divBdr>
    </w:div>
    <w:div w:id="51003221">
      <w:bodyDiv w:val="1"/>
      <w:marLeft w:val="0"/>
      <w:marRight w:val="0"/>
      <w:marTop w:val="0"/>
      <w:marBottom w:val="0"/>
      <w:divBdr>
        <w:top w:val="none" w:sz="0" w:space="0" w:color="auto"/>
        <w:left w:val="none" w:sz="0" w:space="0" w:color="auto"/>
        <w:bottom w:val="none" w:sz="0" w:space="0" w:color="auto"/>
        <w:right w:val="none" w:sz="0" w:space="0" w:color="auto"/>
      </w:divBdr>
    </w:div>
    <w:div w:id="51463199">
      <w:bodyDiv w:val="1"/>
      <w:marLeft w:val="0"/>
      <w:marRight w:val="0"/>
      <w:marTop w:val="0"/>
      <w:marBottom w:val="0"/>
      <w:divBdr>
        <w:top w:val="none" w:sz="0" w:space="0" w:color="auto"/>
        <w:left w:val="none" w:sz="0" w:space="0" w:color="auto"/>
        <w:bottom w:val="none" w:sz="0" w:space="0" w:color="auto"/>
        <w:right w:val="none" w:sz="0" w:space="0" w:color="auto"/>
      </w:divBdr>
    </w:div>
    <w:div w:id="54015208">
      <w:bodyDiv w:val="1"/>
      <w:marLeft w:val="0"/>
      <w:marRight w:val="0"/>
      <w:marTop w:val="0"/>
      <w:marBottom w:val="0"/>
      <w:divBdr>
        <w:top w:val="none" w:sz="0" w:space="0" w:color="auto"/>
        <w:left w:val="none" w:sz="0" w:space="0" w:color="auto"/>
        <w:bottom w:val="none" w:sz="0" w:space="0" w:color="auto"/>
        <w:right w:val="none" w:sz="0" w:space="0" w:color="auto"/>
      </w:divBdr>
    </w:div>
    <w:div w:id="54395787">
      <w:bodyDiv w:val="1"/>
      <w:marLeft w:val="0"/>
      <w:marRight w:val="0"/>
      <w:marTop w:val="0"/>
      <w:marBottom w:val="0"/>
      <w:divBdr>
        <w:top w:val="none" w:sz="0" w:space="0" w:color="auto"/>
        <w:left w:val="none" w:sz="0" w:space="0" w:color="auto"/>
        <w:bottom w:val="none" w:sz="0" w:space="0" w:color="auto"/>
        <w:right w:val="none" w:sz="0" w:space="0" w:color="auto"/>
      </w:divBdr>
    </w:div>
    <w:div w:id="55471295">
      <w:bodyDiv w:val="1"/>
      <w:marLeft w:val="0"/>
      <w:marRight w:val="0"/>
      <w:marTop w:val="0"/>
      <w:marBottom w:val="0"/>
      <w:divBdr>
        <w:top w:val="none" w:sz="0" w:space="0" w:color="auto"/>
        <w:left w:val="none" w:sz="0" w:space="0" w:color="auto"/>
        <w:bottom w:val="none" w:sz="0" w:space="0" w:color="auto"/>
        <w:right w:val="none" w:sz="0" w:space="0" w:color="auto"/>
      </w:divBdr>
    </w:div>
    <w:div w:id="55710463">
      <w:bodyDiv w:val="1"/>
      <w:marLeft w:val="0"/>
      <w:marRight w:val="0"/>
      <w:marTop w:val="0"/>
      <w:marBottom w:val="0"/>
      <w:divBdr>
        <w:top w:val="none" w:sz="0" w:space="0" w:color="auto"/>
        <w:left w:val="none" w:sz="0" w:space="0" w:color="auto"/>
        <w:bottom w:val="none" w:sz="0" w:space="0" w:color="auto"/>
        <w:right w:val="none" w:sz="0" w:space="0" w:color="auto"/>
      </w:divBdr>
    </w:div>
    <w:div w:id="57215815">
      <w:bodyDiv w:val="1"/>
      <w:marLeft w:val="0"/>
      <w:marRight w:val="0"/>
      <w:marTop w:val="0"/>
      <w:marBottom w:val="0"/>
      <w:divBdr>
        <w:top w:val="none" w:sz="0" w:space="0" w:color="auto"/>
        <w:left w:val="none" w:sz="0" w:space="0" w:color="auto"/>
        <w:bottom w:val="none" w:sz="0" w:space="0" w:color="auto"/>
        <w:right w:val="none" w:sz="0" w:space="0" w:color="auto"/>
      </w:divBdr>
    </w:div>
    <w:div w:id="57556486">
      <w:bodyDiv w:val="1"/>
      <w:marLeft w:val="0"/>
      <w:marRight w:val="0"/>
      <w:marTop w:val="0"/>
      <w:marBottom w:val="0"/>
      <w:divBdr>
        <w:top w:val="none" w:sz="0" w:space="0" w:color="auto"/>
        <w:left w:val="none" w:sz="0" w:space="0" w:color="auto"/>
        <w:bottom w:val="none" w:sz="0" w:space="0" w:color="auto"/>
        <w:right w:val="none" w:sz="0" w:space="0" w:color="auto"/>
      </w:divBdr>
    </w:div>
    <w:div w:id="58288360">
      <w:bodyDiv w:val="1"/>
      <w:marLeft w:val="0"/>
      <w:marRight w:val="0"/>
      <w:marTop w:val="0"/>
      <w:marBottom w:val="0"/>
      <w:divBdr>
        <w:top w:val="none" w:sz="0" w:space="0" w:color="auto"/>
        <w:left w:val="none" w:sz="0" w:space="0" w:color="auto"/>
        <w:bottom w:val="none" w:sz="0" w:space="0" w:color="auto"/>
        <w:right w:val="none" w:sz="0" w:space="0" w:color="auto"/>
      </w:divBdr>
    </w:div>
    <w:div w:id="58403996">
      <w:bodyDiv w:val="1"/>
      <w:marLeft w:val="0"/>
      <w:marRight w:val="0"/>
      <w:marTop w:val="0"/>
      <w:marBottom w:val="0"/>
      <w:divBdr>
        <w:top w:val="none" w:sz="0" w:space="0" w:color="auto"/>
        <w:left w:val="none" w:sz="0" w:space="0" w:color="auto"/>
        <w:bottom w:val="none" w:sz="0" w:space="0" w:color="auto"/>
        <w:right w:val="none" w:sz="0" w:space="0" w:color="auto"/>
      </w:divBdr>
    </w:div>
    <w:div w:id="60062598">
      <w:bodyDiv w:val="1"/>
      <w:marLeft w:val="0"/>
      <w:marRight w:val="0"/>
      <w:marTop w:val="0"/>
      <w:marBottom w:val="0"/>
      <w:divBdr>
        <w:top w:val="none" w:sz="0" w:space="0" w:color="auto"/>
        <w:left w:val="none" w:sz="0" w:space="0" w:color="auto"/>
        <w:bottom w:val="none" w:sz="0" w:space="0" w:color="auto"/>
        <w:right w:val="none" w:sz="0" w:space="0" w:color="auto"/>
      </w:divBdr>
    </w:div>
    <w:div w:id="60372751">
      <w:bodyDiv w:val="1"/>
      <w:marLeft w:val="0"/>
      <w:marRight w:val="0"/>
      <w:marTop w:val="0"/>
      <w:marBottom w:val="0"/>
      <w:divBdr>
        <w:top w:val="none" w:sz="0" w:space="0" w:color="auto"/>
        <w:left w:val="none" w:sz="0" w:space="0" w:color="auto"/>
        <w:bottom w:val="none" w:sz="0" w:space="0" w:color="auto"/>
        <w:right w:val="none" w:sz="0" w:space="0" w:color="auto"/>
      </w:divBdr>
    </w:div>
    <w:div w:id="60374242">
      <w:bodyDiv w:val="1"/>
      <w:marLeft w:val="0"/>
      <w:marRight w:val="0"/>
      <w:marTop w:val="0"/>
      <w:marBottom w:val="0"/>
      <w:divBdr>
        <w:top w:val="none" w:sz="0" w:space="0" w:color="auto"/>
        <w:left w:val="none" w:sz="0" w:space="0" w:color="auto"/>
        <w:bottom w:val="none" w:sz="0" w:space="0" w:color="auto"/>
        <w:right w:val="none" w:sz="0" w:space="0" w:color="auto"/>
      </w:divBdr>
    </w:div>
    <w:div w:id="61173025">
      <w:bodyDiv w:val="1"/>
      <w:marLeft w:val="0"/>
      <w:marRight w:val="0"/>
      <w:marTop w:val="0"/>
      <w:marBottom w:val="0"/>
      <w:divBdr>
        <w:top w:val="none" w:sz="0" w:space="0" w:color="auto"/>
        <w:left w:val="none" w:sz="0" w:space="0" w:color="auto"/>
        <w:bottom w:val="none" w:sz="0" w:space="0" w:color="auto"/>
        <w:right w:val="none" w:sz="0" w:space="0" w:color="auto"/>
      </w:divBdr>
    </w:div>
    <w:div w:id="61761761">
      <w:bodyDiv w:val="1"/>
      <w:marLeft w:val="0"/>
      <w:marRight w:val="0"/>
      <w:marTop w:val="0"/>
      <w:marBottom w:val="0"/>
      <w:divBdr>
        <w:top w:val="none" w:sz="0" w:space="0" w:color="auto"/>
        <w:left w:val="none" w:sz="0" w:space="0" w:color="auto"/>
        <w:bottom w:val="none" w:sz="0" w:space="0" w:color="auto"/>
        <w:right w:val="none" w:sz="0" w:space="0" w:color="auto"/>
      </w:divBdr>
    </w:div>
    <w:div w:id="64225426">
      <w:bodyDiv w:val="1"/>
      <w:marLeft w:val="0"/>
      <w:marRight w:val="0"/>
      <w:marTop w:val="0"/>
      <w:marBottom w:val="0"/>
      <w:divBdr>
        <w:top w:val="none" w:sz="0" w:space="0" w:color="auto"/>
        <w:left w:val="none" w:sz="0" w:space="0" w:color="auto"/>
        <w:bottom w:val="none" w:sz="0" w:space="0" w:color="auto"/>
        <w:right w:val="none" w:sz="0" w:space="0" w:color="auto"/>
      </w:divBdr>
    </w:div>
    <w:div w:id="65081571">
      <w:bodyDiv w:val="1"/>
      <w:marLeft w:val="0"/>
      <w:marRight w:val="0"/>
      <w:marTop w:val="0"/>
      <w:marBottom w:val="0"/>
      <w:divBdr>
        <w:top w:val="none" w:sz="0" w:space="0" w:color="auto"/>
        <w:left w:val="none" w:sz="0" w:space="0" w:color="auto"/>
        <w:bottom w:val="none" w:sz="0" w:space="0" w:color="auto"/>
        <w:right w:val="none" w:sz="0" w:space="0" w:color="auto"/>
      </w:divBdr>
    </w:div>
    <w:div w:id="65953202">
      <w:bodyDiv w:val="1"/>
      <w:marLeft w:val="0"/>
      <w:marRight w:val="0"/>
      <w:marTop w:val="0"/>
      <w:marBottom w:val="0"/>
      <w:divBdr>
        <w:top w:val="none" w:sz="0" w:space="0" w:color="auto"/>
        <w:left w:val="none" w:sz="0" w:space="0" w:color="auto"/>
        <w:bottom w:val="none" w:sz="0" w:space="0" w:color="auto"/>
        <w:right w:val="none" w:sz="0" w:space="0" w:color="auto"/>
      </w:divBdr>
    </w:div>
    <w:div w:id="67265030">
      <w:bodyDiv w:val="1"/>
      <w:marLeft w:val="0"/>
      <w:marRight w:val="0"/>
      <w:marTop w:val="0"/>
      <w:marBottom w:val="0"/>
      <w:divBdr>
        <w:top w:val="none" w:sz="0" w:space="0" w:color="auto"/>
        <w:left w:val="none" w:sz="0" w:space="0" w:color="auto"/>
        <w:bottom w:val="none" w:sz="0" w:space="0" w:color="auto"/>
        <w:right w:val="none" w:sz="0" w:space="0" w:color="auto"/>
      </w:divBdr>
    </w:div>
    <w:div w:id="67584645">
      <w:bodyDiv w:val="1"/>
      <w:marLeft w:val="0"/>
      <w:marRight w:val="0"/>
      <w:marTop w:val="0"/>
      <w:marBottom w:val="0"/>
      <w:divBdr>
        <w:top w:val="none" w:sz="0" w:space="0" w:color="auto"/>
        <w:left w:val="none" w:sz="0" w:space="0" w:color="auto"/>
        <w:bottom w:val="none" w:sz="0" w:space="0" w:color="auto"/>
        <w:right w:val="none" w:sz="0" w:space="0" w:color="auto"/>
      </w:divBdr>
    </w:div>
    <w:div w:id="67919666">
      <w:bodyDiv w:val="1"/>
      <w:marLeft w:val="0"/>
      <w:marRight w:val="0"/>
      <w:marTop w:val="0"/>
      <w:marBottom w:val="0"/>
      <w:divBdr>
        <w:top w:val="none" w:sz="0" w:space="0" w:color="auto"/>
        <w:left w:val="none" w:sz="0" w:space="0" w:color="auto"/>
        <w:bottom w:val="none" w:sz="0" w:space="0" w:color="auto"/>
        <w:right w:val="none" w:sz="0" w:space="0" w:color="auto"/>
      </w:divBdr>
    </w:div>
    <w:div w:id="68112342">
      <w:bodyDiv w:val="1"/>
      <w:marLeft w:val="0"/>
      <w:marRight w:val="0"/>
      <w:marTop w:val="0"/>
      <w:marBottom w:val="0"/>
      <w:divBdr>
        <w:top w:val="none" w:sz="0" w:space="0" w:color="auto"/>
        <w:left w:val="none" w:sz="0" w:space="0" w:color="auto"/>
        <w:bottom w:val="none" w:sz="0" w:space="0" w:color="auto"/>
        <w:right w:val="none" w:sz="0" w:space="0" w:color="auto"/>
      </w:divBdr>
    </w:div>
    <w:div w:id="69429414">
      <w:bodyDiv w:val="1"/>
      <w:marLeft w:val="0"/>
      <w:marRight w:val="0"/>
      <w:marTop w:val="0"/>
      <w:marBottom w:val="0"/>
      <w:divBdr>
        <w:top w:val="none" w:sz="0" w:space="0" w:color="auto"/>
        <w:left w:val="none" w:sz="0" w:space="0" w:color="auto"/>
        <w:bottom w:val="none" w:sz="0" w:space="0" w:color="auto"/>
        <w:right w:val="none" w:sz="0" w:space="0" w:color="auto"/>
      </w:divBdr>
    </w:div>
    <w:div w:id="70321606">
      <w:bodyDiv w:val="1"/>
      <w:marLeft w:val="0"/>
      <w:marRight w:val="0"/>
      <w:marTop w:val="0"/>
      <w:marBottom w:val="0"/>
      <w:divBdr>
        <w:top w:val="none" w:sz="0" w:space="0" w:color="auto"/>
        <w:left w:val="none" w:sz="0" w:space="0" w:color="auto"/>
        <w:bottom w:val="none" w:sz="0" w:space="0" w:color="auto"/>
        <w:right w:val="none" w:sz="0" w:space="0" w:color="auto"/>
      </w:divBdr>
    </w:div>
    <w:div w:id="71050117">
      <w:bodyDiv w:val="1"/>
      <w:marLeft w:val="0"/>
      <w:marRight w:val="0"/>
      <w:marTop w:val="0"/>
      <w:marBottom w:val="0"/>
      <w:divBdr>
        <w:top w:val="none" w:sz="0" w:space="0" w:color="auto"/>
        <w:left w:val="none" w:sz="0" w:space="0" w:color="auto"/>
        <w:bottom w:val="none" w:sz="0" w:space="0" w:color="auto"/>
        <w:right w:val="none" w:sz="0" w:space="0" w:color="auto"/>
      </w:divBdr>
    </w:div>
    <w:div w:id="71658809">
      <w:bodyDiv w:val="1"/>
      <w:marLeft w:val="0"/>
      <w:marRight w:val="0"/>
      <w:marTop w:val="0"/>
      <w:marBottom w:val="0"/>
      <w:divBdr>
        <w:top w:val="none" w:sz="0" w:space="0" w:color="auto"/>
        <w:left w:val="none" w:sz="0" w:space="0" w:color="auto"/>
        <w:bottom w:val="none" w:sz="0" w:space="0" w:color="auto"/>
        <w:right w:val="none" w:sz="0" w:space="0" w:color="auto"/>
      </w:divBdr>
    </w:div>
    <w:div w:id="72090992">
      <w:bodyDiv w:val="1"/>
      <w:marLeft w:val="0"/>
      <w:marRight w:val="0"/>
      <w:marTop w:val="0"/>
      <w:marBottom w:val="0"/>
      <w:divBdr>
        <w:top w:val="none" w:sz="0" w:space="0" w:color="auto"/>
        <w:left w:val="none" w:sz="0" w:space="0" w:color="auto"/>
        <w:bottom w:val="none" w:sz="0" w:space="0" w:color="auto"/>
        <w:right w:val="none" w:sz="0" w:space="0" w:color="auto"/>
      </w:divBdr>
    </w:div>
    <w:div w:id="72165704">
      <w:bodyDiv w:val="1"/>
      <w:marLeft w:val="0"/>
      <w:marRight w:val="0"/>
      <w:marTop w:val="0"/>
      <w:marBottom w:val="0"/>
      <w:divBdr>
        <w:top w:val="none" w:sz="0" w:space="0" w:color="auto"/>
        <w:left w:val="none" w:sz="0" w:space="0" w:color="auto"/>
        <w:bottom w:val="none" w:sz="0" w:space="0" w:color="auto"/>
        <w:right w:val="none" w:sz="0" w:space="0" w:color="auto"/>
      </w:divBdr>
    </w:div>
    <w:div w:id="72435642">
      <w:bodyDiv w:val="1"/>
      <w:marLeft w:val="0"/>
      <w:marRight w:val="0"/>
      <w:marTop w:val="0"/>
      <w:marBottom w:val="0"/>
      <w:divBdr>
        <w:top w:val="none" w:sz="0" w:space="0" w:color="auto"/>
        <w:left w:val="none" w:sz="0" w:space="0" w:color="auto"/>
        <w:bottom w:val="none" w:sz="0" w:space="0" w:color="auto"/>
        <w:right w:val="none" w:sz="0" w:space="0" w:color="auto"/>
      </w:divBdr>
    </w:div>
    <w:div w:id="73554381">
      <w:bodyDiv w:val="1"/>
      <w:marLeft w:val="0"/>
      <w:marRight w:val="0"/>
      <w:marTop w:val="0"/>
      <w:marBottom w:val="0"/>
      <w:divBdr>
        <w:top w:val="none" w:sz="0" w:space="0" w:color="auto"/>
        <w:left w:val="none" w:sz="0" w:space="0" w:color="auto"/>
        <w:bottom w:val="none" w:sz="0" w:space="0" w:color="auto"/>
        <w:right w:val="none" w:sz="0" w:space="0" w:color="auto"/>
      </w:divBdr>
    </w:div>
    <w:div w:id="74329290">
      <w:bodyDiv w:val="1"/>
      <w:marLeft w:val="0"/>
      <w:marRight w:val="0"/>
      <w:marTop w:val="0"/>
      <w:marBottom w:val="0"/>
      <w:divBdr>
        <w:top w:val="none" w:sz="0" w:space="0" w:color="auto"/>
        <w:left w:val="none" w:sz="0" w:space="0" w:color="auto"/>
        <w:bottom w:val="none" w:sz="0" w:space="0" w:color="auto"/>
        <w:right w:val="none" w:sz="0" w:space="0" w:color="auto"/>
      </w:divBdr>
    </w:div>
    <w:div w:id="74479933">
      <w:bodyDiv w:val="1"/>
      <w:marLeft w:val="0"/>
      <w:marRight w:val="0"/>
      <w:marTop w:val="0"/>
      <w:marBottom w:val="0"/>
      <w:divBdr>
        <w:top w:val="none" w:sz="0" w:space="0" w:color="auto"/>
        <w:left w:val="none" w:sz="0" w:space="0" w:color="auto"/>
        <w:bottom w:val="none" w:sz="0" w:space="0" w:color="auto"/>
        <w:right w:val="none" w:sz="0" w:space="0" w:color="auto"/>
      </w:divBdr>
    </w:div>
    <w:div w:id="77555196">
      <w:bodyDiv w:val="1"/>
      <w:marLeft w:val="0"/>
      <w:marRight w:val="0"/>
      <w:marTop w:val="0"/>
      <w:marBottom w:val="0"/>
      <w:divBdr>
        <w:top w:val="none" w:sz="0" w:space="0" w:color="auto"/>
        <w:left w:val="none" w:sz="0" w:space="0" w:color="auto"/>
        <w:bottom w:val="none" w:sz="0" w:space="0" w:color="auto"/>
        <w:right w:val="none" w:sz="0" w:space="0" w:color="auto"/>
      </w:divBdr>
    </w:div>
    <w:div w:id="77606171">
      <w:bodyDiv w:val="1"/>
      <w:marLeft w:val="0"/>
      <w:marRight w:val="0"/>
      <w:marTop w:val="0"/>
      <w:marBottom w:val="0"/>
      <w:divBdr>
        <w:top w:val="none" w:sz="0" w:space="0" w:color="auto"/>
        <w:left w:val="none" w:sz="0" w:space="0" w:color="auto"/>
        <w:bottom w:val="none" w:sz="0" w:space="0" w:color="auto"/>
        <w:right w:val="none" w:sz="0" w:space="0" w:color="auto"/>
      </w:divBdr>
    </w:div>
    <w:div w:id="77946615">
      <w:bodyDiv w:val="1"/>
      <w:marLeft w:val="0"/>
      <w:marRight w:val="0"/>
      <w:marTop w:val="0"/>
      <w:marBottom w:val="0"/>
      <w:divBdr>
        <w:top w:val="none" w:sz="0" w:space="0" w:color="auto"/>
        <w:left w:val="none" w:sz="0" w:space="0" w:color="auto"/>
        <w:bottom w:val="none" w:sz="0" w:space="0" w:color="auto"/>
        <w:right w:val="none" w:sz="0" w:space="0" w:color="auto"/>
      </w:divBdr>
    </w:div>
    <w:div w:id="78332957">
      <w:bodyDiv w:val="1"/>
      <w:marLeft w:val="0"/>
      <w:marRight w:val="0"/>
      <w:marTop w:val="0"/>
      <w:marBottom w:val="0"/>
      <w:divBdr>
        <w:top w:val="none" w:sz="0" w:space="0" w:color="auto"/>
        <w:left w:val="none" w:sz="0" w:space="0" w:color="auto"/>
        <w:bottom w:val="none" w:sz="0" w:space="0" w:color="auto"/>
        <w:right w:val="none" w:sz="0" w:space="0" w:color="auto"/>
      </w:divBdr>
    </w:div>
    <w:div w:id="78524191">
      <w:bodyDiv w:val="1"/>
      <w:marLeft w:val="0"/>
      <w:marRight w:val="0"/>
      <w:marTop w:val="0"/>
      <w:marBottom w:val="0"/>
      <w:divBdr>
        <w:top w:val="none" w:sz="0" w:space="0" w:color="auto"/>
        <w:left w:val="none" w:sz="0" w:space="0" w:color="auto"/>
        <w:bottom w:val="none" w:sz="0" w:space="0" w:color="auto"/>
        <w:right w:val="none" w:sz="0" w:space="0" w:color="auto"/>
      </w:divBdr>
    </w:div>
    <w:div w:id="78985056">
      <w:bodyDiv w:val="1"/>
      <w:marLeft w:val="0"/>
      <w:marRight w:val="0"/>
      <w:marTop w:val="0"/>
      <w:marBottom w:val="0"/>
      <w:divBdr>
        <w:top w:val="none" w:sz="0" w:space="0" w:color="auto"/>
        <w:left w:val="none" w:sz="0" w:space="0" w:color="auto"/>
        <w:bottom w:val="none" w:sz="0" w:space="0" w:color="auto"/>
        <w:right w:val="none" w:sz="0" w:space="0" w:color="auto"/>
      </w:divBdr>
    </w:div>
    <w:div w:id="79260223">
      <w:bodyDiv w:val="1"/>
      <w:marLeft w:val="0"/>
      <w:marRight w:val="0"/>
      <w:marTop w:val="0"/>
      <w:marBottom w:val="0"/>
      <w:divBdr>
        <w:top w:val="none" w:sz="0" w:space="0" w:color="auto"/>
        <w:left w:val="none" w:sz="0" w:space="0" w:color="auto"/>
        <w:bottom w:val="none" w:sz="0" w:space="0" w:color="auto"/>
        <w:right w:val="none" w:sz="0" w:space="0" w:color="auto"/>
      </w:divBdr>
    </w:div>
    <w:div w:id="79375141">
      <w:bodyDiv w:val="1"/>
      <w:marLeft w:val="0"/>
      <w:marRight w:val="0"/>
      <w:marTop w:val="0"/>
      <w:marBottom w:val="0"/>
      <w:divBdr>
        <w:top w:val="none" w:sz="0" w:space="0" w:color="auto"/>
        <w:left w:val="none" w:sz="0" w:space="0" w:color="auto"/>
        <w:bottom w:val="none" w:sz="0" w:space="0" w:color="auto"/>
        <w:right w:val="none" w:sz="0" w:space="0" w:color="auto"/>
      </w:divBdr>
    </w:div>
    <w:div w:id="79525344">
      <w:bodyDiv w:val="1"/>
      <w:marLeft w:val="0"/>
      <w:marRight w:val="0"/>
      <w:marTop w:val="0"/>
      <w:marBottom w:val="0"/>
      <w:divBdr>
        <w:top w:val="none" w:sz="0" w:space="0" w:color="auto"/>
        <w:left w:val="none" w:sz="0" w:space="0" w:color="auto"/>
        <w:bottom w:val="none" w:sz="0" w:space="0" w:color="auto"/>
        <w:right w:val="none" w:sz="0" w:space="0" w:color="auto"/>
      </w:divBdr>
    </w:div>
    <w:div w:id="81608111">
      <w:bodyDiv w:val="1"/>
      <w:marLeft w:val="0"/>
      <w:marRight w:val="0"/>
      <w:marTop w:val="0"/>
      <w:marBottom w:val="0"/>
      <w:divBdr>
        <w:top w:val="none" w:sz="0" w:space="0" w:color="auto"/>
        <w:left w:val="none" w:sz="0" w:space="0" w:color="auto"/>
        <w:bottom w:val="none" w:sz="0" w:space="0" w:color="auto"/>
        <w:right w:val="none" w:sz="0" w:space="0" w:color="auto"/>
      </w:divBdr>
    </w:div>
    <w:div w:id="82578884">
      <w:bodyDiv w:val="1"/>
      <w:marLeft w:val="0"/>
      <w:marRight w:val="0"/>
      <w:marTop w:val="0"/>
      <w:marBottom w:val="0"/>
      <w:divBdr>
        <w:top w:val="none" w:sz="0" w:space="0" w:color="auto"/>
        <w:left w:val="none" w:sz="0" w:space="0" w:color="auto"/>
        <w:bottom w:val="none" w:sz="0" w:space="0" w:color="auto"/>
        <w:right w:val="none" w:sz="0" w:space="0" w:color="auto"/>
      </w:divBdr>
    </w:div>
    <w:div w:id="82604129">
      <w:bodyDiv w:val="1"/>
      <w:marLeft w:val="0"/>
      <w:marRight w:val="0"/>
      <w:marTop w:val="0"/>
      <w:marBottom w:val="0"/>
      <w:divBdr>
        <w:top w:val="none" w:sz="0" w:space="0" w:color="auto"/>
        <w:left w:val="none" w:sz="0" w:space="0" w:color="auto"/>
        <w:bottom w:val="none" w:sz="0" w:space="0" w:color="auto"/>
        <w:right w:val="none" w:sz="0" w:space="0" w:color="auto"/>
      </w:divBdr>
    </w:div>
    <w:div w:id="83650021">
      <w:bodyDiv w:val="1"/>
      <w:marLeft w:val="0"/>
      <w:marRight w:val="0"/>
      <w:marTop w:val="0"/>
      <w:marBottom w:val="0"/>
      <w:divBdr>
        <w:top w:val="none" w:sz="0" w:space="0" w:color="auto"/>
        <w:left w:val="none" w:sz="0" w:space="0" w:color="auto"/>
        <w:bottom w:val="none" w:sz="0" w:space="0" w:color="auto"/>
        <w:right w:val="none" w:sz="0" w:space="0" w:color="auto"/>
      </w:divBdr>
    </w:div>
    <w:div w:id="84307081">
      <w:bodyDiv w:val="1"/>
      <w:marLeft w:val="0"/>
      <w:marRight w:val="0"/>
      <w:marTop w:val="0"/>
      <w:marBottom w:val="0"/>
      <w:divBdr>
        <w:top w:val="none" w:sz="0" w:space="0" w:color="auto"/>
        <w:left w:val="none" w:sz="0" w:space="0" w:color="auto"/>
        <w:bottom w:val="none" w:sz="0" w:space="0" w:color="auto"/>
        <w:right w:val="none" w:sz="0" w:space="0" w:color="auto"/>
      </w:divBdr>
    </w:div>
    <w:div w:id="84503162">
      <w:bodyDiv w:val="1"/>
      <w:marLeft w:val="0"/>
      <w:marRight w:val="0"/>
      <w:marTop w:val="0"/>
      <w:marBottom w:val="0"/>
      <w:divBdr>
        <w:top w:val="none" w:sz="0" w:space="0" w:color="auto"/>
        <w:left w:val="none" w:sz="0" w:space="0" w:color="auto"/>
        <w:bottom w:val="none" w:sz="0" w:space="0" w:color="auto"/>
        <w:right w:val="none" w:sz="0" w:space="0" w:color="auto"/>
      </w:divBdr>
    </w:div>
    <w:div w:id="85227491">
      <w:bodyDiv w:val="1"/>
      <w:marLeft w:val="0"/>
      <w:marRight w:val="0"/>
      <w:marTop w:val="0"/>
      <w:marBottom w:val="0"/>
      <w:divBdr>
        <w:top w:val="none" w:sz="0" w:space="0" w:color="auto"/>
        <w:left w:val="none" w:sz="0" w:space="0" w:color="auto"/>
        <w:bottom w:val="none" w:sz="0" w:space="0" w:color="auto"/>
        <w:right w:val="none" w:sz="0" w:space="0" w:color="auto"/>
      </w:divBdr>
    </w:div>
    <w:div w:id="85930420">
      <w:bodyDiv w:val="1"/>
      <w:marLeft w:val="0"/>
      <w:marRight w:val="0"/>
      <w:marTop w:val="0"/>
      <w:marBottom w:val="0"/>
      <w:divBdr>
        <w:top w:val="none" w:sz="0" w:space="0" w:color="auto"/>
        <w:left w:val="none" w:sz="0" w:space="0" w:color="auto"/>
        <w:bottom w:val="none" w:sz="0" w:space="0" w:color="auto"/>
        <w:right w:val="none" w:sz="0" w:space="0" w:color="auto"/>
      </w:divBdr>
    </w:div>
    <w:div w:id="87040881">
      <w:bodyDiv w:val="1"/>
      <w:marLeft w:val="0"/>
      <w:marRight w:val="0"/>
      <w:marTop w:val="0"/>
      <w:marBottom w:val="0"/>
      <w:divBdr>
        <w:top w:val="none" w:sz="0" w:space="0" w:color="auto"/>
        <w:left w:val="none" w:sz="0" w:space="0" w:color="auto"/>
        <w:bottom w:val="none" w:sz="0" w:space="0" w:color="auto"/>
        <w:right w:val="none" w:sz="0" w:space="0" w:color="auto"/>
      </w:divBdr>
    </w:div>
    <w:div w:id="89354744">
      <w:bodyDiv w:val="1"/>
      <w:marLeft w:val="0"/>
      <w:marRight w:val="0"/>
      <w:marTop w:val="0"/>
      <w:marBottom w:val="0"/>
      <w:divBdr>
        <w:top w:val="none" w:sz="0" w:space="0" w:color="auto"/>
        <w:left w:val="none" w:sz="0" w:space="0" w:color="auto"/>
        <w:bottom w:val="none" w:sz="0" w:space="0" w:color="auto"/>
        <w:right w:val="none" w:sz="0" w:space="0" w:color="auto"/>
      </w:divBdr>
    </w:div>
    <w:div w:id="90198952">
      <w:bodyDiv w:val="1"/>
      <w:marLeft w:val="0"/>
      <w:marRight w:val="0"/>
      <w:marTop w:val="0"/>
      <w:marBottom w:val="0"/>
      <w:divBdr>
        <w:top w:val="none" w:sz="0" w:space="0" w:color="auto"/>
        <w:left w:val="none" w:sz="0" w:space="0" w:color="auto"/>
        <w:bottom w:val="none" w:sz="0" w:space="0" w:color="auto"/>
        <w:right w:val="none" w:sz="0" w:space="0" w:color="auto"/>
      </w:divBdr>
    </w:div>
    <w:div w:id="90706540">
      <w:bodyDiv w:val="1"/>
      <w:marLeft w:val="0"/>
      <w:marRight w:val="0"/>
      <w:marTop w:val="0"/>
      <w:marBottom w:val="0"/>
      <w:divBdr>
        <w:top w:val="none" w:sz="0" w:space="0" w:color="auto"/>
        <w:left w:val="none" w:sz="0" w:space="0" w:color="auto"/>
        <w:bottom w:val="none" w:sz="0" w:space="0" w:color="auto"/>
        <w:right w:val="none" w:sz="0" w:space="0" w:color="auto"/>
      </w:divBdr>
    </w:div>
    <w:div w:id="92556080">
      <w:bodyDiv w:val="1"/>
      <w:marLeft w:val="0"/>
      <w:marRight w:val="0"/>
      <w:marTop w:val="0"/>
      <w:marBottom w:val="0"/>
      <w:divBdr>
        <w:top w:val="none" w:sz="0" w:space="0" w:color="auto"/>
        <w:left w:val="none" w:sz="0" w:space="0" w:color="auto"/>
        <w:bottom w:val="none" w:sz="0" w:space="0" w:color="auto"/>
        <w:right w:val="none" w:sz="0" w:space="0" w:color="auto"/>
      </w:divBdr>
    </w:div>
    <w:div w:id="92602403">
      <w:bodyDiv w:val="1"/>
      <w:marLeft w:val="0"/>
      <w:marRight w:val="0"/>
      <w:marTop w:val="0"/>
      <w:marBottom w:val="0"/>
      <w:divBdr>
        <w:top w:val="none" w:sz="0" w:space="0" w:color="auto"/>
        <w:left w:val="none" w:sz="0" w:space="0" w:color="auto"/>
        <w:bottom w:val="none" w:sz="0" w:space="0" w:color="auto"/>
        <w:right w:val="none" w:sz="0" w:space="0" w:color="auto"/>
      </w:divBdr>
    </w:div>
    <w:div w:id="93861250">
      <w:bodyDiv w:val="1"/>
      <w:marLeft w:val="0"/>
      <w:marRight w:val="0"/>
      <w:marTop w:val="0"/>
      <w:marBottom w:val="0"/>
      <w:divBdr>
        <w:top w:val="none" w:sz="0" w:space="0" w:color="auto"/>
        <w:left w:val="none" w:sz="0" w:space="0" w:color="auto"/>
        <w:bottom w:val="none" w:sz="0" w:space="0" w:color="auto"/>
        <w:right w:val="none" w:sz="0" w:space="0" w:color="auto"/>
      </w:divBdr>
    </w:div>
    <w:div w:id="93984770">
      <w:bodyDiv w:val="1"/>
      <w:marLeft w:val="0"/>
      <w:marRight w:val="0"/>
      <w:marTop w:val="0"/>
      <w:marBottom w:val="0"/>
      <w:divBdr>
        <w:top w:val="none" w:sz="0" w:space="0" w:color="auto"/>
        <w:left w:val="none" w:sz="0" w:space="0" w:color="auto"/>
        <w:bottom w:val="none" w:sz="0" w:space="0" w:color="auto"/>
        <w:right w:val="none" w:sz="0" w:space="0" w:color="auto"/>
      </w:divBdr>
      <w:divsChild>
        <w:div w:id="13935044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8551174">
              <w:marLeft w:val="0"/>
              <w:marRight w:val="0"/>
              <w:marTop w:val="0"/>
              <w:marBottom w:val="0"/>
              <w:divBdr>
                <w:top w:val="none" w:sz="0" w:space="0" w:color="auto"/>
                <w:left w:val="none" w:sz="0" w:space="0" w:color="auto"/>
                <w:bottom w:val="none" w:sz="0" w:space="0" w:color="auto"/>
                <w:right w:val="none" w:sz="0" w:space="0" w:color="auto"/>
              </w:divBdr>
              <w:divsChild>
                <w:div w:id="1933658762">
                  <w:marLeft w:val="0"/>
                  <w:marRight w:val="0"/>
                  <w:marTop w:val="0"/>
                  <w:marBottom w:val="0"/>
                  <w:divBdr>
                    <w:top w:val="none" w:sz="0" w:space="0" w:color="auto"/>
                    <w:left w:val="none" w:sz="0" w:space="0" w:color="auto"/>
                    <w:bottom w:val="none" w:sz="0" w:space="0" w:color="auto"/>
                    <w:right w:val="none" w:sz="0" w:space="0" w:color="auto"/>
                  </w:divBdr>
                  <w:divsChild>
                    <w:div w:id="1207640770">
                      <w:marLeft w:val="0"/>
                      <w:marRight w:val="0"/>
                      <w:marTop w:val="0"/>
                      <w:marBottom w:val="0"/>
                      <w:divBdr>
                        <w:top w:val="none" w:sz="0" w:space="0" w:color="auto"/>
                        <w:left w:val="none" w:sz="0" w:space="0" w:color="auto"/>
                        <w:bottom w:val="none" w:sz="0" w:space="0" w:color="auto"/>
                        <w:right w:val="none" w:sz="0" w:space="0" w:color="auto"/>
                      </w:divBdr>
                      <w:divsChild>
                        <w:div w:id="1817262653">
                          <w:marLeft w:val="0"/>
                          <w:marRight w:val="0"/>
                          <w:marTop w:val="0"/>
                          <w:marBottom w:val="0"/>
                          <w:divBdr>
                            <w:top w:val="none" w:sz="0" w:space="0" w:color="auto"/>
                            <w:left w:val="none" w:sz="0" w:space="0" w:color="auto"/>
                            <w:bottom w:val="none" w:sz="0" w:space="0" w:color="auto"/>
                            <w:right w:val="none" w:sz="0" w:space="0" w:color="auto"/>
                          </w:divBdr>
                          <w:divsChild>
                            <w:div w:id="211936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133377">
      <w:bodyDiv w:val="1"/>
      <w:marLeft w:val="0"/>
      <w:marRight w:val="0"/>
      <w:marTop w:val="0"/>
      <w:marBottom w:val="0"/>
      <w:divBdr>
        <w:top w:val="none" w:sz="0" w:space="0" w:color="auto"/>
        <w:left w:val="none" w:sz="0" w:space="0" w:color="auto"/>
        <w:bottom w:val="none" w:sz="0" w:space="0" w:color="auto"/>
        <w:right w:val="none" w:sz="0" w:space="0" w:color="auto"/>
      </w:divBdr>
    </w:div>
    <w:div w:id="94326608">
      <w:bodyDiv w:val="1"/>
      <w:marLeft w:val="0"/>
      <w:marRight w:val="0"/>
      <w:marTop w:val="0"/>
      <w:marBottom w:val="0"/>
      <w:divBdr>
        <w:top w:val="none" w:sz="0" w:space="0" w:color="auto"/>
        <w:left w:val="none" w:sz="0" w:space="0" w:color="auto"/>
        <w:bottom w:val="none" w:sz="0" w:space="0" w:color="auto"/>
        <w:right w:val="none" w:sz="0" w:space="0" w:color="auto"/>
      </w:divBdr>
    </w:div>
    <w:div w:id="94834879">
      <w:bodyDiv w:val="1"/>
      <w:marLeft w:val="0"/>
      <w:marRight w:val="0"/>
      <w:marTop w:val="0"/>
      <w:marBottom w:val="0"/>
      <w:divBdr>
        <w:top w:val="none" w:sz="0" w:space="0" w:color="auto"/>
        <w:left w:val="none" w:sz="0" w:space="0" w:color="auto"/>
        <w:bottom w:val="none" w:sz="0" w:space="0" w:color="auto"/>
        <w:right w:val="none" w:sz="0" w:space="0" w:color="auto"/>
      </w:divBdr>
    </w:div>
    <w:div w:id="96222295">
      <w:bodyDiv w:val="1"/>
      <w:marLeft w:val="0"/>
      <w:marRight w:val="0"/>
      <w:marTop w:val="0"/>
      <w:marBottom w:val="0"/>
      <w:divBdr>
        <w:top w:val="none" w:sz="0" w:space="0" w:color="auto"/>
        <w:left w:val="none" w:sz="0" w:space="0" w:color="auto"/>
        <w:bottom w:val="none" w:sz="0" w:space="0" w:color="auto"/>
        <w:right w:val="none" w:sz="0" w:space="0" w:color="auto"/>
      </w:divBdr>
    </w:div>
    <w:div w:id="98767821">
      <w:bodyDiv w:val="1"/>
      <w:marLeft w:val="0"/>
      <w:marRight w:val="0"/>
      <w:marTop w:val="0"/>
      <w:marBottom w:val="0"/>
      <w:divBdr>
        <w:top w:val="none" w:sz="0" w:space="0" w:color="auto"/>
        <w:left w:val="none" w:sz="0" w:space="0" w:color="auto"/>
        <w:bottom w:val="none" w:sz="0" w:space="0" w:color="auto"/>
        <w:right w:val="none" w:sz="0" w:space="0" w:color="auto"/>
      </w:divBdr>
    </w:div>
    <w:div w:id="100146618">
      <w:bodyDiv w:val="1"/>
      <w:marLeft w:val="0"/>
      <w:marRight w:val="0"/>
      <w:marTop w:val="0"/>
      <w:marBottom w:val="0"/>
      <w:divBdr>
        <w:top w:val="none" w:sz="0" w:space="0" w:color="auto"/>
        <w:left w:val="none" w:sz="0" w:space="0" w:color="auto"/>
        <w:bottom w:val="none" w:sz="0" w:space="0" w:color="auto"/>
        <w:right w:val="none" w:sz="0" w:space="0" w:color="auto"/>
      </w:divBdr>
    </w:div>
    <w:div w:id="100341946">
      <w:bodyDiv w:val="1"/>
      <w:marLeft w:val="0"/>
      <w:marRight w:val="0"/>
      <w:marTop w:val="0"/>
      <w:marBottom w:val="0"/>
      <w:divBdr>
        <w:top w:val="none" w:sz="0" w:space="0" w:color="auto"/>
        <w:left w:val="none" w:sz="0" w:space="0" w:color="auto"/>
        <w:bottom w:val="none" w:sz="0" w:space="0" w:color="auto"/>
        <w:right w:val="none" w:sz="0" w:space="0" w:color="auto"/>
      </w:divBdr>
    </w:div>
    <w:div w:id="102120538">
      <w:bodyDiv w:val="1"/>
      <w:marLeft w:val="0"/>
      <w:marRight w:val="0"/>
      <w:marTop w:val="0"/>
      <w:marBottom w:val="0"/>
      <w:divBdr>
        <w:top w:val="none" w:sz="0" w:space="0" w:color="auto"/>
        <w:left w:val="none" w:sz="0" w:space="0" w:color="auto"/>
        <w:bottom w:val="none" w:sz="0" w:space="0" w:color="auto"/>
        <w:right w:val="none" w:sz="0" w:space="0" w:color="auto"/>
      </w:divBdr>
    </w:div>
    <w:div w:id="103961742">
      <w:bodyDiv w:val="1"/>
      <w:marLeft w:val="0"/>
      <w:marRight w:val="0"/>
      <w:marTop w:val="0"/>
      <w:marBottom w:val="0"/>
      <w:divBdr>
        <w:top w:val="none" w:sz="0" w:space="0" w:color="auto"/>
        <w:left w:val="none" w:sz="0" w:space="0" w:color="auto"/>
        <w:bottom w:val="none" w:sz="0" w:space="0" w:color="auto"/>
        <w:right w:val="none" w:sz="0" w:space="0" w:color="auto"/>
      </w:divBdr>
    </w:div>
    <w:div w:id="104083286">
      <w:bodyDiv w:val="1"/>
      <w:marLeft w:val="0"/>
      <w:marRight w:val="0"/>
      <w:marTop w:val="0"/>
      <w:marBottom w:val="0"/>
      <w:divBdr>
        <w:top w:val="none" w:sz="0" w:space="0" w:color="auto"/>
        <w:left w:val="none" w:sz="0" w:space="0" w:color="auto"/>
        <w:bottom w:val="none" w:sz="0" w:space="0" w:color="auto"/>
        <w:right w:val="none" w:sz="0" w:space="0" w:color="auto"/>
      </w:divBdr>
    </w:div>
    <w:div w:id="104159581">
      <w:bodyDiv w:val="1"/>
      <w:marLeft w:val="0"/>
      <w:marRight w:val="0"/>
      <w:marTop w:val="0"/>
      <w:marBottom w:val="0"/>
      <w:divBdr>
        <w:top w:val="none" w:sz="0" w:space="0" w:color="auto"/>
        <w:left w:val="none" w:sz="0" w:space="0" w:color="auto"/>
        <w:bottom w:val="none" w:sz="0" w:space="0" w:color="auto"/>
        <w:right w:val="none" w:sz="0" w:space="0" w:color="auto"/>
      </w:divBdr>
    </w:div>
    <w:div w:id="105543615">
      <w:bodyDiv w:val="1"/>
      <w:marLeft w:val="0"/>
      <w:marRight w:val="0"/>
      <w:marTop w:val="0"/>
      <w:marBottom w:val="0"/>
      <w:divBdr>
        <w:top w:val="none" w:sz="0" w:space="0" w:color="auto"/>
        <w:left w:val="none" w:sz="0" w:space="0" w:color="auto"/>
        <w:bottom w:val="none" w:sz="0" w:space="0" w:color="auto"/>
        <w:right w:val="none" w:sz="0" w:space="0" w:color="auto"/>
      </w:divBdr>
    </w:div>
    <w:div w:id="105586224">
      <w:bodyDiv w:val="1"/>
      <w:marLeft w:val="0"/>
      <w:marRight w:val="0"/>
      <w:marTop w:val="0"/>
      <w:marBottom w:val="0"/>
      <w:divBdr>
        <w:top w:val="none" w:sz="0" w:space="0" w:color="auto"/>
        <w:left w:val="none" w:sz="0" w:space="0" w:color="auto"/>
        <w:bottom w:val="none" w:sz="0" w:space="0" w:color="auto"/>
        <w:right w:val="none" w:sz="0" w:space="0" w:color="auto"/>
      </w:divBdr>
    </w:div>
    <w:div w:id="105588659">
      <w:bodyDiv w:val="1"/>
      <w:marLeft w:val="0"/>
      <w:marRight w:val="0"/>
      <w:marTop w:val="0"/>
      <w:marBottom w:val="0"/>
      <w:divBdr>
        <w:top w:val="none" w:sz="0" w:space="0" w:color="auto"/>
        <w:left w:val="none" w:sz="0" w:space="0" w:color="auto"/>
        <w:bottom w:val="none" w:sz="0" w:space="0" w:color="auto"/>
        <w:right w:val="none" w:sz="0" w:space="0" w:color="auto"/>
      </w:divBdr>
    </w:div>
    <w:div w:id="106972164">
      <w:bodyDiv w:val="1"/>
      <w:marLeft w:val="0"/>
      <w:marRight w:val="0"/>
      <w:marTop w:val="0"/>
      <w:marBottom w:val="0"/>
      <w:divBdr>
        <w:top w:val="none" w:sz="0" w:space="0" w:color="auto"/>
        <w:left w:val="none" w:sz="0" w:space="0" w:color="auto"/>
        <w:bottom w:val="none" w:sz="0" w:space="0" w:color="auto"/>
        <w:right w:val="none" w:sz="0" w:space="0" w:color="auto"/>
      </w:divBdr>
    </w:div>
    <w:div w:id="107631246">
      <w:bodyDiv w:val="1"/>
      <w:marLeft w:val="0"/>
      <w:marRight w:val="0"/>
      <w:marTop w:val="0"/>
      <w:marBottom w:val="0"/>
      <w:divBdr>
        <w:top w:val="none" w:sz="0" w:space="0" w:color="auto"/>
        <w:left w:val="none" w:sz="0" w:space="0" w:color="auto"/>
        <w:bottom w:val="none" w:sz="0" w:space="0" w:color="auto"/>
        <w:right w:val="none" w:sz="0" w:space="0" w:color="auto"/>
      </w:divBdr>
    </w:div>
    <w:div w:id="107966827">
      <w:bodyDiv w:val="1"/>
      <w:marLeft w:val="0"/>
      <w:marRight w:val="0"/>
      <w:marTop w:val="0"/>
      <w:marBottom w:val="0"/>
      <w:divBdr>
        <w:top w:val="none" w:sz="0" w:space="0" w:color="auto"/>
        <w:left w:val="none" w:sz="0" w:space="0" w:color="auto"/>
        <w:bottom w:val="none" w:sz="0" w:space="0" w:color="auto"/>
        <w:right w:val="none" w:sz="0" w:space="0" w:color="auto"/>
      </w:divBdr>
    </w:div>
    <w:div w:id="109016056">
      <w:bodyDiv w:val="1"/>
      <w:marLeft w:val="0"/>
      <w:marRight w:val="0"/>
      <w:marTop w:val="0"/>
      <w:marBottom w:val="0"/>
      <w:divBdr>
        <w:top w:val="none" w:sz="0" w:space="0" w:color="auto"/>
        <w:left w:val="none" w:sz="0" w:space="0" w:color="auto"/>
        <w:bottom w:val="none" w:sz="0" w:space="0" w:color="auto"/>
        <w:right w:val="none" w:sz="0" w:space="0" w:color="auto"/>
      </w:divBdr>
    </w:div>
    <w:div w:id="109904893">
      <w:bodyDiv w:val="1"/>
      <w:marLeft w:val="0"/>
      <w:marRight w:val="0"/>
      <w:marTop w:val="0"/>
      <w:marBottom w:val="0"/>
      <w:divBdr>
        <w:top w:val="none" w:sz="0" w:space="0" w:color="auto"/>
        <w:left w:val="none" w:sz="0" w:space="0" w:color="auto"/>
        <w:bottom w:val="none" w:sz="0" w:space="0" w:color="auto"/>
        <w:right w:val="none" w:sz="0" w:space="0" w:color="auto"/>
      </w:divBdr>
    </w:div>
    <w:div w:id="110517450">
      <w:bodyDiv w:val="1"/>
      <w:marLeft w:val="0"/>
      <w:marRight w:val="0"/>
      <w:marTop w:val="0"/>
      <w:marBottom w:val="0"/>
      <w:divBdr>
        <w:top w:val="none" w:sz="0" w:space="0" w:color="auto"/>
        <w:left w:val="none" w:sz="0" w:space="0" w:color="auto"/>
        <w:bottom w:val="none" w:sz="0" w:space="0" w:color="auto"/>
        <w:right w:val="none" w:sz="0" w:space="0" w:color="auto"/>
      </w:divBdr>
    </w:div>
    <w:div w:id="111365333">
      <w:bodyDiv w:val="1"/>
      <w:marLeft w:val="0"/>
      <w:marRight w:val="0"/>
      <w:marTop w:val="0"/>
      <w:marBottom w:val="0"/>
      <w:divBdr>
        <w:top w:val="none" w:sz="0" w:space="0" w:color="auto"/>
        <w:left w:val="none" w:sz="0" w:space="0" w:color="auto"/>
        <w:bottom w:val="none" w:sz="0" w:space="0" w:color="auto"/>
        <w:right w:val="none" w:sz="0" w:space="0" w:color="auto"/>
      </w:divBdr>
    </w:div>
    <w:div w:id="111436642">
      <w:bodyDiv w:val="1"/>
      <w:marLeft w:val="0"/>
      <w:marRight w:val="0"/>
      <w:marTop w:val="0"/>
      <w:marBottom w:val="0"/>
      <w:divBdr>
        <w:top w:val="none" w:sz="0" w:space="0" w:color="auto"/>
        <w:left w:val="none" w:sz="0" w:space="0" w:color="auto"/>
        <w:bottom w:val="none" w:sz="0" w:space="0" w:color="auto"/>
        <w:right w:val="none" w:sz="0" w:space="0" w:color="auto"/>
      </w:divBdr>
    </w:div>
    <w:div w:id="112943336">
      <w:bodyDiv w:val="1"/>
      <w:marLeft w:val="0"/>
      <w:marRight w:val="0"/>
      <w:marTop w:val="0"/>
      <w:marBottom w:val="0"/>
      <w:divBdr>
        <w:top w:val="none" w:sz="0" w:space="0" w:color="auto"/>
        <w:left w:val="none" w:sz="0" w:space="0" w:color="auto"/>
        <w:bottom w:val="none" w:sz="0" w:space="0" w:color="auto"/>
        <w:right w:val="none" w:sz="0" w:space="0" w:color="auto"/>
      </w:divBdr>
    </w:div>
    <w:div w:id="114714409">
      <w:bodyDiv w:val="1"/>
      <w:marLeft w:val="0"/>
      <w:marRight w:val="0"/>
      <w:marTop w:val="0"/>
      <w:marBottom w:val="0"/>
      <w:divBdr>
        <w:top w:val="none" w:sz="0" w:space="0" w:color="auto"/>
        <w:left w:val="none" w:sz="0" w:space="0" w:color="auto"/>
        <w:bottom w:val="none" w:sz="0" w:space="0" w:color="auto"/>
        <w:right w:val="none" w:sz="0" w:space="0" w:color="auto"/>
      </w:divBdr>
    </w:div>
    <w:div w:id="114951334">
      <w:bodyDiv w:val="1"/>
      <w:marLeft w:val="0"/>
      <w:marRight w:val="0"/>
      <w:marTop w:val="0"/>
      <w:marBottom w:val="0"/>
      <w:divBdr>
        <w:top w:val="none" w:sz="0" w:space="0" w:color="auto"/>
        <w:left w:val="none" w:sz="0" w:space="0" w:color="auto"/>
        <w:bottom w:val="none" w:sz="0" w:space="0" w:color="auto"/>
        <w:right w:val="none" w:sz="0" w:space="0" w:color="auto"/>
      </w:divBdr>
    </w:div>
    <w:div w:id="115608837">
      <w:bodyDiv w:val="1"/>
      <w:marLeft w:val="0"/>
      <w:marRight w:val="0"/>
      <w:marTop w:val="0"/>
      <w:marBottom w:val="0"/>
      <w:divBdr>
        <w:top w:val="none" w:sz="0" w:space="0" w:color="auto"/>
        <w:left w:val="none" w:sz="0" w:space="0" w:color="auto"/>
        <w:bottom w:val="none" w:sz="0" w:space="0" w:color="auto"/>
        <w:right w:val="none" w:sz="0" w:space="0" w:color="auto"/>
      </w:divBdr>
    </w:div>
    <w:div w:id="119032323">
      <w:bodyDiv w:val="1"/>
      <w:marLeft w:val="0"/>
      <w:marRight w:val="0"/>
      <w:marTop w:val="0"/>
      <w:marBottom w:val="0"/>
      <w:divBdr>
        <w:top w:val="none" w:sz="0" w:space="0" w:color="auto"/>
        <w:left w:val="none" w:sz="0" w:space="0" w:color="auto"/>
        <w:bottom w:val="none" w:sz="0" w:space="0" w:color="auto"/>
        <w:right w:val="none" w:sz="0" w:space="0" w:color="auto"/>
      </w:divBdr>
    </w:div>
    <w:div w:id="120539184">
      <w:bodyDiv w:val="1"/>
      <w:marLeft w:val="0"/>
      <w:marRight w:val="0"/>
      <w:marTop w:val="0"/>
      <w:marBottom w:val="0"/>
      <w:divBdr>
        <w:top w:val="none" w:sz="0" w:space="0" w:color="auto"/>
        <w:left w:val="none" w:sz="0" w:space="0" w:color="auto"/>
        <w:bottom w:val="none" w:sz="0" w:space="0" w:color="auto"/>
        <w:right w:val="none" w:sz="0" w:space="0" w:color="auto"/>
      </w:divBdr>
    </w:div>
    <w:div w:id="121198583">
      <w:bodyDiv w:val="1"/>
      <w:marLeft w:val="0"/>
      <w:marRight w:val="0"/>
      <w:marTop w:val="0"/>
      <w:marBottom w:val="0"/>
      <w:divBdr>
        <w:top w:val="none" w:sz="0" w:space="0" w:color="auto"/>
        <w:left w:val="none" w:sz="0" w:space="0" w:color="auto"/>
        <w:bottom w:val="none" w:sz="0" w:space="0" w:color="auto"/>
        <w:right w:val="none" w:sz="0" w:space="0" w:color="auto"/>
      </w:divBdr>
    </w:div>
    <w:div w:id="121652526">
      <w:bodyDiv w:val="1"/>
      <w:marLeft w:val="0"/>
      <w:marRight w:val="0"/>
      <w:marTop w:val="0"/>
      <w:marBottom w:val="0"/>
      <w:divBdr>
        <w:top w:val="none" w:sz="0" w:space="0" w:color="auto"/>
        <w:left w:val="none" w:sz="0" w:space="0" w:color="auto"/>
        <w:bottom w:val="none" w:sz="0" w:space="0" w:color="auto"/>
        <w:right w:val="none" w:sz="0" w:space="0" w:color="auto"/>
      </w:divBdr>
    </w:div>
    <w:div w:id="121921612">
      <w:bodyDiv w:val="1"/>
      <w:marLeft w:val="0"/>
      <w:marRight w:val="0"/>
      <w:marTop w:val="0"/>
      <w:marBottom w:val="0"/>
      <w:divBdr>
        <w:top w:val="none" w:sz="0" w:space="0" w:color="auto"/>
        <w:left w:val="none" w:sz="0" w:space="0" w:color="auto"/>
        <w:bottom w:val="none" w:sz="0" w:space="0" w:color="auto"/>
        <w:right w:val="none" w:sz="0" w:space="0" w:color="auto"/>
      </w:divBdr>
    </w:div>
    <w:div w:id="122618873">
      <w:bodyDiv w:val="1"/>
      <w:marLeft w:val="0"/>
      <w:marRight w:val="0"/>
      <w:marTop w:val="0"/>
      <w:marBottom w:val="0"/>
      <w:divBdr>
        <w:top w:val="none" w:sz="0" w:space="0" w:color="auto"/>
        <w:left w:val="none" w:sz="0" w:space="0" w:color="auto"/>
        <w:bottom w:val="none" w:sz="0" w:space="0" w:color="auto"/>
        <w:right w:val="none" w:sz="0" w:space="0" w:color="auto"/>
      </w:divBdr>
    </w:div>
    <w:div w:id="122619865">
      <w:bodyDiv w:val="1"/>
      <w:marLeft w:val="0"/>
      <w:marRight w:val="0"/>
      <w:marTop w:val="0"/>
      <w:marBottom w:val="0"/>
      <w:divBdr>
        <w:top w:val="none" w:sz="0" w:space="0" w:color="auto"/>
        <w:left w:val="none" w:sz="0" w:space="0" w:color="auto"/>
        <w:bottom w:val="none" w:sz="0" w:space="0" w:color="auto"/>
        <w:right w:val="none" w:sz="0" w:space="0" w:color="auto"/>
      </w:divBdr>
    </w:div>
    <w:div w:id="123280981">
      <w:bodyDiv w:val="1"/>
      <w:marLeft w:val="0"/>
      <w:marRight w:val="0"/>
      <w:marTop w:val="0"/>
      <w:marBottom w:val="0"/>
      <w:divBdr>
        <w:top w:val="none" w:sz="0" w:space="0" w:color="auto"/>
        <w:left w:val="none" w:sz="0" w:space="0" w:color="auto"/>
        <w:bottom w:val="none" w:sz="0" w:space="0" w:color="auto"/>
        <w:right w:val="none" w:sz="0" w:space="0" w:color="auto"/>
      </w:divBdr>
    </w:div>
    <w:div w:id="123736817">
      <w:bodyDiv w:val="1"/>
      <w:marLeft w:val="0"/>
      <w:marRight w:val="0"/>
      <w:marTop w:val="0"/>
      <w:marBottom w:val="0"/>
      <w:divBdr>
        <w:top w:val="none" w:sz="0" w:space="0" w:color="auto"/>
        <w:left w:val="none" w:sz="0" w:space="0" w:color="auto"/>
        <w:bottom w:val="none" w:sz="0" w:space="0" w:color="auto"/>
        <w:right w:val="none" w:sz="0" w:space="0" w:color="auto"/>
      </w:divBdr>
    </w:div>
    <w:div w:id="124782256">
      <w:bodyDiv w:val="1"/>
      <w:marLeft w:val="0"/>
      <w:marRight w:val="0"/>
      <w:marTop w:val="0"/>
      <w:marBottom w:val="0"/>
      <w:divBdr>
        <w:top w:val="none" w:sz="0" w:space="0" w:color="auto"/>
        <w:left w:val="none" w:sz="0" w:space="0" w:color="auto"/>
        <w:bottom w:val="none" w:sz="0" w:space="0" w:color="auto"/>
        <w:right w:val="none" w:sz="0" w:space="0" w:color="auto"/>
      </w:divBdr>
    </w:div>
    <w:div w:id="126047363">
      <w:bodyDiv w:val="1"/>
      <w:marLeft w:val="0"/>
      <w:marRight w:val="0"/>
      <w:marTop w:val="0"/>
      <w:marBottom w:val="0"/>
      <w:divBdr>
        <w:top w:val="none" w:sz="0" w:space="0" w:color="auto"/>
        <w:left w:val="none" w:sz="0" w:space="0" w:color="auto"/>
        <w:bottom w:val="none" w:sz="0" w:space="0" w:color="auto"/>
        <w:right w:val="none" w:sz="0" w:space="0" w:color="auto"/>
      </w:divBdr>
    </w:div>
    <w:div w:id="126557867">
      <w:bodyDiv w:val="1"/>
      <w:marLeft w:val="0"/>
      <w:marRight w:val="0"/>
      <w:marTop w:val="0"/>
      <w:marBottom w:val="0"/>
      <w:divBdr>
        <w:top w:val="none" w:sz="0" w:space="0" w:color="auto"/>
        <w:left w:val="none" w:sz="0" w:space="0" w:color="auto"/>
        <w:bottom w:val="none" w:sz="0" w:space="0" w:color="auto"/>
        <w:right w:val="none" w:sz="0" w:space="0" w:color="auto"/>
      </w:divBdr>
    </w:div>
    <w:div w:id="126582125">
      <w:bodyDiv w:val="1"/>
      <w:marLeft w:val="0"/>
      <w:marRight w:val="0"/>
      <w:marTop w:val="0"/>
      <w:marBottom w:val="0"/>
      <w:divBdr>
        <w:top w:val="none" w:sz="0" w:space="0" w:color="auto"/>
        <w:left w:val="none" w:sz="0" w:space="0" w:color="auto"/>
        <w:bottom w:val="none" w:sz="0" w:space="0" w:color="auto"/>
        <w:right w:val="none" w:sz="0" w:space="0" w:color="auto"/>
      </w:divBdr>
    </w:div>
    <w:div w:id="127939810">
      <w:bodyDiv w:val="1"/>
      <w:marLeft w:val="0"/>
      <w:marRight w:val="0"/>
      <w:marTop w:val="0"/>
      <w:marBottom w:val="0"/>
      <w:divBdr>
        <w:top w:val="none" w:sz="0" w:space="0" w:color="auto"/>
        <w:left w:val="none" w:sz="0" w:space="0" w:color="auto"/>
        <w:bottom w:val="none" w:sz="0" w:space="0" w:color="auto"/>
        <w:right w:val="none" w:sz="0" w:space="0" w:color="auto"/>
      </w:divBdr>
    </w:div>
    <w:div w:id="128018474">
      <w:bodyDiv w:val="1"/>
      <w:marLeft w:val="0"/>
      <w:marRight w:val="0"/>
      <w:marTop w:val="0"/>
      <w:marBottom w:val="0"/>
      <w:divBdr>
        <w:top w:val="none" w:sz="0" w:space="0" w:color="auto"/>
        <w:left w:val="none" w:sz="0" w:space="0" w:color="auto"/>
        <w:bottom w:val="none" w:sz="0" w:space="0" w:color="auto"/>
        <w:right w:val="none" w:sz="0" w:space="0" w:color="auto"/>
      </w:divBdr>
    </w:div>
    <w:div w:id="128859552">
      <w:bodyDiv w:val="1"/>
      <w:marLeft w:val="0"/>
      <w:marRight w:val="0"/>
      <w:marTop w:val="0"/>
      <w:marBottom w:val="0"/>
      <w:divBdr>
        <w:top w:val="none" w:sz="0" w:space="0" w:color="auto"/>
        <w:left w:val="none" w:sz="0" w:space="0" w:color="auto"/>
        <w:bottom w:val="none" w:sz="0" w:space="0" w:color="auto"/>
        <w:right w:val="none" w:sz="0" w:space="0" w:color="auto"/>
      </w:divBdr>
    </w:div>
    <w:div w:id="129829883">
      <w:bodyDiv w:val="1"/>
      <w:marLeft w:val="0"/>
      <w:marRight w:val="0"/>
      <w:marTop w:val="0"/>
      <w:marBottom w:val="0"/>
      <w:divBdr>
        <w:top w:val="none" w:sz="0" w:space="0" w:color="auto"/>
        <w:left w:val="none" w:sz="0" w:space="0" w:color="auto"/>
        <w:bottom w:val="none" w:sz="0" w:space="0" w:color="auto"/>
        <w:right w:val="none" w:sz="0" w:space="0" w:color="auto"/>
      </w:divBdr>
    </w:div>
    <w:div w:id="130565083">
      <w:bodyDiv w:val="1"/>
      <w:marLeft w:val="0"/>
      <w:marRight w:val="0"/>
      <w:marTop w:val="0"/>
      <w:marBottom w:val="0"/>
      <w:divBdr>
        <w:top w:val="none" w:sz="0" w:space="0" w:color="auto"/>
        <w:left w:val="none" w:sz="0" w:space="0" w:color="auto"/>
        <w:bottom w:val="none" w:sz="0" w:space="0" w:color="auto"/>
        <w:right w:val="none" w:sz="0" w:space="0" w:color="auto"/>
      </w:divBdr>
    </w:div>
    <w:div w:id="132186959">
      <w:bodyDiv w:val="1"/>
      <w:marLeft w:val="0"/>
      <w:marRight w:val="0"/>
      <w:marTop w:val="0"/>
      <w:marBottom w:val="0"/>
      <w:divBdr>
        <w:top w:val="none" w:sz="0" w:space="0" w:color="auto"/>
        <w:left w:val="none" w:sz="0" w:space="0" w:color="auto"/>
        <w:bottom w:val="none" w:sz="0" w:space="0" w:color="auto"/>
        <w:right w:val="none" w:sz="0" w:space="0" w:color="auto"/>
      </w:divBdr>
    </w:div>
    <w:div w:id="132672723">
      <w:bodyDiv w:val="1"/>
      <w:marLeft w:val="0"/>
      <w:marRight w:val="0"/>
      <w:marTop w:val="0"/>
      <w:marBottom w:val="0"/>
      <w:divBdr>
        <w:top w:val="none" w:sz="0" w:space="0" w:color="auto"/>
        <w:left w:val="none" w:sz="0" w:space="0" w:color="auto"/>
        <w:bottom w:val="none" w:sz="0" w:space="0" w:color="auto"/>
        <w:right w:val="none" w:sz="0" w:space="0" w:color="auto"/>
      </w:divBdr>
    </w:div>
    <w:div w:id="133841775">
      <w:bodyDiv w:val="1"/>
      <w:marLeft w:val="0"/>
      <w:marRight w:val="0"/>
      <w:marTop w:val="0"/>
      <w:marBottom w:val="0"/>
      <w:divBdr>
        <w:top w:val="none" w:sz="0" w:space="0" w:color="auto"/>
        <w:left w:val="none" w:sz="0" w:space="0" w:color="auto"/>
        <w:bottom w:val="none" w:sz="0" w:space="0" w:color="auto"/>
        <w:right w:val="none" w:sz="0" w:space="0" w:color="auto"/>
      </w:divBdr>
    </w:div>
    <w:div w:id="133914827">
      <w:bodyDiv w:val="1"/>
      <w:marLeft w:val="0"/>
      <w:marRight w:val="0"/>
      <w:marTop w:val="0"/>
      <w:marBottom w:val="0"/>
      <w:divBdr>
        <w:top w:val="none" w:sz="0" w:space="0" w:color="auto"/>
        <w:left w:val="none" w:sz="0" w:space="0" w:color="auto"/>
        <w:bottom w:val="none" w:sz="0" w:space="0" w:color="auto"/>
        <w:right w:val="none" w:sz="0" w:space="0" w:color="auto"/>
      </w:divBdr>
    </w:div>
    <w:div w:id="134031817">
      <w:bodyDiv w:val="1"/>
      <w:marLeft w:val="0"/>
      <w:marRight w:val="0"/>
      <w:marTop w:val="0"/>
      <w:marBottom w:val="0"/>
      <w:divBdr>
        <w:top w:val="none" w:sz="0" w:space="0" w:color="auto"/>
        <w:left w:val="none" w:sz="0" w:space="0" w:color="auto"/>
        <w:bottom w:val="none" w:sz="0" w:space="0" w:color="auto"/>
        <w:right w:val="none" w:sz="0" w:space="0" w:color="auto"/>
      </w:divBdr>
    </w:div>
    <w:div w:id="135882893">
      <w:bodyDiv w:val="1"/>
      <w:marLeft w:val="0"/>
      <w:marRight w:val="0"/>
      <w:marTop w:val="0"/>
      <w:marBottom w:val="0"/>
      <w:divBdr>
        <w:top w:val="none" w:sz="0" w:space="0" w:color="auto"/>
        <w:left w:val="none" w:sz="0" w:space="0" w:color="auto"/>
        <w:bottom w:val="none" w:sz="0" w:space="0" w:color="auto"/>
        <w:right w:val="none" w:sz="0" w:space="0" w:color="auto"/>
      </w:divBdr>
    </w:div>
    <w:div w:id="136263985">
      <w:bodyDiv w:val="1"/>
      <w:marLeft w:val="0"/>
      <w:marRight w:val="0"/>
      <w:marTop w:val="0"/>
      <w:marBottom w:val="0"/>
      <w:divBdr>
        <w:top w:val="none" w:sz="0" w:space="0" w:color="auto"/>
        <w:left w:val="none" w:sz="0" w:space="0" w:color="auto"/>
        <w:bottom w:val="none" w:sz="0" w:space="0" w:color="auto"/>
        <w:right w:val="none" w:sz="0" w:space="0" w:color="auto"/>
      </w:divBdr>
    </w:div>
    <w:div w:id="136264655">
      <w:bodyDiv w:val="1"/>
      <w:marLeft w:val="0"/>
      <w:marRight w:val="0"/>
      <w:marTop w:val="0"/>
      <w:marBottom w:val="0"/>
      <w:divBdr>
        <w:top w:val="none" w:sz="0" w:space="0" w:color="auto"/>
        <w:left w:val="none" w:sz="0" w:space="0" w:color="auto"/>
        <w:bottom w:val="none" w:sz="0" w:space="0" w:color="auto"/>
        <w:right w:val="none" w:sz="0" w:space="0" w:color="auto"/>
      </w:divBdr>
    </w:div>
    <w:div w:id="136844500">
      <w:bodyDiv w:val="1"/>
      <w:marLeft w:val="0"/>
      <w:marRight w:val="0"/>
      <w:marTop w:val="0"/>
      <w:marBottom w:val="0"/>
      <w:divBdr>
        <w:top w:val="none" w:sz="0" w:space="0" w:color="auto"/>
        <w:left w:val="none" w:sz="0" w:space="0" w:color="auto"/>
        <w:bottom w:val="none" w:sz="0" w:space="0" w:color="auto"/>
        <w:right w:val="none" w:sz="0" w:space="0" w:color="auto"/>
      </w:divBdr>
    </w:div>
    <w:div w:id="138497830">
      <w:bodyDiv w:val="1"/>
      <w:marLeft w:val="0"/>
      <w:marRight w:val="0"/>
      <w:marTop w:val="0"/>
      <w:marBottom w:val="0"/>
      <w:divBdr>
        <w:top w:val="none" w:sz="0" w:space="0" w:color="auto"/>
        <w:left w:val="none" w:sz="0" w:space="0" w:color="auto"/>
        <w:bottom w:val="none" w:sz="0" w:space="0" w:color="auto"/>
        <w:right w:val="none" w:sz="0" w:space="0" w:color="auto"/>
      </w:divBdr>
    </w:div>
    <w:div w:id="139153030">
      <w:bodyDiv w:val="1"/>
      <w:marLeft w:val="0"/>
      <w:marRight w:val="0"/>
      <w:marTop w:val="0"/>
      <w:marBottom w:val="0"/>
      <w:divBdr>
        <w:top w:val="none" w:sz="0" w:space="0" w:color="auto"/>
        <w:left w:val="none" w:sz="0" w:space="0" w:color="auto"/>
        <w:bottom w:val="none" w:sz="0" w:space="0" w:color="auto"/>
        <w:right w:val="none" w:sz="0" w:space="0" w:color="auto"/>
      </w:divBdr>
    </w:div>
    <w:div w:id="140198631">
      <w:bodyDiv w:val="1"/>
      <w:marLeft w:val="0"/>
      <w:marRight w:val="0"/>
      <w:marTop w:val="0"/>
      <w:marBottom w:val="0"/>
      <w:divBdr>
        <w:top w:val="none" w:sz="0" w:space="0" w:color="auto"/>
        <w:left w:val="none" w:sz="0" w:space="0" w:color="auto"/>
        <w:bottom w:val="none" w:sz="0" w:space="0" w:color="auto"/>
        <w:right w:val="none" w:sz="0" w:space="0" w:color="auto"/>
      </w:divBdr>
    </w:div>
    <w:div w:id="140463504">
      <w:bodyDiv w:val="1"/>
      <w:marLeft w:val="0"/>
      <w:marRight w:val="0"/>
      <w:marTop w:val="0"/>
      <w:marBottom w:val="0"/>
      <w:divBdr>
        <w:top w:val="none" w:sz="0" w:space="0" w:color="auto"/>
        <w:left w:val="none" w:sz="0" w:space="0" w:color="auto"/>
        <w:bottom w:val="none" w:sz="0" w:space="0" w:color="auto"/>
        <w:right w:val="none" w:sz="0" w:space="0" w:color="auto"/>
      </w:divBdr>
    </w:div>
    <w:div w:id="140579976">
      <w:bodyDiv w:val="1"/>
      <w:marLeft w:val="0"/>
      <w:marRight w:val="0"/>
      <w:marTop w:val="0"/>
      <w:marBottom w:val="0"/>
      <w:divBdr>
        <w:top w:val="none" w:sz="0" w:space="0" w:color="auto"/>
        <w:left w:val="none" w:sz="0" w:space="0" w:color="auto"/>
        <w:bottom w:val="none" w:sz="0" w:space="0" w:color="auto"/>
        <w:right w:val="none" w:sz="0" w:space="0" w:color="auto"/>
      </w:divBdr>
    </w:div>
    <w:div w:id="141580436">
      <w:bodyDiv w:val="1"/>
      <w:marLeft w:val="0"/>
      <w:marRight w:val="0"/>
      <w:marTop w:val="0"/>
      <w:marBottom w:val="0"/>
      <w:divBdr>
        <w:top w:val="none" w:sz="0" w:space="0" w:color="auto"/>
        <w:left w:val="none" w:sz="0" w:space="0" w:color="auto"/>
        <w:bottom w:val="none" w:sz="0" w:space="0" w:color="auto"/>
        <w:right w:val="none" w:sz="0" w:space="0" w:color="auto"/>
      </w:divBdr>
    </w:div>
    <w:div w:id="141654904">
      <w:bodyDiv w:val="1"/>
      <w:marLeft w:val="0"/>
      <w:marRight w:val="0"/>
      <w:marTop w:val="0"/>
      <w:marBottom w:val="0"/>
      <w:divBdr>
        <w:top w:val="none" w:sz="0" w:space="0" w:color="auto"/>
        <w:left w:val="none" w:sz="0" w:space="0" w:color="auto"/>
        <w:bottom w:val="none" w:sz="0" w:space="0" w:color="auto"/>
        <w:right w:val="none" w:sz="0" w:space="0" w:color="auto"/>
      </w:divBdr>
    </w:div>
    <w:div w:id="142086011">
      <w:bodyDiv w:val="1"/>
      <w:marLeft w:val="0"/>
      <w:marRight w:val="0"/>
      <w:marTop w:val="0"/>
      <w:marBottom w:val="0"/>
      <w:divBdr>
        <w:top w:val="none" w:sz="0" w:space="0" w:color="auto"/>
        <w:left w:val="none" w:sz="0" w:space="0" w:color="auto"/>
        <w:bottom w:val="none" w:sz="0" w:space="0" w:color="auto"/>
        <w:right w:val="none" w:sz="0" w:space="0" w:color="auto"/>
      </w:divBdr>
    </w:div>
    <w:div w:id="142503474">
      <w:bodyDiv w:val="1"/>
      <w:marLeft w:val="0"/>
      <w:marRight w:val="0"/>
      <w:marTop w:val="0"/>
      <w:marBottom w:val="0"/>
      <w:divBdr>
        <w:top w:val="none" w:sz="0" w:space="0" w:color="auto"/>
        <w:left w:val="none" w:sz="0" w:space="0" w:color="auto"/>
        <w:bottom w:val="none" w:sz="0" w:space="0" w:color="auto"/>
        <w:right w:val="none" w:sz="0" w:space="0" w:color="auto"/>
      </w:divBdr>
    </w:div>
    <w:div w:id="144515961">
      <w:bodyDiv w:val="1"/>
      <w:marLeft w:val="0"/>
      <w:marRight w:val="0"/>
      <w:marTop w:val="0"/>
      <w:marBottom w:val="0"/>
      <w:divBdr>
        <w:top w:val="none" w:sz="0" w:space="0" w:color="auto"/>
        <w:left w:val="none" w:sz="0" w:space="0" w:color="auto"/>
        <w:bottom w:val="none" w:sz="0" w:space="0" w:color="auto"/>
        <w:right w:val="none" w:sz="0" w:space="0" w:color="auto"/>
      </w:divBdr>
    </w:div>
    <w:div w:id="144670658">
      <w:bodyDiv w:val="1"/>
      <w:marLeft w:val="0"/>
      <w:marRight w:val="0"/>
      <w:marTop w:val="0"/>
      <w:marBottom w:val="0"/>
      <w:divBdr>
        <w:top w:val="none" w:sz="0" w:space="0" w:color="auto"/>
        <w:left w:val="none" w:sz="0" w:space="0" w:color="auto"/>
        <w:bottom w:val="none" w:sz="0" w:space="0" w:color="auto"/>
        <w:right w:val="none" w:sz="0" w:space="0" w:color="auto"/>
      </w:divBdr>
    </w:div>
    <w:div w:id="146167251">
      <w:bodyDiv w:val="1"/>
      <w:marLeft w:val="0"/>
      <w:marRight w:val="0"/>
      <w:marTop w:val="0"/>
      <w:marBottom w:val="0"/>
      <w:divBdr>
        <w:top w:val="none" w:sz="0" w:space="0" w:color="auto"/>
        <w:left w:val="none" w:sz="0" w:space="0" w:color="auto"/>
        <w:bottom w:val="none" w:sz="0" w:space="0" w:color="auto"/>
        <w:right w:val="none" w:sz="0" w:space="0" w:color="auto"/>
      </w:divBdr>
    </w:div>
    <w:div w:id="146171029">
      <w:bodyDiv w:val="1"/>
      <w:marLeft w:val="0"/>
      <w:marRight w:val="0"/>
      <w:marTop w:val="0"/>
      <w:marBottom w:val="0"/>
      <w:divBdr>
        <w:top w:val="none" w:sz="0" w:space="0" w:color="auto"/>
        <w:left w:val="none" w:sz="0" w:space="0" w:color="auto"/>
        <w:bottom w:val="none" w:sz="0" w:space="0" w:color="auto"/>
        <w:right w:val="none" w:sz="0" w:space="0" w:color="auto"/>
      </w:divBdr>
    </w:div>
    <w:div w:id="147790252">
      <w:bodyDiv w:val="1"/>
      <w:marLeft w:val="0"/>
      <w:marRight w:val="0"/>
      <w:marTop w:val="0"/>
      <w:marBottom w:val="0"/>
      <w:divBdr>
        <w:top w:val="none" w:sz="0" w:space="0" w:color="auto"/>
        <w:left w:val="none" w:sz="0" w:space="0" w:color="auto"/>
        <w:bottom w:val="none" w:sz="0" w:space="0" w:color="auto"/>
        <w:right w:val="none" w:sz="0" w:space="0" w:color="auto"/>
      </w:divBdr>
    </w:div>
    <w:div w:id="147980416">
      <w:bodyDiv w:val="1"/>
      <w:marLeft w:val="0"/>
      <w:marRight w:val="0"/>
      <w:marTop w:val="0"/>
      <w:marBottom w:val="0"/>
      <w:divBdr>
        <w:top w:val="none" w:sz="0" w:space="0" w:color="auto"/>
        <w:left w:val="none" w:sz="0" w:space="0" w:color="auto"/>
        <w:bottom w:val="none" w:sz="0" w:space="0" w:color="auto"/>
        <w:right w:val="none" w:sz="0" w:space="0" w:color="auto"/>
      </w:divBdr>
    </w:div>
    <w:div w:id="148712542">
      <w:bodyDiv w:val="1"/>
      <w:marLeft w:val="0"/>
      <w:marRight w:val="0"/>
      <w:marTop w:val="0"/>
      <w:marBottom w:val="0"/>
      <w:divBdr>
        <w:top w:val="none" w:sz="0" w:space="0" w:color="auto"/>
        <w:left w:val="none" w:sz="0" w:space="0" w:color="auto"/>
        <w:bottom w:val="none" w:sz="0" w:space="0" w:color="auto"/>
        <w:right w:val="none" w:sz="0" w:space="0" w:color="auto"/>
      </w:divBdr>
    </w:div>
    <w:div w:id="148984147">
      <w:bodyDiv w:val="1"/>
      <w:marLeft w:val="0"/>
      <w:marRight w:val="0"/>
      <w:marTop w:val="0"/>
      <w:marBottom w:val="0"/>
      <w:divBdr>
        <w:top w:val="none" w:sz="0" w:space="0" w:color="auto"/>
        <w:left w:val="none" w:sz="0" w:space="0" w:color="auto"/>
        <w:bottom w:val="none" w:sz="0" w:space="0" w:color="auto"/>
        <w:right w:val="none" w:sz="0" w:space="0" w:color="auto"/>
      </w:divBdr>
    </w:div>
    <w:div w:id="149634776">
      <w:bodyDiv w:val="1"/>
      <w:marLeft w:val="0"/>
      <w:marRight w:val="0"/>
      <w:marTop w:val="0"/>
      <w:marBottom w:val="0"/>
      <w:divBdr>
        <w:top w:val="none" w:sz="0" w:space="0" w:color="auto"/>
        <w:left w:val="none" w:sz="0" w:space="0" w:color="auto"/>
        <w:bottom w:val="none" w:sz="0" w:space="0" w:color="auto"/>
        <w:right w:val="none" w:sz="0" w:space="0" w:color="auto"/>
      </w:divBdr>
    </w:div>
    <w:div w:id="149642934">
      <w:bodyDiv w:val="1"/>
      <w:marLeft w:val="0"/>
      <w:marRight w:val="0"/>
      <w:marTop w:val="0"/>
      <w:marBottom w:val="0"/>
      <w:divBdr>
        <w:top w:val="none" w:sz="0" w:space="0" w:color="auto"/>
        <w:left w:val="none" w:sz="0" w:space="0" w:color="auto"/>
        <w:bottom w:val="none" w:sz="0" w:space="0" w:color="auto"/>
        <w:right w:val="none" w:sz="0" w:space="0" w:color="auto"/>
      </w:divBdr>
    </w:div>
    <w:div w:id="150485435">
      <w:bodyDiv w:val="1"/>
      <w:marLeft w:val="0"/>
      <w:marRight w:val="0"/>
      <w:marTop w:val="0"/>
      <w:marBottom w:val="0"/>
      <w:divBdr>
        <w:top w:val="none" w:sz="0" w:space="0" w:color="auto"/>
        <w:left w:val="none" w:sz="0" w:space="0" w:color="auto"/>
        <w:bottom w:val="none" w:sz="0" w:space="0" w:color="auto"/>
        <w:right w:val="none" w:sz="0" w:space="0" w:color="auto"/>
      </w:divBdr>
    </w:div>
    <w:div w:id="150606971">
      <w:bodyDiv w:val="1"/>
      <w:marLeft w:val="0"/>
      <w:marRight w:val="0"/>
      <w:marTop w:val="0"/>
      <w:marBottom w:val="0"/>
      <w:divBdr>
        <w:top w:val="none" w:sz="0" w:space="0" w:color="auto"/>
        <w:left w:val="none" w:sz="0" w:space="0" w:color="auto"/>
        <w:bottom w:val="none" w:sz="0" w:space="0" w:color="auto"/>
        <w:right w:val="none" w:sz="0" w:space="0" w:color="auto"/>
      </w:divBdr>
    </w:div>
    <w:div w:id="150800011">
      <w:bodyDiv w:val="1"/>
      <w:marLeft w:val="0"/>
      <w:marRight w:val="0"/>
      <w:marTop w:val="0"/>
      <w:marBottom w:val="0"/>
      <w:divBdr>
        <w:top w:val="none" w:sz="0" w:space="0" w:color="auto"/>
        <w:left w:val="none" w:sz="0" w:space="0" w:color="auto"/>
        <w:bottom w:val="none" w:sz="0" w:space="0" w:color="auto"/>
        <w:right w:val="none" w:sz="0" w:space="0" w:color="auto"/>
      </w:divBdr>
    </w:div>
    <w:div w:id="150872697">
      <w:bodyDiv w:val="1"/>
      <w:marLeft w:val="0"/>
      <w:marRight w:val="0"/>
      <w:marTop w:val="0"/>
      <w:marBottom w:val="0"/>
      <w:divBdr>
        <w:top w:val="none" w:sz="0" w:space="0" w:color="auto"/>
        <w:left w:val="none" w:sz="0" w:space="0" w:color="auto"/>
        <w:bottom w:val="none" w:sz="0" w:space="0" w:color="auto"/>
        <w:right w:val="none" w:sz="0" w:space="0" w:color="auto"/>
      </w:divBdr>
    </w:div>
    <w:div w:id="152796948">
      <w:bodyDiv w:val="1"/>
      <w:marLeft w:val="0"/>
      <w:marRight w:val="0"/>
      <w:marTop w:val="0"/>
      <w:marBottom w:val="0"/>
      <w:divBdr>
        <w:top w:val="none" w:sz="0" w:space="0" w:color="auto"/>
        <w:left w:val="none" w:sz="0" w:space="0" w:color="auto"/>
        <w:bottom w:val="none" w:sz="0" w:space="0" w:color="auto"/>
        <w:right w:val="none" w:sz="0" w:space="0" w:color="auto"/>
      </w:divBdr>
    </w:div>
    <w:div w:id="153229760">
      <w:bodyDiv w:val="1"/>
      <w:marLeft w:val="0"/>
      <w:marRight w:val="0"/>
      <w:marTop w:val="0"/>
      <w:marBottom w:val="0"/>
      <w:divBdr>
        <w:top w:val="none" w:sz="0" w:space="0" w:color="auto"/>
        <w:left w:val="none" w:sz="0" w:space="0" w:color="auto"/>
        <w:bottom w:val="none" w:sz="0" w:space="0" w:color="auto"/>
        <w:right w:val="none" w:sz="0" w:space="0" w:color="auto"/>
      </w:divBdr>
    </w:div>
    <w:div w:id="154883740">
      <w:bodyDiv w:val="1"/>
      <w:marLeft w:val="0"/>
      <w:marRight w:val="0"/>
      <w:marTop w:val="0"/>
      <w:marBottom w:val="0"/>
      <w:divBdr>
        <w:top w:val="none" w:sz="0" w:space="0" w:color="auto"/>
        <w:left w:val="none" w:sz="0" w:space="0" w:color="auto"/>
        <w:bottom w:val="none" w:sz="0" w:space="0" w:color="auto"/>
        <w:right w:val="none" w:sz="0" w:space="0" w:color="auto"/>
      </w:divBdr>
    </w:div>
    <w:div w:id="155149401">
      <w:bodyDiv w:val="1"/>
      <w:marLeft w:val="0"/>
      <w:marRight w:val="0"/>
      <w:marTop w:val="0"/>
      <w:marBottom w:val="0"/>
      <w:divBdr>
        <w:top w:val="none" w:sz="0" w:space="0" w:color="auto"/>
        <w:left w:val="none" w:sz="0" w:space="0" w:color="auto"/>
        <w:bottom w:val="none" w:sz="0" w:space="0" w:color="auto"/>
        <w:right w:val="none" w:sz="0" w:space="0" w:color="auto"/>
      </w:divBdr>
    </w:div>
    <w:div w:id="155192744">
      <w:bodyDiv w:val="1"/>
      <w:marLeft w:val="0"/>
      <w:marRight w:val="0"/>
      <w:marTop w:val="0"/>
      <w:marBottom w:val="0"/>
      <w:divBdr>
        <w:top w:val="none" w:sz="0" w:space="0" w:color="auto"/>
        <w:left w:val="none" w:sz="0" w:space="0" w:color="auto"/>
        <w:bottom w:val="none" w:sz="0" w:space="0" w:color="auto"/>
        <w:right w:val="none" w:sz="0" w:space="0" w:color="auto"/>
      </w:divBdr>
    </w:div>
    <w:div w:id="155730623">
      <w:bodyDiv w:val="1"/>
      <w:marLeft w:val="0"/>
      <w:marRight w:val="0"/>
      <w:marTop w:val="0"/>
      <w:marBottom w:val="0"/>
      <w:divBdr>
        <w:top w:val="none" w:sz="0" w:space="0" w:color="auto"/>
        <w:left w:val="none" w:sz="0" w:space="0" w:color="auto"/>
        <w:bottom w:val="none" w:sz="0" w:space="0" w:color="auto"/>
        <w:right w:val="none" w:sz="0" w:space="0" w:color="auto"/>
      </w:divBdr>
    </w:div>
    <w:div w:id="157383621">
      <w:bodyDiv w:val="1"/>
      <w:marLeft w:val="0"/>
      <w:marRight w:val="0"/>
      <w:marTop w:val="0"/>
      <w:marBottom w:val="0"/>
      <w:divBdr>
        <w:top w:val="none" w:sz="0" w:space="0" w:color="auto"/>
        <w:left w:val="none" w:sz="0" w:space="0" w:color="auto"/>
        <w:bottom w:val="none" w:sz="0" w:space="0" w:color="auto"/>
        <w:right w:val="none" w:sz="0" w:space="0" w:color="auto"/>
      </w:divBdr>
    </w:div>
    <w:div w:id="158810892">
      <w:bodyDiv w:val="1"/>
      <w:marLeft w:val="0"/>
      <w:marRight w:val="0"/>
      <w:marTop w:val="0"/>
      <w:marBottom w:val="0"/>
      <w:divBdr>
        <w:top w:val="none" w:sz="0" w:space="0" w:color="auto"/>
        <w:left w:val="none" w:sz="0" w:space="0" w:color="auto"/>
        <w:bottom w:val="none" w:sz="0" w:space="0" w:color="auto"/>
        <w:right w:val="none" w:sz="0" w:space="0" w:color="auto"/>
      </w:divBdr>
    </w:div>
    <w:div w:id="160194962">
      <w:bodyDiv w:val="1"/>
      <w:marLeft w:val="0"/>
      <w:marRight w:val="0"/>
      <w:marTop w:val="0"/>
      <w:marBottom w:val="0"/>
      <w:divBdr>
        <w:top w:val="none" w:sz="0" w:space="0" w:color="auto"/>
        <w:left w:val="none" w:sz="0" w:space="0" w:color="auto"/>
        <w:bottom w:val="none" w:sz="0" w:space="0" w:color="auto"/>
        <w:right w:val="none" w:sz="0" w:space="0" w:color="auto"/>
      </w:divBdr>
    </w:div>
    <w:div w:id="163513715">
      <w:bodyDiv w:val="1"/>
      <w:marLeft w:val="0"/>
      <w:marRight w:val="0"/>
      <w:marTop w:val="0"/>
      <w:marBottom w:val="0"/>
      <w:divBdr>
        <w:top w:val="none" w:sz="0" w:space="0" w:color="auto"/>
        <w:left w:val="none" w:sz="0" w:space="0" w:color="auto"/>
        <w:bottom w:val="none" w:sz="0" w:space="0" w:color="auto"/>
        <w:right w:val="none" w:sz="0" w:space="0" w:color="auto"/>
      </w:divBdr>
    </w:div>
    <w:div w:id="164326526">
      <w:bodyDiv w:val="1"/>
      <w:marLeft w:val="0"/>
      <w:marRight w:val="0"/>
      <w:marTop w:val="0"/>
      <w:marBottom w:val="0"/>
      <w:divBdr>
        <w:top w:val="none" w:sz="0" w:space="0" w:color="auto"/>
        <w:left w:val="none" w:sz="0" w:space="0" w:color="auto"/>
        <w:bottom w:val="none" w:sz="0" w:space="0" w:color="auto"/>
        <w:right w:val="none" w:sz="0" w:space="0" w:color="auto"/>
      </w:divBdr>
    </w:div>
    <w:div w:id="165287052">
      <w:bodyDiv w:val="1"/>
      <w:marLeft w:val="0"/>
      <w:marRight w:val="0"/>
      <w:marTop w:val="0"/>
      <w:marBottom w:val="0"/>
      <w:divBdr>
        <w:top w:val="none" w:sz="0" w:space="0" w:color="auto"/>
        <w:left w:val="none" w:sz="0" w:space="0" w:color="auto"/>
        <w:bottom w:val="none" w:sz="0" w:space="0" w:color="auto"/>
        <w:right w:val="none" w:sz="0" w:space="0" w:color="auto"/>
      </w:divBdr>
    </w:div>
    <w:div w:id="165554961">
      <w:bodyDiv w:val="1"/>
      <w:marLeft w:val="0"/>
      <w:marRight w:val="0"/>
      <w:marTop w:val="0"/>
      <w:marBottom w:val="0"/>
      <w:divBdr>
        <w:top w:val="none" w:sz="0" w:space="0" w:color="auto"/>
        <w:left w:val="none" w:sz="0" w:space="0" w:color="auto"/>
        <w:bottom w:val="none" w:sz="0" w:space="0" w:color="auto"/>
        <w:right w:val="none" w:sz="0" w:space="0" w:color="auto"/>
      </w:divBdr>
    </w:div>
    <w:div w:id="165707040">
      <w:bodyDiv w:val="1"/>
      <w:marLeft w:val="0"/>
      <w:marRight w:val="0"/>
      <w:marTop w:val="0"/>
      <w:marBottom w:val="0"/>
      <w:divBdr>
        <w:top w:val="none" w:sz="0" w:space="0" w:color="auto"/>
        <w:left w:val="none" w:sz="0" w:space="0" w:color="auto"/>
        <w:bottom w:val="none" w:sz="0" w:space="0" w:color="auto"/>
        <w:right w:val="none" w:sz="0" w:space="0" w:color="auto"/>
      </w:divBdr>
    </w:div>
    <w:div w:id="165751270">
      <w:bodyDiv w:val="1"/>
      <w:marLeft w:val="0"/>
      <w:marRight w:val="0"/>
      <w:marTop w:val="0"/>
      <w:marBottom w:val="0"/>
      <w:divBdr>
        <w:top w:val="none" w:sz="0" w:space="0" w:color="auto"/>
        <w:left w:val="none" w:sz="0" w:space="0" w:color="auto"/>
        <w:bottom w:val="none" w:sz="0" w:space="0" w:color="auto"/>
        <w:right w:val="none" w:sz="0" w:space="0" w:color="auto"/>
      </w:divBdr>
    </w:div>
    <w:div w:id="167404833">
      <w:bodyDiv w:val="1"/>
      <w:marLeft w:val="0"/>
      <w:marRight w:val="0"/>
      <w:marTop w:val="0"/>
      <w:marBottom w:val="0"/>
      <w:divBdr>
        <w:top w:val="none" w:sz="0" w:space="0" w:color="auto"/>
        <w:left w:val="none" w:sz="0" w:space="0" w:color="auto"/>
        <w:bottom w:val="none" w:sz="0" w:space="0" w:color="auto"/>
        <w:right w:val="none" w:sz="0" w:space="0" w:color="auto"/>
      </w:divBdr>
    </w:div>
    <w:div w:id="167447094">
      <w:bodyDiv w:val="1"/>
      <w:marLeft w:val="0"/>
      <w:marRight w:val="0"/>
      <w:marTop w:val="0"/>
      <w:marBottom w:val="0"/>
      <w:divBdr>
        <w:top w:val="none" w:sz="0" w:space="0" w:color="auto"/>
        <w:left w:val="none" w:sz="0" w:space="0" w:color="auto"/>
        <w:bottom w:val="none" w:sz="0" w:space="0" w:color="auto"/>
        <w:right w:val="none" w:sz="0" w:space="0" w:color="auto"/>
      </w:divBdr>
    </w:div>
    <w:div w:id="168375644">
      <w:bodyDiv w:val="1"/>
      <w:marLeft w:val="0"/>
      <w:marRight w:val="0"/>
      <w:marTop w:val="0"/>
      <w:marBottom w:val="0"/>
      <w:divBdr>
        <w:top w:val="none" w:sz="0" w:space="0" w:color="auto"/>
        <w:left w:val="none" w:sz="0" w:space="0" w:color="auto"/>
        <w:bottom w:val="none" w:sz="0" w:space="0" w:color="auto"/>
        <w:right w:val="none" w:sz="0" w:space="0" w:color="auto"/>
      </w:divBdr>
    </w:div>
    <w:div w:id="169177063">
      <w:bodyDiv w:val="1"/>
      <w:marLeft w:val="0"/>
      <w:marRight w:val="0"/>
      <w:marTop w:val="0"/>
      <w:marBottom w:val="0"/>
      <w:divBdr>
        <w:top w:val="none" w:sz="0" w:space="0" w:color="auto"/>
        <w:left w:val="none" w:sz="0" w:space="0" w:color="auto"/>
        <w:bottom w:val="none" w:sz="0" w:space="0" w:color="auto"/>
        <w:right w:val="none" w:sz="0" w:space="0" w:color="auto"/>
      </w:divBdr>
    </w:div>
    <w:div w:id="169180433">
      <w:bodyDiv w:val="1"/>
      <w:marLeft w:val="0"/>
      <w:marRight w:val="0"/>
      <w:marTop w:val="0"/>
      <w:marBottom w:val="0"/>
      <w:divBdr>
        <w:top w:val="none" w:sz="0" w:space="0" w:color="auto"/>
        <w:left w:val="none" w:sz="0" w:space="0" w:color="auto"/>
        <w:bottom w:val="none" w:sz="0" w:space="0" w:color="auto"/>
        <w:right w:val="none" w:sz="0" w:space="0" w:color="auto"/>
      </w:divBdr>
    </w:div>
    <w:div w:id="170027004">
      <w:bodyDiv w:val="1"/>
      <w:marLeft w:val="0"/>
      <w:marRight w:val="0"/>
      <w:marTop w:val="0"/>
      <w:marBottom w:val="0"/>
      <w:divBdr>
        <w:top w:val="none" w:sz="0" w:space="0" w:color="auto"/>
        <w:left w:val="none" w:sz="0" w:space="0" w:color="auto"/>
        <w:bottom w:val="none" w:sz="0" w:space="0" w:color="auto"/>
        <w:right w:val="none" w:sz="0" w:space="0" w:color="auto"/>
      </w:divBdr>
    </w:div>
    <w:div w:id="170072327">
      <w:bodyDiv w:val="1"/>
      <w:marLeft w:val="0"/>
      <w:marRight w:val="0"/>
      <w:marTop w:val="0"/>
      <w:marBottom w:val="0"/>
      <w:divBdr>
        <w:top w:val="none" w:sz="0" w:space="0" w:color="auto"/>
        <w:left w:val="none" w:sz="0" w:space="0" w:color="auto"/>
        <w:bottom w:val="none" w:sz="0" w:space="0" w:color="auto"/>
        <w:right w:val="none" w:sz="0" w:space="0" w:color="auto"/>
      </w:divBdr>
    </w:div>
    <w:div w:id="171579103">
      <w:bodyDiv w:val="1"/>
      <w:marLeft w:val="0"/>
      <w:marRight w:val="0"/>
      <w:marTop w:val="0"/>
      <w:marBottom w:val="0"/>
      <w:divBdr>
        <w:top w:val="none" w:sz="0" w:space="0" w:color="auto"/>
        <w:left w:val="none" w:sz="0" w:space="0" w:color="auto"/>
        <w:bottom w:val="none" w:sz="0" w:space="0" w:color="auto"/>
        <w:right w:val="none" w:sz="0" w:space="0" w:color="auto"/>
      </w:divBdr>
    </w:div>
    <w:div w:id="171846338">
      <w:bodyDiv w:val="1"/>
      <w:marLeft w:val="0"/>
      <w:marRight w:val="0"/>
      <w:marTop w:val="0"/>
      <w:marBottom w:val="0"/>
      <w:divBdr>
        <w:top w:val="none" w:sz="0" w:space="0" w:color="auto"/>
        <w:left w:val="none" w:sz="0" w:space="0" w:color="auto"/>
        <w:bottom w:val="none" w:sz="0" w:space="0" w:color="auto"/>
        <w:right w:val="none" w:sz="0" w:space="0" w:color="auto"/>
      </w:divBdr>
    </w:div>
    <w:div w:id="171997333">
      <w:bodyDiv w:val="1"/>
      <w:marLeft w:val="0"/>
      <w:marRight w:val="0"/>
      <w:marTop w:val="0"/>
      <w:marBottom w:val="0"/>
      <w:divBdr>
        <w:top w:val="none" w:sz="0" w:space="0" w:color="auto"/>
        <w:left w:val="none" w:sz="0" w:space="0" w:color="auto"/>
        <w:bottom w:val="none" w:sz="0" w:space="0" w:color="auto"/>
        <w:right w:val="none" w:sz="0" w:space="0" w:color="auto"/>
      </w:divBdr>
    </w:div>
    <w:div w:id="172190380">
      <w:bodyDiv w:val="1"/>
      <w:marLeft w:val="0"/>
      <w:marRight w:val="0"/>
      <w:marTop w:val="0"/>
      <w:marBottom w:val="0"/>
      <w:divBdr>
        <w:top w:val="none" w:sz="0" w:space="0" w:color="auto"/>
        <w:left w:val="none" w:sz="0" w:space="0" w:color="auto"/>
        <w:bottom w:val="none" w:sz="0" w:space="0" w:color="auto"/>
        <w:right w:val="none" w:sz="0" w:space="0" w:color="auto"/>
      </w:divBdr>
    </w:div>
    <w:div w:id="172229584">
      <w:bodyDiv w:val="1"/>
      <w:marLeft w:val="0"/>
      <w:marRight w:val="0"/>
      <w:marTop w:val="0"/>
      <w:marBottom w:val="0"/>
      <w:divBdr>
        <w:top w:val="none" w:sz="0" w:space="0" w:color="auto"/>
        <w:left w:val="none" w:sz="0" w:space="0" w:color="auto"/>
        <w:bottom w:val="none" w:sz="0" w:space="0" w:color="auto"/>
        <w:right w:val="none" w:sz="0" w:space="0" w:color="auto"/>
      </w:divBdr>
    </w:div>
    <w:div w:id="172651402">
      <w:bodyDiv w:val="1"/>
      <w:marLeft w:val="0"/>
      <w:marRight w:val="0"/>
      <w:marTop w:val="0"/>
      <w:marBottom w:val="0"/>
      <w:divBdr>
        <w:top w:val="none" w:sz="0" w:space="0" w:color="auto"/>
        <w:left w:val="none" w:sz="0" w:space="0" w:color="auto"/>
        <w:bottom w:val="none" w:sz="0" w:space="0" w:color="auto"/>
        <w:right w:val="none" w:sz="0" w:space="0" w:color="auto"/>
      </w:divBdr>
    </w:div>
    <w:div w:id="173300256">
      <w:bodyDiv w:val="1"/>
      <w:marLeft w:val="0"/>
      <w:marRight w:val="0"/>
      <w:marTop w:val="0"/>
      <w:marBottom w:val="0"/>
      <w:divBdr>
        <w:top w:val="none" w:sz="0" w:space="0" w:color="auto"/>
        <w:left w:val="none" w:sz="0" w:space="0" w:color="auto"/>
        <w:bottom w:val="none" w:sz="0" w:space="0" w:color="auto"/>
        <w:right w:val="none" w:sz="0" w:space="0" w:color="auto"/>
      </w:divBdr>
    </w:div>
    <w:div w:id="173306794">
      <w:bodyDiv w:val="1"/>
      <w:marLeft w:val="0"/>
      <w:marRight w:val="0"/>
      <w:marTop w:val="0"/>
      <w:marBottom w:val="0"/>
      <w:divBdr>
        <w:top w:val="none" w:sz="0" w:space="0" w:color="auto"/>
        <w:left w:val="none" w:sz="0" w:space="0" w:color="auto"/>
        <w:bottom w:val="none" w:sz="0" w:space="0" w:color="auto"/>
        <w:right w:val="none" w:sz="0" w:space="0" w:color="auto"/>
      </w:divBdr>
    </w:div>
    <w:div w:id="173885191">
      <w:bodyDiv w:val="1"/>
      <w:marLeft w:val="0"/>
      <w:marRight w:val="0"/>
      <w:marTop w:val="0"/>
      <w:marBottom w:val="0"/>
      <w:divBdr>
        <w:top w:val="none" w:sz="0" w:space="0" w:color="auto"/>
        <w:left w:val="none" w:sz="0" w:space="0" w:color="auto"/>
        <w:bottom w:val="none" w:sz="0" w:space="0" w:color="auto"/>
        <w:right w:val="none" w:sz="0" w:space="0" w:color="auto"/>
      </w:divBdr>
    </w:div>
    <w:div w:id="174002502">
      <w:bodyDiv w:val="1"/>
      <w:marLeft w:val="0"/>
      <w:marRight w:val="0"/>
      <w:marTop w:val="0"/>
      <w:marBottom w:val="0"/>
      <w:divBdr>
        <w:top w:val="none" w:sz="0" w:space="0" w:color="auto"/>
        <w:left w:val="none" w:sz="0" w:space="0" w:color="auto"/>
        <w:bottom w:val="none" w:sz="0" w:space="0" w:color="auto"/>
        <w:right w:val="none" w:sz="0" w:space="0" w:color="auto"/>
      </w:divBdr>
    </w:div>
    <w:div w:id="177739761">
      <w:bodyDiv w:val="1"/>
      <w:marLeft w:val="0"/>
      <w:marRight w:val="0"/>
      <w:marTop w:val="0"/>
      <w:marBottom w:val="0"/>
      <w:divBdr>
        <w:top w:val="none" w:sz="0" w:space="0" w:color="auto"/>
        <w:left w:val="none" w:sz="0" w:space="0" w:color="auto"/>
        <w:bottom w:val="none" w:sz="0" w:space="0" w:color="auto"/>
        <w:right w:val="none" w:sz="0" w:space="0" w:color="auto"/>
      </w:divBdr>
    </w:div>
    <w:div w:id="178201720">
      <w:bodyDiv w:val="1"/>
      <w:marLeft w:val="0"/>
      <w:marRight w:val="0"/>
      <w:marTop w:val="0"/>
      <w:marBottom w:val="0"/>
      <w:divBdr>
        <w:top w:val="none" w:sz="0" w:space="0" w:color="auto"/>
        <w:left w:val="none" w:sz="0" w:space="0" w:color="auto"/>
        <w:bottom w:val="none" w:sz="0" w:space="0" w:color="auto"/>
        <w:right w:val="none" w:sz="0" w:space="0" w:color="auto"/>
      </w:divBdr>
    </w:div>
    <w:div w:id="178740386">
      <w:bodyDiv w:val="1"/>
      <w:marLeft w:val="0"/>
      <w:marRight w:val="0"/>
      <w:marTop w:val="0"/>
      <w:marBottom w:val="0"/>
      <w:divBdr>
        <w:top w:val="none" w:sz="0" w:space="0" w:color="auto"/>
        <w:left w:val="none" w:sz="0" w:space="0" w:color="auto"/>
        <w:bottom w:val="none" w:sz="0" w:space="0" w:color="auto"/>
        <w:right w:val="none" w:sz="0" w:space="0" w:color="auto"/>
      </w:divBdr>
    </w:div>
    <w:div w:id="179320247">
      <w:bodyDiv w:val="1"/>
      <w:marLeft w:val="0"/>
      <w:marRight w:val="0"/>
      <w:marTop w:val="0"/>
      <w:marBottom w:val="0"/>
      <w:divBdr>
        <w:top w:val="none" w:sz="0" w:space="0" w:color="auto"/>
        <w:left w:val="none" w:sz="0" w:space="0" w:color="auto"/>
        <w:bottom w:val="none" w:sz="0" w:space="0" w:color="auto"/>
        <w:right w:val="none" w:sz="0" w:space="0" w:color="auto"/>
      </w:divBdr>
    </w:div>
    <w:div w:id="180436638">
      <w:bodyDiv w:val="1"/>
      <w:marLeft w:val="0"/>
      <w:marRight w:val="0"/>
      <w:marTop w:val="0"/>
      <w:marBottom w:val="0"/>
      <w:divBdr>
        <w:top w:val="none" w:sz="0" w:space="0" w:color="auto"/>
        <w:left w:val="none" w:sz="0" w:space="0" w:color="auto"/>
        <w:bottom w:val="none" w:sz="0" w:space="0" w:color="auto"/>
        <w:right w:val="none" w:sz="0" w:space="0" w:color="auto"/>
      </w:divBdr>
    </w:div>
    <w:div w:id="182592984">
      <w:bodyDiv w:val="1"/>
      <w:marLeft w:val="0"/>
      <w:marRight w:val="0"/>
      <w:marTop w:val="0"/>
      <w:marBottom w:val="0"/>
      <w:divBdr>
        <w:top w:val="none" w:sz="0" w:space="0" w:color="auto"/>
        <w:left w:val="none" w:sz="0" w:space="0" w:color="auto"/>
        <w:bottom w:val="none" w:sz="0" w:space="0" w:color="auto"/>
        <w:right w:val="none" w:sz="0" w:space="0" w:color="auto"/>
      </w:divBdr>
    </w:div>
    <w:div w:id="183327474">
      <w:bodyDiv w:val="1"/>
      <w:marLeft w:val="0"/>
      <w:marRight w:val="0"/>
      <w:marTop w:val="0"/>
      <w:marBottom w:val="0"/>
      <w:divBdr>
        <w:top w:val="none" w:sz="0" w:space="0" w:color="auto"/>
        <w:left w:val="none" w:sz="0" w:space="0" w:color="auto"/>
        <w:bottom w:val="none" w:sz="0" w:space="0" w:color="auto"/>
        <w:right w:val="none" w:sz="0" w:space="0" w:color="auto"/>
      </w:divBdr>
    </w:div>
    <w:div w:id="183904514">
      <w:bodyDiv w:val="1"/>
      <w:marLeft w:val="0"/>
      <w:marRight w:val="0"/>
      <w:marTop w:val="0"/>
      <w:marBottom w:val="0"/>
      <w:divBdr>
        <w:top w:val="none" w:sz="0" w:space="0" w:color="auto"/>
        <w:left w:val="none" w:sz="0" w:space="0" w:color="auto"/>
        <w:bottom w:val="none" w:sz="0" w:space="0" w:color="auto"/>
        <w:right w:val="none" w:sz="0" w:space="0" w:color="auto"/>
      </w:divBdr>
    </w:div>
    <w:div w:id="184948970">
      <w:bodyDiv w:val="1"/>
      <w:marLeft w:val="0"/>
      <w:marRight w:val="0"/>
      <w:marTop w:val="0"/>
      <w:marBottom w:val="0"/>
      <w:divBdr>
        <w:top w:val="none" w:sz="0" w:space="0" w:color="auto"/>
        <w:left w:val="none" w:sz="0" w:space="0" w:color="auto"/>
        <w:bottom w:val="none" w:sz="0" w:space="0" w:color="auto"/>
        <w:right w:val="none" w:sz="0" w:space="0" w:color="auto"/>
      </w:divBdr>
    </w:div>
    <w:div w:id="185758888">
      <w:bodyDiv w:val="1"/>
      <w:marLeft w:val="0"/>
      <w:marRight w:val="0"/>
      <w:marTop w:val="0"/>
      <w:marBottom w:val="0"/>
      <w:divBdr>
        <w:top w:val="none" w:sz="0" w:space="0" w:color="auto"/>
        <w:left w:val="none" w:sz="0" w:space="0" w:color="auto"/>
        <w:bottom w:val="none" w:sz="0" w:space="0" w:color="auto"/>
        <w:right w:val="none" w:sz="0" w:space="0" w:color="auto"/>
      </w:divBdr>
    </w:div>
    <w:div w:id="186600524">
      <w:bodyDiv w:val="1"/>
      <w:marLeft w:val="0"/>
      <w:marRight w:val="0"/>
      <w:marTop w:val="0"/>
      <w:marBottom w:val="0"/>
      <w:divBdr>
        <w:top w:val="none" w:sz="0" w:space="0" w:color="auto"/>
        <w:left w:val="none" w:sz="0" w:space="0" w:color="auto"/>
        <w:bottom w:val="none" w:sz="0" w:space="0" w:color="auto"/>
        <w:right w:val="none" w:sz="0" w:space="0" w:color="auto"/>
      </w:divBdr>
    </w:div>
    <w:div w:id="186993250">
      <w:bodyDiv w:val="1"/>
      <w:marLeft w:val="0"/>
      <w:marRight w:val="0"/>
      <w:marTop w:val="0"/>
      <w:marBottom w:val="0"/>
      <w:divBdr>
        <w:top w:val="none" w:sz="0" w:space="0" w:color="auto"/>
        <w:left w:val="none" w:sz="0" w:space="0" w:color="auto"/>
        <w:bottom w:val="none" w:sz="0" w:space="0" w:color="auto"/>
        <w:right w:val="none" w:sz="0" w:space="0" w:color="auto"/>
      </w:divBdr>
    </w:div>
    <w:div w:id="188690851">
      <w:bodyDiv w:val="1"/>
      <w:marLeft w:val="0"/>
      <w:marRight w:val="0"/>
      <w:marTop w:val="0"/>
      <w:marBottom w:val="0"/>
      <w:divBdr>
        <w:top w:val="none" w:sz="0" w:space="0" w:color="auto"/>
        <w:left w:val="none" w:sz="0" w:space="0" w:color="auto"/>
        <w:bottom w:val="none" w:sz="0" w:space="0" w:color="auto"/>
        <w:right w:val="none" w:sz="0" w:space="0" w:color="auto"/>
      </w:divBdr>
    </w:div>
    <w:div w:id="189923582">
      <w:bodyDiv w:val="1"/>
      <w:marLeft w:val="0"/>
      <w:marRight w:val="0"/>
      <w:marTop w:val="0"/>
      <w:marBottom w:val="0"/>
      <w:divBdr>
        <w:top w:val="none" w:sz="0" w:space="0" w:color="auto"/>
        <w:left w:val="none" w:sz="0" w:space="0" w:color="auto"/>
        <w:bottom w:val="none" w:sz="0" w:space="0" w:color="auto"/>
        <w:right w:val="none" w:sz="0" w:space="0" w:color="auto"/>
      </w:divBdr>
    </w:div>
    <w:div w:id="190344598">
      <w:bodyDiv w:val="1"/>
      <w:marLeft w:val="0"/>
      <w:marRight w:val="0"/>
      <w:marTop w:val="0"/>
      <w:marBottom w:val="0"/>
      <w:divBdr>
        <w:top w:val="none" w:sz="0" w:space="0" w:color="auto"/>
        <w:left w:val="none" w:sz="0" w:space="0" w:color="auto"/>
        <w:bottom w:val="none" w:sz="0" w:space="0" w:color="auto"/>
        <w:right w:val="none" w:sz="0" w:space="0" w:color="auto"/>
      </w:divBdr>
    </w:div>
    <w:div w:id="191234735">
      <w:bodyDiv w:val="1"/>
      <w:marLeft w:val="0"/>
      <w:marRight w:val="0"/>
      <w:marTop w:val="0"/>
      <w:marBottom w:val="0"/>
      <w:divBdr>
        <w:top w:val="none" w:sz="0" w:space="0" w:color="auto"/>
        <w:left w:val="none" w:sz="0" w:space="0" w:color="auto"/>
        <w:bottom w:val="none" w:sz="0" w:space="0" w:color="auto"/>
        <w:right w:val="none" w:sz="0" w:space="0" w:color="auto"/>
      </w:divBdr>
    </w:div>
    <w:div w:id="193081189">
      <w:bodyDiv w:val="1"/>
      <w:marLeft w:val="0"/>
      <w:marRight w:val="0"/>
      <w:marTop w:val="0"/>
      <w:marBottom w:val="0"/>
      <w:divBdr>
        <w:top w:val="none" w:sz="0" w:space="0" w:color="auto"/>
        <w:left w:val="none" w:sz="0" w:space="0" w:color="auto"/>
        <w:bottom w:val="none" w:sz="0" w:space="0" w:color="auto"/>
        <w:right w:val="none" w:sz="0" w:space="0" w:color="auto"/>
      </w:divBdr>
    </w:div>
    <w:div w:id="193081937">
      <w:bodyDiv w:val="1"/>
      <w:marLeft w:val="0"/>
      <w:marRight w:val="0"/>
      <w:marTop w:val="0"/>
      <w:marBottom w:val="0"/>
      <w:divBdr>
        <w:top w:val="none" w:sz="0" w:space="0" w:color="auto"/>
        <w:left w:val="none" w:sz="0" w:space="0" w:color="auto"/>
        <w:bottom w:val="none" w:sz="0" w:space="0" w:color="auto"/>
        <w:right w:val="none" w:sz="0" w:space="0" w:color="auto"/>
      </w:divBdr>
    </w:div>
    <w:div w:id="195243159">
      <w:bodyDiv w:val="1"/>
      <w:marLeft w:val="0"/>
      <w:marRight w:val="0"/>
      <w:marTop w:val="0"/>
      <w:marBottom w:val="0"/>
      <w:divBdr>
        <w:top w:val="none" w:sz="0" w:space="0" w:color="auto"/>
        <w:left w:val="none" w:sz="0" w:space="0" w:color="auto"/>
        <w:bottom w:val="none" w:sz="0" w:space="0" w:color="auto"/>
        <w:right w:val="none" w:sz="0" w:space="0" w:color="auto"/>
      </w:divBdr>
    </w:div>
    <w:div w:id="195580827">
      <w:bodyDiv w:val="1"/>
      <w:marLeft w:val="0"/>
      <w:marRight w:val="0"/>
      <w:marTop w:val="0"/>
      <w:marBottom w:val="0"/>
      <w:divBdr>
        <w:top w:val="none" w:sz="0" w:space="0" w:color="auto"/>
        <w:left w:val="none" w:sz="0" w:space="0" w:color="auto"/>
        <w:bottom w:val="none" w:sz="0" w:space="0" w:color="auto"/>
        <w:right w:val="none" w:sz="0" w:space="0" w:color="auto"/>
      </w:divBdr>
    </w:div>
    <w:div w:id="196089994">
      <w:bodyDiv w:val="1"/>
      <w:marLeft w:val="0"/>
      <w:marRight w:val="0"/>
      <w:marTop w:val="0"/>
      <w:marBottom w:val="0"/>
      <w:divBdr>
        <w:top w:val="none" w:sz="0" w:space="0" w:color="auto"/>
        <w:left w:val="none" w:sz="0" w:space="0" w:color="auto"/>
        <w:bottom w:val="none" w:sz="0" w:space="0" w:color="auto"/>
        <w:right w:val="none" w:sz="0" w:space="0" w:color="auto"/>
      </w:divBdr>
    </w:div>
    <w:div w:id="199250345">
      <w:bodyDiv w:val="1"/>
      <w:marLeft w:val="0"/>
      <w:marRight w:val="0"/>
      <w:marTop w:val="0"/>
      <w:marBottom w:val="0"/>
      <w:divBdr>
        <w:top w:val="none" w:sz="0" w:space="0" w:color="auto"/>
        <w:left w:val="none" w:sz="0" w:space="0" w:color="auto"/>
        <w:bottom w:val="none" w:sz="0" w:space="0" w:color="auto"/>
        <w:right w:val="none" w:sz="0" w:space="0" w:color="auto"/>
      </w:divBdr>
    </w:div>
    <w:div w:id="199829705">
      <w:bodyDiv w:val="1"/>
      <w:marLeft w:val="0"/>
      <w:marRight w:val="0"/>
      <w:marTop w:val="0"/>
      <w:marBottom w:val="0"/>
      <w:divBdr>
        <w:top w:val="none" w:sz="0" w:space="0" w:color="auto"/>
        <w:left w:val="none" w:sz="0" w:space="0" w:color="auto"/>
        <w:bottom w:val="none" w:sz="0" w:space="0" w:color="auto"/>
        <w:right w:val="none" w:sz="0" w:space="0" w:color="auto"/>
      </w:divBdr>
    </w:div>
    <w:div w:id="200634166">
      <w:bodyDiv w:val="1"/>
      <w:marLeft w:val="0"/>
      <w:marRight w:val="0"/>
      <w:marTop w:val="0"/>
      <w:marBottom w:val="0"/>
      <w:divBdr>
        <w:top w:val="none" w:sz="0" w:space="0" w:color="auto"/>
        <w:left w:val="none" w:sz="0" w:space="0" w:color="auto"/>
        <w:bottom w:val="none" w:sz="0" w:space="0" w:color="auto"/>
        <w:right w:val="none" w:sz="0" w:space="0" w:color="auto"/>
      </w:divBdr>
    </w:div>
    <w:div w:id="201402089">
      <w:bodyDiv w:val="1"/>
      <w:marLeft w:val="0"/>
      <w:marRight w:val="0"/>
      <w:marTop w:val="0"/>
      <w:marBottom w:val="0"/>
      <w:divBdr>
        <w:top w:val="none" w:sz="0" w:space="0" w:color="auto"/>
        <w:left w:val="none" w:sz="0" w:space="0" w:color="auto"/>
        <w:bottom w:val="none" w:sz="0" w:space="0" w:color="auto"/>
        <w:right w:val="none" w:sz="0" w:space="0" w:color="auto"/>
      </w:divBdr>
    </w:div>
    <w:div w:id="202640045">
      <w:bodyDiv w:val="1"/>
      <w:marLeft w:val="0"/>
      <w:marRight w:val="0"/>
      <w:marTop w:val="0"/>
      <w:marBottom w:val="0"/>
      <w:divBdr>
        <w:top w:val="none" w:sz="0" w:space="0" w:color="auto"/>
        <w:left w:val="none" w:sz="0" w:space="0" w:color="auto"/>
        <w:bottom w:val="none" w:sz="0" w:space="0" w:color="auto"/>
        <w:right w:val="none" w:sz="0" w:space="0" w:color="auto"/>
      </w:divBdr>
    </w:div>
    <w:div w:id="203447967">
      <w:bodyDiv w:val="1"/>
      <w:marLeft w:val="0"/>
      <w:marRight w:val="0"/>
      <w:marTop w:val="0"/>
      <w:marBottom w:val="0"/>
      <w:divBdr>
        <w:top w:val="none" w:sz="0" w:space="0" w:color="auto"/>
        <w:left w:val="none" w:sz="0" w:space="0" w:color="auto"/>
        <w:bottom w:val="none" w:sz="0" w:space="0" w:color="auto"/>
        <w:right w:val="none" w:sz="0" w:space="0" w:color="auto"/>
      </w:divBdr>
    </w:div>
    <w:div w:id="203949301">
      <w:bodyDiv w:val="1"/>
      <w:marLeft w:val="0"/>
      <w:marRight w:val="0"/>
      <w:marTop w:val="0"/>
      <w:marBottom w:val="0"/>
      <w:divBdr>
        <w:top w:val="none" w:sz="0" w:space="0" w:color="auto"/>
        <w:left w:val="none" w:sz="0" w:space="0" w:color="auto"/>
        <w:bottom w:val="none" w:sz="0" w:space="0" w:color="auto"/>
        <w:right w:val="none" w:sz="0" w:space="0" w:color="auto"/>
      </w:divBdr>
    </w:div>
    <w:div w:id="204370432">
      <w:bodyDiv w:val="1"/>
      <w:marLeft w:val="0"/>
      <w:marRight w:val="0"/>
      <w:marTop w:val="0"/>
      <w:marBottom w:val="0"/>
      <w:divBdr>
        <w:top w:val="none" w:sz="0" w:space="0" w:color="auto"/>
        <w:left w:val="none" w:sz="0" w:space="0" w:color="auto"/>
        <w:bottom w:val="none" w:sz="0" w:space="0" w:color="auto"/>
        <w:right w:val="none" w:sz="0" w:space="0" w:color="auto"/>
      </w:divBdr>
    </w:div>
    <w:div w:id="204566386">
      <w:bodyDiv w:val="1"/>
      <w:marLeft w:val="0"/>
      <w:marRight w:val="0"/>
      <w:marTop w:val="0"/>
      <w:marBottom w:val="0"/>
      <w:divBdr>
        <w:top w:val="none" w:sz="0" w:space="0" w:color="auto"/>
        <w:left w:val="none" w:sz="0" w:space="0" w:color="auto"/>
        <w:bottom w:val="none" w:sz="0" w:space="0" w:color="auto"/>
        <w:right w:val="none" w:sz="0" w:space="0" w:color="auto"/>
      </w:divBdr>
    </w:div>
    <w:div w:id="205653180">
      <w:bodyDiv w:val="1"/>
      <w:marLeft w:val="0"/>
      <w:marRight w:val="0"/>
      <w:marTop w:val="0"/>
      <w:marBottom w:val="0"/>
      <w:divBdr>
        <w:top w:val="none" w:sz="0" w:space="0" w:color="auto"/>
        <w:left w:val="none" w:sz="0" w:space="0" w:color="auto"/>
        <w:bottom w:val="none" w:sz="0" w:space="0" w:color="auto"/>
        <w:right w:val="none" w:sz="0" w:space="0" w:color="auto"/>
      </w:divBdr>
    </w:div>
    <w:div w:id="206571699">
      <w:bodyDiv w:val="1"/>
      <w:marLeft w:val="0"/>
      <w:marRight w:val="0"/>
      <w:marTop w:val="0"/>
      <w:marBottom w:val="0"/>
      <w:divBdr>
        <w:top w:val="none" w:sz="0" w:space="0" w:color="auto"/>
        <w:left w:val="none" w:sz="0" w:space="0" w:color="auto"/>
        <w:bottom w:val="none" w:sz="0" w:space="0" w:color="auto"/>
        <w:right w:val="none" w:sz="0" w:space="0" w:color="auto"/>
      </w:divBdr>
    </w:div>
    <w:div w:id="208345186">
      <w:bodyDiv w:val="1"/>
      <w:marLeft w:val="0"/>
      <w:marRight w:val="0"/>
      <w:marTop w:val="0"/>
      <w:marBottom w:val="0"/>
      <w:divBdr>
        <w:top w:val="none" w:sz="0" w:space="0" w:color="auto"/>
        <w:left w:val="none" w:sz="0" w:space="0" w:color="auto"/>
        <w:bottom w:val="none" w:sz="0" w:space="0" w:color="auto"/>
        <w:right w:val="none" w:sz="0" w:space="0" w:color="auto"/>
      </w:divBdr>
    </w:div>
    <w:div w:id="209847826">
      <w:bodyDiv w:val="1"/>
      <w:marLeft w:val="0"/>
      <w:marRight w:val="0"/>
      <w:marTop w:val="0"/>
      <w:marBottom w:val="0"/>
      <w:divBdr>
        <w:top w:val="none" w:sz="0" w:space="0" w:color="auto"/>
        <w:left w:val="none" w:sz="0" w:space="0" w:color="auto"/>
        <w:bottom w:val="none" w:sz="0" w:space="0" w:color="auto"/>
        <w:right w:val="none" w:sz="0" w:space="0" w:color="auto"/>
      </w:divBdr>
    </w:div>
    <w:div w:id="209851209">
      <w:bodyDiv w:val="1"/>
      <w:marLeft w:val="0"/>
      <w:marRight w:val="0"/>
      <w:marTop w:val="0"/>
      <w:marBottom w:val="0"/>
      <w:divBdr>
        <w:top w:val="none" w:sz="0" w:space="0" w:color="auto"/>
        <w:left w:val="none" w:sz="0" w:space="0" w:color="auto"/>
        <w:bottom w:val="none" w:sz="0" w:space="0" w:color="auto"/>
        <w:right w:val="none" w:sz="0" w:space="0" w:color="auto"/>
      </w:divBdr>
    </w:div>
    <w:div w:id="210777441">
      <w:bodyDiv w:val="1"/>
      <w:marLeft w:val="0"/>
      <w:marRight w:val="0"/>
      <w:marTop w:val="0"/>
      <w:marBottom w:val="0"/>
      <w:divBdr>
        <w:top w:val="none" w:sz="0" w:space="0" w:color="auto"/>
        <w:left w:val="none" w:sz="0" w:space="0" w:color="auto"/>
        <w:bottom w:val="none" w:sz="0" w:space="0" w:color="auto"/>
        <w:right w:val="none" w:sz="0" w:space="0" w:color="auto"/>
      </w:divBdr>
    </w:div>
    <w:div w:id="211582570">
      <w:bodyDiv w:val="1"/>
      <w:marLeft w:val="0"/>
      <w:marRight w:val="0"/>
      <w:marTop w:val="0"/>
      <w:marBottom w:val="0"/>
      <w:divBdr>
        <w:top w:val="none" w:sz="0" w:space="0" w:color="auto"/>
        <w:left w:val="none" w:sz="0" w:space="0" w:color="auto"/>
        <w:bottom w:val="none" w:sz="0" w:space="0" w:color="auto"/>
        <w:right w:val="none" w:sz="0" w:space="0" w:color="auto"/>
      </w:divBdr>
    </w:div>
    <w:div w:id="211617974">
      <w:bodyDiv w:val="1"/>
      <w:marLeft w:val="0"/>
      <w:marRight w:val="0"/>
      <w:marTop w:val="0"/>
      <w:marBottom w:val="0"/>
      <w:divBdr>
        <w:top w:val="none" w:sz="0" w:space="0" w:color="auto"/>
        <w:left w:val="none" w:sz="0" w:space="0" w:color="auto"/>
        <w:bottom w:val="none" w:sz="0" w:space="0" w:color="auto"/>
        <w:right w:val="none" w:sz="0" w:space="0" w:color="auto"/>
      </w:divBdr>
    </w:div>
    <w:div w:id="213583965">
      <w:bodyDiv w:val="1"/>
      <w:marLeft w:val="0"/>
      <w:marRight w:val="0"/>
      <w:marTop w:val="0"/>
      <w:marBottom w:val="0"/>
      <w:divBdr>
        <w:top w:val="none" w:sz="0" w:space="0" w:color="auto"/>
        <w:left w:val="none" w:sz="0" w:space="0" w:color="auto"/>
        <w:bottom w:val="none" w:sz="0" w:space="0" w:color="auto"/>
        <w:right w:val="none" w:sz="0" w:space="0" w:color="auto"/>
      </w:divBdr>
    </w:div>
    <w:div w:id="213585069">
      <w:bodyDiv w:val="1"/>
      <w:marLeft w:val="0"/>
      <w:marRight w:val="0"/>
      <w:marTop w:val="0"/>
      <w:marBottom w:val="0"/>
      <w:divBdr>
        <w:top w:val="none" w:sz="0" w:space="0" w:color="auto"/>
        <w:left w:val="none" w:sz="0" w:space="0" w:color="auto"/>
        <w:bottom w:val="none" w:sz="0" w:space="0" w:color="auto"/>
        <w:right w:val="none" w:sz="0" w:space="0" w:color="auto"/>
      </w:divBdr>
    </w:div>
    <w:div w:id="213810423">
      <w:bodyDiv w:val="1"/>
      <w:marLeft w:val="0"/>
      <w:marRight w:val="0"/>
      <w:marTop w:val="0"/>
      <w:marBottom w:val="0"/>
      <w:divBdr>
        <w:top w:val="none" w:sz="0" w:space="0" w:color="auto"/>
        <w:left w:val="none" w:sz="0" w:space="0" w:color="auto"/>
        <w:bottom w:val="none" w:sz="0" w:space="0" w:color="auto"/>
        <w:right w:val="none" w:sz="0" w:space="0" w:color="auto"/>
      </w:divBdr>
    </w:div>
    <w:div w:id="214509126">
      <w:bodyDiv w:val="1"/>
      <w:marLeft w:val="0"/>
      <w:marRight w:val="0"/>
      <w:marTop w:val="0"/>
      <w:marBottom w:val="0"/>
      <w:divBdr>
        <w:top w:val="none" w:sz="0" w:space="0" w:color="auto"/>
        <w:left w:val="none" w:sz="0" w:space="0" w:color="auto"/>
        <w:bottom w:val="none" w:sz="0" w:space="0" w:color="auto"/>
        <w:right w:val="none" w:sz="0" w:space="0" w:color="auto"/>
      </w:divBdr>
    </w:div>
    <w:div w:id="214705065">
      <w:bodyDiv w:val="1"/>
      <w:marLeft w:val="0"/>
      <w:marRight w:val="0"/>
      <w:marTop w:val="0"/>
      <w:marBottom w:val="0"/>
      <w:divBdr>
        <w:top w:val="none" w:sz="0" w:space="0" w:color="auto"/>
        <w:left w:val="none" w:sz="0" w:space="0" w:color="auto"/>
        <w:bottom w:val="none" w:sz="0" w:space="0" w:color="auto"/>
        <w:right w:val="none" w:sz="0" w:space="0" w:color="auto"/>
      </w:divBdr>
    </w:div>
    <w:div w:id="216166587">
      <w:bodyDiv w:val="1"/>
      <w:marLeft w:val="0"/>
      <w:marRight w:val="0"/>
      <w:marTop w:val="0"/>
      <w:marBottom w:val="0"/>
      <w:divBdr>
        <w:top w:val="none" w:sz="0" w:space="0" w:color="auto"/>
        <w:left w:val="none" w:sz="0" w:space="0" w:color="auto"/>
        <w:bottom w:val="none" w:sz="0" w:space="0" w:color="auto"/>
        <w:right w:val="none" w:sz="0" w:space="0" w:color="auto"/>
      </w:divBdr>
    </w:div>
    <w:div w:id="217399419">
      <w:bodyDiv w:val="1"/>
      <w:marLeft w:val="0"/>
      <w:marRight w:val="0"/>
      <w:marTop w:val="0"/>
      <w:marBottom w:val="0"/>
      <w:divBdr>
        <w:top w:val="none" w:sz="0" w:space="0" w:color="auto"/>
        <w:left w:val="none" w:sz="0" w:space="0" w:color="auto"/>
        <w:bottom w:val="none" w:sz="0" w:space="0" w:color="auto"/>
        <w:right w:val="none" w:sz="0" w:space="0" w:color="auto"/>
      </w:divBdr>
    </w:div>
    <w:div w:id="217863070">
      <w:bodyDiv w:val="1"/>
      <w:marLeft w:val="0"/>
      <w:marRight w:val="0"/>
      <w:marTop w:val="0"/>
      <w:marBottom w:val="0"/>
      <w:divBdr>
        <w:top w:val="none" w:sz="0" w:space="0" w:color="auto"/>
        <w:left w:val="none" w:sz="0" w:space="0" w:color="auto"/>
        <w:bottom w:val="none" w:sz="0" w:space="0" w:color="auto"/>
        <w:right w:val="none" w:sz="0" w:space="0" w:color="auto"/>
      </w:divBdr>
    </w:div>
    <w:div w:id="218247930">
      <w:bodyDiv w:val="1"/>
      <w:marLeft w:val="0"/>
      <w:marRight w:val="0"/>
      <w:marTop w:val="0"/>
      <w:marBottom w:val="0"/>
      <w:divBdr>
        <w:top w:val="none" w:sz="0" w:space="0" w:color="auto"/>
        <w:left w:val="none" w:sz="0" w:space="0" w:color="auto"/>
        <w:bottom w:val="none" w:sz="0" w:space="0" w:color="auto"/>
        <w:right w:val="none" w:sz="0" w:space="0" w:color="auto"/>
      </w:divBdr>
    </w:div>
    <w:div w:id="219293315">
      <w:bodyDiv w:val="1"/>
      <w:marLeft w:val="0"/>
      <w:marRight w:val="0"/>
      <w:marTop w:val="0"/>
      <w:marBottom w:val="0"/>
      <w:divBdr>
        <w:top w:val="none" w:sz="0" w:space="0" w:color="auto"/>
        <w:left w:val="none" w:sz="0" w:space="0" w:color="auto"/>
        <w:bottom w:val="none" w:sz="0" w:space="0" w:color="auto"/>
        <w:right w:val="none" w:sz="0" w:space="0" w:color="auto"/>
      </w:divBdr>
    </w:div>
    <w:div w:id="220485685">
      <w:bodyDiv w:val="1"/>
      <w:marLeft w:val="0"/>
      <w:marRight w:val="0"/>
      <w:marTop w:val="0"/>
      <w:marBottom w:val="0"/>
      <w:divBdr>
        <w:top w:val="none" w:sz="0" w:space="0" w:color="auto"/>
        <w:left w:val="none" w:sz="0" w:space="0" w:color="auto"/>
        <w:bottom w:val="none" w:sz="0" w:space="0" w:color="auto"/>
        <w:right w:val="none" w:sz="0" w:space="0" w:color="auto"/>
      </w:divBdr>
    </w:div>
    <w:div w:id="221648035">
      <w:bodyDiv w:val="1"/>
      <w:marLeft w:val="0"/>
      <w:marRight w:val="0"/>
      <w:marTop w:val="0"/>
      <w:marBottom w:val="0"/>
      <w:divBdr>
        <w:top w:val="none" w:sz="0" w:space="0" w:color="auto"/>
        <w:left w:val="none" w:sz="0" w:space="0" w:color="auto"/>
        <w:bottom w:val="none" w:sz="0" w:space="0" w:color="auto"/>
        <w:right w:val="none" w:sz="0" w:space="0" w:color="auto"/>
      </w:divBdr>
    </w:div>
    <w:div w:id="221715974">
      <w:bodyDiv w:val="1"/>
      <w:marLeft w:val="0"/>
      <w:marRight w:val="0"/>
      <w:marTop w:val="0"/>
      <w:marBottom w:val="0"/>
      <w:divBdr>
        <w:top w:val="none" w:sz="0" w:space="0" w:color="auto"/>
        <w:left w:val="none" w:sz="0" w:space="0" w:color="auto"/>
        <w:bottom w:val="none" w:sz="0" w:space="0" w:color="auto"/>
        <w:right w:val="none" w:sz="0" w:space="0" w:color="auto"/>
      </w:divBdr>
    </w:div>
    <w:div w:id="222183335">
      <w:bodyDiv w:val="1"/>
      <w:marLeft w:val="0"/>
      <w:marRight w:val="0"/>
      <w:marTop w:val="0"/>
      <w:marBottom w:val="0"/>
      <w:divBdr>
        <w:top w:val="none" w:sz="0" w:space="0" w:color="auto"/>
        <w:left w:val="none" w:sz="0" w:space="0" w:color="auto"/>
        <w:bottom w:val="none" w:sz="0" w:space="0" w:color="auto"/>
        <w:right w:val="none" w:sz="0" w:space="0" w:color="auto"/>
      </w:divBdr>
    </w:div>
    <w:div w:id="222523289">
      <w:bodyDiv w:val="1"/>
      <w:marLeft w:val="0"/>
      <w:marRight w:val="0"/>
      <w:marTop w:val="0"/>
      <w:marBottom w:val="0"/>
      <w:divBdr>
        <w:top w:val="none" w:sz="0" w:space="0" w:color="auto"/>
        <w:left w:val="none" w:sz="0" w:space="0" w:color="auto"/>
        <w:bottom w:val="none" w:sz="0" w:space="0" w:color="auto"/>
        <w:right w:val="none" w:sz="0" w:space="0" w:color="auto"/>
      </w:divBdr>
    </w:div>
    <w:div w:id="225066730">
      <w:bodyDiv w:val="1"/>
      <w:marLeft w:val="0"/>
      <w:marRight w:val="0"/>
      <w:marTop w:val="0"/>
      <w:marBottom w:val="0"/>
      <w:divBdr>
        <w:top w:val="none" w:sz="0" w:space="0" w:color="auto"/>
        <w:left w:val="none" w:sz="0" w:space="0" w:color="auto"/>
        <w:bottom w:val="none" w:sz="0" w:space="0" w:color="auto"/>
        <w:right w:val="none" w:sz="0" w:space="0" w:color="auto"/>
      </w:divBdr>
    </w:div>
    <w:div w:id="225528760">
      <w:bodyDiv w:val="1"/>
      <w:marLeft w:val="0"/>
      <w:marRight w:val="0"/>
      <w:marTop w:val="0"/>
      <w:marBottom w:val="0"/>
      <w:divBdr>
        <w:top w:val="none" w:sz="0" w:space="0" w:color="auto"/>
        <w:left w:val="none" w:sz="0" w:space="0" w:color="auto"/>
        <w:bottom w:val="none" w:sz="0" w:space="0" w:color="auto"/>
        <w:right w:val="none" w:sz="0" w:space="0" w:color="auto"/>
      </w:divBdr>
    </w:div>
    <w:div w:id="225772206">
      <w:bodyDiv w:val="1"/>
      <w:marLeft w:val="0"/>
      <w:marRight w:val="0"/>
      <w:marTop w:val="0"/>
      <w:marBottom w:val="0"/>
      <w:divBdr>
        <w:top w:val="none" w:sz="0" w:space="0" w:color="auto"/>
        <w:left w:val="none" w:sz="0" w:space="0" w:color="auto"/>
        <w:bottom w:val="none" w:sz="0" w:space="0" w:color="auto"/>
        <w:right w:val="none" w:sz="0" w:space="0" w:color="auto"/>
      </w:divBdr>
    </w:div>
    <w:div w:id="226428362">
      <w:bodyDiv w:val="1"/>
      <w:marLeft w:val="0"/>
      <w:marRight w:val="0"/>
      <w:marTop w:val="0"/>
      <w:marBottom w:val="0"/>
      <w:divBdr>
        <w:top w:val="none" w:sz="0" w:space="0" w:color="auto"/>
        <w:left w:val="none" w:sz="0" w:space="0" w:color="auto"/>
        <w:bottom w:val="none" w:sz="0" w:space="0" w:color="auto"/>
        <w:right w:val="none" w:sz="0" w:space="0" w:color="auto"/>
      </w:divBdr>
    </w:div>
    <w:div w:id="228662132">
      <w:bodyDiv w:val="1"/>
      <w:marLeft w:val="0"/>
      <w:marRight w:val="0"/>
      <w:marTop w:val="0"/>
      <w:marBottom w:val="0"/>
      <w:divBdr>
        <w:top w:val="none" w:sz="0" w:space="0" w:color="auto"/>
        <w:left w:val="none" w:sz="0" w:space="0" w:color="auto"/>
        <w:bottom w:val="none" w:sz="0" w:space="0" w:color="auto"/>
        <w:right w:val="none" w:sz="0" w:space="0" w:color="auto"/>
      </w:divBdr>
    </w:div>
    <w:div w:id="229657904">
      <w:bodyDiv w:val="1"/>
      <w:marLeft w:val="0"/>
      <w:marRight w:val="0"/>
      <w:marTop w:val="0"/>
      <w:marBottom w:val="0"/>
      <w:divBdr>
        <w:top w:val="none" w:sz="0" w:space="0" w:color="auto"/>
        <w:left w:val="none" w:sz="0" w:space="0" w:color="auto"/>
        <w:bottom w:val="none" w:sz="0" w:space="0" w:color="auto"/>
        <w:right w:val="none" w:sz="0" w:space="0" w:color="auto"/>
      </w:divBdr>
    </w:div>
    <w:div w:id="230699916">
      <w:bodyDiv w:val="1"/>
      <w:marLeft w:val="0"/>
      <w:marRight w:val="0"/>
      <w:marTop w:val="0"/>
      <w:marBottom w:val="0"/>
      <w:divBdr>
        <w:top w:val="none" w:sz="0" w:space="0" w:color="auto"/>
        <w:left w:val="none" w:sz="0" w:space="0" w:color="auto"/>
        <w:bottom w:val="none" w:sz="0" w:space="0" w:color="auto"/>
        <w:right w:val="none" w:sz="0" w:space="0" w:color="auto"/>
      </w:divBdr>
    </w:div>
    <w:div w:id="231157242">
      <w:bodyDiv w:val="1"/>
      <w:marLeft w:val="0"/>
      <w:marRight w:val="0"/>
      <w:marTop w:val="0"/>
      <w:marBottom w:val="0"/>
      <w:divBdr>
        <w:top w:val="none" w:sz="0" w:space="0" w:color="auto"/>
        <w:left w:val="none" w:sz="0" w:space="0" w:color="auto"/>
        <w:bottom w:val="none" w:sz="0" w:space="0" w:color="auto"/>
        <w:right w:val="none" w:sz="0" w:space="0" w:color="auto"/>
      </w:divBdr>
    </w:div>
    <w:div w:id="232086968">
      <w:bodyDiv w:val="1"/>
      <w:marLeft w:val="0"/>
      <w:marRight w:val="0"/>
      <w:marTop w:val="0"/>
      <w:marBottom w:val="0"/>
      <w:divBdr>
        <w:top w:val="none" w:sz="0" w:space="0" w:color="auto"/>
        <w:left w:val="none" w:sz="0" w:space="0" w:color="auto"/>
        <w:bottom w:val="none" w:sz="0" w:space="0" w:color="auto"/>
        <w:right w:val="none" w:sz="0" w:space="0" w:color="auto"/>
      </w:divBdr>
    </w:div>
    <w:div w:id="232199614">
      <w:bodyDiv w:val="1"/>
      <w:marLeft w:val="0"/>
      <w:marRight w:val="0"/>
      <w:marTop w:val="0"/>
      <w:marBottom w:val="0"/>
      <w:divBdr>
        <w:top w:val="none" w:sz="0" w:space="0" w:color="auto"/>
        <w:left w:val="none" w:sz="0" w:space="0" w:color="auto"/>
        <w:bottom w:val="none" w:sz="0" w:space="0" w:color="auto"/>
        <w:right w:val="none" w:sz="0" w:space="0" w:color="auto"/>
      </w:divBdr>
    </w:div>
    <w:div w:id="232357508">
      <w:bodyDiv w:val="1"/>
      <w:marLeft w:val="0"/>
      <w:marRight w:val="0"/>
      <w:marTop w:val="0"/>
      <w:marBottom w:val="0"/>
      <w:divBdr>
        <w:top w:val="none" w:sz="0" w:space="0" w:color="auto"/>
        <w:left w:val="none" w:sz="0" w:space="0" w:color="auto"/>
        <w:bottom w:val="none" w:sz="0" w:space="0" w:color="auto"/>
        <w:right w:val="none" w:sz="0" w:space="0" w:color="auto"/>
      </w:divBdr>
    </w:div>
    <w:div w:id="232398568">
      <w:bodyDiv w:val="1"/>
      <w:marLeft w:val="0"/>
      <w:marRight w:val="0"/>
      <w:marTop w:val="0"/>
      <w:marBottom w:val="0"/>
      <w:divBdr>
        <w:top w:val="none" w:sz="0" w:space="0" w:color="auto"/>
        <w:left w:val="none" w:sz="0" w:space="0" w:color="auto"/>
        <w:bottom w:val="none" w:sz="0" w:space="0" w:color="auto"/>
        <w:right w:val="none" w:sz="0" w:space="0" w:color="auto"/>
      </w:divBdr>
    </w:div>
    <w:div w:id="232476581">
      <w:bodyDiv w:val="1"/>
      <w:marLeft w:val="0"/>
      <w:marRight w:val="0"/>
      <w:marTop w:val="0"/>
      <w:marBottom w:val="0"/>
      <w:divBdr>
        <w:top w:val="none" w:sz="0" w:space="0" w:color="auto"/>
        <w:left w:val="none" w:sz="0" w:space="0" w:color="auto"/>
        <w:bottom w:val="none" w:sz="0" w:space="0" w:color="auto"/>
        <w:right w:val="none" w:sz="0" w:space="0" w:color="auto"/>
      </w:divBdr>
    </w:div>
    <w:div w:id="232743705">
      <w:bodyDiv w:val="1"/>
      <w:marLeft w:val="0"/>
      <w:marRight w:val="0"/>
      <w:marTop w:val="0"/>
      <w:marBottom w:val="0"/>
      <w:divBdr>
        <w:top w:val="none" w:sz="0" w:space="0" w:color="auto"/>
        <w:left w:val="none" w:sz="0" w:space="0" w:color="auto"/>
        <w:bottom w:val="none" w:sz="0" w:space="0" w:color="auto"/>
        <w:right w:val="none" w:sz="0" w:space="0" w:color="auto"/>
      </w:divBdr>
    </w:div>
    <w:div w:id="234702941">
      <w:bodyDiv w:val="1"/>
      <w:marLeft w:val="0"/>
      <w:marRight w:val="0"/>
      <w:marTop w:val="0"/>
      <w:marBottom w:val="0"/>
      <w:divBdr>
        <w:top w:val="none" w:sz="0" w:space="0" w:color="auto"/>
        <w:left w:val="none" w:sz="0" w:space="0" w:color="auto"/>
        <w:bottom w:val="none" w:sz="0" w:space="0" w:color="auto"/>
        <w:right w:val="none" w:sz="0" w:space="0" w:color="auto"/>
      </w:divBdr>
    </w:div>
    <w:div w:id="234828722">
      <w:bodyDiv w:val="1"/>
      <w:marLeft w:val="0"/>
      <w:marRight w:val="0"/>
      <w:marTop w:val="0"/>
      <w:marBottom w:val="0"/>
      <w:divBdr>
        <w:top w:val="none" w:sz="0" w:space="0" w:color="auto"/>
        <w:left w:val="none" w:sz="0" w:space="0" w:color="auto"/>
        <w:bottom w:val="none" w:sz="0" w:space="0" w:color="auto"/>
        <w:right w:val="none" w:sz="0" w:space="0" w:color="auto"/>
      </w:divBdr>
    </w:div>
    <w:div w:id="235823426">
      <w:bodyDiv w:val="1"/>
      <w:marLeft w:val="0"/>
      <w:marRight w:val="0"/>
      <w:marTop w:val="0"/>
      <w:marBottom w:val="0"/>
      <w:divBdr>
        <w:top w:val="none" w:sz="0" w:space="0" w:color="auto"/>
        <w:left w:val="none" w:sz="0" w:space="0" w:color="auto"/>
        <w:bottom w:val="none" w:sz="0" w:space="0" w:color="auto"/>
        <w:right w:val="none" w:sz="0" w:space="0" w:color="auto"/>
      </w:divBdr>
    </w:div>
    <w:div w:id="236862486">
      <w:bodyDiv w:val="1"/>
      <w:marLeft w:val="0"/>
      <w:marRight w:val="0"/>
      <w:marTop w:val="0"/>
      <w:marBottom w:val="0"/>
      <w:divBdr>
        <w:top w:val="none" w:sz="0" w:space="0" w:color="auto"/>
        <w:left w:val="none" w:sz="0" w:space="0" w:color="auto"/>
        <w:bottom w:val="none" w:sz="0" w:space="0" w:color="auto"/>
        <w:right w:val="none" w:sz="0" w:space="0" w:color="auto"/>
      </w:divBdr>
    </w:div>
    <w:div w:id="237522652">
      <w:bodyDiv w:val="1"/>
      <w:marLeft w:val="0"/>
      <w:marRight w:val="0"/>
      <w:marTop w:val="0"/>
      <w:marBottom w:val="0"/>
      <w:divBdr>
        <w:top w:val="none" w:sz="0" w:space="0" w:color="auto"/>
        <w:left w:val="none" w:sz="0" w:space="0" w:color="auto"/>
        <w:bottom w:val="none" w:sz="0" w:space="0" w:color="auto"/>
        <w:right w:val="none" w:sz="0" w:space="0" w:color="auto"/>
      </w:divBdr>
    </w:div>
    <w:div w:id="237593342">
      <w:bodyDiv w:val="1"/>
      <w:marLeft w:val="0"/>
      <w:marRight w:val="0"/>
      <w:marTop w:val="0"/>
      <w:marBottom w:val="0"/>
      <w:divBdr>
        <w:top w:val="none" w:sz="0" w:space="0" w:color="auto"/>
        <w:left w:val="none" w:sz="0" w:space="0" w:color="auto"/>
        <w:bottom w:val="none" w:sz="0" w:space="0" w:color="auto"/>
        <w:right w:val="none" w:sz="0" w:space="0" w:color="auto"/>
      </w:divBdr>
    </w:div>
    <w:div w:id="238290067">
      <w:bodyDiv w:val="1"/>
      <w:marLeft w:val="0"/>
      <w:marRight w:val="0"/>
      <w:marTop w:val="0"/>
      <w:marBottom w:val="0"/>
      <w:divBdr>
        <w:top w:val="none" w:sz="0" w:space="0" w:color="auto"/>
        <w:left w:val="none" w:sz="0" w:space="0" w:color="auto"/>
        <w:bottom w:val="none" w:sz="0" w:space="0" w:color="auto"/>
        <w:right w:val="none" w:sz="0" w:space="0" w:color="auto"/>
      </w:divBdr>
    </w:div>
    <w:div w:id="238567070">
      <w:bodyDiv w:val="1"/>
      <w:marLeft w:val="0"/>
      <w:marRight w:val="0"/>
      <w:marTop w:val="0"/>
      <w:marBottom w:val="0"/>
      <w:divBdr>
        <w:top w:val="none" w:sz="0" w:space="0" w:color="auto"/>
        <w:left w:val="none" w:sz="0" w:space="0" w:color="auto"/>
        <w:bottom w:val="none" w:sz="0" w:space="0" w:color="auto"/>
        <w:right w:val="none" w:sz="0" w:space="0" w:color="auto"/>
      </w:divBdr>
    </w:div>
    <w:div w:id="239171662">
      <w:bodyDiv w:val="1"/>
      <w:marLeft w:val="0"/>
      <w:marRight w:val="0"/>
      <w:marTop w:val="0"/>
      <w:marBottom w:val="0"/>
      <w:divBdr>
        <w:top w:val="none" w:sz="0" w:space="0" w:color="auto"/>
        <w:left w:val="none" w:sz="0" w:space="0" w:color="auto"/>
        <w:bottom w:val="none" w:sz="0" w:space="0" w:color="auto"/>
        <w:right w:val="none" w:sz="0" w:space="0" w:color="auto"/>
      </w:divBdr>
    </w:div>
    <w:div w:id="240527764">
      <w:bodyDiv w:val="1"/>
      <w:marLeft w:val="0"/>
      <w:marRight w:val="0"/>
      <w:marTop w:val="0"/>
      <w:marBottom w:val="0"/>
      <w:divBdr>
        <w:top w:val="none" w:sz="0" w:space="0" w:color="auto"/>
        <w:left w:val="none" w:sz="0" w:space="0" w:color="auto"/>
        <w:bottom w:val="none" w:sz="0" w:space="0" w:color="auto"/>
        <w:right w:val="none" w:sz="0" w:space="0" w:color="auto"/>
      </w:divBdr>
    </w:div>
    <w:div w:id="240528138">
      <w:bodyDiv w:val="1"/>
      <w:marLeft w:val="0"/>
      <w:marRight w:val="0"/>
      <w:marTop w:val="0"/>
      <w:marBottom w:val="0"/>
      <w:divBdr>
        <w:top w:val="none" w:sz="0" w:space="0" w:color="auto"/>
        <w:left w:val="none" w:sz="0" w:space="0" w:color="auto"/>
        <w:bottom w:val="none" w:sz="0" w:space="0" w:color="auto"/>
        <w:right w:val="none" w:sz="0" w:space="0" w:color="auto"/>
      </w:divBdr>
    </w:div>
    <w:div w:id="241379183">
      <w:bodyDiv w:val="1"/>
      <w:marLeft w:val="0"/>
      <w:marRight w:val="0"/>
      <w:marTop w:val="0"/>
      <w:marBottom w:val="0"/>
      <w:divBdr>
        <w:top w:val="none" w:sz="0" w:space="0" w:color="auto"/>
        <w:left w:val="none" w:sz="0" w:space="0" w:color="auto"/>
        <w:bottom w:val="none" w:sz="0" w:space="0" w:color="auto"/>
        <w:right w:val="none" w:sz="0" w:space="0" w:color="auto"/>
      </w:divBdr>
    </w:div>
    <w:div w:id="241913702">
      <w:bodyDiv w:val="1"/>
      <w:marLeft w:val="0"/>
      <w:marRight w:val="0"/>
      <w:marTop w:val="0"/>
      <w:marBottom w:val="0"/>
      <w:divBdr>
        <w:top w:val="none" w:sz="0" w:space="0" w:color="auto"/>
        <w:left w:val="none" w:sz="0" w:space="0" w:color="auto"/>
        <w:bottom w:val="none" w:sz="0" w:space="0" w:color="auto"/>
        <w:right w:val="none" w:sz="0" w:space="0" w:color="auto"/>
      </w:divBdr>
    </w:div>
    <w:div w:id="241985326">
      <w:bodyDiv w:val="1"/>
      <w:marLeft w:val="0"/>
      <w:marRight w:val="0"/>
      <w:marTop w:val="0"/>
      <w:marBottom w:val="0"/>
      <w:divBdr>
        <w:top w:val="none" w:sz="0" w:space="0" w:color="auto"/>
        <w:left w:val="none" w:sz="0" w:space="0" w:color="auto"/>
        <w:bottom w:val="none" w:sz="0" w:space="0" w:color="auto"/>
        <w:right w:val="none" w:sz="0" w:space="0" w:color="auto"/>
      </w:divBdr>
    </w:div>
    <w:div w:id="243488637">
      <w:bodyDiv w:val="1"/>
      <w:marLeft w:val="0"/>
      <w:marRight w:val="0"/>
      <w:marTop w:val="0"/>
      <w:marBottom w:val="0"/>
      <w:divBdr>
        <w:top w:val="none" w:sz="0" w:space="0" w:color="auto"/>
        <w:left w:val="none" w:sz="0" w:space="0" w:color="auto"/>
        <w:bottom w:val="none" w:sz="0" w:space="0" w:color="auto"/>
        <w:right w:val="none" w:sz="0" w:space="0" w:color="auto"/>
      </w:divBdr>
    </w:div>
    <w:div w:id="244152826">
      <w:bodyDiv w:val="1"/>
      <w:marLeft w:val="0"/>
      <w:marRight w:val="0"/>
      <w:marTop w:val="0"/>
      <w:marBottom w:val="0"/>
      <w:divBdr>
        <w:top w:val="none" w:sz="0" w:space="0" w:color="auto"/>
        <w:left w:val="none" w:sz="0" w:space="0" w:color="auto"/>
        <w:bottom w:val="none" w:sz="0" w:space="0" w:color="auto"/>
        <w:right w:val="none" w:sz="0" w:space="0" w:color="auto"/>
      </w:divBdr>
    </w:div>
    <w:div w:id="244344651">
      <w:bodyDiv w:val="1"/>
      <w:marLeft w:val="0"/>
      <w:marRight w:val="0"/>
      <w:marTop w:val="0"/>
      <w:marBottom w:val="0"/>
      <w:divBdr>
        <w:top w:val="none" w:sz="0" w:space="0" w:color="auto"/>
        <w:left w:val="none" w:sz="0" w:space="0" w:color="auto"/>
        <w:bottom w:val="none" w:sz="0" w:space="0" w:color="auto"/>
        <w:right w:val="none" w:sz="0" w:space="0" w:color="auto"/>
      </w:divBdr>
    </w:div>
    <w:div w:id="246036878">
      <w:bodyDiv w:val="1"/>
      <w:marLeft w:val="0"/>
      <w:marRight w:val="0"/>
      <w:marTop w:val="0"/>
      <w:marBottom w:val="0"/>
      <w:divBdr>
        <w:top w:val="none" w:sz="0" w:space="0" w:color="auto"/>
        <w:left w:val="none" w:sz="0" w:space="0" w:color="auto"/>
        <w:bottom w:val="none" w:sz="0" w:space="0" w:color="auto"/>
        <w:right w:val="none" w:sz="0" w:space="0" w:color="auto"/>
      </w:divBdr>
    </w:div>
    <w:div w:id="247428303">
      <w:bodyDiv w:val="1"/>
      <w:marLeft w:val="0"/>
      <w:marRight w:val="0"/>
      <w:marTop w:val="0"/>
      <w:marBottom w:val="0"/>
      <w:divBdr>
        <w:top w:val="none" w:sz="0" w:space="0" w:color="auto"/>
        <w:left w:val="none" w:sz="0" w:space="0" w:color="auto"/>
        <w:bottom w:val="none" w:sz="0" w:space="0" w:color="auto"/>
        <w:right w:val="none" w:sz="0" w:space="0" w:color="auto"/>
      </w:divBdr>
    </w:div>
    <w:div w:id="247470112">
      <w:bodyDiv w:val="1"/>
      <w:marLeft w:val="0"/>
      <w:marRight w:val="0"/>
      <w:marTop w:val="0"/>
      <w:marBottom w:val="0"/>
      <w:divBdr>
        <w:top w:val="none" w:sz="0" w:space="0" w:color="auto"/>
        <w:left w:val="none" w:sz="0" w:space="0" w:color="auto"/>
        <w:bottom w:val="none" w:sz="0" w:space="0" w:color="auto"/>
        <w:right w:val="none" w:sz="0" w:space="0" w:color="auto"/>
      </w:divBdr>
    </w:div>
    <w:div w:id="248467382">
      <w:bodyDiv w:val="1"/>
      <w:marLeft w:val="0"/>
      <w:marRight w:val="0"/>
      <w:marTop w:val="0"/>
      <w:marBottom w:val="0"/>
      <w:divBdr>
        <w:top w:val="none" w:sz="0" w:space="0" w:color="auto"/>
        <w:left w:val="none" w:sz="0" w:space="0" w:color="auto"/>
        <w:bottom w:val="none" w:sz="0" w:space="0" w:color="auto"/>
        <w:right w:val="none" w:sz="0" w:space="0" w:color="auto"/>
      </w:divBdr>
    </w:div>
    <w:div w:id="249119619">
      <w:bodyDiv w:val="1"/>
      <w:marLeft w:val="0"/>
      <w:marRight w:val="0"/>
      <w:marTop w:val="0"/>
      <w:marBottom w:val="0"/>
      <w:divBdr>
        <w:top w:val="none" w:sz="0" w:space="0" w:color="auto"/>
        <w:left w:val="none" w:sz="0" w:space="0" w:color="auto"/>
        <w:bottom w:val="none" w:sz="0" w:space="0" w:color="auto"/>
        <w:right w:val="none" w:sz="0" w:space="0" w:color="auto"/>
      </w:divBdr>
    </w:div>
    <w:div w:id="249581468">
      <w:bodyDiv w:val="1"/>
      <w:marLeft w:val="0"/>
      <w:marRight w:val="0"/>
      <w:marTop w:val="0"/>
      <w:marBottom w:val="0"/>
      <w:divBdr>
        <w:top w:val="none" w:sz="0" w:space="0" w:color="auto"/>
        <w:left w:val="none" w:sz="0" w:space="0" w:color="auto"/>
        <w:bottom w:val="none" w:sz="0" w:space="0" w:color="auto"/>
        <w:right w:val="none" w:sz="0" w:space="0" w:color="auto"/>
      </w:divBdr>
    </w:div>
    <w:div w:id="250244290">
      <w:bodyDiv w:val="1"/>
      <w:marLeft w:val="0"/>
      <w:marRight w:val="0"/>
      <w:marTop w:val="0"/>
      <w:marBottom w:val="0"/>
      <w:divBdr>
        <w:top w:val="none" w:sz="0" w:space="0" w:color="auto"/>
        <w:left w:val="none" w:sz="0" w:space="0" w:color="auto"/>
        <w:bottom w:val="none" w:sz="0" w:space="0" w:color="auto"/>
        <w:right w:val="none" w:sz="0" w:space="0" w:color="auto"/>
      </w:divBdr>
    </w:div>
    <w:div w:id="250359626">
      <w:bodyDiv w:val="1"/>
      <w:marLeft w:val="0"/>
      <w:marRight w:val="0"/>
      <w:marTop w:val="0"/>
      <w:marBottom w:val="0"/>
      <w:divBdr>
        <w:top w:val="none" w:sz="0" w:space="0" w:color="auto"/>
        <w:left w:val="none" w:sz="0" w:space="0" w:color="auto"/>
        <w:bottom w:val="none" w:sz="0" w:space="0" w:color="auto"/>
        <w:right w:val="none" w:sz="0" w:space="0" w:color="auto"/>
      </w:divBdr>
    </w:div>
    <w:div w:id="250548944">
      <w:bodyDiv w:val="1"/>
      <w:marLeft w:val="0"/>
      <w:marRight w:val="0"/>
      <w:marTop w:val="0"/>
      <w:marBottom w:val="0"/>
      <w:divBdr>
        <w:top w:val="none" w:sz="0" w:space="0" w:color="auto"/>
        <w:left w:val="none" w:sz="0" w:space="0" w:color="auto"/>
        <w:bottom w:val="none" w:sz="0" w:space="0" w:color="auto"/>
        <w:right w:val="none" w:sz="0" w:space="0" w:color="auto"/>
      </w:divBdr>
    </w:div>
    <w:div w:id="250627092">
      <w:bodyDiv w:val="1"/>
      <w:marLeft w:val="0"/>
      <w:marRight w:val="0"/>
      <w:marTop w:val="0"/>
      <w:marBottom w:val="0"/>
      <w:divBdr>
        <w:top w:val="none" w:sz="0" w:space="0" w:color="auto"/>
        <w:left w:val="none" w:sz="0" w:space="0" w:color="auto"/>
        <w:bottom w:val="none" w:sz="0" w:space="0" w:color="auto"/>
        <w:right w:val="none" w:sz="0" w:space="0" w:color="auto"/>
      </w:divBdr>
    </w:div>
    <w:div w:id="251010176">
      <w:bodyDiv w:val="1"/>
      <w:marLeft w:val="0"/>
      <w:marRight w:val="0"/>
      <w:marTop w:val="0"/>
      <w:marBottom w:val="0"/>
      <w:divBdr>
        <w:top w:val="none" w:sz="0" w:space="0" w:color="auto"/>
        <w:left w:val="none" w:sz="0" w:space="0" w:color="auto"/>
        <w:bottom w:val="none" w:sz="0" w:space="0" w:color="auto"/>
        <w:right w:val="none" w:sz="0" w:space="0" w:color="auto"/>
      </w:divBdr>
    </w:div>
    <w:div w:id="251940900">
      <w:bodyDiv w:val="1"/>
      <w:marLeft w:val="0"/>
      <w:marRight w:val="0"/>
      <w:marTop w:val="0"/>
      <w:marBottom w:val="0"/>
      <w:divBdr>
        <w:top w:val="none" w:sz="0" w:space="0" w:color="auto"/>
        <w:left w:val="none" w:sz="0" w:space="0" w:color="auto"/>
        <w:bottom w:val="none" w:sz="0" w:space="0" w:color="auto"/>
        <w:right w:val="none" w:sz="0" w:space="0" w:color="auto"/>
      </w:divBdr>
      <w:divsChild>
        <w:div w:id="18326740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8547452">
              <w:marLeft w:val="0"/>
              <w:marRight w:val="0"/>
              <w:marTop w:val="0"/>
              <w:marBottom w:val="0"/>
              <w:divBdr>
                <w:top w:val="none" w:sz="0" w:space="0" w:color="auto"/>
                <w:left w:val="none" w:sz="0" w:space="0" w:color="auto"/>
                <w:bottom w:val="none" w:sz="0" w:space="0" w:color="auto"/>
                <w:right w:val="none" w:sz="0" w:space="0" w:color="auto"/>
              </w:divBdr>
              <w:divsChild>
                <w:div w:id="2139910994">
                  <w:marLeft w:val="0"/>
                  <w:marRight w:val="0"/>
                  <w:marTop w:val="0"/>
                  <w:marBottom w:val="0"/>
                  <w:divBdr>
                    <w:top w:val="none" w:sz="0" w:space="0" w:color="auto"/>
                    <w:left w:val="none" w:sz="0" w:space="0" w:color="auto"/>
                    <w:bottom w:val="none" w:sz="0" w:space="0" w:color="auto"/>
                    <w:right w:val="none" w:sz="0" w:space="0" w:color="auto"/>
                  </w:divBdr>
                  <w:divsChild>
                    <w:div w:id="1051491233">
                      <w:marLeft w:val="0"/>
                      <w:marRight w:val="0"/>
                      <w:marTop w:val="0"/>
                      <w:marBottom w:val="0"/>
                      <w:divBdr>
                        <w:top w:val="none" w:sz="0" w:space="0" w:color="auto"/>
                        <w:left w:val="none" w:sz="0" w:space="0" w:color="auto"/>
                        <w:bottom w:val="none" w:sz="0" w:space="0" w:color="auto"/>
                        <w:right w:val="none" w:sz="0" w:space="0" w:color="auto"/>
                      </w:divBdr>
                      <w:divsChild>
                        <w:div w:id="714818286">
                          <w:marLeft w:val="0"/>
                          <w:marRight w:val="0"/>
                          <w:marTop w:val="0"/>
                          <w:marBottom w:val="0"/>
                          <w:divBdr>
                            <w:top w:val="none" w:sz="0" w:space="0" w:color="auto"/>
                            <w:left w:val="none" w:sz="0" w:space="0" w:color="auto"/>
                            <w:bottom w:val="none" w:sz="0" w:space="0" w:color="auto"/>
                            <w:right w:val="none" w:sz="0" w:space="0" w:color="auto"/>
                          </w:divBdr>
                          <w:divsChild>
                            <w:div w:id="96974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012779">
      <w:bodyDiv w:val="1"/>
      <w:marLeft w:val="0"/>
      <w:marRight w:val="0"/>
      <w:marTop w:val="0"/>
      <w:marBottom w:val="0"/>
      <w:divBdr>
        <w:top w:val="none" w:sz="0" w:space="0" w:color="auto"/>
        <w:left w:val="none" w:sz="0" w:space="0" w:color="auto"/>
        <w:bottom w:val="none" w:sz="0" w:space="0" w:color="auto"/>
        <w:right w:val="none" w:sz="0" w:space="0" w:color="auto"/>
      </w:divBdr>
    </w:div>
    <w:div w:id="252594218">
      <w:bodyDiv w:val="1"/>
      <w:marLeft w:val="0"/>
      <w:marRight w:val="0"/>
      <w:marTop w:val="0"/>
      <w:marBottom w:val="0"/>
      <w:divBdr>
        <w:top w:val="none" w:sz="0" w:space="0" w:color="auto"/>
        <w:left w:val="none" w:sz="0" w:space="0" w:color="auto"/>
        <w:bottom w:val="none" w:sz="0" w:space="0" w:color="auto"/>
        <w:right w:val="none" w:sz="0" w:space="0" w:color="auto"/>
      </w:divBdr>
    </w:div>
    <w:div w:id="253056513">
      <w:bodyDiv w:val="1"/>
      <w:marLeft w:val="0"/>
      <w:marRight w:val="0"/>
      <w:marTop w:val="0"/>
      <w:marBottom w:val="0"/>
      <w:divBdr>
        <w:top w:val="none" w:sz="0" w:space="0" w:color="auto"/>
        <w:left w:val="none" w:sz="0" w:space="0" w:color="auto"/>
        <w:bottom w:val="none" w:sz="0" w:space="0" w:color="auto"/>
        <w:right w:val="none" w:sz="0" w:space="0" w:color="auto"/>
      </w:divBdr>
    </w:div>
    <w:div w:id="253591474">
      <w:bodyDiv w:val="1"/>
      <w:marLeft w:val="0"/>
      <w:marRight w:val="0"/>
      <w:marTop w:val="0"/>
      <w:marBottom w:val="0"/>
      <w:divBdr>
        <w:top w:val="none" w:sz="0" w:space="0" w:color="auto"/>
        <w:left w:val="none" w:sz="0" w:space="0" w:color="auto"/>
        <w:bottom w:val="none" w:sz="0" w:space="0" w:color="auto"/>
        <w:right w:val="none" w:sz="0" w:space="0" w:color="auto"/>
      </w:divBdr>
    </w:div>
    <w:div w:id="254099584">
      <w:bodyDiv w:val="1"/>
      <w:marLeft w:val="0"/>
      <w:marRight w:val="0"/>
      <w:marTop w:val="0"/>
      <w:marBottom w:val="0"/>
      <w:divBdr>
        <w:top w:val="none" w:sz="0" w:space="0" w:color="auto"/>
        <w:left w:val="none" w:sz="0" w:space="0" w:color="auto"/>
        <w:bottom w:val="none" w:sz="0" w:space="0" w:color="auto"/>
        <w:right w:val="none" w:sz="0" w:space="0" w:color="auto"/>
      </w:divBdr>
    </w:div>
    <w:div w:id="254170701">
      <w:bodyDiv w:val="1"/>
      <w:marLeft w:val="0"/>
      <w:marRight w:val="0"/>
      <w:marTop w:val="0"/>
      <w:marBottom w:val="0"/>
      <w:divBdr>
        <w:top w:val="none" w:sz="0" w:space="0" w:color="auto"/>
        <w:left w:val="none" w:sz="0" w:space="0" w:color="auto"/>
        <w:bottom w:val="none" w:sz="0" w:space="0" w:color="auto"/>
        <w:right w:val="none" w:sz="0" w:space="0" w:color="auto"/>
      </w:divBdr>
    </w:div>
    <w:div w:id="254483277">
      <w:bodyDiv w:val="1"/>
      <w:marLeft w:val="0"/>
      <w:marRight w:val="0"/>
      <w:marTop w:val="0"/>
      <w:marBottom w:val="0"/>
      <w:divBdr>
        <w:top w:val="none" w:sz="0" w:space="0" w:color="auto"/>
        <w:left w:val="none" w:sz="0" w:space="0" w:color="auto"/>
        <w:bottom w:val="none" w:sz="0" w:space="0" w:color="auto"/>
        <w:right w:val="none" w:sz="0" w:space="0" w:color="auto"/>
      </w:divBdr>
    </w:div>
    <w:div w:id="255555394">
      <w:bodyDiv w:val="1"/>
      <w:marLeft w:val="0"/>
      <w:marRight w:val="0"/>
      <w:marTop w:val="0"/>
      <w:marBottom w:val="0"/>
      <w:divBdr>
        <w:top w:val="none" w:sz="0" w:space="0" w:color="auto"/>
        <w:left w:val="none" w:sz="0" w:space="0" w:color="auto"/>
        <w:bottom w:val="none" w:sz="0" w:space="0" w:color="auto"/>
        <w:right w:val="none" w:sz="0" w:space="0" w:color="auto"/>
      </w:divBdr>
    </w:div>
    <w:div w:id="255870313">
      <w:bodyDiv w:val="1"/>
      <w:marLeft w:val="0"/>
      <w:marRight w:val="0"/>
      <w:marTop w:val="0"/>
      <w:marBottom w:val="0"/>
      <w:divBdr>
        <w:top w:val="none" w:sz="0" w:space="0" w:color="auto"/>
        <w:left w:val="none" w:sz="0" w:space="0" w:color="auto"/>
        <w:bottom w:val="none" w:sz="0" w:space="0" w:color="auto"/>
        <w:right w:val="none" w:sz="0" w:space="0" w:color="auto"/>
      </w:divBdr>
    </w:div>
    <w:div w:id="257104187">
      <w:bodyDiv w:val="1"/>
      <w:marLeft w:val="0"/>
      <w:marRight w:val="0"/>
      <w:marTop w:val="0"/>
      <w:marBottom w:val="0"/>
      <w:divBdr>
        <w:top w:val="none" w:sz="0" w:space="0" w:color="auto"/>
        <w:left w:val="none" w:sz="0" w:space="0" w:color="auto"/>
        <w:bottom w:val="none" w:sz="0" w:space="0" w:color="auto"/>
        <w:right w:val="none" w:sz="0" w:space="0" w:color="auto"/>
      </w:divBdr>
    </w:div>
    <w:div w:id="257641711">
      <w:bodyDiv w:val="1"/>
      <w:marLeft w:val="0"/>
      <w:marRight w:val="0"/>
      <w:marTop w:val="0"/>
      <w:marBottom w:val="0"/>
      <w:divBdr>
        <w:top w:val="none" w:sz="0" w:space="0" w:color="auto"/>
        <w:left w:val="none" w:sz="0" w:space="0" w:color="auto"/>
        <w:bottom w:val="none" w:sz="0" w:space="0" w:color="auto"/>
        <w:right w:val="none" w:sz="0" w:space="0" w:color="auto"/>
      </w:divBdr>
    </w:div>
    <w:div w:id="258687233">
      <w:bodyDiv w:val="1"/>
      <w:marLeft w:val="0"/>
      <w:marRight w:val="0"/>
      <w:marTop w:val="0"/>
      <w:marBottom w:val="0"/>
      <w:divBdr>
        <w:top w:val="none" w:sz="0" w:space="0" w:color="auto"/>
        <w:left w:val="none" w:sz="0" w:space="0" w:color="auto"/>
        <w:bottom w:val="none" w:sz="0" w:space="0" w:color="auto"/>
        <w:right w:val="none" w:sz="0" w:space="0" w:color="auto"/>
      </w:divBdr>
    </w:div>
    <w:div w:id="258880135">
      <w:bodyDiv w:val="1"/>
      <w:marLeft w:val="0"/>
      <w:marRight w:val="0"/>
      <w:marTop w:val="0"/>
      <w:marBottom w:val="0"/>
      <w:divBdr>
        <w:top w:val="none" w:sz="0" w:space="0" w:color="auto"/>
        <w:left w:val="none" w:sz="0" w:space="0" w:color="auto"/>
        <w:bottom w:val="none" w:sz="0" w:space="0" w:color="auto"/>
        <w:right w:val="none" w:sz="0" w:space="0" w:color="auto"/>
      </w:divBdr>
    </w:div>
    <w:div w:id="259879400">
      <w:bodyDiv w:val="1"/>
      <w:marLeft w:val="0"/>
      <w:marRight w:val="0"/>
      <w:marTop w:val="0"/>
      <w:marBottom w:val="0"/>
      <w:divBdr>
        <w:top w:val="none" w:sz="0" w:space="0" w:color="auto"/>
        <w:left w:val="none" w:sz="0" w:space="0" w:color="auto"/>
        <w:bottom w:val="none" w:sz="0" w:space="0" w:color="auto"/>
        <w:right w:val="none" w:sz="0" w:space="0" w:color="auto"/>
      </w:divBdr>
    </w:div>
    <w:div w:id="261038338">
      <w:bodyDiv w:val="1"/>
      <w:marLeft w:val="0"/>
      <w:marRight w:val="0"/>
      <w:marTop w:val="0"/>
      <w:marBottom w:val="0"/>
      <w:divBdr>
        <w:top w:val="none" w:sz="0" w:space="0" w:color="auto"/>
        <w:left w:val="none" w:sz="0" w:space="0" w:color="auto"/>
        <w:bottom w:val="none" w:sz="0" w:space="0" w:color="auto"/>
        <w:right w:val="none" w:sz="0" w:space="0" w:color="auto"/>
      </w:divBdr>
    </w:div>
    <w:div w:id="261306829">
      <w:bodyDiv w:val="1"/>
      <w:marLeft w:val="0"/>
      <w:marRight w:val="0"/>
      <w:marTop w:val="0"/>
      <w:marBottom w:val="0"/>
      <w:divBdr>
        <w:top w:val="none" w:sz="0" w:space="0" w:color="auto"/>
        <w:left w:val="none" w:sz="0" w:space="0" w:color="auto"/>
        <w:bottom w:val="none" w:sz="0" w:space="0" w:color="auto"/>
        <w:right w:val="none" w:sz="0" w:space="0" w:color="auto"/>
      </w:divBdr>
    </w:div>
    <w:div w:id="262227787">
      <w:bodyDiv w:val="1"/>
      <w:marLeft w:val="0"/>
      <w:marRight w:val="0"/>
      <w:marTop w:val="0"/>
      <w:marBottom w:val="0"/>
      <w:divBdr>
        <w:top w:val="none" w:sz="0" w:space="0" w:color="auto"/>
        <w:left w:val="none" w:sz="0" w:space="0" w:color="auto"/>
        <w:bottom w:val="none" w:sz="0" w:space="0" w:color="auto"/>
        <w:right w:val="none" w:sz="0" w:space="0" w:color="auto"/>
      </w:divBdr>
    </w:div>
    <w:div w:id="262347989">
      <w:bodyDiv w:val="1"/>
      <w:marLeft w:val="0"/>
      <w:marRight w:val="0"/>
      <w:marTop w:val="0"/>
      <w:marBottom w:val="0"/>
      <w:divBdr>
        <w:top w:val="none" w:sz="0" w:space="0" w:color="auto"/>
        <w:left w:val="none" w:sz="0" w:space="0" w:color="auto"/>
        <w:bottom w:val="none" w:sz="0" w:space="0" w:color="auto"/>
        <w:right w:val="none" w:sz="0" w:space="0" w:color="auto"/>
      </w:divBdr>
    </w:div>
    <w:div w:id="263003896">
      <w:bodyDiv w:val="1"/>
      <w:marLeft w:val="0"/>
      <w:marRight w:val="0"/>
      <w:marTop w:val="0"/>
      <w:marBottom w:val="0"/>
      <w:divBdr>
        <w:top w:val="none" w:sz="0" w:space="0" w:color="auto"/>
        <w:left w:val="none" w:sz="0" w:space="0" w:color="auto"/>
        <w:bottom w:val="none" w:sz="0" w:space="0" w:color="auto"/>
        <w:right w:val="none" w:sz="0" w:space="0" w:color="auto"/>
      </w:divBdr>
    </w:div>
    <w:div w:id="263274241">
      <w:bodyDiv w:val="1"/>
      <w:marLeft w:val="0"/>
      <w:marRight w:val="0"/>
      <w:marTop w:val="0"/>
      <w:marBottom w:val="0"/>
      <w:divBdr>
        <w:top w:val="none" w:sz="0" w:space="0" w:color="auto"/>
        <w:left w:val="none" w:sz="0" w:space="0" w:color="auto"/>
        <w:bottom w:val="none" w:sz="0" w:space="0" w:color="auto"/>
        <w:right w:val="none" w:sz="0" w:space="0" w:color="auto"/>
      </w:divBdr>
    </w:div>
    <w:div w:id="264190368">
      <w:bodyDiv w:val="1"/>
      <w:marLeft w:val="0"/>
      <w:marRight w:val="0"/>
      <w:marTop w:val="0"/>
      <w:marBottom w:val="0"/>
      <w:divBdr>
        <w:top w:val="none" w:sz="0" w:space="0" w:color="auto"/>
        <w:left w:val="none" w:sz="0" w:space="0" w:color="auto"/>
        <w:bottom w:val="none" w:sz="0" w:space="0" w:color="auto"/>
        <w:right w:val="none" w:sz="0" w:space="0" w:color="auto"/>
      </w:divBdr>
    </w:div>
    <w:div w:id="264314767">
      <w:bodyDiv w:val="1"/>
      <w:marLeft w:val="0"/>
      <w:marRight w:val="0"/>
      <w:marTop w:val="0"/>
      <w:marBottom w:val="0"/>
      <w:divBdr>
        <w:top w:val="none" w:sz="0" w:space="0" w:color="auto"/>
        <w:left w:val="none" w:sz="0" w:space="0" w:color="auto"/>
        <w:bottom w:val="none" w:sz="0" w:space="0" w:color="auto"/>
        <w:right w:val="none" w:sz="0" w:space="0" w:color="auto"/>
      </w:divBdr>
    </w:div>
    <w:div w:id="265773032">
      <w:bodyDiv w:val="1"/>
      <w:marLeft w:val="0"/>
      <w:marRight w:val="0"/>
      <w:marTop w:val="0"/>
      <w:marBottom w:val="0"/>
      <w:divBdr>
        <w:top w:val="none" w:sz="0" w:space="0" w:color="auto"/>
        <w:left w:val="none" w:sz="0" w:space="0" w:color="auto"/>
        <w:bottom w:val="none" w:sz="0" w:space="0" w:color="auto"/>
        <w:right w:val="none" w:sz="0" w:space="0" w:color="auto"/>
      </w:divBdr>
    </w:div>
    <w:div w:id="267205607">
      <w:bodyDiv w:val="1"/>
      <w:marLeft w:val="0"/>
      <w:marRight w:val="0"/>
      <w:marTop w:val="0"/>
      <w:marBottom w:val="0"/>
      <w:divBdr>
        <w:top w:val="none" w:sz="0" w:space="0" w:color="auto"/>
        <w:left w:val="none" w:sz="0" w:space="0" w:color="auto"/>
        <w:bottom w:val="none" w:sz="0" w:space="0" w:color="auto"/>
        <w:right w:val="none" w:sz="0" w:space="0" w:color="auto"/>
      </w:divBdr>
    </w:div>
    <w:div w:id="267396073">
      <w:bodyDiv w:val="1"/>
      <w:marLeft w:val="0"/>
      <w:marRight w:val="0"/>
      <w:marTop w:val="0"/>
      <w:marBottom w:val="0"/>
      <w:divBdr>
        <w:top w:val="none" w:sz="0" w:space="0" w:color="auto"/>
        <w:left w:val="none" w:sz="0" w:space="0" w:color="auto"/>
        <w:bottom w:val="none" w:sz="0" w:space="0" w:color="auto"/>
        <w:right w:val="none" w:sz="0" w:space="0" w:color="auto"/>
      </w:divBdr>
    </w:div>
    <w:div w:id="267467698">
      <w:bodyDiv w:val="1"/>
      <w:marLeft w:val="0"/>
      <w:marRight w:val="0"/>
      <w:marTop w:val="0"/>
      <w:marBottom w:val="0"/>
      <w:divBdr>
        <w:top w:val="none" w:sz="0" w:space="0" w:color="auto"/>
        <w:left w:val="none" w:sz="0" w:space="0" w:color="auto"/>
        <w:bottom w:val="none" w:sz="0" w:space="0" w:color="auto"/>
        <w:right w:val="none" w:sz="0" w:space="0" w:color="auto"/>
      </w:divBdr>
    </w:div>
    <w:div w:id="267469747">
      <w:bodyDiv w:val="1"/>
      <w:marLeft w:val="0"/>
      <w:marRight w:val="0"/>
      <w:marTop w:val="0"/>
      <w:marBottom w:val="0"/>
      <w:divBdr>
        <w:top w:val="none" w:sz="0" w:space="0" w:color="auto"/>
        <w:left w:val="none" w:sz="0" w:space="0" w:color="auto"/>
        <w:bottom w:val="none" w:sz="0" w:space="0" w:color="auto"/>
        <w:right w:val="none" w:sz="0" w:space="0" w:color="auto"/>
      </w:divBdr>
    </w:div>
    <w:div w:id="268436662">
      <w:bodyDiv w:val="1"/>
      <w:marLeft w:val="0"/>
      <w:marRight w:val="0"/>
      <w:marTop w:val="0"/>
      <w:marBottom w:val="0"/>
      <w:divBdr>
        <w:top w:val="none" w:sz="0" w:space="0" w:color="auto"/>
        <w:left w:val="none" w:sz="0" w:space="0" w:color="auto"/>
        <w:bottom w:val="none" w:sz="0" w:space="0" w:color="auto"/>
        <w:right w:val="none" w:sz="0" w:space="0" w:color="auto"/>
      </w:divBdr>
    </w:div>
    <w:div w:id="269554016">
      <w:bodyDiv w:val="1"/>
      <w:marLeft w:val="0"/>
      <w:marRight w:val="0"/>
      <w:marTop w:val="0"/>
      <w:marBottom w:val="0"/>
      <w:divBdr>
        <w:top w:val="none" w:sz="0" w:space="0" w:color="auto"/>
        <w:left w:val="none" w:sz="0" w:space="0" w:color="auto"/>
        <w:bottom w:val="none" w:sz="0" w:space="0" w:color="auto"/>
        <w:right w:val="none" w:sz="0" w:space="0" w:color="auto"/>
      </w:divBdr>
    </w:div>
    <w:div w:id="270479413">
      <w:bodyDiv w:val="1"/>
      <w:marLeft w:val="0"/>
      <w:marRight w:val="0"/>
      <w:marTop w:val="0"/>
      <w:marBottom w:val="0"/>
      <w:divBdr>
        <w:top w:val="none" w:sz="0" w:space="0" w:color="auto"/>
        <w:left w:val="none" w:sz="0" w:space="0" w:color="auto"/>
        <w:bottom w:val="none" w:sz="0" w:space="0" w:color="auto"/>
        <w:right w:val="none" w:sz="0" w:space="0" w:color="auto"/>
      </w:divBdr>
    </w:div>
    <w:div w:id="270629170">
      <w:bodyDiv w:val="1"/>
      <w:marLeft w:val="0"/>
      <w:marRight w:val="0"/>
      <w:marTop w:val="0"/>
      <w:marBottom w:val="0"/>
      <w:divBdr>
        <w:top w:val="none" w:sz="0" w:space="0" w:color="auto"/>
        <w:left w:val="none" w:sz="0" w:space="0" w:color="auto"/>
        <w:bottom w:val="none" w:sz="0" w:space="0" w:color="auto"/>
        <w:right w:val="none" w:sz="0" w:space="0" w:color="auto"/>
      </w:divBdr>
    </w:div>
    <w:div w:id="271400541">
      <w:bodyDiv w:val="1"/>
      <w:marLeft w:val="0"/>
      <w:marRight w:val="0"/>
      <w:marTop w:val="0"/>
      <w:marBottom w:val="0"/>
      <w:divBdr>
        <w:top w:val="none" w:sz="0" w:space="0" w:color="auto"/>
        <w:left w:val="none" w:sz="0" w:space="0" w:color="auto"/>
        <w:bottom w:val="none" w:sz="0" w:space="0" w:color="auto"/>
        <w:right w:val="none" w:sz="0" w:space="0" w:color="auto"/>
      </w:divBdr>
    </w:div>
    <w:div w:id="273636472">
      <w:bodyDiv w:val="1"/>
      <w:marLeft w:val="0"/>
      <w:marRight w:val="0"/>
      <w:marTop w:val="0"/>
      <w:marBottom w:val="0"/>
      <w:divBdr>
        <w:top w:val="none" w:sz="0" w:space="0" w:color="auto"/>
        <w:left w:val="none" w:sz="0" w:space="0" w:color="auto"/>
        <w:bottom w:val="none" w:sz="0" w:space="0" w:color="auto"/>
        <w:right w:val="none" w:sz="0" w:space="0" w:color="auto"/>
      </w:divBdr>
    </w:div>
    <w:div w:id="274405076">
      <w:bodyDiv w:val="1"/>
      <w:marLeft w:val="0"/>
      <w:marRight w:val="0"/>
      <w:marTop w:val="0"/>
      <w:marBottom w:val="0"/>
      <w:divBdr>
        <w:top w:val="none" w:sz="0" w:space="0" w:color="auto"/>
        <w:left w:val="none" w:sz="0" w:space="0" w:color="auto"/>
        <w:bottom w:val="none" w:sz="0" w:space="0" w:color="auto"/>
        <w:right w:val="none" w:sz="0" w:space="0" w:color="auto"/>
      </w:divBdr>
    </w:div>
    <w:div w:id="275404987">
      <w:bodyDiv w:val="1"/>
      <w:marLeft w:val="0"/>
      <w:marRight w:val="0"/>
      <w:marTop w:val="0"/>
      <w:marBottom w:val="0"/>
      <w:divBdr>
        <w:top w:val="none" w:sz="0" w:space="0" w:color="auto"/>
        <w:left w:val="none" w:sz="0" w:space="0" w:color="auto"/>
        <w:bottom w:val="none" w:sz="0" w:space="0" w:color="auto"/>
        <w:right w:val="none" w:sz="0" w:space="0" w:color="auto"/>
      </w:divBdr>
    </w:div>
    <w:div w:id="275911490">
      <w:bodyDiv w:val="1"/>
      <w:marLeft w:val="0"/>
      <w:marRight w:val="0"/>
      <w:marTop w:val="0"/>
      <w:marBottom w:val="0"/>
      <w:divBdr>
        <w:top w:val="none" w:sz="0" w:space="0" w:color="auto"/>
        <w:left w:val="none" w:sz="0" w:space="0" w:color="auto"/>
        <w:bottom w:val="none" w:sz="0" w:space="0" w:color="auto"/>
        <w:right w:val="none" w:sz="0" w:space="0" w:color="auto"/>
      </w:divBdr>
    </w:div>
    <w:div w:id="277681358">
      <w:bodyDiv w:val="1"/>
      <w:marLeft w:val="0"/>
      <w:marRight w:val="0"/>
      <w:marTop w:val="0"/>
      <w:marBottom w:val="0"/>
      <w:divBdr>
        <w:top w:val="none" w:sz="0" w:space="0" w:color="auto"/>
        <w:left w:val="none" w:sz="0" w:space="0" w:color="auto"/>
        <w:bottom w:val="none" w:sz="0" w:space="0" w:color="auto"/>
        <w:right w:val="none" w:sz="0" w:space="0" w:color="auto"/>
      </w:divBdr>
    </w:div>
    <w:div w:id="278144248">
      <w:bodyDiv w:val="1"/>
      <w:marLeft w:val="0"/>
      <w:marRight w:val="0"/>
      <w:marTop w:val="0"/>
      <w:marBottom w:val="0"/>
      <w:divBdr>
        <w:top w:val="none" w:sz="0" w:space="0" w:color="auto"/>
        <w:left w:val="none" w:sz="0" w:space="0" w:color="auto"/>
        <w:bottom w:val="none" w:sz="0" w:space="0" w:color="auto"/>
        <w:right w:val="none" w:sz="0" w:space="0" w:color="auto"/>
      </w:divBdr>
    </w:div>
    <w:div w:id="280190065">
      <w:bodyDiv w:val="1"/>
      <w:marLeft w:val="0"/>
      <w:marRight w:val="0"/>
      <w:marTop w:val="0"/>
      <w:marBottom w:val="0"/>
      <w:divBdr>
        <w:top w:val="none" w:sz="0" w:space="0" w:color="auto"/>
        <w:left w:val="none" w:sz="0" w:space="0" w:color="auto"/>
        <w:bottom w:val="none" w:sz="0" w:space="0" w:color="auto"/>
        <w:right w:val="none" w:sz="0" w:space="0" w:color="auto"/>
      </w:divBdr>
    </w:div>
    <w:div w:id="280961374">
      <w:bodyDiv w:val="1"/>
      <w:marLeft w:val="0"/>
      <w:marRight w:val="0"/>
      <w:marTop w:val="0"/>
      <w:marBottom w:val="0"/>
      <w:divBdr>
        <w:top w:val="none" w:sz="0" w:space="0" w:color="auto"/>
        <w:left w:val="none" w:sz="0" w:space="0" w:color="auto"/>
        <w:bottom w:val="none" w:sz="0" w:space="0" w:color="auto"/>
        <w:right w:val="none" w:sz="0" w:space="0" w:color="auto"/>
      </w:divBdr>
    </w:div>
    <w:div w:id="281767140">
      <w:bodyDiv w:val="1"/>
      <w:marLeft w:val="0"/>
      <w:marRight w:val="0"/>
      <w:marTop w:val="0"/>
      <w:marBottom w:val="0"/>
      <w:divBdr>
        <w:top w:val="none" w:sz="0" w:space="0" w:color="auto"/>
        <w:left w:val="none" w:sz="0" w:space="0" w:color="auto"/>
        <w:bottom w:val="none" w:sz="0" w:space="0" w:color="auto"/>
        <w:right w:val="none" w:sz="0" w:space="0" w:color="auto"/>
      </w:divBdr>
    </w:div>
    <w:div w:id="282228160">
      <w:bodyDiv w:val="1"/>
      <w:marLeft w:val="0"/>
      <w:marRight w:val="0"/>
      <w:marTop w:val="0"/>
      <w:marBottom w:val="0"/>
      <w:divBdr>
        <w:top w:val="none" w:sz="0" w:space="0" w:color="auto"/>
        <w:left w:val="none" w:sz="0" w:space="0" w:color="auto"/>
        <w:bottom w:val="none" w:sz="0" w:space="0" w:color="auto"/>
        <w:right w:val="none" w:sz="0" w:space="0" w:color="auto"/>
      </w:divBdr>
    </w:div>
    <w:div w:id="283578019">
      <w:bodyDiv w:val="1"/>
      <w:marLeft w:val="0"/>
      <w:marRight w:val="0"/>
      <w:marTop w:val="0"/>
      <w:marBottom w:val="0"/>
      <w:divBdr>
        <w:top w:val="none" w:sz="0" w:space="0" w:color="auto"/>
        <w:left w:val="none" w:sz="0" w:space="0" w:color="auto"/>
        <w:bottom w:val="none" w:sz="0" w:space="0" w:color="auto"/>
        <w:right w:val="none" w:sz="0" w:space="0" w:color="auto"/>
      </w:divBdr>
    </w:div>
    <w:div w:id="283847554">
      <w:bodyDiv w:val="1"/>
      <w:marLeft w:val="0"/>
      <w:marRight w:val="0"/>
      <w:marTop w:val="0"/>
      <w:marBottom w:val="0"/>
      <w:divBdr>
        <w:top w:val="none" w:sz="0" w:space="0" w:color="auto"/>
        <w:left w:val="none" w:sz="0" w:space="0" w:color="auto"/>
        <w:bottom w:val="none" w:sz="0" w:space="0" w:color="auto"/>
        <w:right w:val="none" w:sz="0" w:space="0" w:color="auto"/>
      </w:divBdr>
    </w:div>
    <w:div w:id="284234679">
      <w:bodyDiv w:val="1"/>
      <w:marLeft w:val="0"/>
      <w:marRight w:val="0"/>
      <w:marTop w:val="0"/>
      <w:marBottom w:val="0"/>
      <w:divBdr>
        <w:top w:val="none" w:sz="0" w:space="0" w:color="auto"/>
        <w:left w:val="none" w:sz="0" w:space="0" w:color="auto"/>
        <w:bottom w:val="none" w:sz="0" w:space="0" w:color="auto"/>
        <w:right w:val="none" w:sz="0" w:space="0" w:color="auto"/>
      </w:divBdr>
    </w:div>
    <w:div w:id="284969280">
      <w:bodyDiv w:val="1"/>
      <w:marLeft w:val="0"/>
      <w:marRight w:val="0"/>
      <w:marTop w:val="0"/>
      <w:marBottom w:val="0"/>
      <w:divBdr>
        <w:top w:val="none" w:sz="0" w:space="0" w:color="auto"/>
        <w:left w:val="none" w:sz="0" w:space="0" w:color="auto"/>
        <w:bottom w:val="none" w:sz="0" w:space="0" w:color="auto"/>
        <w:right w:val="none" w:sz="0" w:space="0" w:color="auto"/>
      </w:divBdr>
    </w:div>
    <w:div w:id="285086256">
      <w:bodyDiv w:val="1"/>
      <w:marLeft w:val="0"/>
      <w:marRight w:val="0"/>
      <w:marTop w:val="0"/>
      <w:marBottom w:val="0"/>
      <w:divBdr>
        <w:top w:val="none" w:sz="0" w:space="0" w:color="auto"/>
        <w:left w:val="none" w:sz="0" w:space="0" w:color="auto"/>
        <w:bottom w:val="none" w:sz="0" w:space="0" w:color="auto"/>
        <w:right w:val="none" w:sz="0" w:space="0" w:color="auto"/>
      </w:divBdr>
    </w:div>
    <w:div w:id="286786668">
      <w:bodyDiv w:val="1"/>
      <w:marLeft w:val="0"/>
      <w:marRight w:val="0"/>
      <w:marTop w:val="0"/>
      <w:marBottom w:val="0"/>
      <w:divBdr>
        <w:top w:val="none" w:sz="0" w:space="0" w:color="auto"/>
        <w:left w:val="none" w:sz="0" w:space="0" w:color="auto"/>
        <w:bottom w:val="none" w:sz="0" w:space="0" w:color="auto"/>
        <w:right w:val="none" w:sz="0" w:space="0" w:color="auto"/>
      </w:divBdr>
    </w:div>
    <w:div w:id="287123056">
      <w:bodyDiv w:val="1"/>
      <w:marLeft w:val="0"/>
      <w:marRight w:val="0"/>
      <w:marTop w:val="0"/>
      <w:marBottom w:val="0"/>
      <w:divBdr>
        <w:top w:val="none" w:sz="0" w:space="0" w:color="auto"/>
        <w:left w:val="none" w:sz="0" w:space="0" w:color="auto"/>
        <w:bottom w:val="none" w:sz="0" w:space="0" w:color="auto"/>
        <w:right w:val="none" w:sz="0" w:space="0" w:color="auto"/>
      </w:divBdr>
    </w:div>
    <w:div w:id="287132555">
      <w:bodyDiv w:val="1"/>
      <w:marLeft w:val="0"/>
      <w:marRight w:val="0"/>
      <w:marTop w:val="0"/>
      <w:marBottom w:val="0"/>
      <w:divBdr>
        <w:top w:val="none" w:sz="0" w:space="0" w:color="auto"/>
        <w:left w:val="none" w:sz="0" w:space="0" w:color="auto"/>
        <w:bottom w:val="none" w:sz="0" w:space="0" w:color="auto"/>
        <w:right w:val="none" w:sz="0" w:space="0" w:color="auto"/>
      </w:divBdr>
    </w:div>
    <w:div w:id="287246225">
      <w:bodyDiv w:val="1"/>
      <w:marLeft w:val="0"/>
      <w:marRight w:val="0"/>
      <w:marTop w:val="0"/>
      <w:marBottom w:val="0"/>
      <w:divBdr>
        <w:top w:val="none" w:sz="0" w:space="0" w:color="auto"/>
        <w:left w:val="none" w:sz="0" w:space="0" w:color="auto"/>
        <w:bottom w:val="none" w:sz="0" w:space="0" w:color="auto"/>
        <w:right w:val="none" w:sz="0" w:space="0" w:color="auto"/>
      </w:divBdr>
    </w:div>
    <w:div w:id="287859699">
      <w:bodyDiv w:val="1"/>
      <w:marLeft w:val="0"/>
      <w:marRight w:val="0"/>
      <w:marTop w:val="0"/>
      <w:marBottom w:val="0"/>
      <w:divBdr>
        <w:top w:val="none" w:sz="0" w:space="0" w:color="auto"/>
        <w:left w:val="none" w:sz="0" w:space="0" w:color="auto"/>
        <w:bottom w:val="none" w:sz="0" w:space="0" w:color="auto"/>
        <w:right w:val="none" w:sz="0" w:space="0" w:color="auto"/>
      </w:divBdr>
    </w:div>
    <w:div w:id="289627487">
      <w:bodyDiv w:val="1"/>
      <w:marLeft w:val="0"/>
      <w:marRight w:val="0"/>
      <w:marTop w:val="0"/>
      <w:marBottom w:val="0"/>
      <w:divBdr>
        <w:top w:val="none" w:sz="0" w:space="0" w:color="auto"/>
        <w:left w:val="none" w:sz="0" w:space="0" w:color="auto"/>
        <w:bottom w:val="none" w:sz="0" w:space="0" w:color="auto"/>
        <w:right w:val="none" w:sz="0" w:space="0" w:color="auto"/>
      </w:divBdr>
    </w:div>
    <w:div w:id="289748274">
      <w:bodyDiv w:val="1"/>
      <w:marLeft w:val="0"/>
      <w:marRight w:val="0"/>
      <w:marTop w:val="0"/>
      <w:marBottom w:val="0"/>
      <w:divBdr>
        <w:top w:val="none" w:sz="0" w:space="0" w:color="auto"/>
        <w:left w:val="none" w:sz="0" w:space="0" w:color="auto"/>
        <w:bottom w:val="none" w:sz="0" w:space="0" w:color="auto"/>
        <w:right w:val="none" w:sz="0" w:space="0" w:color="auto"/>
      </w:divBdr>
    </w:div>
    <w:div w:id="289820670">
      <w:bodyDiv w:val="1"/>
      <w:marLeft w:val="0"/>
      <w:marRight w:val="0"/>
      <w:marTop w:val="0"/>
      <w:marBottom w:val="0"/>
      <w:divBdr>
        <w:top w:val="none" w:sz="0" w:space="0" w:color="auto"/>
        <w:left w:val="none" w:sz="0" w:space="0" w:color="auto"/>
        <w:bottom w:val="none" w:sz="0" w:space="0" w:color="auto"/>
        <w:right w:val="none" w:sz="0" w:space="0" w:color="auto"/>
      </w:divBdr>
    </w:div>
    <w:div w:id="291136480">
      <w:bodyDiv w:val="1"/>
      <w:marLeft w:val="0"/>
      <w:marRight w:val="0"/>
      <w:marTop w:val="0"/>
      <w:marBottom w:val="0"/>
      <w:divBdr>
        <w:top w:val="none" w:sz="0" w:space="0" w:color="auto"/>
        <w:left w:val="none" w:sz="0" w:space="0" w:color="auto"/>
        <w:bottom w:val="none" w:sz="0" w:space="0" w:color="auto"/>
        <w:right w:val="none" w:sz="0" w:space="0" w:color="auto"/>
      </w:divBdr>
    </w:div>
    <w:div w:id="291719320">
      <w:bodyDiv w:val="1"/>
      <w:marLeft w:val="0"/>
      <w:marRight w:val="0"/>
      <w:marTop w:val="0"/>
      <w:marBottom w:val="0"/>
      <w:divBdr>
        <w:top w:val="none" w:sz="0" w:space="0" w:color="auto"/>
        <w:left w:val="none" w:sz="0" w:space="0" w:color="auto"/>
        <w:bottom w:val="none" w:sz="0" w:space="0" w:color="auto"/>
        <w:right w:val="none" w:sz="0" w:space="0" w:color="auto"/>
      </w:divBdr>
    </w:div>
    <w:div w:id="292059136">
      <w:bodyDiv w:val="1"/>
      <w:marLeft w:val="0"/>
      <w:marRight w:val="0"/>
      <w:marTop w:val="0"/>
      <w:marBottom w:val="0"/>
      <w:divBdr>
        <w:top w:val="none" w:sz="0" w:space="0" w:color="auto"/>
        <w:left w:val="none" w:sz="0" w:space="0" w:color="auto"/>
        <w:bottom w:val="none" w:sz="0" w:space="0" w:color="auto"/>
        <w:right w:val="none" w:sz="0" w:space="0" w:color="auto"/>
      </w:divBdr>
    </w:div>
    <w:div w:id="293679441">
      <w:bodyDiv w:val="1"/>
      <w:marLeft w:val="0"/>
      <w:marRight w:val="0"/>
      <w:marTop w:val="0"/>
      <w:marBottom w:val="0"/>
      <w:divBdr>
        <w:top w:val="none" w:sz="0" w:space="0" w:color="auto"/>
        <w:left w:val="none" w:sz="0" w:space="0" w:color="auto"/>
        <w:bottom w:val="none" w:sz="0" w:space="0" w:color="auto"/>
        <w:right w:val="none" w:sz="0" w:space="0" w:color="auto"/>
      </w:divBdr>
    </w:div>
    <w:div w:id="294602132">
      <w:bodyDiv w:val="1"/>
      <w:marLeft w:val="0"/>
      <w:marRight w:val="0"/>
      <w:marTop w:val="0"/>
      <w:marBottom w:val="0"/>
      <w:divBdr>
        <w:top w:val="none" w:sz="0" w:space="0" w:color="auto"/>
        <w:left w:val="none" w:sz="0" w:space="0" w:color="auto"/>
        <w:bottom w:val="none" w:sz="0" w:space="0" w:color="auto"/>
        <w:right w:val="none" w:sz="0" w:space="0" w:color="auto"/>
      </w:divBdr>
    </w:div>
    <w:div w:id="296035655">
      <w:bodyDiv w:val="1"/>
      <w:marLeft w:val="0"/>
      <w:marRight w:val="0"/>
      <w:marTop w:val="0"/>
      <w:marBottom w:val="0"/>
      <w:divBdr>
        <w:top w:val="none" w:sz="0" w:space="0" w:color="auto"/>
        <w:left w:val="none" w:sz="0" w:space="0" w:color="auto"/>
        <w:bottom w:val="none" w:sz="0" w:space="0" w:color="auto"/>
        <w:right w:val="none" w:sz="0" w:space="0" w:color="auto"/>
      </w:divBdr>
    </w:div>
    <w:div w:id="296644672">
      <w:bodyDiv w:val="1"/>
      <w:marLeft w:val="0"/>
      <w:marRight w:val="0"/>
      <w:marTop w:val="0"/>
      <w:marBottom w:val="0"/>
      <w:divBdr>
        <w:top w:val="none" w:sz="0" w:space="0" w:color="auto"/>
        <w:left w:val="none" w:sz="0" w:space="0" w:color="auto"/>
        <w:bottom w:val="none" w:sz="0" w:space="0" w:color="auto"/>
        <w:right w:val="none" w:sz="0" w:space="0" w:color="auto"/>
      </w:divBdr>
    </w:div>
    <w:div w:id="296883233">
      <w:bodyDiv w:val="1"/>
      <w:marLeft w:val="0"/>
      <w:marRight w:val="0"/>
      <w:marTop w:val="0"/>
      <w:marBottom w:val="0"/>
      <w:divBdr>
        <w:top w:val="none" w:sz="0" w:space="0" w:color="auto"/>
        <w:left w:val="none" w:sz="0" w:space="0" w:color="auto"/>
        <w:bottom w:val="none" w:sz="0" w:space="0" w:color="auto"/>
        <w:right w:val="none" w:sz="0" w:space="0" w:color="auto"/>
      </w:divBdr>
    </w:div>
    <w:div w:id="298342365">
      <w:bodyDiv w:val="1"/>
      <w:marLeft w:val="0"/>
      <w:marRight w:val="0"/>
      <w:marTop w:val="0"/>
      <w:marBottom w:val="0"/>
      <w:divBdr>
        <w:top w:val="none" w:sz="0" w:space="0" w:color="auto"/>
        <w:left w:val="none" w:sz="0" w:space="0" w:color="auto"/>
        <w:bottom w:val="none" w:sz="0" w:space="0" w:color="auto"/>
        <w:right w:val="none" w:sz="0" w:space="0" w:color="auto"/>
      </w:divBdr>
    </w:div>
    <w:div w:id="299237863">
      <w:bodyDiv w:val="1"/>
      <w:marLeft w:val="0"/>
      <w:marRight w:val="0"/>
      <w:marTop w:val="0"/>
      <w:marBottom w:val="0"/>
      <w:divBdr>
        <w:top w:val="none" w:sz="0" w:space="0" w:color="auto"/>
        <w:left w:val="none" w:sz="0" w:space="0" w:color="auto"/>
        <w:bottom w:val="none" w:sz="0" w:space="0" w:color="auto"/>
        <w:right w:val="none" w:sz="0" w:space="0" w:color="auto"/>
      </w:divBdr>
    </w:div>
    <w:div w:id="300961267">
      <w:bodyDiv w:val="1"/>
      <w:marLeft w:val="0"/>
      <w:marRight w:val="0"/>
      <w:marTop w:val="0"/>
      <w:marBottom w:val="0"/>
      <w:divBdr>
        <w:top w:val="none" w:sz="0" w:space="0" w:color="auto"/>
        <w:left w:val="none" w:sz="0" w:space="0" w:color="auto"/>
        <w:bottom w:val="none" w:sz="0" w:space="0" w:color="auto"/>
        <w:right w:val="none" w:sz="0" w:space="0" w:color="auto"/>
      </w:divBdr>
    </w:div>
    <w:div w:id="302349937">
      <w:bodyDiv w:val="1"/>
      <w:marLeft w:val="0"/>
      <w:marRight w:val="0"/>
      <w:marTop w:val="0"/>
      <w:marBottom w:val="0"/>
      <w:divBdr>
        <w:top w:val="none" w:sz="0" w:space="0" w:color="auto"/>
        <w:left w:val="none" w:sz="0" w:space="0" w:color="auto"/>
        <w:bottom w:val="none" w:sz="0" w:space="0" w:color="auto"/>
        <w:right w:val="none" w:sz="0" w:space="0" w:color="auto"/>
      </w:divBdr>
    </w:div>
    <w:div w:id="304628681">
      <w:bodyDiv w:val="1"/>
      <w:marLeft w:val="0"/>
      <w:marRight w:val="0"/>
      <w:marTop w:val="0"/>
      <w:marBottom w:val="0"/>
      <w:divBdr>
        <w:top w:val="none" w:sz="0" w:space="0" w:color="auto"/>
        <w:left w:val="none" w:sz="0" w:space="0" w:color="auto"/>
        <w:bottom w:val="none" w:sz="0" w:space="0" w:color="auto"/>
        <w:right w:val="none" w:sz="0" w:space="0" w:color="auto"/>
      </w:divBdr>
    </w:div>
    <w:div w:id="305282801">
      <w:bodyDiv w:val="1"/>
      <w:marLeft w:val="0"/>
      <w:marRight w:val="0"/>
      <w:marTop w:val="0"/>
      <w:marBottom w:val="0"/>
      <w:divBdr>
        <w:top w:val="none" w:sz="0" w:space="0" w:color="auto"/>
        <w:left w:val="none" w:sz="0" w:space="0" w:color="auto"/>
        <w:bottom w:val="none" w:sz="0" w:space="0" w:color="auto"/>
        <w:right w:val="none" w:sz="0" w:space="0" w:color="auto"/>
      </w:divBdr>
    </w:div>
    <w:div w:id="308481173">
      <w:bodyDiv w:val="1"/>
      <w:marLeft w:val="0"/>
      <w:marRight w:val="0"/>
      <w:marTop w:val="0"/>
      <w:marBottom w:val="0"/>
      <w:divBdr>
        <w:top w:val="none" w:sz="0" w:space="0" w:color="auto"/>
        <w:left w:val="none" w:sz="0" w:space="0" w:color="auto"/>
        <w:bottom w:val="none" w:sz="0" w:space="0" w:color="auto"/>
        <w:right w:val="none" w:sz="0" w:space="0" w:color="auto"/>
      </w:divBdr>
    </w:div>
    <w:div w:id="308483770">
      <w:bodyDiv w:val="1"/>
      <w:marLeft w:val="0"/>
      <w:marRight w:val="0"/>
      <w:marTop w:val="0"/>
      <w:marBottom w:val="0"/>
      <w:divBdr>
        <w:top w:val="none" w:sz="0" w:space="0" w:color="auto"/>
        <w:left w:val="none" w:sz="0" w:space="0" w:color="auto"/>
        <w:bottom w:val="none" w:sz="0" w:space="0" w:color="auto"/>
        <w:right w:val="none" w:sz="0" w:space="0" w:color="auto"/>
      </w:divBdr>
    </w:div>
    <w:div w:id="308680693">
      <w:bodyDiv w:val="1"/>
      <w:marLeft w:val="0"/>
      <w:marRight w:val="0"/>
      <w:marTop w:val="0"/>
      <w:marBottom w:val="0"/>
      <w:divBdr>
        <w:top w:val="none" w:sz="0" w:space="0" w:color="auto"/>
        <w:left w:val="none" w:sz="0" w:space="0" w:color="auto"/>
        <w:bottom w:val="none" w:sz="0" w:space="0" w:color="auto"/>
        <w:right w:val="none" w:sz="0" w:space="0" w:color="auto"/>
      </w:divBdr>
    </w:div>
    <w:div w:id="308680818">
      <w:bodyDiv w:val="1"/>
      <w:marLeft w:val="0"/>
      <w:marRight w:val="0"/>
      <w:marTop w:val="0"/>
      <w:marBottom w:val="0"/>
      <w:divBdr>
        <w:top w:val="none" w:sz="0" w:space="0" w:color="auto"/>
        <w:left w:val="none" w:sz="0" w:space="0" w:color="auto"/>
        <w:bottom w:val="none" w:sz="0" w:space="0" w:color="auto"/>
        <w:right w:val="none" w:sz="0" w:space="0" w:color="auto"/>
      </w:divBdr>
    </w:div>
    <w:div w:id="308749779">
      <w:bodyDiv w:val="1"/>
      <w:marLeft w:val="0"/>
      <w:marRight w:val="0"/>
      <w:marTop w:val="0"/>
      <w:marBottom w:val="0"/>
      <w:divBdr>
        <w:top w:val="none" w:sz="0" w:space="0" w:color="auto"/>
        <w:left w:val="none" w:sz="0" w:space="0" w:color="auto"/>
        <w:bottom w:val="none" w:sz="0" w:space="0" w:color="auto"/>
        <w:right w:val="none" w:sz="0" w:space="0" w:color="auto"/>
      </w:divBdr>
    </w:div>
    <w:div w:id="311107106">
      <w:bodyDiv w:val="1"/>
      <w:marLeft w:val="0"/>
      <w:marRight w:val="0"/>
      <w:marTop w:val="0"/>
      <w:marBottom w:val="0"/>
      <w:divBdr>
        <w:top w:val="none" w:sz="0" w:space="0" w:color="auto"/>
        <w:left w:val="none" w:sz="0" w:space="0" w:color="auto"/>
        <w:bottom w:val="none" w:sz="0" w:space="0" w:color="auto"/>
        <w:right w:val="none" w:sz="0" w:space="0" w:color="auto"/>
      </w:divBdr>
    </w:div>
    <w:div w:id="311638726">
      <w:bodyDiv w:val="1"/>
      <w:marLeft w:val="0"/>
      <w:marRight w:val="0"/>
      <w:marTop w:val="0"/>
      <w:marBottom w:val="0"/>
      <w:divBdr>
        <w:top w:val="none" w:sz="0" w:space="0" w:color="auto"/>
        <w:left w:val="none" w:sz="0" w:space="0" w:color="auto"/>
        <w:bottom w:val="none" w:sz="0" w:space="0" w:color="auto"/>
        <w:right w:val="none" w:sz="0" w:space="0" w:color="auto"/>
      </w:divBdr>
    </w:div>
    <w:div w:id="313527325">
      <w:bodyDiv w:val="1"/>
      <w:marLeft w:val="0"/>
      <w:marRight w:val="0"/>
      <w:marTop w:val="0"/>
      <w:marBottom w:val="0"/>
      <w:divBdr>
        <w:top w:val="none" w:sz="0" w:space="0" w:color="auto"/>
        <w:left w:val="none" w:sz="0" w:space="0" w:color="auto"/>
        <w:bottom w:val="none" w:sz="0" w:space="0" w:color="auto"/>
        <w:right w:val="none" w:sz="0" w:space="0" w:color="auto"/>
      </w:divBdr>
    </w:div>
    <w:div w:id="314376476">
      <w:bodyDiv w:val="1"/>
      <w:marLeft w:val="0"/>
      <w:marRight w:val="0"/>
      <w:marTop w:val="0"/>
      <w:marBottom w:val="0"/>
      <w:divBdr>
        <w:top w:val="none" w:sz="0" w:space="0" w:color="auto"/>
        <w:left w:val="none" w:sz="0" w:space="0" w:color="auto"/>
        <w:bottom w:val="none" w:sz="0" w:space="0" w:color="auto"/>
        <w:right w:val="none" w:sz="0" w:space="0" w:color="auto"/>
      </w:divBdr>
    </w:div>
    <w:div w:id="314578314">
      <w:bodyDiv w:val="1"/>
      <w:marLeft w:val="0"/>
      <w:marRight w:val="0"/>
      <w:marTop w:val="0"/>
      <w:marBottom w:val="0"/>
      <w:divBdr>
        <w:top w:val="none" w:sz="0" w:space="0" w:color="auto"/>
        <w:left w:val="none" w:sz="0" w:space="0" w:color="auto"/>
        <w:bottom w:val="none" w:sz="0" w:space="0" w:color="auto"/>
        <w:right w:val="none" w:sz="0" w:space="0" w:color="auto"/>
      </w:divBdr>
    </w:div>
    <w:div w:id="314724279">
      <w:bodyDiv w:val="1"/>
      <w:marLeft w:val="0"/>
      <w:marRight w:val="0"/>
      <w:marTop w:val="0"/>
      <w:marBottom w:val="0"/>
      <w:divBdr>
        <w:top w:val="none" w:sz="0" w:space="0" w:color="auto"/>
        <w:left w:val="none" w:sz="0" w:space="0" w:color="auto"/>
        <w:bottom w:val="none" w:sz="0" w:space="0" w:color="auto"/>
        <w:right w:val="none" w:sz="0" w:space="0" w:color="auto"/>
      </w:divBdr>
    </w:div>
    <w:div w:id="314917349">
      <w:bodyDiv w:val="1"/>
      <w:marLeft w:val="0"/>
      <w:marRight w:val="0"/>
      <w:marTop w:val="0"/>
      <w:marBottom w:val="0"/>
      <w:divBdr>
        <w:top w:val="none" w:sz="0" w:space="0" w:color="auto"/>
        <w:left w:val="none" w:sz="0" w:space="0" w:color="auto"/>
        <w:bottom w:val="none" w:sz="0" w:space="0" w:color="auto"/>
        <w:right w:val="none" w:sz="0" w:space="0" w:color="auto"/>
      </w:divBdr>
    </w:div>
    <w:div w:id="314919048">
      <w:bodyDiv w:val="1"/>
      <w:marLeft w:val="0"/>
      <w:marRight w:val="0"/>
      <w:marTop w:val="0"/>
      <w:marBottom w:val="0"/>
      <w:divBdr>
        <w:top w:val="none" w:sz="0" w:space="0" w:color="auto"/>
        <w:left w:val="none" w:sz="0" w:space="0" w:color="auto"/>
        <w:bottom w:val="none" w:sz="0" w:space="0" w:color="auto"/>
        <w:right w:val="none" w:sz="0" w:space="0" w:color="auto"/>
      </w:divBdr>
    </w:div>
    <w:div w:id="318272328">
      <w:bodyDiv w:val="1"/>
      <w:marLeft w:val="0"/>
      <w:marRight w:val="0"/>
      <w:marTop w:val="0"/>
      <w:marBottom w:val="0"/>
      <w:divBdr>
        <w:top w:val="none" w:sz="0" w:space="0" w:color="auto"/>
        <w:left w:val="none" w:sz="0" w:space="0" w:color="auto"/>
        <w:bottom w:val="none" w:sz="0" w:space="0" w:color="auto"/>
        <w:right w:val="none" w:sz="0" w:space="0" w:color="auto"/>
      </w:divBdr>
    </w:div>
    <w:div w:id="319117785">
      <w:bodyDiv w:val="1"/>
      <w:marLeft w:val="0"/>
      <w:marRight w:val="0"/>
      <w:marTop w:val="0"/>
      <w:marBottom w:val="0"/>
      <w:divBdr>
        <w:top w:val="none" w:sz="0" w:space="0" w:color="auto"/>
        <w:left w:val="none" w:sz="0" w:space="0" w:color="auto"/>
        <w:bottom w:val="none" w:sz="0" w:space="0" w:color="auto"/>
        <w:right w:val="none" w:sz="0" w:space="0" w:color="auto"/>
      </w:divBdr>
    </w:div>
    <w:div w:id="320500352">
      <w:bodyDiv w:val="1"/>
      <w:marLeft w:val="0"/>
      <w:marRight w:val="0"/>
      <w:marTop w:val="0"/>
      <w:marBottom w:val="0"/>
      <w:divBdr>
        <w:top w:val="none" w:sz="0" w:space="0" w:color="auto"/>
        <w:left w:val="none" w:sz="0" w:space="0" w:color="auto"/>
        <w:bottom w:val="none" w:sz="0" w:space="0" w:color="auto"/>
        <w:right w:val="none" w:sz="0" w:space="0" w:color="auto"/>
      </w:divBdr>
    </w:div>
    <w:div w:id="320544464">
      <w:bodyDiv w:val="1"/>
      <w:marLeft w:val="0"/>
      <w:marRight w:val="0"/>
      <w:marTop w:val="0"/>
      <w:marBottom w:val="0"/>
      <w:divBdr>
        <w:top w:val="none" w:sz="0" w:space="0" w:color="auto"/>
        <w:left w:val="none" w:sz="0" w:space="0" w:color="auto"/>
        <w:bottom w:val="none" w:sz="0" w:space="0" w:color="auto"/>
        <w:right w:val="none" w:sz="0" w:space="0" w:color="auto"/>
      </w:divBdr>
    </w:div>
    <w:div w:id="322583776">
      <w:bodyDiv w:val="1"/>
      <w:marLeft w:val="0"/>
      <w:marRight w:val="0"/>
      <w:marTop w:val="0"/>
      <w:marBottom w:val="0"/>
      <w:divBdr>
        <w:top w:val="none" w:sz="0" w:space="0" w:color="auto"/>
        <w:left w:val="none" w:sz="0" w:space="0" w:color="auto"/>
        <w:bottom w:val="none" w:sz="0" w:space="0" w:color="auto"/>
        <w:right w:val="none" w:sz="0" w:space="0" w:color="auto"/>
      </w:divBdr>
    </w:div>
    <w:div w:id="322902031">
      <w:bodyDiv w:val="1"/>
      <w:marLeft w:val="0"/>
      <w:marRight w:val="0"/>
      <w:marTop w:val="0"/>
      <w:marBottom w:val="0"/>
      <w:divBdr>
        <w:top w:val="none" w:sz="0" w:space="0" w:color="auto"/>
        <w:left w:val="none" w:sz="0" w:space="0" w:color="auto"/>
        <w:bottom w:val="none" w:sz="0" w:space="0" w:color="auto"/>
        <w:right w:val="none" w:sz="0" w:space="0" w:color="auto"/>
      </w:divBdr>
    </w:div>
    <w:div w:id="323629968">
      <w:bodyDiv w:val="1"/>
      <w:marLeft w:val="0"/>
      <w:marRight w:val="0"/>
      <w:marTop w:val="0"/>
      <w:marBottom w:val="0"/>
      <w:divBdr>
        <w:top w:val="none" w:sz="0" w:space="0" w:color="auto"/>
        <w:left w:val="none" w:sz="0" w:space="0" w:color="auto"/>
        <w:bottom w:val="none" w:sz="0" w:space="0" w:color="auto"/>
        <w:right w:val="none" w:sz="0" w:space="0" w:color="auto"/>
      </w:divBdr>
    </w:div>
    <w:div w:id="324286510">
      <w:bodyDiv w:val="1"/>
      <w:marLeft w:val="0"/>
      <w:marRight w:val="0"/>
      <w:marTop w:val="0"/>
      <w:marBottom w:val="0"/>
      <w:divBdr>
        <w:top w:val="none" w:sz="0" w:space="0" w:color="auto"/>
        <w:left w:val="none" w:sz="0" w:space="0" w:color="auto"/>
        <w:bottom w:val="none" w:sz="0" w:space="0" w:color="auto"/>
        <w:right w:val="none" w:sz="0" w:space="0" w:color="auto"/>
      </w:divBdr>
    </w:div>
    <w:div w:id="325593939">
      <w:bodyDiv w:val="1"/>
      <w:marLeft w:val="0"/>
      <w:marRight w:val="0"/>
      <w:marTop w:val="0"/>
      <w:marBottom w:val="0"/>
      <w:divBdr>
        <w:top w:val="none" w:sz="0" w:space="0" w:color="auto"/>
        <w:left w:val="none" w:sz="0" w:space="0" w:color="auto"/>
        <w:bottom w:val="none" w:sz="0" w:space="0" w:color="auto"/>
        <w:right w:val="none" w:sz="0" w:space="0" w:color="auto"/>
      </w:divBdr>
    </w:div>
    <w:div w:id="325594268">
      <w:bodyDiv w:val="1"/>
      <w:marLeft w:val="0"/>
      <w:marRight w:val="0"/>
      <w:marTop w:val="0"/>
      <w:marBottom w:val="0"/>
      <w:divBdr>
        <w:top w:val="none" w:sz="0" w:space="0" w:color="auto"/>
        <w:left w:val="none" w:sz="0" w:space="0" w:color="auto"/>
        <w:bottom w:val="none" w:sz="0" w:space="0" w:color="auto"/>
        <w:right w:val="none" w:sz="0" w:space="0" w:color="auto"/>
      </w:divBdr>
    </w:div>
    <w:div w:id="327028495">
      <w:bodyDiv w:val="1"/>
      <w:marLeft w:val="0"/>
      <w:marRight w:val="0"/>
      <w:marTop w:val="0"/>
      <w:marBottom w:val="0"/>
      <w:divBdr>
        <w:top w:val="none" w:sz="0" w:space="0" w:color="auto"/>
        <w:left w:val="none" w:sz="0" w:space="0" w:color="auto"/>
        <w:bottom w:val="none" w:sz="0" w:space="0" w:color="auto"/>
        <w:right w:val="none" w:sz="0" w:space="0" w:color="auto"/>
      </w:divBdr>
    </w:div>
    <w:div w:id="328487642">
      <w:bodyDiv w:val="1"/>
      <w:marLeft w:val="0"/>
      <w:marRight w:val="0"/>
      <w:marTop w:val="0"/>
      <w:marBottom w:val="0"/>
      <w:divBdr>
        <w:top w:val="none" w:sz="0" w:space="0" w:color="auto"/>
        <w:left w:val="none" w:sz="0" w:space="0" w:color="auto"/>
        <w:bottom w:val="none" w:sz="0" w:space="0" w:color="auto"/>
        <w:right w:val="none" w:sz="0" w:space="0" w:color="auto"/>
      </w:divBdr>
    </w:div>
    <w:div w:id="329064074">
      <w:bodyDiv w:val="1"/>
      <w:marLeft w:val="0"/>
      <w:marRight w:val="0"/>
      <w:marTop w:val="0"/>
      <w:marBottom w:val="0"/>
      <w:divBdr>
        <w:top w:val="none" w:sz="0" w:space="0" w:color="auto"/>
        <w:left w:val="none" w:sz="0" w:space="0" w:color="auto"/>
        <w:bottom w:val="none" w:sz="0" w:space="0" w:color="auto"/>
        <w:right w:val="none" w:sz="0" w:space="0" w:color="auto"/>
      </w:divBdr>
    </w:div>
    <w:div w:id="329452480">
      <w:bodyDiv w:val="1"/>
      <w:marLeft w:val="0"/>
      <w:marRight w:val="0"/>
      <w:marTop w:val="0"/>
      <w:marBottom w:val="0"/>
      <w:divBdr>
        <w:top w:val="none" w:sz="0" w:space="0" w:color="auto"/>
        <w:left w:val="none" w:sz="0" w:space="0" w:color="auto"/>
        <w:bottom w:val="none" w:sz="0" w:space="0" w:color="auto"/>
        <w:right w:val="none" w:sz="0" w:space="0" w:color="auto"/>
      </w:divBdr>
    </w:div>
    <w:div w:id="329869828">
      <w:bodyDiv w:val="1"/>
      <w:marLeft w:val="0"/>
      <w:marRight w:val="0"/>
      <w:marTop w:val="0"/>
      <w:marBottom w:val="0"/>
      <w:divBdr>
        <w:top w:val="none" w:sz="0" w:space="0" w:color="auto"/>
        <w:left w:val="none" w:sz="0" w:space="0" w:color="auto"/>
        <w:bottom w:val="none" w:sz="0" w:space="0" w:color="auto"/>
        <w:right w:val="none" w:sz="0" w:space="0" w:color="auto"/>
      </w:divBdr>
    </w:div>
    <w:div w:id="330067431">
      <w:bodyDiv w:val="1"/>
      <w:marLeft w:val="0"/>
      <w:marRight w:val="0"/>
      <w:marTop w:val="0"/>
      <w:marBottom w:val="0"/>
      <w:divBdr>
        <w:top w:val="none" w:sz="0" w:space="0" w:color="auto"/>
        <w:left w:val="none" w:sz="0" w:space="0" w:color="auto"/>
        <w:bottom w:val="none" w:sz="0" w:space="0" w:color="auto"/>
        <w:right w:val="none" w:sz="0" w:space="0" w:color="auto"/>
      </w:divBdr>
    </w:div>
    <w:div w:id="330648693">
      <w:bodyDiv w:val="1"/>
      <w:marLeft w:val="0"/>
      <w:marRight w:val="0"/>
      <w:marTop w:val="0"/>
      <w:marBottom w:val="0"/>
      <w:divBdr>
        <w:top w:val="none" w:sz="0" w:space="0" w:color="auto"/>
        <w:left w:val="none" w:sz="0" w:space="0" w:color="auto"/>
        <w:bottom w:val="none" w:sz="0" w:space="0" w:color="auto"/>
        <w:right w:val="none" w:sz="0" w:space="0" w:color="auto"/>
      </w:divBdr>
    </w:div>
    <w:div w:id="331031809">
      <w:bodyDiv w:val="1"/>
      <w:marLeft w:val="0"/>
      <w:marRight w:val="0"/>
      <w:marTop w:val="0"/>
      <w:marBottom w:val="0"/>
      <w:divBdr>
        <w:top w:val="none" w:sz="0" w:space="0" w:color="auto"/>
        <w:left w:val="none" w:sz="0" w:space="0" w:color="auto"/>
        <w:bottom w:val="none" w:sz="0" w:space="0" w:color="auto"/>
        <w:right w:val="none" w:sz="0" w:space="0" w:color="auto"/>
      </w:divBdr>
    </w:div>
    <w:div w:id="331757224">
      <w:bodyDiv w:val="1"/>
      <w:marLeft w:val="0"/>
      <w:marRight w:val="0"/>
      <w:marTop w:val="0"/>
      <w:marBottom w:val="0"/>
      <w:divBdr>
        <w:top w:val="none" w:sz="0" w:space="0" w:color="auto"/>
        <w:left w:val="none" w:sz="0" w:space="0" w:color="auto"/>
        <w:bottom w:val="none" w:sz="0" w:space="0" w:color="auto"/>
        <w:right w:val="none" w:sz="0" w:space="0" w:color="auto"/>
      </w:divBdr>
    </w:div>
    <w:div w:id="332032379">
      <w:bodyDiv w:val="1"/>
      <w:marLeft w:val="0"/>
      <w:marRight w:val="0"/>
      <w:marTop w:val="0"/>
      <w:marBottom w:val="0"/>
      <w:divBdr>
        <w:top w:val="none" w:sz="0" w:space="0" w:color="auto"/>
        <w:left w:val="none" w:sz="0" w:space="0" w:color="auto"/>
        <w:bottom w:val="none" w:sz="0" w:space="0" w:color="auto"/>
        <w:right w:val="none" w:sz="0" w:space="0" w:color="auto"/>
      </w:divBdr>
    </w:div>
    <w:div w:id="333922699">
      <w:bodyDiv w:val="1"/>
      <w:marLeft w:val="0"/>
      <w:marRight w:val="0"/>
      <w:marTop w:val="0"/>
      <w:marBottom w:val="0"/>
      <w:divBdr>
        <w:top w:val="none" w:sz="0" w:space="0" w:color="auto"/>
        <w:left w:val="none" w:sz="0" w:space="0" w:color="auto"/>
        <w:bottom w:val="none" w:sz="0" w:space="0" w:color="auto"/>
        <w:right w:val="none" w:sz="0" w:space="0" w:color="auto"/>
      </w:divBdr>
    </w:div>
    <w:div w:id="335420823">
      <w:bodyDiv w:val="1"/>
      <w:marLeft w:val="0"/>
      <w:marRight w:val="0"/>
      <w:marTop w:val="0"/>
      <w:marBottom w:val="0"/>
      <w:divBdr>
        <w:top w:val="none" w:sz="0" w:space="0" w:color="auto"/>
        <w:left w:val="none" w:sz="0" w:space="0" w:color="auto"/>
        <w:bottom w:val="none" w:sz="0" w:space="0" w:color="auto"/>
        <w:right w:val="none" w:sz="0" w:space="0" w:color="auto"/>
      </w:divBdr>
    </w:div>
    <w:div w:id="338780425">
      <w:bodyDiv w:val="1"/>
      <w:marLeft w:val="0"/>
      <w:marRight w:val="0"/>
      <w:marTop w:val="0"/>
      <w:marBottom w:val="0"/>
      <w:divBdr>
        <w:top w:val="none" w:sz="0" w:space="0" w:color="auto"/>
        <w:left w:val="none" w:sz="0" w:space="0" w:color="auto"/>
        <w:bottom w:val="none" w:sz="0" w:space="0" w:color="auto"/>
        <w:right w:val="none" w:sz="0" w:space="0" w:color="auto"/>
      </w:divBdr>
    </w:div>
    <w:div w:id="339896988">
      <w:bodyDiv w:val="1"/>
      <w:marLeft w:val="0"/>
      <w:marRight w:val="0"/>
      <w:marTop w:val="0"/>
      <w:marBottom w:val="0"/>
      <w:divBdr>
        <w:top w:val="none" w:sz="0" w:space="0" w:color="auto"/>
        <w:left w:val="none" w:sz="0" w:space="0" w:color="auto"/>
        <w:bottom w:val="none" w:sz="0" w:space="0" w:color="auto"/>
        <w:right w:val="none" w:sz="0" w:space="0" w:color="auto"/>
      </w:divBdr>
    </w:div>
    <w:div w:id="340133112">
      <w:bodyDiv w:val="1"/>
      <w:marLeft w:val="0"/>
      <w:marRight w:val="0"/>
      <w:marTop w:val="0"/>
      <w:marBottom w:val="0"/>
      <w:divBdr>
        <w:top w:val="none" w:sz="0" w:space="0" w:color="auto"/>
        <w:left w:val="none" w:sz="0" w:space="0" w:color="auto"/>
        <w:bottom w:val="none" w:sz="0" w:space="0" w:color="auto"/>
        <w:right w:val="none" w:sz="0" w:space="0" w:color="auto"/>
      </w:divBdr>
    </w:div>
    <w:div w:id="341322684">
      <w:bodyDiv w:val="1"/>
      <w:marLeft w:val="0"/>
      <w:marRight w:val="0"/>
      <w:marTop w:val="0"/>
      <w:marBottom w:val="0"/>
      <w:divBdr>
        <w:top w:val="none" w:sz="0" w:space="0" w:color="auto"/>
        <w:left w:val="none" w:sz="0" w:space="0" w:color="auto"/>
        <w:bottom w:val="none" w:sz="0" w:space="0" w:color="auto"/>
        <w:right w:val="none" w:sz="0" w:space="0" w:color="auto"/>
      </w:divBdr>
    </w:div>
    <w:div w:id="341400712">
      <w:bodyDiv w:val="1"/>
      <w:marLeft w:val="0"/>
      <w:marRight w:val="0"/>
      <w:marTop w:val="0"/>
      <w:marBottom w:val="0"/>
      <w:divBdr>
        <w:top w:val="none" w:sz="0" w:space="0" w:color="auto"/>
        <w:left w:val="none" w:sz="0" w:space="0" w:color="auto"/>
        <w:bottom w:val="none" w:sz="0" w:space="0" w:color="auto"/>
        <w:right w:val="none" w:sz="0" w:space="0" w:color="auto"/>
      </w:divBdr>
    </w:div>
    <w:div w:id="341662464">
      <w:bodyDiv w:val="1"/>
      <w:marLeft w:val="0"/>
      <w:marRight w:val="0"/>
      <w:marTop w:val="0"/>
      <w:marBottom w:val="0"/>
      <w:divBdr>
        <w:top w:val="none" w:sz="0" w:space="0" w:color="auto"/>
        <w:left w:val="none" w:sz="0" w:space="0" w:color="auto"/>
        <w:bottom w:val="none" w:sz="0" w:space="0" w:color="auto"/>
        <w:right w:val="none" w:sz="0" w:space="0" w:color="auto"/>
      </w:divBdr>
    </w:div>
    <w:div w:id="343242592">
      <w:bodyDiv w:val="1"/>
      <w:marLeft w:val="0"/>
      <w:marRight w:val="0"/>
      <w:marTop w:val="0"/>
      <w:marBottom w:val="0"/>
      <w:divBdr>
        <w:top w:val="none" w:sz="0" w:space="0" w:color="auto"/>
        <w:left w:val="none" w:sz="0" w:space="0" w:color="auto"/>
        <w:bottom w:val="none" w:sz="0" w:space="0" w:color="auto"/>
        <w:right w:val="none" w:sz="0" w:space="0" w:color="auto"/>
      </w:divBdr>
    </w:div>
    <w:div w:id="345836372">
      <w:bodyDiv w:val="1"/>
      <w:marLeft w:val="0"/>
      <w:marRight w:val="0"/>
      <w:marTop w:val="0"/>
      <w:marBottom w:val="0"/>
      <w:divBdr>
        <w:top w:val="none" w:sz="0" w:space="0" w:color="auto"/>
        <w:left w:val="none" w:sz="0" w:space="0" w:color="auto"/>
        <w:bottom w:val="none" w:sz="0" w:space="0" w:color="auto"/>
        <w:right w:val="none" w:sz="0" w:space="0" w:color="auto"/>
      </w:divBdr>
    </w:div>
    <w:div w:id="346447067">
      <w:bodyDiv w:val="1"/>
      <w:marLeft w:val="0"/>
      <w:marRight w:val="0"/>
      <w:marTop w:val="0"/>
      <w:marBottom w:val="0"/>
      <w:divBdr>
        <w:top w:val="none" w:sz="0" w:space="0" w:color="auto"/>
        <w:left w:val="none" w:sz="0" w:space="0" w:color="auto"/>
        <w:bottom w:val="none" w:sz="0" w:space="0" w:color="auto"/>
        <w:right w:val="none" w:sz="0" w:space="0" w:color="auto"/>
      </w:divBdr>
    </w:div>
    <w:div w:id="348340812">
      <w:bodyDiv w:val="1"/>
      <w:marLeft w:val="0"/>
      <w:marRight w:val="0"/>
      <w:marTop w:val="0"/>
      <w:marBottom w:val="0"/>
      <w:divBdr>
        <w:top w:val="none" w:sz="0" w:space="0" w:color="auto"/>
        <w:left w:val="none" w:sz="0" w:space="0" w:color="auto"/>
        <w:bottom w:val="none" w:sz="0" w:space="0" w:color="auto"/>
        <w:right w:val="none" w:sz="0" w:space="0" w:color="auto"/>
      </w:divBdr>
    </w:div>
    <w:div w:id="349069981">
      <w:bodyDiv w:val="1"/>
      <w:marLeft w:val="0"/>
      <w:marRight w:val="0"/>
      <w:marTop w:val="0"/>
      <w:marBottom w:val="0"/>
      <w:divBdr>
        <w:top w:val="none" w:sz="0" w:space="0" w:color="auto"/>
        <w:left w:val="none" w:sz="0" w:space="0" w:color="auto"/>
        <w:bottom w:val="none" w:sz="0" w:space="0" w:color="auto"/>
        <w:right w:val="none" w:sz="0" w:space="0" w:color="auto"/>
      </w:divBdr>
    </w:div>
    <w:div w:id="349180837">
      <w:bodyDiv w:val="1"/>
      <w:marLeft w:val="0"/>
      <w:marRight w:val="0"/>
      <w:marTop w:val="0"/>
      <w:marBottom w:val="0"/>
      <w:divBdr>
        <w:top w:val="none" w:sz="0" w:space="0" w:color="auto"/>
        <w:left w:val="none" w:sz="0" w:space="0" w:color="auto"/>
        <w:bottom w:val="none" w:sz="0" w:space="0" w:color="auto"/>
        <w:right w:val="none" w:sz="0" w:space="0" w:color="auto"/>
      </w:divBdr>
    </w:div>
    <w:div w:id="349569075">
      <w:bodyDiv w:val="1"/>
      <w:marLeft w:val="0"/>
      <w:marRight w:val="0"/>
      <w:marTop w:val="0"/>
      <w:marBottom w:val="0"/>
      <w:divBdr>
        <w:top w:val="none" w:sz="0" w:space="0" w:color="auto"/>
        <w:left w:val="none" w:sz="0" w:space="0" w:color="auto"/>
        <w:bottom w:val="none" w:sz="0" w:space="0" w:color="auto"/>
        <w:right w:val="none" w:sz="0" w:space="0" w:color="auto"/>
      </w:divBdr>
    </w:div>
    <w:div w:id="350032983">
      <w:bodyDiv w:val="1"/>
      <w:marLeft w:val="0"/>
      <w:marRight w:val="0"/>
      <w:marTop w:val="0"/>
      <w:marBottom w:val="0"/>
      <w:divBdr>
        <w:top w:val="none" w:sz="0" w:space="0" w:color="auto"/>
        <w:left w:val="none" w:sz="0" w:space="0" w:color="auto"/>
        <w:bottom w:val="none" w:sz="0" w:space="0" w:color="auto"/>
        <w:right w:val="none" w:sz="0" w:space="0" w:color="auto"/>
      </w:divBdr>
    </w:div>
    <w:div w:id="352998908">
      <w:bodyDiv w:val="1"/>
      <w:marLeft w:val="0"/>
      <w:marRight w:val="0"/>
      <w:marTop w:val="0"/>
      <w:marBottom w:val="0"/>
      <w:divBdr>
        <w:top w:val="none" w:sz="0" w:space="0" w:color="auto"/>
        <w:left w:val="none" w:sz="0" w:space="0" w:color="auto"/>
        <w:bottom w:val="none" w:sz="0" w:space="0" w:color="auto"/>
        <w:right w:val="none" w:sz="0" w:space="0" w:color="auto"/>
      </w:divBdr>
    </w:div>
    <w:div w:id="353772155">
      <w:bodyDiv w:val="1"/>
      <w:marLeft w:val="0"/>
      <w:marRight w:val="0"/>
      <w:marTop w:val="0"/>
      <w:marBottom w:val="0"/>
      <w:divBdr>
        <w:top w:val="none" w:sz="0" w:space="0" w:color="auto"/>
        <w:left w:val="none" w:sz="0" w:space="0" w:color="auto"/>
        <w:bottom w:val="none" w:sz="0" w:space="0" w:color="auto"/>
        <w:right w:val="none" w:sz="0" w:space="0" w:color="auto"/>
      </w:divBdr>
    </w:div>
    <w:div w:id="355471003">
      <w:bodyDiv w:val="1"/>
      <w:marLeft w:val="0"/>
      <w:marRight w:val="0"/>
      <w:marTop w:val="0"/>
      <w:marBottom w:val="0"/>
      <w:divBdr>
        <w:top w:val="none" w:sz="0" w:space="0" w:color="auto"/>
        <w:left w:val="none" w:sz="0" w:space="0" w:color="auto"/>
        <w:bottom w:val="none" w:sz="0" w:space="0" w:color="auto"/>
        <w:right w:val="none" w:sz="0" w:space="0" w:color="auto"/>
      </w:divBdr>
    </w:div>
    <w:div w:id="355542109">
      <w:bodyDiv w:val="1"/>
      <w:marLeft w:val="0"/>
      <w:marRight w:val="0"/>
      <w:marTop w:val="0"/>
      <w:marBottom w:val="0"/>
      <w:divBdr>
        <w:top w:val="none" w:sz="0" w:space="0" w:color="auto"/>
        <w:left w:val="none" w:sz="0" w:space="0" w:color="auto"/>
        <w:bottom w:val="none" w:sz="0" w:space="0" w:color="auto"/>
        <w:right w:val="none" w:sz="0" w:space="0" w:color="auto"/>
      </w:divBdr>
    </w:div>
    <w:div w:id="355622247">
      <w:bodyDiv w:val="1"/>
      <w:marLeft w:val="0"/>
      <w:marRight w:val="0"/>
      <w:marTop w:val="0"/>
      <w:marBottom w:val="0"/>
      <w:divBdr>
        <w:top w:val="none" w:sz="0" w:space="0" w:color="auto"/>
        <w:left w:val="none" w:sz="0" w:space="0" w:color="auto"/>
        <w:bottom w:val="none" w:sz="0" w:space="0" w:color="auto"/>
        <w:right w:val="none" w:sz="0" w:space="0" w:color="auto"/>
      </w:divBdr>
    </w:div>
    <w:div w:id="355623646">
      <w:bodyDiv w:val="1"/>
      <w:marLeft w:val="0"/>
      <w:marRight w:val="0"/>
      <w:marTop w:val="0"/>
      <w:marBottom w:val="0"/>
      <w:divBdr>
        <w:top w:val="none" w:sz="0" w:space="0" w:color="auto"/>
        <w:left w:val="none" w:sz="0" w:space="0" w:color="auto"/>
        <w:bottom w:val="none" w:sz="0" w:space="0" w:color="auto"/>
        <w:right w:val="none" w:sz="0" w:space="0" w:color="auto"/>
      </w:divBdr>
    </w:div>
    <w:div w:id="356008627">
      <w:bodyDiv w:val="1"/>
      <w:marLeft w:val="0"/>
      <w:marRight w:val="0"/>
      <w:marTop w:val="0"/>
      <w:marBottom w:val="0"/>
      <w:divBdr>
        <w:top w:val="none" w:sz="0" w:space="0" w:color="auto"/>
        <w:left w:val="none" w:sz="0" w:space="0" w:color="auto"/>
        <w:bottom w:val="none" w:sz="0" w:space="0" w:color="auto"/>
        <w:right w:val="none" w:sz="0" w:space="0" w:color="auto"/>
      </w:divBdr>
    </w:div>
    <w:div w:id="357632162">
      <w:bodyDiv w:val="1"/>
      <w:marLeft w:val="0"/>
      <w:marRight w:val="0"/>
      <w:marTop w:val="0"/>
      <w:marBottom w:val="0"/>
      <w:divBdr>
        <w:top w:val="none" w:sz="0" w:space="0" w:color="auto"/>
        <w:left w:val="none" w:sz="0" w:space="0" w:color="auto"/>
        <w:bottom w:val="none" w:sz="0" w:space="0" w:color="auto"/>
        <w:right w:val="none" w:sz="0" w:space="0" w:color="auto"/>
      </w:divBdr>
    </w:div>
    <w:div w:id="359816865">
      <w:bodyDiv w:val="1"/>
      <w:marLeft w:val="0"/>
      <w:marRight w:val="0"/>
      <w:marTop w:val="0"/>
      <w:marBottom w:val="0"/>
      <w:divBdr>
        <w:top w:val="none" w:sz="0" w:space="0" w:color="auto"/>
        <w:left w:val="none" w:sz="0" w:space="0" w:color="auto"/>
        <w:bottom w:val="none" w:sz="0" w:space="0" w:color="auto"/>
        <w:right w:val="none" w:sz="0" w:space="0" w:color="auto"/>
      </w:divBdr>
    </w:div>
    <w:div w:id="361790213">
      <w:bodyDiv w:val="1"/>
      <w:marLeft w:val="0"/>
      <w:marRight w:val="0"/>
      <w:marTop w:val="0"/>
      <w:marBottom w:val="0"/>
      <w:divBdr>
        <w:top w:val="none" w:sz="0" w:space="0" w:color="auto"/>
        <w:left w:val="none" w:sz="0" w:space="0" w:color="auto"/>
        <w:bottom w:val="none" w:sz="0" w:space="0" w:color="auto"/>
        <w:right w:val="none" w:sz="0" w:space="0" w:color="auto"/>
      </w:divBdr>
    </w:div>
    <w:div w:id="362748026">
      <w:bodyDiv w:val="1"/>
      <w:marLeft w:val="0"/>
      <w:marRight w:val="0"/>
      <w:marTop w:val="0"/>
      <w:marBottom w:val="0"/>
      <w:divBdr>
        <w:top w:val="none" w:sz="0" w:space="0" w:color="auto"/>
        <w:left w:val="none" w:sz="0" w:space="0" w:color="auto"/>
        <w:bottom w:val="none" w:sz="0" w:space="0" w:color="auto"/>
        <w:right w:val="none" w:sz="0" w:space="0" w:color="auto"/>
      </w:divBdr>
    </w:div>
    <w:div w:id="362827670">
      <w:bodyDiv w:val="1"/>
      <w:marLeft w:val="0"/>
      <w:marRight w:val="0"/>
      <w:marTop w:val="0"/>
      <w:marBottom w:val="0"/>
      <w:divBdr>
        <w:top w:val="none" w:sz="0" w:space="0" w:color="auto"/>
        <w:left w:val="none" w:sz="0" w:space="0" w:color="auto"/>
        <w:bottom w:val="none" w:sz="0" w:space="0" w:color="auto"/>
        <w:right w:val="none" w:sz="0" w:space="0" w:color="auto"/>
      </w:divBdr>
    </w:div>
    <w:div w:id="368189729">
      <w:bodyDiv w:val="1"/>
      <w:marLeft w:val="0"/>
      <w:marRight w:val="0"/>
      <w:marTop w:val="0"/>
      <w:marBottom w:val="0"/>
      <w:divBdr>
        <w:top w:val="none" w:sz="0" w:space="0" w:color="auto"/>
        <w:left w:val="none" w:sz="0" w:space="0" w:color="auto"/>
        <w:bottom w:val="none" w:sz="0" w:space="0" w:color="auto"/>
        <w:right w:val="none" w:sz="0" w:space="0" w:color="auto"/>
      </w:divBdr>
    </w:div>
    <w:div w:id="368453996">
      <w:bodyDiv w:val="1"/>
      <w:marLeft w:val="0"/>
      <w:marRight w:val="0"/>
      <w:marTop w:val="0"/>
      <w:marBottom w:val="0"/>
      <w:divBdr>
        <w:top w:val="none" w:sz="0" w:space="0" w:color="auto"/>
        <w:left w:val="none" w:sz="0" w:space="0" w:color="auto"/>
        <w:bottom w:val="none" w:sz="0" w:space="0" w:color="auto"/>
        <w:right w:val="none" w:sz="0" w:space="0" w:color="auto"/>
      </w:divBdr>
    </w:div>
    <w:div w:id="370809060">
      <w:bodyDiv w:val="1"/>
      <w:marLeft w:val="0"/>
      <w:marRight w:val="0"/>
      <w:marTop w:val="0"/>
      <w:marBottom w:val="0"/>
      <w:divBdr>
        <w:top w:val="none" w:sz="0" w:space="0" w:color="auto"/>
        <w:left w:val="none" w:sz="0" w:space="0" w:color="auto"/>
        <w:bottom w:val="none" w:sz="0" w:space="0" w:color="auto"/>
        <w:right w:val="none" w:sz="0" w:space="0" w:color="auto"/>
      </w:divBdr>
    </w:div>
    <w:div w:id="370962258">
      <w:bodyDiv w:val="1"/>
      <w:marLeft w:val="0"/>
      <w:marRight w:val="0"/>
      <w:marTop w:val="0"/>
      <w:marBottom w:val="0"/>
      <w:divBdr>
        <w:top w:val="none" w:sz="0" w:space="0" w:color="auto"/>
        <w:left w:val="none" w:sz="0" w:space="0" w:color="auto"/>
        <w:bottom w:val="none" w:sz="0" w:space="0" w:color="auto"/>
        <w:right w:val="none" w:sz="0" w:space="0" w:color="auto"/>
      </w:divBdr>
    </w:div>
    <w:div w:id="371272750">
      <w:bodyDiv w:val="1"/>
      <w:marLeft w:val="0"/>
      <w:marRight w:val="0"/>
      <w:marTop w:val="0"/>
      <w:marBottom w:val="0"/>
      <w:divBdr>
        <w:top w:val="none" w:sz="0" w:space="0" w:color="auto"/>
        <w:left w:val="none" w:sz="0" w:space="0" w:color="auto"/>
        <w:bottom w:val="none" w:sz="0" w:space="0" w:color="auto"/>
        <w:right w:val="none" w:sz="0" w:space="0" w:color="auto"/>
      </w:divBdr>
    </w:div>
    <w:div w:id="373703484">
      <w:bodyDiv w:val="1"/>
      <w:marLeft w:val="0"/>
      <w:marRight w:val="0"/>
      <w:marTop w:val="0"/>
      <w:marBottom w:val="0"/>
      <w:divBdr>
        <w:top w:val="none" w:sz="0" w:space="0" w:color="auto"/>
        <w:left w:val="none" w:sz="0" w:space="0" w:color="auto"/>
        <w:bottom w:val="none" w:sz="0" w:space="0" w:color="auto"/>
        <w:right w:val="none" w:sz="0" w:space="0" w:color="auto"/>
      </w:divBdr>
    </w:div>
    <w:div w:id="373971629">
      <w:bodyDiv w:val="1"/>
      <w:marLeft w:val="0"/>
      <w:marRight w:val="0"/>
      <w:marTop w:val="0"/>
      <w:marBottom w:val="0"/>
      <w:divBdr>
        <w:top w:val="none" w:sz="0" w:space="0" w:color="auto"/>
        <w:left w:val="none" w:sz="0" w:space="0" w:color="auto"/>
        <w:bottom w:val="none" w:sz="0" w:space="0" w:color="auto"/>
        <w:right w:val="none" w:sz="0" w:space="0" w:color="auto"/>
      </w:divBdr>
    </w:div>
    <w:div w:id="374282474">
      <w:bodyDiv w:val="1"/>
      <w:marLeft w:val="0"/>
      <w:marRight w:val="0"/>
      <w:marTop w:val="0"/>
      <w:marBottom w:val="0"/>
      <w:divBdr>
        <w:top w:val="none" w:sz="0" w:space="0" w:color="auto"/>
        <w:left w:val="none" w:sz="0" w:space="0" w:color="auto"/>
        <w:bottom w:val="none" w:sz="0" w:space="0" w:color="auto"/>
        <w:right w:val="none" w:sz="0" w:space="0" w:color="auto"/>
      </w:divBdr>
    </w:div>
    <w:div w:id="374813541">
      <w:bodyDiv w:val="1"/>
      <w:marLeft w:val="0"/>
      <w:marRight w:val="0"/>
      <w:marTop w:val="0"/>
      <w:marBottom w:val="0"/>
      <w:divBdr>
        <w:top w:val="none" w:sz="0" w:space="0" w:color="auto"/>
        <w:left w:val="none" w:sz="0" w:space="0" w:color="auto"/>
        <w:bottom w:val="none" w:sz="0" w:space="0" w:color="auto"/>
        <w:right w:val="none" w:sz="0" w:space="0" w:color="auto"/>
      </w:divBdr>
    </w:div>
    <w:div w:id="376778543">
      <w:bodyDiv w:val="1"/>
      <w:marLeft w:val="0"/>
      <w:marRight w:val="0"/>
      <w:marTop w:val="0"/>
      <w:marBottom w:val="0"/>
      <w:divBdr>
        <w:top w:val="none" w:sz="0" w:space="0" w:color="auto"/>
        <w:left w:val="none" w:sz="0" w:space="0" w:color="auto"/>
        <w:bottom w:val="none" w:sz="0" w:space="0" w:color="auto"/>
        <w:right w:val="none" w:sz="0" w:space="0" w:color="auto"/>
      </w:divBdr>
    </w:div>
    <w:div w:id="377120994">
      <w:bodyDiv w:val="1"/>
      <w:marLeft w:val="0"/>
      <w:marRight w:val="0"/>
      <w:marTop w:val="0"/>
      <w:marBottom w:val="0"/>
      <w:divBdr>
        <w:top w:val="none" w:sz="0" w:space="0" w:color="auto"/>
        <w:left w:val="none" w:sz="0" w:space="0" w:color="auto"/>
        <w:bottom w:val="none" w:sz="0" w:space="0" w:color="auto"/>
        <w:right w:val="none" w:sz="0" w:space="0" w:color="auto"/>
      </w:divBdr>
    </w:div>
    <w:div w:id="377245196">
      <w:bodyDiv w:val="1"/>
      <w:marLeft w:val="0"/>
      <w:marRight w:val="0"/>
      <w:marTop w:val="0"/>
      <w:marBottom w:val="0"/>
      <w:divBdr>
        <w:top w:val="none" w:sz="0" w:space="0" w:color="auto"/>
        <w:left w:val="none" w:sz="0" w:space="0" w:color="auto"/>
        <w:bottom w:val="none" w:sz="0" w:space="0" w:color="auto"/>
        <w:right w:val="none" w:sz="0" w:space="0" w:color="auto"/>
      </w:divBdr>
    </w:div>
    <w:div w:id="377321415">
      <w:bodyDiv w:val="1"/>
      <w:marLeft w:val="0"/>
      <w:marRight w:val="0"/>
      <w:marTop w:val="0"/>
      <w:marBottom w:val="0"/>
      <w:divBdr>
        <w:top w:val="none" w:sz="0" w:space="0" w:color="auto"/>
        <w:left w:val="none" w:sz="0" w:space="0" w:color="auto"/>
        <w:bottom w:val="none" w:sz="0" w:space="0" w:color="auto"/>
        <w:right w:val="none" w:sz="0" w:space="0" w:color="auto"/>
      </w:divBdr>
    </w:div>
    <w:div w:id="377703201">
      <w:bodyDiv w:val="1"/>
      <w:marLeft w:val="0"/>
      <w:marRight w:val="0"/>
      <w:marTop w:val="0"/>
      <w:marBottom w:val="0"/>
      <w:divBdr>
        <w:top w:val="none" w:sz="0" w:space="0" w:color="auto"/>
        <w:left w:val="none" w:sz="0" w:space="0" w:color="auto"/>
        <w:bottom w:val="none" w:sz="0" w:space="0" w:color="auto"/>
        <w:right w:val="none" w:sz="0" w:space="0" w:color="auto"/>
      </w:divBdr>
    </w:div>
    <w:div w:id="378014582">
      <w:bodyDiv w:val="1"/>
      <w:marLeft w:val="0"/>
      <w:marRight w:val="0"/>
      <w:marTop w:val="0"/>
      <w:marBottom w:val="0"/>
      <w:divBdr>
        <w:top w:val="none" w:sz="0" w:space="0" w:color="auto"/>
        <w:left w:val="none" w:sz="0" w:space="0" w:color="auto"/>
        <w:bottom w:val="none" w:sz="0" w:space="0" w:color="auto"/>
        <w:right w:val="none" w:sz="0" w:space="0" w:color="auto"/>
      </w:divBdr>
    </w:div>
    <w:div w:id="378481369">
      <w:bodyDiv w:val="1"/>
      <w:marLeft w:val="0"/>
      <w:marRight w:val="0"/>
      <w:marTop w:val="0"/>
      <w:marBottom w:val="0"/>
      <w:divBdr>
        <w:top w:val="none" w:sz="0" w:space="0" w:color="auto"/>
        <w:left w:val="none" w:sz="0" w:space="0" w:color="auto"/>
        <w:bottom w:val="none" w:sz="0" w:space="0" w:color="auto"/>
        <w:right w:val="none" w:sz="0" w:space="0" w:color="auto"/>
      </w:divBdr>
    </w:div>
    <w:div w:id="378747231">
      <w:bodyDiv w:val="1"/>
      <w:marLeft w:val="0"/>
      <w:marRight w:val="0"/>
      <w:marTop w:val="0"/>
      <w:marBottom w:val="0"/>
      <w:divBdr>
        <w:top w:val="none" w:sz="0" w:space="0" w:color="auto"/>
        <w:left w:val="none" w:sz="0" w:space="0" w:color="auto"/>
        <w:bottom w:val="none" w:sz="0" w:space="0" w:color="auto"/>
        <w:right w:val="none" w:sz="0" w:space="0" w:color="auto"/>
      </w:divBdr>
    </w:div>
    <w:div w:id="380398063">
      <w:bodyDiv w:val="1"/>
      <w:marLeft w:val="0"/>
      <w:marRight w:val="0"/>
      <w:marTop w:val="0"/>
      <w:marBottom w:val="0"/>
      <w:divBdr>
        <w:top w:val="none" w:sz="0" w:space="0" w:color="auto"/>
        <w:left w:val="none" w:sz="0" w:space="0" w:color="auto"/>
        <w:bottom w:val="none" w:sz="0" w:space="0" w:color="auto"/>
        <w:right w:val="none" w:sz="0" w:space="0" w:color="auto"/>
      </w:divBdr>
    </w:div>
    <w:div w:id="382020315">
      <w:bodyDiv w:val="1"/>
      <w:marLeft w:val="0"/>
      <w:marRight w:val="0"/>
      <w:marTop w:val="0"/>
      <w:marBottom w:val="0"/>
      <w:divBdr>
        <w:top w:val="none" w:sz="0" w:space="0" w:color="auto"/>
        <w:left w:val="none" w:sz="0" w:space="0" w:color="auto"/>
        <w:bottom w:val="none" w:sz="0" w:space="0" w:color="auto"/>
        <w:right w:val="none" w:sz="0" w:space="0" w:color="auto"/>
      </w:divBdr>
    </w:div>
    <w:div w:id="382103766">
      <w:bodyDiv w:val="1"/>
      <w:marLeft w:val="0"/>
      <w:marRight w:val="0"/>
      <w:marTop w:val="0"/>
      <w:marBottom w:val="0"/>
      <w:divBdr>
        <w:top w:val="none" w:sz="0" w:space="0" w:color="auto"/>
        <w:left w:val="none" w:sz="0" w:space="0" w:color="auto"/>
        <w:bottom w:val="none" w:sz="0" w:space="0" w:color="auto"/>
        <w:right w:val="none" w:sz="0" w:space="0" w:color="auto"/>
      </w:divBdr>
    </w:div>
    <w:div w:id="382145923">
      <w:bodyDiv w:val="1"/>
      <w:marLeft w:val="0"/>
      <w:marRight w:val="0"/>
      <w:marTop w:val="0"/>
      <w:marBottom w:val="0"/>
      <w:divBdr>
        <w:top w:val="none" w:sz="0" w:space="0" w:color="auto"/>
        <w:left w:val="none" w:sz="0" w:space="0" w:color="auto"/>
        <w:bottom w:val="none" w:sz="0" w:space="0" w:color="auto"/>
        <w:right w:val="none" w:sz="0" w:space="0" w:color="auto"/>
      </w:divBdr>
    </w:div>
    <w:div w:id="382796541">
      <w:bodyDiv w:val="1"/>
      <w:marLeft w:val="0"/>
      <w:marRight w:val="0"/>
      <w:marTop w:val="0"/>
      <w:marBottom w:val="0"/>
      <w:divBdr>
        <w:top w:val="none" w:sz="0" w:space="0" w:color="auto"/>
        <w:left w:val="none" w:sz="0" w:space="0" w:color="auto"/>
        <w:bottom w:val="none" w:sz="0" w:space="0" w:color="auto"/>
        <w:right w:val="none" w:sz="0" w:space="0" w:color="auto"/>
      </w:divBdr>
    </w:div>
    <w:div w:id="383408711">
      <w:bodyDiv w:val="1"/>
      <w:marLeft w:val="0"/>
      <w:marRight w:val="0"/>
      <w:marTop w:val="0"/>
      <w:marBottom w:val="0"/>
      <w:divBdr>
        <w:top w:val="none" w:sz="0" w:space="0" w:color="auto"/>
        <w:left w:val="none" w:sz="0" w:space="0" w:color="auto"/>
        <w:bottom w:val="none" w:sz="0" w:space="0" w:color="auto"/>
        <w:right w:val="none" w:sz="0" w:space="0" w:color="auto"/>
      </w:divBdr>
    </w:div>
    <w:div w:id="385298530">
      <w:bodyDiv w:val="1"/>
      <w:marLeft w:val="0"/>
      <w:marRight w:val="0"/>
      <w:marTop w:val="0"/>
      <w:marBottom w:val="0"/>
      <w:divBdr>
        <w:top w:val="none" w:sz="0" w:space="0" w:color="auto"/>
        <w:left w:val="none" w:sz="0" w:space="0" w:color="auto"/>
        <w:bottom w:val="none" w:sz="0" w:space="0" w:color="auto"/>
        <w:right w:val="none" w:sz="0" w:space="0" w:color="auto"/>
      </w:divBdr>
    </w:div>
    <w:div w:id="386034121">
      <w:bodyDiv w:val="1"/>
      <w:marLeft w:val="0"/>
      <w:marRight w:val="0"/>
      <w:marTop w:val="0"/>
      <w:marBottom w:val="0"/>
      <w:divBdr>
        <w:top w:val="none" w:sz="0" w:space="0" w:color="auto"/>
        <w:left w:val="none" w:sz="0" w:space="0" w:color="auto"/>
        <w:bottom w:val="none" w:sz="0" w:space="0" w:color="auto"/>
        <w:right w:val="none" w:sz="0" w:space="0" w:color="auto"/>
      </w:divBdr>
    </w:div>
    <w:div w:id="386223130">
      <w:bodyDiv w:val="1"/>
      <w:marLeft w:val="0"/>
      <w:marRight w:val="0"/>
      <w:marTop w:val="0"/>
      <w:marBottom w:val="0"/>
      <w:divBdr>
        <w:top w:val="none" w:sz="0" w:space="0" w:color="auto"/>
        <w:left w:val="none" w:sz="0" w:space="0" w:color="auto"/>
        <w:bottom w:val="none" w:sz="0" w:space="0" w:color="auto"/>
        <w:right w:val="none" w:sz="0" w:space="0" w:color="auto"/>
      </w:divBdr>
    </w:div>
    <w:div w:id="388456197">
      <w:bodyDiv w:val="1"/>
      <w:marLeft w:val="0"/>
      <w:marRight w:val="0"/>
      <w:marTop w:val="0"/>
      <w:marBottom w:val="0"/>
      <w:divBdr>
        <w:top w:val="none" w:sz="0" w:space="0" w:color="auto"/>
        <w:left w:val="none" w:sz="0" w:space="0" w:color="auto"/>
        <w:bottom w:val="none" w:sz="0" w:space="0" w:color="auto"/>
        <w:right w:val="none" w:sz="0" w:space="0" w:color="auto"/>
      </w:divBdr>
    </w:div>
    <w:div w:id="388696850">
      <w:bodyDiv w:val="1"/>
      <w:marLeft w:val="0"/>
      <w:marRight w:val="0"/>
      <w:marTop w:val="0"/>
      <w:marBottom w:val="0"/>
      <w:divBdr>
        <w:top w:val="none" w:sz="0" w:space="0" w:color="auto"/>
        <w:left w:val="none" w:sz="0" w:space="0" w:color="auto"/>
        <w:bottom w:val="none" w:sz="0" w:space="0" w:color="auto"/>
        <w:right w:val="none" w:sz="0" w:space="0" w:color="auto"/>
      </w:divBdr>
    </w:div>
    <w:div w:id="388842472">
      <w:bodyDiv w:val="1"/>
      <w:marLeft w:val="0"/>
      <w:marRight w:val="0"/>
      <w:marTop w:val="0"/>
      <w:marBottom w:val="0"/>
      <w:divBdr>
        <w:top w:val="none" w:sz="0" w:space="0" w:color="auto"/>
        <w:left w:val="none" w:sz="0" w:space="0" w:color="auto"/>
        <w:bottom w:val="none" w:sz="0" w:space="0" w:color="auto"/>
        <w:right w:val="none" w:sz="0" w:space="0" w:color="auto"/>
      </w:divBdr>
    </w:div>
    <w:div w:id="390037361">
      <w:bodyDiv w:val="1"/>
      <w:marLeft w:val="0"/>
      <w:marRight w:val="0"/>
      <w:marTop w:val="0"/>
      <w:marBottom w:val="0"/>
      <w:divBdr>
        <w:top w:val="none" w:sz="0" w:space="0" w:color="auto"/>
        <w:left w:val="none" w:sz="0" w:space="0" w:color="auto"/>
        <w:bottom w:val="none" w:sz="0" w:space="0" w:color="auto"/>
        <w:right w:val="none" w:sz="0" w:space="0" w:color="auto"/>
      </w:divBdr>
    </w:div>
    <w:div w:id="390424380">
      <w:bodyDiv w:val="1"/>
      <w:marLeft w:val="0"/>
      <w:marRight w:val="0"/>
      <w:marTop w:val="0"/>
      <w:marBottom w:val="0"/>
      <w:divBdr>
        <w:top w:val="none" w:sz="0" w:space="0" w:color="auto"/>
        <w:left w:val="none" w:sz="0" w:space="0" w:color="auto"/>
        <w:bottom w:val="none" w:sz="0" w:space="0" w:color="auto"/>
        <w:right w:val="none" w:sz="0" w:space="0" w:color="auto"/>
      </w:divBdr>
    </w:div>
    <w:div w:id="392125031">
      <w:bodyDiv w:val="1"/>
      <w:marLeft w:val="0"/>
      <w:marRight w:val="0"/>
      <w:marTop w:val="0"/>
      <w:marBottom w:val="0"/>
      <w:divBdr>
        <w:top w:val="none" w:sz="0" w:space="0" w:color="auto"/>
        <w:left w:val="none" w:sz="0" w:space="0" w:color="auto"/>
        <w:bottom w:val="none" w:sz="0" w:space="0" w:color="auto"/>
        <w:right w:val="none" w:sz="0" w:space="0" w:color="auto"/>
      </w:divBdr>
    </w:div>
    <w:div w:id="393509949">
      <w:bodyDiv w:val="1"/>
      <w:marLeft w:val="0"/>
      <w:marRight w:val="0"/>
      <w:marTop w:val="0"/>
      <w:marBottom w:val="0"/>
      <w:divBdr>
        <w:top w:val="none" w:sz="0" w:space="0" w:color="auto"/>
        <w:left w:val="none" w:sz="0" w:space="0" w:color="auto"/>
        <w:bottom w:val="none" w:sz="0" w:space="0" w:color="auto"/>
        <w:right w:val="none" w:sz="0" w:space="0" w:color="auto"/>
      </w:divBdr>
    </w:div>
    <w:div w:id="394548653">
      <w:bodyDiv w:val="1"/>
      <w:marLeft w:val="0"/>
      <w:marRight w:val="0"/>
      <w:marTop w:val="0"/>
      <w:marBottom w:val="0"/>
      <w:divBdr>
        <w:top w:val="none" w:sz="0" w:space="0" w:color="auto"/>
        <w:left w:val="none" w:sz="0" w:space="0" w:color="auto"/>
        <w:bottom w:val="none" w:sz="0" w:space="0" w:color="auto"/>
        <w:right w:val="none" w:sz="0" w:space="0" w:color="auto"/>
      </w:divBdr>
    </w:div>
    <w:div w:id="395445344">
      <w:bodyDiv w:val="1"/>
      <w:marLeft w:val="0"/>
      <w:marRight w:val="0"/>
      <w:marTop w:val="0"/>
      <w:marBottom w:val="0"/>
      <w:divBdr>
        <w:top w:val="none" w:sz="0" w:space="0" w:color="auto"/>
        <w:left w:val="none" w:sz="0" w:space="0" w:color="auto"/>
        <w:bottom w:val="none" w:sz="0" w:space="0" w:color="auto"/>
        <w:right w:val="none" w:sz="0" w:space="0" w:color="auto"/>
      </w:divBdr>
    </w:div>
    <w:div w:id="396633086">
      <w:bodyDiv w:val="1"/>
      <w:marLeft w:val="0"/>
      <w:marRight w:val="0"/>
      <w:marTop w:val="0"/>
      <w:marBottom w:val="0"/>
      <w:divBdr>
        <w:top w:val="none" w:sz="0" w:space="0" w:color="auto"/>
        <w:left w:val="none" w:sz="0" w:space="0" w:color="auto"/>
        <w:bottom w:val="none" w:sz="0" w:space="0" w:color="auto"/>
        <w:right w:val="none" w:sz="0" w:space="0" w:color="auto"/>
      </w:divBdr>
    </w:div>
    <w:div w:id="396897841">
      <w:bodyDiv w:val="1"/>
      <w:marLeft w:val="0"/>
      <w:marRight w:val="0"/>
      <w:marTop w:val="0"/>
      <w:marBottom w:val="0"/>
      <w:divBdr>
        <w:top w:val="none" w:sz="0" w:space="0" w:color="auto"/>
        <w:left w:val="none" w:sz="0" w:space="0" w:color="auto"/>
        <w:bottom w:val="none" w:sz="0" w:space="0" w:color="auto"/>
        <w:right w:val="none" w:sz="0" w:space="0" w:color="auto"/>
      </w:divBdr>
    </w:div>
    <w:div w:id="397437529">
      <w:bodyDiv w:val="1"/>
      <w:marLeft w:val="0"/>
      <w:marRight w:val="0"/>
      <w:marTop w:val="0"/>
      <w:marBottom w:val="0"/>
      <w:divBdr>
        <w:top w:val="none" w:sz="0" w:space="0" w:color="auto"/>
        <w:left w:val="none" w:sz="0" w:space="0" w:color="auto"/>
        <w:bottom w:val="none" w:sz="0" w:space="0" w:color="auto"/>
        <w:right w:val="none" w:sz="0" w:space="0" w:color="auto"/>
      </w:divBdr>
    </w:div>
    <w:div w:id="398794842">
      <w:bodyDiv w:val="1"/>
      <w:marLeft w:val="0"/>
      <w:marRight w:val="0"/>
      <w:marTop w:val="0"/>
      <w:marBottom w:val="0"/>
      <w:divBdr>
        <w:top w:val="none" w:sz="0" w:space="0" w:color="auto"/>
        <w:left w:val="none" w:sz="0" w:space="0" w:color="auto"/>
        <w:bottom w:val="none" w:sz="0" w:space="0" w:color="auto"/>
        <w:right w:val="none" w:sz="0" w:space="0" w:color="auto"/>
      </w:divBdr>
    </w:div>
    <w:div w:id="399056305">
      <w:bodyDiv w:val="1"/>
      <w:marLeft w:val="0"/>
      <w:marRight w:val="0"/>
      <w:marTop w:val="0"/>
      <w:marBottom w:val="0"/>
      <w:divBdr>
        <w:top w:val="none" w:sz="0" w:space="0" w:color="auto"/>
        <w:left w:val="none" w:sz="0" w:space="0" w:color="auto"/>
        <w:bottom w:val="none" w:sz="0" w:space="0" w:color="auto"/>
        <w:right w:val="none" w:sz="0" w:space="0" w:color="auto"/>
      </w:divBdr>
    </w:div>
    <w:div w:id="399788174">
      <w:bodyDiv w:val="1"/>
      <w:marLeft w:val="0"/>
      <w:marRight w:val="0"/>
      <w:marTop w:val="0"/>
      <w:marBottom w:val="0"/>
      <w:divBdr>
        <w:top w:val="none" w:sz="0" w:space="0" w:color="auto"/>
        <w:left w:val="none" w:sz="0" w:space="0" w:color="auto"/>
        <w:bottom w:val="none" w:sz="0" w:space="0" w:color="auto"/>
        <w:right w:val="none" w:sz="0" w:space="0" w:color="auto"/>
      </w:divBdr>
    </w:div>
    <w:div w:id="400369430">
      <w:bodyDiv w:val="1"/>
      <w:marLeft w:val="0"/>
      <w:marRight w:val="0"/>
      <w:marTop w:val="0"/>
      <w:marBottom w:val="0"/>
      <w:divBdr>
        <w:top w:val="none" w:sz="0" w:space="0" w:color="auto"/>
        <w:left w:val="none" w:sz="0" w:space="0" w:color="auto"/>
        <w:bottom w:val="none" w:sz="0" w:space="0" w:color="auto"/>
        <w:right w:val="none" w:sz="0" w:space="0" w:color="auto"/>
      </w:divBdr>
    </w:div>
    <w:div w:id="400837789">
      <w:bodyDiv w:val="1"/>
      <w:marLeft w:val="0"/>
      <w:marRight w:val="0"/>
      <w:marTop w:val="0"/>
      <w:marBottom w:val="0"/>
      <w:divBdr>
        <w:top w:val="none" w:sz="0" w:space="0" w:color="auto"/>
        <w:left w:val="none" w:sz="0" w:space="0" w:color="auto"/>
        <w:bottom w:val="none" w:sz="0" w:space="0" w:color="auto"/>
        <w:right w:val="none" w:sz="0" w:space="0" w:color="auto"/>
      </w:divBdr>
    </w:div>
    <w:div w:id="402333040">
      <w:bodyDiv w:val="1"/>
      <w:marLeft w:val="0"/>
      <w:marRight w:val="0"/>
      <w:marTop w:val="0"/>
      <w:marBottom w:val="0"/>
      <w:divBdr>
        <w:top w:val="none" w:sz="0" w:space="0" w:color="auto"/>
        <w:left w:val="none" w:sz="0" w:space="0" w:color="auto"/>
        <w:bottom w:val="none" w:sz="0" w:space="0" w:color="auto"/>
        <w:right w:val="none" w:sz="0" w:space="0" w:color="auto"/>
      </w:divBdr>
    </w:div>
    <w:div w:id="402486252">
      <w:bodyDiv w:val="1"/>
      <w:marLeft w:val="0"/>
      <w:marRight w:val="0"/>
      <w:marTop w:val="0"/>
      <w:marBottom w:val="0"/>
      <w:divBdr>
        <w:top w:val="none" w:sz="0" w:space="0" w:color="auto"/>
        <w:left w:val="none" w:sz="0" w:space="0" w:color="auto"/>
        <w:bottom w:val="none" w:sz="0" w:space="0" w:color="auto"/>
        <w:right w:val="none" w:sz="0" w:space="0" w:color="auto"/>
      </w:divBdr>
    </w:div>
    <w:div w:id="403916515">
      <w:bodyDiv w:val="1"/>
      <w:marLeft w:val="0"/>
      <w:marRight w:val="0"/>
      <w:marTop w:val="0"/>
      <w:marBottom w:val="0"/>
      <w:divBdr>
        <w:top w:val="none" w:sz="0" w:space="0" w:color="auto"/>
        <w:left w:val="none" w:sz="0" w:space="0" w:color="auto"/>
        <w:bottom w:val="none" w:sz="0" w:space="0" w:color="auto"/>
        <w:right w:val="none" w:sz="0" w:space="0" w:color="auto"/>
      </w:divBdr>
    </w:div>
    <w:div w:id="404453307">
      <w:bodyDiv w:val="1"/>
      <w:marLeft w:val="0"/>
      <w:marRight w:val="0"/>
      <w:marTop w:val="0"/>
      <w:marBottom w:val="0"/>
      <w:divBdr>
        <w:top w:val="none" w:sz="0" w:space="0" w:color="auto"/>
        <w:left w:val="none" w:sz="0" w:space="0" w:color="auto"/>
        <w:bottom w:val="none" w:sz="0" w:space="0" w:color="auto"/>
        <w:right w:val="none" w:sz="0" w:space="0" w:color="auto"/>
      </w:divBdr>
    </w:div>
    <w:div w:id="405306341">
      <w:bodyDiv w:val="1"/>
      <w:marLeft w:val="0"/>
      <w:marRight w:val="0"/>
      <w:marTop w:val="0"/>
      <w:marBottom w:val="0"/>
      <w:divBdr>
        <w:top w:val="none" w:sz="0" w:space="0" w:color="auto"/>
        <w:left w:val="none" w:sz="0" w:space="0" w:color="auto"/>
        <w:bottom w:val="none" w:sz="0" w:space="0" w:color="auto"/>
        <w:right w:val="none" w:sz="0" w:space="0" w:color="auto"/>
      </w:divBdr>
    </w:div>
    <w:div w:id="405999007">
      <w:bodyDiv w:val="1"/>
      <w:marLeft w:val="0"/>
      <w:marRight w:val="0"/>
      <w:marTop w:val="0"/>
      <w:marBottom w:val="0"/>
      <w:divBdr>
        <w:top w:val="none" w:sz="0" w:space="0" w:color="auto"/>
        <w:left w:val="none" w:sz="0" w:space="0" w:color="auto"/>
        <w:bottom w:val="none" w:sz="0" w:space="0" w:color="auto"/>
        <w:right w:val="none" w:sz="0" w:space="0" w:color="auto"/>
      </w:divBdr>
    </w:div>
    <w:div w:id="406391012">
      <w:bodyDiv w:val="1"/>
      <w:marLeft w:val="0"/>
      <w:marRight w:val="0"/>
      <w:marTop w:val="0"/>
      <w:marBottom w:val="0"/>
      <w:divBdr>
        <w:top w:val="none" w:sz="0" w:space="0" w:color="auto"/>
        <w:left w:val="none" w:sz="0" w:space="0" w:color="auto"/>
        <w:bottom w:val="none" w:sz="0" w:space="0" w:color="auto"/>
        <w:right w:val="none" w:sz="0" w:space="0" w:color="auto"/>
      </w:divBdr>
    </w:div>
    <w:div w:id="406418256">
      <w:bodyDiv w:val="1"/>
      <w:marLeft w:val="0"/>
      <w:marRight w:val="0"/>
      <w:marTop w:val="0"/>
      <w:marBottom w:val="0"/>
      <w:divBdr>
        <w:top w:val="none" w:sz="0" w:space="0" w:color="auto"/>
        <w:left w:val="none" w:sz="0" w:space="0" w:color="auto"/>
        <w:bottom w:val="none" w:sz="0" w:space="0" w:color="auto"/>
        <w:right w:val="none" w:sz="0" w:space="0" w:color="auto"/>
      </w:divBdr>
    </w:div>
    <w:div w:id="407505132">
      <w:bodyDiv w:val="1"/>
      <w:marLeft w:val="0"/>
      <w:marRight w:val="0"/>
      <w:marTop w:val="0"/>
      <w:marBottom w:val="0"/>
      <w:divBdr>
        <w:top w:val="none" w:sz="0" w:space="0" w:color="auto"/>
        <w:left w:val="none" w:sz="0" w:space="0" w:color="auto"/>
        <w:bottom w:val="none" w:sz="0" w:space="0" w:color="auto"/>
        <w:right w:val="none" w:sz="0" w:space="0" w:color="auto"/>
      </w:divBdr>
    </w:div>
    <w:div w:id="408886073">
      <w:bodyDiv w:val="1"/>
      <w:marLeft w:val="0"/>
      <w:marRight w:val="0"/>
      <w:marTop w:val="0"/>
      <w:marBottom w:val="0"/>
      <w:divBdr>
        <w:top w:val="none" w:sz="0" w:space="0" w:color="auto"/>
        <w:left w:val="none" w:sz="0" w:space="0" w:color="auto"/>
        <w:bottom w:val="none" w:sz="0" w:space="0" w:color="auto"/>
        <w:right w:val="none" w:sz="0" w:space="0" w:color="auto"/>
      </w:divBdr>
    </w:div>
    <w:div w:id="410124851">
      <w:bodyDiv w:val="1"/>
      <w:marLeft w:val="0"/>
      <w:marRight w:val="0"/>
      <w:marTop w:val="0"/>
      <w:marBottom w:val="0"/>
      <w:divBdr>
        <w:top w:val="none" w:sz="0" w:space="0" w:color="auto"/>
        <w:left w:val="none" w:sz="0" w:space="0" w:color="auto"/>
        <w:bottom w:val="none" w:sz="0" w:space="0" w:color="auto"/>
        <w:right w:val="none" w:sz="0" w:space="0" w:color="auto"/>
      </w:divBdr>
    </w:div>
    <w:div w:id="410203109">
      <w:bodyDiv w:val="1"/>
      <w:marLeft w:val="0"/>
      <w:marRight w:val="0"/>
      <w:marTop w:val="0"/>
      <w:marBottom w:val="0"/>
      <w:divBdr>
        <w:top w:val="none" w:sz="0" w:space="0" w:color="auto"/>
        <w:left w:val="none" w:sz="0" w:space="0" w:color="auto"/>
        <w:bottom w:val="none" w:sz="0" w:space="0" w:color="auto"/>
        <w:right w:val="none" w:sz="0" w:space="0" w:color="auto"/>
      </w:divBdr>
    </w:div>
    <w:div w:id="411197499">
      <w:bodyDiv w:val="1"/>
      <w:marLeft w:val="0"/>
      <w:marRight w:val="0"/>
      <w:marTop w:val="0"/>
      <w:marBottom w:val="0"/>
      <w:divBdr>
        <w:top w:val="none" w:sz="0" w:space="0" w:color="auto"/>
        <w:left w:val="none" w:sz="0" w:space="0" w:color="auto"/>
        <w:bottom w:val="none" w:sz="0" w:space="0" w:color="auto"/>
        <w:right w:val="none" w:sz="0" w:space="0" w:color="auto"/>
      </w:divBdr>
    </w:div>
    <w:div w:id="411394842">
      <w:bodyDiv w:val="1"/>
      <w:marLeft w:val="0"/>
      <w:marRight w:val="0"/>
      <w:marTop w:val="0"/>
      <w:marBottom w:val="0"/>
      <w:divBdr>
        <w:top w:val="none" w:sz="0" w:space="0" w:color="auto"/>
        <w:left w:val="none" w:sz="0" w:space="0" w:color="auto"/>
        <w:bottom w:val="none" w:sz="0" w:space="0" w:color="auto"/>
        <w:right w:val="none" w:sz="0" w:space="0" w:color="auto"/>
      </w:divBdr>
    </w:div>
    <w:div w:id="413167945">
      <w:bodyDiv w:val="1"/>
      <w:marLeft w:val="0"/>
      <w:marRight w:val="0"/>
      <w:marTop w:val="0"/>
      <w:marBottom w:val="0"/>
      <w:divBdr>
        <w:top w:val="none" w:sz="0" w:space="0" w:color="auto"/>
        <w:left w:val="none" w:sz="0" w:space="0" w:color="auto"/>
        <w:bottom w:val="none" w:sz="0" w:space="0" w:color="auto"/>
        <w:right w:val="none" w:sz="0" w:space="0" w:color="auto"/>
      </w:divBdr>
    </w:div>
    <w:div w:id="413553940">
      <w:bodyDiv w:val="1"/>
      <w:marLeft w:val="0"/>
      <w:marRight w:val="0"/>
      <w:marTop w:val="0"/>
      <w:marBottom w:val="0"/>
      <w:divBdr>
        <w:top w:val="none" w:sz="0" w:space="0" w:color="auto"/>
        <w:left w:val="none" w:sz="0" w:space="0" w:color="auto"/>
        <w:bottom w:val="none" w:sz="0" w:space="0" w:color="auto"/>
        <w:right w:val="none" w:sz="0" w:space="0" w:color="auto"/>
      </w:divBdr>
    </w:div>
    <w:div w:id="414594944">
      <w:bodyDiv w:val="1"/>
      <w:marLeft w:val="0"/>
      <w:marRight w:val="0"/>
      <w:marTop w:val="0"/>
      <w:marBottom w:val="0"/>
      <w:divBdr>
        <w:top w:val="none" w:sz="0" w:space="0" w:color="auto"/>
        <w:left w:val="none" w:sz="0" w:space="0" w:color="auto"/>
        <w:bottom w:val="none" w:sz="0" w:space="0" w:color="auto"/>
        <w:right w:val="none" w:sz="0" w:space="0" w:color="auto"/>
      </w:divBdr>
    </w:div>
    <w:div w:id="416362460">
      <w:bodyDiv w:val="1"/>
      <w:marLeft w:val="0"/>
      <w:marRight w:val="0"/>
      <w:marTop w:val="0"/>
      <w:marBottom w:val="0"/>
      <w:divBdr>
        <w:top w:val="none" w:sz="0" w:space="0" w:color="auto"/>
        <w:left w:val="none" w:sz="0" w:space="0" w:color="auto"/>
        <w:bottom w:val="none" w:sz="0" w:space="0" w:color="auto"/>
        <w:right w:val="none" w:sz="0" w:space="0" w:color="auto"/>
      </w:divBdr>
    </w:div>
    <w:div w:id="416706967">
      <w:bodyDiv w:val="1"/>
      <w:marLeft w:val="0"/>
      <w:marRight w:val="0"/>
      <w:marTop w:val="0"/>
      <w:marBottom w:val="0"/>
      <w:divBdr>
        <w:top w:val="none" w:sz="0" w:space="0" w:color="auto"/>
        <w:left w:val="none" w:sz="0" w:space="0" w:color="auto"/>
        <w:bottom w:val="none" w:sz="0" w:space="0" w:color="auto"/>
        <w:right w:val="none" w:sz="0" w:space="0" w:color="auto"/>
      </w:divBdr>
    </w:div>
    <w:div w:id="416748211">
      <w:bodyDiv w:val="1"/>
      <w:marLeft w:val="0"/>
      <w:marRight w:val="0"/>
      <w:marTop w:val="0"/>
      <w:marBottom w:val="0"/>
      <w:divBdr>
        <w:top w:val="none" w:sz="0" w:space="0" w:color="auto"/>
        <w:left w:val="none" w:sz="0" w:space="0" w:color="auto"/>
        <w:bottom w:val="none" w:sz="0" w:space="0" w:color="auto"/>
        <w:right w:val="none" w:sz="0" w:space="0" w:color="auto"/>
      </w:divBdr>
    </w:div>
    <w:div w:id="417212147">
      <w:bodyDiv w:val="1"/>
      <w:marLeft w:val="0"/>
      <w:marRight w:val="0"/>
      <w:marTop w:val="0"/>
      <w:marBottom w:val="0"/>
      <w:divBdr>
        <w:top w:val="none" w:sz="0" w:space="0" w:color="auto"/>
        <w:left w:val="none" w:sz="0" w:space="0" w:color="auto"/>
        <w:bottom w:val="none" w:sz="0" w:space="0" w:color="auto"/>
        <w:right w:val="none" w:sz="0" w:space="0" w:color="auto"/>
      </w:divBdr>
    </w:div>
    <w:div w:id="418016823">
      <w:bodyDiv w:val="1"/>
      <w:marLeft w:val="0"/>
      <w:marRight w:val="0"/>
      <w:marTop w:val="0"/>
      <w:marBottom w:val="0"/>
      <w:divBdr>
        <w:top w:val="none" w:sz="0" w:space="0" w:color="auto"/>
        <w:left w:val="none" w:sz="0" w:space="0" w:color="auto"/>
        <w:bottom w:val="none" w:sz="0" w:space="0" w:color="auto"/>
        <w:right w:val="none" w:sz="0" w:space="0" w:color="auto"/>
      </w:divBdr>
    </w:div>
    <w:div w:id="418907549">
      <w:bodyDiv w:val="1"/>
      <w:marLeft w:val="0"/>
      <w:marRight w:val="0"/>
      <w:marTop w:val="0"/>
      <w:marBottom w:val="0"/>
      <w:divBdr>
        <w:top w:val="none" w:sz="0" w:space="0" w:color="auto"/>
        <w:left w:val="none" w:sz="0" w:space="0" w:color="auto"/>
        <w:bottom w:val="none" w:sz="0" w:space="0" w:color="auto"/>
        <w:right w:val="none" w:sz="0" w:space="0" w:color="auto"/>
      </w:divBdr>
    </w:div>
    <w:div w:id="419106359">
      <w:bodyDiv w:val="1"/>
      <w:marLeft w:val="0"/>
      <w:marRight w:val="0"/>
      <w:marTop w:val="0"/>
      <w:marBottom w:val="0"/>
      <w:divBdr>
        <w:top w:val="none" w:sz="0" w:space="0" w:color="auto"/>
        <w:left w:val="none" w:sz="0" w:space="0" w:color="auto"/>
        <w:bottom w:val="none" w:sz="0" w:space="0" w:color="auto"/>
        <w:right w:val="none" w:sz="0" w:space="0" w:color="auto"/>
      </w:divBdr>
    </w:div>
    <w:div w:id="420375372">
      <w:bodyDiv w:val="1"/>
      <w:marLeft w:val="0"/>
      <w:marRight w:val="0"/>
      <w:marTop w:val="0"/>
      <w:marBottom w:val="0"/>
      <w:divBdr>
        <w:top w:val="none" w:sz="0" w:space="0" w:color="auto"/>
        <w:left w:val="none" w:sz="0" w:space="0" w:color="auto"/>
        <w:bottom w:val="none" w:sz="0" w:space="0" w:color="auto"/>
        <w:right w:val="none" w:sz="0" w:space="0" w:color="auto"/>
      </w:divBdr>
    </w:div>
    <w:div w:id="421150732">
      <w:bodyDiv w:val="1"/>
      <w:marLeft w:val="0"/>
      <w:marRight w:val="0"/>
      <w:marTop w:val="0"/>
      <w:marBottom w:val="0"/>
      <w:divBdr>
        <w:top w:val="none" w:sz="0" w:space="0" w:color="auto"/>
        <w:left w:val="none" w:sz="0" w:space="0" w:color="auto"/>
        <w:bottom w:val="none" w:sz="0" w:space="0" w:color="auto"/>
        <w:right w:val="none" w:sz="0" w:space="0" w:color="auto"/>
      </w:divBdr>
    </w:div>
    <w:div w:id="421413403">
      <w:bodyDiv w:val="1"/>
      <w:marLeft w:val="0"/>
      <w:marRight w:val="0"/>
      <w:marTop w:val="0"/>
      <w:marBottom w:val="0"/>
      <w:divBdr>
        <w:top w:val="none" w:sz="0" w:space="0" w:color="auto"/>
        <w:left w:val="none" w:sz="0" w:space="0" w:color="auto"/>
        <w:bottom w:val="none" w:sz="0" w:space="0" w:color="auto"/>
        <w:right w:val="none" w:sz="0" w:space="0" w:color="auto"/>
      </w:divBdr>
    </w:div>
    <w:div w:id="421489365">
      <w:bodyDiv w:val="1"/>
      <w:marLeft w:val="0"/>
      <w:marRight w:val="0"/>
      <w:marTop w:val="0"/>
      <w:marBottom w:val="0"/>
      <w:divBdr>
        <w:top w:val="none" w:sz="0" w:space="0" w:color="auto"/>
        <w:left w:val="none" w:sz="0" w:space="0" w:color="auto"/>
        <w:bottom w:val="none" w:sz="0" w:space="0" w:color="auto"/>
        <w:right w:val="none" w:sz="0" w:space="0" w:color="auto"/>
      </w:divBdr>
    </w:div>
    <w:div w:id="422147993">
      <w:bodyDiv w:val="1"/>
      <w:marLeft w:val="0"/>
      <w:marRight w:val="0"/>
      <w:marTop w:val="0"/>
      <w:marBottom w:val="0"/>
      <w:divBdr>
        <w:top w:val="none" w:sz="0" w:space="0" w:color="auto"/>
        <w:left w:val="none" w:sz="0" w:space="0" w:color="auto"/>
        <w:bottom w:val="none" w:sz="0" w:space="0" w:color="auto"/>
        <w:right w:val="none" w:sz="0" w:space="0" w:color="auto"/>
      </w:divBdr>
    </w:div>
    <w:div w:id="422922585">
      <w:bodyDiv w:val="1"/>
      <w:marLeft w:val="0"/>
      <w:marRight w:val="0"/>
      <w:marTop w:val="0"/>
      <w:marBottom w:val="0"/>
      <w:divBdr>
        <w:top w:val="none" w:sz="0" w:space="0" w:color="auto"/>
        <w:left w:val="none" w:sz="0" w:space="0" w:color="auto"/>
        <w:bottom w:val="none" w:sz="0" w:space="0" w:color="auto"/>
        <w:right w:val="none" w:sz="0" w:space="0" w:color="auto"/>
      </w:divBdr>
    </w:div>
    <w:div w:id="422993645">
      <w:bodyDiv w:val="1"/>
      <w:marLeft w:val="0"/>
      <w:marRight w:val="0"/>
      <w:marTop w:val="0"/>
      <w:marBottom w:val="0"/>
      <w:divBdr>
        <w:top w:val="none" w:sz="0" w:space="0" w:color="auto"/>
        <w:left w:val="none" w:sz="0" w:space="0" w:color="auto"/>
        <w:bottom w:val="none" w:sz="0" w:space="0" w:color="auto"/>
        <w:right w:val="none" w:sz="0" w:space="0" w:color="auto"/>
      </w:divBdr>
    </w:div>
    <w:div w:id="423036004">
      <w:bodyDiv w:val="1"/>
      <w:marLeft w:val="0"/>
      <w:marRight w:val="0"/>
      <w:marTop w:val="0"/>
      <w:marBottom w:val="0"/>
      <w:divBdr>
        <w:top w:val="none" w:sz="0" w:space="0" w:color="auto"/>
        <w:left w:val="none" w:sz="0" w:space="0" w:color="auto"/>
        <w:bottom w:val="none" w:sz="0" w:space="0" w:color="auto"/>
        <w:right w:val="none" w:sz="0" w:space="0" w:color="auto"/>
      </w:divBdr>
    </w:div>
    <w:div w:id="424302190">
      <w:bodyDiv w:val="1"/>
      <w:marLeft w:val="0"/>
      <w:marRight w:val="0"/>
      <w:marTop w:val="0"/>
      <w:marBottom w:val="0"/>
      <w:divBdr>
        <w:top w:val="none" w:sz="0" w:space="0" w:color="auto"/>
        <w:left w:val="none" w:sz="0" w:space="0" w:color="auto"/>
        <w:bottom w:val="none" w:sz="0" w:space="0" w:color="auto"/>
        <w:right w:val="none" w:sz="0" w:space="0" w:color="auto"/>
      </w:divBdr>
    </w:div>
    <w:div w:id="424961402">
      <w:bodyDiv w:val="1"/>
      <w:marLeft w:val="0"/>
      <w:marRight w:val="0"/>
      <w:marTop w:val="0"/>
      <w:marBottom w:val="0"/>
      <w:divBdr>
        <w:top w:val="none" w:sz="0" w:space="0" w:color="auto"/>
        <w:left w:val="none" w:sz="0" w:space="0" w:color="auto"/>
        <w:bottom w:val="none" w:sz="0" w:space="0" w:color="auto"/>
        <w:right w:val="none" w:sz="0" w:space="0" w:color="auto"/>
      </w:divBdr>
    </w:div>
    <w:div w:id="425615047">
      <w:bodyDiv w:val="1"/>
      <w:marLeft w:val="0"/>
      <w:marRight w:val="0"/>
      <w:marTop w:val="0"/>
      <w:marBottom w:val="0"/>
      <w:divBdr>
        <w:top w:val="none" w:sz="0" w:space="0" w:color="auto"/>
        <w:left w:val="none" w:sz="0" w:space="0" w:color="auto"/>
        <w:bottom w:val="none" w:sz="0" w:space="0" w:color="auto"/>
        <w:right w:val="none" w:sz="0" w:space="0" w:color="auto"/>
      </w:divBdr>
    </w:div>
    <w:div w:id="426117602">
      <w:bodyDiv w:val="1"/>
      <w:marLeft w:val="0"/>
      <w:marRight w:val="0"/>
      <w:marTop w:val="0"/>
      <w:marBottom w:val="0"/>
      <w:divBdr>
        <w:top w:val="none" w:sz="0" w:space="0" w:color="auto"/>
        <w:left w:val="none" w:sz="0" w:space="0" w:color="auto"/>
        <w:bottom w:val="none" w:sz="0" w:space="0" w:color="auto"/>
        <w:right w:val="none" w:sz="0" w:space="0" w:color="auto"/>
      </w:divBdr>
    </w:div>
    <w:div w:id="426197885">
      <w:bodyDiv w:val="1"/>
      <w:marLeft w:val="0"/>
      <w:marRight w:val="0"/>
      <w:marTop w:val="0"/>
      <w:marBottom w:val="0"/>
      <w:divBdr>
        <w:top w:val="none" w:sz="0" w:space="0" w:color="auto"/>
        <w:left w:val="none" w:sz="0" w:space="0" w:color="auto"/>
        <w:bottom w:val="none" w:sz="0" w:space="0" w:color="auto"/>
        <w:right w:val="none" w:sz="0" w:space="0" w:color="auto"/>
      </w:divBdr>
    </w:div>
    <w:div w:id="426657404">
      <w:bodyDiv w:val="1"/>
      <w:marLeft w:val="0"/>
      <w:marRight w:val="0"/>
      <w:marTop w:val="0"/>
      <w:marBottom w:val="0"/>
      <w:divBdr>
        <w:top w:val="none" w:sz="0" w:space="0" w:color="auto"/>
        <w:left w:val="none" w:sz="0" w:space="0" w:color="auto"/>
        <w:bottom w:val="none" w:sz="0" w:space="0" w:color="auto"/>
        <w:right w:val="none" w:sz="0" w:space="0" w:color="auto"/>
      </w:divBdr>
    </w:div>
    <w:div w:id="426924778">
      <w:bodyDiv w:val="1"/>
      <w:marLeft w:val="0"/>
      <w:marRight w:val="0"/>
      <w:marTop w:val="0"/>
      <w:marBottom w:val="0"/>
      <w:divBdr>
        <w:top w:val="none" w:sz="0" w:space="0" w:color="auto"/>
        <w:left w:val="none" w:sz="0" w:space="0" w:color="auto"/>
        <w:bottom w:val="none" w:sz="0" w:space="0" w:color="auto"/>
        <w:right w:val="none" w:sz="0" w:space="0" w:color="auto"/>
      </w:divBdr>
    </w:div>
    <w:div w:id="427426111">
      <w:bodyDiv w:val="1"/>
      <w:marLeft w:val="0"/>
      <w:marRight w:val="0"/>
      <w:marTop w:val="0"/>
      <w:marBottom w:val="0"/>
      <w:divBdr>
        <w:top w:val="none" w:sz="0" w:space="0" w:color="auto"/>
        <w:left w:val="none" w:sz="0" w:space="0" w:color="auto"/>
        <w:bottom w:val="none" w:sz="0" w:space="0" w:color="auto"/>
        <w:right w:val="none" w:sz="0" w:space="0" w:color="auto"/>
      </w:divBdr>
    </w:div>
    <w:div w:id="427895295">
      <w:bodyDiv w:val="1"/>
      <w:marLeft w:val="0"/>
      <w:marRight w:val="0"/>
      <w:marTop w:val="0"/>
      <w:marBottom w:val="0"/>
      <w:divBdr>
        <w:top w:val="none" w:sz="0" w:space="0" w:color="auto"/>
        <w:left w:val="none" w:sz="0" w:space="0" w:color="auto"/>
        <w:bottom w:val="none" w:sz="0" w:space="0" w:color="auto"/>
        <w:right w:val="none" w:sz="0" w:space="0" w:color="auto"/>
      </w:divBdr>
    </w:div>
    <w:div w:id="429545953">
      <w:bodyDiv w:val="1"/>
      <w:marLeft w:val="0"/>
      <w:marRight w:val="0"/>
      <w:marTop w:val="0"/>
      <w:marBottom w:val="0"/>
      <w:divBdr>
        <w:top w:val="none" w:sz="0" w:space="0" w:color="auto"/>
        <w:left w:val="none" w:sz="0" w:space="0" w:color="auto"/>
        <w:bottom w:val="none" w:sz="0" w:space="0" w:color="auto"/>
        <w:right w:val="none" w:sz="0" w:space="0" w:color="auto"/>
      </w:divBdr>
    </w:div>
    <w:div w:id="431173190">
      <w:bodyDiv w:val="1"/>
      <w:marLeft w:val="0"/>
      <w:marRight w:val="0"/>
      <w:marTop w:val="0"/>
      <w:marBottom w:val="0"/>
      <w:divBdr>
        <w:top w:val="none" w:sz="0" w:space="0" w:color="auto"/>
        <w:left w:val="none" w:sz="0" w:space="0" w:color="auto"/>
        <w:bottom w:val="none" w:sz="0" w:space="0" w:color="auto"/>
        <w:right w:val="none" w:sz="0" w:space="0" w:color="auto"/>
      </w:divBdr>
    </w:div>
    <w:div w:id="431242224">
      <w:bodyDiv w:val="1"/>
      <w:marLeft w:val="0"/>
      <w:marRight w:val="0"/>
      <w:marTop w:val="0"/>
      <w:marBottom w:val="0"/>
      <w:divBdr>
        <w:top w:val="none" w:sz="0" w:space="0" w:color="auto"/>
        <w:left w:val="none" w:sz="0" w:space="0" w:color="auto"/>
        <w:bottom w:val="none" w:sz="0" w:space="0" w:color="auto"/>
        <w:right w:val="none" w:sz="0" w:space="0" w:color="auto"/>
      </w:divBdr>
    </w:div>
    <w:div w:id="432282834">
      <w:bodyDiv w:val="1"/>
      <w:marLeft w:val="0"/>
      <w:marRight w:val="0"/>
      <w:marTop w:val="0"/>
      <w:marBottom w:val="0"/>
      <w:divBdr>
        <w:top w:val="none" w:sz="0" w:space="0" w:color="auto"/>
        <w:left w:val="none" w:sz="0" w:space="0" w:color="auto"/>
        <w:bottom w:val="none" w:sz="0" w:space="0" w:color="auto"/>
        <w:right w:val="none" w:sz="0" w:space="0" w:color="auto"/>
      </w:divBdr>
    </w:div>
    <w:div w:id="432672828">
      <w:bodyDiv w:val="1"/>
      <w:marLeft w:val="0"/>
      <w:marRight w:val="0"/>
      <w:marTop w:val="0"/>
      <w:marBottom w:val="0"/>
      <w:divBdr>
        <w:top w:val="none" w:sz="0" w:space="0" w:color="auto"/>
        <w:left w:val="none" w:sz="0" w:space="0" w:color="auto"/>
        <w:bottom w:val="none" w:sz="0" w:space="0" w:color="auto"/>
        <w:right w:val="none" w:sz="0" w:space="0" w:color="auto"/>
      </w:divBdr>
    </w:div>
    <w:div w:id="434134868">
      <w:bodyDiv w:val="1"/>
      <w:marLeft w:val="0"/>
      <w:marRight w:val="0"/>
      <w:marTop w:val="0"/>
      <w:marBottom w:val="0"/>
      <w:divBdr>
        <w:top w:val="none" w:sz="0" w:space="0" w:color="auto"/>
        <w:left w:val="none" w:sz="0" w:space="0" w:color="auto"/>
        <w:bottom w:val="none" w:sz="0" w:space="0" w:color="auto"/>
        <w:right w:val="none" w:sz="0" w:space="0" w:color="auto"/>
      </w:divBdr>
    </w:div>
    <w:div w:id="435712353">
      <w:bodyDiv w:val="1"/>
      <w:marLeft w:val="0"/>
      <w:marRight w:val="0"/>
      <w:marTop w:val="0"/>
      <w:marBottom w:val="0"/>
      <w:divBdr>
        <w:top w:val="none" w:sz="0" w:space="0" w:color="auto"/>
        <w:left w:val="none" w:sz="0" w:space="0" w:color="auto"/>
        <w:bottom w:val="none" w:sz="0" w:space="0" w:color="auto"/>
        <w:right w:val="none" w:sz="0" w:space="0" w:color="auto"/>
      </w:divBdr>
    </w:div>
    <w:div w:id="435713252">
      <w:bodyDiv w:val="1"/>
      <w:marLeft w:val="0"/>
      <w:marRight w:val="0"/>
      <w:marTop w:val="0"/>
      <w:marBottom w:val="0"/>
      <w:divBdr>
        <w:top w:val="none" w:sz="0" w:space="0" w:color="auto"/>
        <w:left w:val="none" w:sz="0" w:space="0" w:color="auto"/>
        <w:bottom w:val="none" w:sz="0" w:space="0" w:color="auto"/>
        <w:right w:val="none" w:sz="0" w:space="0" w:color="auto"/>
      </w:divBdr>
    </w:div>
    <w:div w:id="437069865">
      <w:bodyDiv w:val="1"/>
      <w:marLeft w:val="0"/>
      <w:marRight w:val="0"/>
      <w:marTop w:val="0"/>
      <w:marBottom w:val="0"/>
      <w:divBdr>
        <w:top w:val="none" w:sz="0" w:space="0" w:color="auto"/>
        <w:left w:val="none" w:sz="0" w:space="0" w:color="auto"/>
        <w:bottom w:val="none" w:sz="0" w:space="0" w:color="auto"/>
        <w:right w:val="none" w:sz="0" w:space="0" w:color="auto"/>
      </w:divBdr>
    </w:div>
    <w:div w:id="437146252">
      <w:bodyDiv w:val="1"/>
      <w:marLeft w:val="0"/>
      <w:marRight w:val="0"/>
      <w:marTop w:val="0"/>
      <w:marBottom w:val="0"/>
      <w:divBdr>
        <w:top w:val="none" w:sz="0" w:space="0" w:color="auto"/>
        <w:left w:val="none" w:sz="0" w:space="0" w:color="auto"/>
        <w:bottom w:val="none" w:sz="0" w:space="0" w:color="auto"/>
        <w:right w:val="none" w:sz="0" w:space="0" w:color="auto"/>
      </w:divBdr>
    </w:div>
    <w:div w:id="437677090">
      <w:bodyDiv w:val="1"/>
      <w:marLeft w:val="0"/>
      <w:marRight w:val="0"/>
      <w:marTop w:val="0"/>
      <w:marBottom w:val="0"/>
      <w:divBdr>
        <w:top w:val="none" w:sz="0" w:space="0" w:color="auto"/>
        <w:left w:val="none" w:sz="0" w:space="0" w:color="auto"/>
        <w:bottom w:val="none" w:sz="0" w:space="0" w:color="auto"/>
        <w:right w:val="none" w:sz="0" w:space="0" w:color="auto"/>
      </w:divBdr>
    </w:div>
    <w:div w:id="437916148">
      <w:bodyDiv w:val="1"/>
      <w:marLeft w:val="0"/>
      <w:marRight w:val="0"/>
      <w:marTop w:val="0"/>
      <w:marBottom w:val="0"/>
      <w:divBdr>
        <w:top w:val="none" w:sz="0" w:space="0" w:color="auto"/>
        <w:left w:val="none" w:sz="0" w:space="0" w:color="auto"/>
        <w:bottom w:val="none" w:sz="0" w:space="0" w:color="auto"/>
        <w:right w:val="none" w:sz="0" w:space="0" w:color="auto"/>
      </w:divBdr>
    </w:div>
    <w:div w:id="438259409">
      <w:bodyDiv w:val="1"/>
      <w:marLeft w:val="0"/>
      <w:marRight w:val="0"/>
      <w:marTop w:val="0"/>
      <w:marBottom w:val="0"/>
      <w:divBdr>
        <w:top w:val="none" w:sz="0" w:space="0" w:color="auto"/>
        <w:left w:val="none" w:sz="0" w:space="0" w:color="auto"/>
        <w:bottom w:val="none" w:sz="0" w:space="0" w:color="auto"/>
        <w:right w:val="none" w:sz="0" w:space="0" w:color="auto"/>
      </w:divBdr>
    </w:div>
    <w:div w:id="438916287">
      <w:bodyDiv w:val="1"/>
      <w:marLeft w:val="0"/>
      <w:marRight w:val="0"/>
      <w:marTop w:val="0"/>
      <w:marBottom w:val="0"/>
      <w:divBdr>
        <w:top w:val="none" w:sz="0" w:space="0" w:color="auto"/>
        <w:left w:val="none" w:sz="0" w:space="0" w:color="auto"/>
        <w:bottom w:val="none" w:sz="0" w:space="0" w:color="auto"/>
        <w:right w:val="none" w:sz="0" w:space="0" w:color="auto"/>
      </w:divBdr>
    </w:div>
    <w:div w:id="439569876">
      <w:bodyDiv w:val="1"/>
      <w:marLeft w:val="0"/>
      <w:marRight w:val="0"/>
      <w:marTop w:val="0"/>
      <w:marBottom w:val="0"/>
      <w:divBdr>
        <w:top w:val="none" w:sz="0" w:space="0" w:color="auto"/>
        <w:left w:val="none" w:sz="0" w:space="0" w:color="auto"/>
        <w:bottom w:val="none" w:sz="0" w:space="0" w:color="auto"/>
        <w:right w:val="none" w:sz="0" w:space="0" w:color="auto"/>
      </w:divBdr>
    </w:div>
    <w:div w:id="440271051">
      <w:bodyDiv w:val="1"/>
      <w:marLeft w:val="0"/>
      <w:marRight w:val="0"/>
      <w:marTop w:val="0"/>
      <w:marBottom w:val="0"/>
      <w:divBdr>
        <w:top w:val="none" w:sz="0" w:space="0" w:color="auto"/>
        <w:left w:val="none" w:sz="0" w:space="0" w:color="auto"/>
        <w:bottom w:val="none" w:sz="0" w:space="0" w:color="auto"/>
        <w:right w:val="none" w:sz="0" w:space="0" w:color="auto"/>
      </w:divBdr>
    </w:div>
    <w:div w:id="440536941">
      <w:bodyDiv w:val="1"/>
      <w:marLeft w:val="0"/>
      <w:marRight w:val="0"/>
      <w:marTop w:val="0"/>
      <w:marBottom w:val="0"/>
      <w:divBdr>
        <w:top w:val="none" w:sz="0" w:space="0" w:color="auto"/>
        <w:left w:val="none" w:sz="0" w:space="0" w:color="auto"/>
        <w:bottom w:val="none" w:sz="0" w:space="0" w:color="auto"/>
        <w:right w:val="none" w:sz="0" w:space="0" w:color="auto"/>
      </w:divBdr>
    </w:div>
    <w:div w:id="440994958">
      <w:bodyDiv w:val="1"/>
      <w:marLeft w:val="0"/>
      <w:marRight w:val="0"/>
      <w:marTop w:val="0"/>
      <w:marBottom w:val="0"/>
      <w:divBdr>
        <w:top w:val="none" w:sz="0" w:space="0" w:color="auto"/>
        <w:left w:val="none" w:sz="0" w:space="0" w:color="auto"/>
        <w:bottom w:val="none" w:sz="0" w:space="0" w:color="auto"/>
        <w:right w:val="none" w:sz="0" w:space="0" w:color="auto"/>
      </w:divBdr>
    </w:div>
    <w:div w:id="441538883">
      <w:bodyDiv w:val="1"/>
      <w:marLeft w:val="0"/>
      <w:marRight w:val="0"/>
      <w:marTop w:val="0"/>
      <w:marBottom w:val="0"/>
      <w:divBdr>
        <w:top w:val="none" w:sz="0" w:space="0" w:color="auto"/>
        <w:left w:val="none" w:sz="0" w:space="0" w:color="auto"/>
        <w:bottom w:val="none" w:sz="0" w:space="0" w:color="auto"/>
        <w:right w:val="none" w:sz="0" w:space="0" w:color="auto"/>
      </w:divBdr>
    </w:div>
    <w:div w:id="442042565">
      <w:bodyDiv w:val="1"/>
      <w:marLeft w:val="0"/>
      <w:marRight w:val="0"/>
      <w:marTop w:val="0"/>
      <w:marBottom w:val="0"/>
      <w:divBdr>
        <w:top w:val="none" w:sz="0" w:space="0" w:color="auto"/>
        <w:left w:val="none" w:sz="0" w:space="0" w:color="auto"/>
        <w:bottom w:val="none" w:sz="0" w:space="0" w:color="auto"/>
        <w:right w:val="none" w:sz="0" w:space="0" w:color="auto"/>
      </w:divBdr>
    </w:div>
    <w:div w:id="444276852">
      <w:bodyDiv w:val="1"/>
      <w:marLeft w:val="0"/>
      <w:marRight w:val="0"/>
      <w:marTop w:val="0"/>
      <w:marBottom w:val="0"/>
      <w:divBdr>
        <w:top w:val="none" w:sz="0" w:space="0" w:color="auto"/>
        <w:left w:val="none" w:sz="0" w:space="0" w:color="auto"/>
        <w:bottom w:val="none" w:sz="0" w:space="0" w:color="auto"/>
        <w:right w:val="none" w:sz="0" w:space="0" w:color="auto"/>
      </w:divBdr>
    </w:div>
    <w:div w:id="444739664">
      <w:bodyDiv w:val="1"/>
      <w:marLeft w:val="0"/>
      <w:marRight w:val="0"/>
      <w:marTop w:val="0"/>
      <w:marBottom w:val="0"/>
      <w:divBdr>
        <w:top w:val="none" w:sz="0" w:space="0" w:color="auto"/>
        <w:left w:val="none" w:sz="0" w:space="0" w:color="auto"/>
        <w:bottom w:val="none" w:sz="0" w:space="0" w:color="auto"/>
        <w:right w:val="none" w:sz="0" w:space="0" w:color="auto"/>
      </w:divBdr>
    </w:div>
    <w:div w:id="445197359">
      <w:bodyDiv w:val="1"/>
      <w:marLeft w:val="0"/>
      <w:marRight w:val="0"/>
      <w:marTop w:val="0"/>
      <w:marBottom w:val="0"/>
      <w:divBdr>
        <w:top w:val="none" w:sz="0" w:space="0" w:color="auto"/>
        <w:left w:val="none" w:sz="0" w:space="0" w:color="auto"/>
        <w:bottom w:val="none" w:sz="0" w:space="0" w:color="auto"/>
        <w:right w:val="none" w:sz="0" w:space="0" w:color="auto"/>
      </w:divBdr>
    </w:div>
    <w:div w:id="445974060">
      <w:bodyDiv w:val="1"/>
      <w:marLeft w:val="0"/>
      <w:marRight w:val="0"/>
      <w:marTop w:val="0"/>
      <w:marBottom w:val="0"/>
      <w:divBdr>
        <w:top w:val="none" w:sz="0" w:space="0" w:color="auto"/>
        <w:left w:val="none" w:sz="0" w:space="0" w:color="auto"/>
        <w:bottom w:val="none" w:sz="0" w:space="0" w:color="auto"/>
        <w:right w:val="none" w:sz="0" w:space="0" w:color="auto"/>
      </w:divBdr>
    </w:div>
    <w:div w:id="446629902">
      <w:bodyDiv w:val="1"/>
      <w:marLeft w:val="0"/>
      <w:marRight w:val="0"/>
      <w:marTop w:val="0"/>
      <w:marBottom w:val="0"/>
      <w:divBdr>
        <w:top w:val="none" w:sz="0" w:space="0" w:color="auto"/>
        <w:left w:val="none" w:sz="0" w:space="0" w:color="auto"/>
        <w:bottom w:val="none" w:sz="0" w:space="0" w:color="auto"/>
        <w:right w:val="none" w:sz="0" w:space="0" w:color="auto"/>
      </w:divBdr>
    </w:div>
    <w:div w:id="447503627">
      <w:bodyDiv w:val="1"/>
      <w:marLeft w:val="0"/>
      <w:marRight w:val="0"/>
      <w:marTop w:val="0"/>
      <w:marBottom w:val="0"/>
      <w:divBdr>
        <w:top w:val="none" w:sz="0" w:space="0" w:color="auto"/>
        <w:left w:val="none" w:sz="0" w:space="0" w:color="auto"/>
        <w:bottom w:val="none" w:sz="0" w:space="0" w:color="auto"/>
        <w:right w:val="none" w:sz="0" w:space="0" w:color="auto"/>
      </w:divBdr>
    </w:div>
    <w:div w:id="447626772">
      <w:bodyDiv w:val="1"/>
      <w:marLeft w:val="0"/>
      <w:marRight w:val="0"/>
      <w:marTop w:val="0"/>
      <w:marBottom w:val="0"/>
      <w:divBdr>
        <w:top w:val="none" w:sz="0" w:space="0" w:color="auto"/>
        <w:left w:val="none" w:sz="0" w:space="0" w:color="auto"/>
        <w:bottom w:val="none" w:sz="0" w:space="0" w:color="auto"/>
        <w:right w:val="none" w:sz="0" w:space="0" w:color="auto"/>
      </w:divBdr>
    </w:div>
    <w:div w:id="449738499">
      <w:bodyDiv w:val="1"/>
      <w:marLeft w:val="0"/>
      <w:marRight w:val="0"/>
      <w:marTop w:val="0"/>
      <w:marBottom w:val="0"/>
      <w:divBdr>
        <w:top w:val="none" w:sz="0" w:space="0" w:color="auto"/>
        <w:left w:val="none" w:sz="0" w:space="0" w:color="auto"/>
        <w:bottom w:val="none" w:sz="0" w:space="0" w:color="auto"/>
        <w:right w:val="none" w:sz="0" w:space="0" w:color="auto"/>
      </w:divBdr>
    </w:div>
    <w:div w:id="449975297">
      <w:bodyDiv w:val="1"/>
      <w:marLeft w:val="0"/>
      <w:marRight w:val="0"/>
      <w:marTop w:val="0"/>
      <w:marBottom w:val="0"/>
      <w:divBdr>
        <w:top w:val="none" w:sz="0" w:space="0" w:color="auto"/>
        <w:left w:val="none" w:sz="0" w:space="0" w:color="auto"/>
        <w:bottom w:val="none" w:sz="0" w:space="0" w:color="auto"/>
        <w:right w:val="none" w:sz="0" w:space="0" w:color="auto"/>
      </w:divBdr>
    </w:div>
    <w:div w:id="450590571">
      <w:bodyDiv w:val="1"/>
      <w:marLeft w:val="0"/>
      <w:marRight w:val="0"/>
      <w:marTop w:val="0"/>
      <w:marBottom w:val="0"/>
      <w:divBdr>
        <w:top w:val="none" w:sz="0" w:space="0" w:color="auto"/>
        <w:left w:val="none" w:sz="0" w:space="0" w:color="auto"/>
        <w:bottom w:val="none" w:sz="0" w:space="0" w:color="auto"/>
        <w:right w:val="none" w:sz="0" w:space="0" w:color="auto"/>
      </w:divBdr>
    </w:div>
    <w:div w:id="450705553">
      <w:bodyDiv w:val="1"/>
      <w:marLeft w:val="0"/>
      <w:marRight w:val="0"/>
      <w:marTop w:val="0"/>
      <w:marBottom w:val="0"/>
      <w:divBdr>
        <w:top w:val="none" w:sz="0" w:space="0" w:color="auto"/>
        <w:left w:val="none" w:sz="0" w:space="0" w:color="auto"/>
        <w:bottom w:val="none" w:sz="0" w:space="0" w:color="auto"/>
        <w:right w:val="none" w:sz="0" w:space="0" w:color="auto"/>
      </w:divBdr>
    </w:div>
    <w:div w:id="451287573">
      <w:bodyDiv w:val="1"/>
      <w:marLeft w:val="0"/>
      <w:marRight w:val="0"/>
      <w:marTop w:val="0"/>
      <w:marBottom w:val="0"/>
      <w:divBdr>
        <w:top w:val="none" w:sz="0" w:space="0" w:color="auto"/>
        <w:left w:val="none" w:sz="0" w:space="0" w:color="auto"/>
        <w:bottom w:val="none" w:sz="0" w:space="0" w:color="auto"/>
        <w:right w:val="none" w:sz="0" w:space="0" w:color="auto"/>
      </w:divBdr>
    </w:div>
    <w:div w:id="453184199">
      <w:bodyDiv w:val="1"/>
      <w:marLeft w:val="0"/>
      <w:marRight w:val="0"/>
      <w:marTop w:val="0"/>
      <w:marBottom w:val="0"/>
      <w:divBdr>
        <w:top w:val="none" w:sz="0" w:space="0" w:color="auto"/>
        <w:left w:val="none" w:sz="0" w:space="0" w:color="auto"/>
        <w:bottom w:val="none" w:sz="0" w:space="0" w:color="auto"/>
        <w:right w:val="none" w:sz="0" w:space="0" w:color="auto"/>
      </w:divBdr>
    </w:div>
    <w:div w:id="453332800">
      <w:bodyDiv w:val="1"/>
      <w:marLeft w:val="0"/>
      <w:marRight w:val="0"/>
      <w:marTop w:val="0"/>
      <w:marBottom w:val="0"/>
      <w:divBdr>
        <w:top w:val="none" w:sz="0" w:space="0" w:color="auto"/>
        <w:left w:val="none" w:sz="0" w:space="0" w:color="auto"/>
        <w:bottom w:val="none" w:sz="0" w:space="0" w:color="auto"/>
        <w:right w:val="none" w:sz="0" w:space="0" w:color="auto"/>
      </w:divBdr>
    </w:div>
    <w:div w:id="453796328">
      <w:bodyDiv w:val="1"/>
      <w:marLeft w:val="0"/>
      <w:marRight w:val="0"/>
      <w:marTop w:val="0"/>
      <w:marBottom w:val="0"/>
      <w:divBdr>
        <w:top w:val="none" w:sz="0" w:space="0" w:color="auto"/>
        <w:left w:val="none" w:sz="0" w:space="0" w:color="auto"/>
        <w:bottom w:val="none" w:sz="0" w:space="0" w:color="auto"/>
        <w:right w:val="none" w:sz="0" w:space="0" w:color="auto"/>
      </w:divBdr>
    </w:div>
    <w:div w:id="453838221">
      <w:bodyDiv w:val="1"/>
      <w:marLeft w:val="0"/>
      <w:marRight w:val="0"/>
      <w:marTop w:val="0"/>
      <w:marBottom w:val="0"/>
      <w:divBdr>
        <w:top w:val="none" w:sz="0" w:space="0" w:color="auto"/>
        <w:left w:val="none" w:sz="0" w:space="0" w:color="auto"/>
        <w:bottom w:val="none" w:sz="0" w:space="0" w:color="auto"/>
        <w:right w:val="none" w:sz="0" w:space="0" w:color="auto"/>
      </w:divBdr>
    </w:div>
    <w:div w:id="453838487">
      <w:bodyDiv w:val="1"/>
      <w:marLeft w:val="0"/>
      <w:marRight w:val="0"/>
      <w:marTop w:val="0"/>
      <w:marBottom w:val="0"/>
      <w:divBdr>
        <w:top w:val="none" w:sz="0" w:space="0" w:color="auto"/>
        <w:left w:val="none" w:sz="0" w:space="0" w:color="auto"/>
        <w:bottom w:val="none" w:sz="0" w:space="0" w:color="auto"/>
        <w:right w:val="none" w:sz="0" w:space="0" w:color="auto"/>
      </w:divBdr>
    </w:div>
    <w:div w:id="455639031">
      <w:bodyDiv w:val="1"/>
      <w:marLeft w:val="0"/>
      <w:marRight w:val="0"/>
      <w:marTop w:val="0"/>
      <w:marBottom w:val="0"/>
      <w:divBdr>
        <w:top w:val="none" w:sz="0" w:space="0" w:color="auto"/>
        <w:left w:val="none" w:sz="0" w:space="0" w:color="auto"/>
        <w:bottom w:val="none" w:sz="0" w:space="0" w:color="auto"/>
        <w:right w:val="none" w:sz="0" w:space="0" w:color="auto"/>
      </w:divBdr>
    </w:div>
    <w:div w:id="455828640">
      <w:bodyDiv w:val="1"/>
      <w:marLeft w:val="0"/>
      <w:marRight w:val="0"/>
      <w:marTop w:val="0"/>
      <w:marBottom w:val="0"/>
      <w:divBdr>
        <w:top w:val="none" w:sz="0" w:space="0" w:color="auto"/>
        <w:left w:val="none" w:sz="0" w:space="0" w:color="auto"/>
        <w:bottom w:val="none" w:sz="0" w:space="0" w:color="auto"/>
        <w:right w:val="none" w:sz="0" w:space="0" w:color="auto"/>
      </w:divBdr>
    </w:div>
    <w:div w:id="457070501">
      <w:bodyDiv w:val="1"/>
      <w:marLeft w:val="0"/>
      <w:marRight w:val="0"/>
      <w:marTop w:val="0"/>
      <w:marBottom w:val="0"/>
      <w:divBdr>
        <w:top w:val="none" w:sz="0" w:space="0" w:color="auto"/>
        <w:left w:val="none" w:sz="0" w:space="0" w:color="auto"/>
        <w:bottom w:val="none" w:sz="0" w:space="0" w:color="auto"/>
        <w:right w:val="none" w:sz="0" w:space="0" w:color="auto"/>
      </w:divBdr>
    </w:div>
    <w:div w:id="457991158">
      <w:bodyDiv w:val="1"/>
      <w:marLeft w:val="0"/>
      <w:marRight w:val="0"/>
      <w:marTop w:val="0"/>
      <w:marBottom w:val="0"/>
      <w:divBdr>
        <w:top w:val="none" w:sz="0" w:space="0" w:color="auto"/>
        <w:left w:val="none" w:sz="0" w:space="0" w:color="auto"/>
        <w:bottom w:val="none" w:sz="0" w:space="0" w:color="auto"/>
        <w:right w:val="none" w:sz="0" w:space="0" w:color="auto"/>
      </w:divBdr>
    </w:div>
    <w:div w:id="459034031">
      <w:bodyDiv w:val="1"/>
      <w:marLeft w:val="0"/>
      <w:marRight w:val="0"/>
      <w:marTop w:val="0"/>
      <w:marBottom w:val="0"/>
      <w:divBdr>
        <w:top w:val="none" w:sz="0" w:space="0" w:color="auto"/>
        <w:left w:val="none" w:sz="0" w:space="0" w:color="auto"/>
        <w:bottom w:val="none" w:sz="0" w:space="0" w:color="auto"/>
        <w:right w:val="none" w:sz="0" w:space="0" w:color="auto"/>
      </w:divBdr>
    </w:div>
    <w:div w:id="460154378">
      <w:bodyDiv w:val="1"/>
      <w:marLeft w:val="0"/>
      <w:marRight w:val="0"/>
      <w:marTop w:val="0"/>
      <w:marBottom w:val="0"/>
      <w:divBdr>
        <w:top w:val="none" w:sz="0" w:space="0" w:color="auto"/>
        <w:left w:val="none" w:sz="0" w:space="0" w:color="auto"/>
        <w:bottom w:val="none" w:sz="0" w:space="0" w:color="auto"/>
        <w:right w:val="none" w:sz="0" w:space="0" w:color="auto"/>
      </w:divBdr>
    </w:div>
    <w:div w:id="460802945">
      <w:bodyDiv w:val="1"/>
      <w:marLeft w:val="0"/>
      <w:marRight w:val="0"/>
      <w:marTop w:val="0"/>
      <w:marBottom w:val="0"/>
      <w:divBdr>
        <w:top w:val="none" w:sz="0" w:space="0" w:color="auto"/>
        <w:left w:val="none" w:sz="0" w:space="0" w:color="auto"/>
        <w:bottom w:val="none" w:sz="0" w:space="0" w:color="auto"/>
        <w:right w:val="none" w:sz="0" w:space="0" w:color="auto"/>
      </w:divBdr>
    </w:div>
    <w:div w:id="463161738">
      <w:bodyDiv w:val="1"/>
      <w:marLeft w:val="0"/>
      <w:marRight w:val="0"/>
      <w:marTop w:val="0"/>
      <w:marBottom w:val="0"/>
      <w:divBdr>
        <w:top w:val="none" w:sz="0" w:space="0" w:color="auto"/>
        <w:left w:val="none" w:sz="0" w:space="0" w:color="auto"/>
        <w:bottom w:val="none" w:sz="0" w:space="0" w:color="auto"/>
        <w:right w:val="none" w:sz="0" w:space="0" w:color="auto"/>
      </w:divBdr>
    </w:div>
    <w:div w:id="464541350">
      <w:bodyDiv w:val="1"/>
      <w:marLeft w:val="0"/>
      <w:marRight w:val="0"/>
      <w:marTop w:val="0"/>
      <w:marBottom w:val="0"/>
      <w:divBdr>
        <w:top w:val="none" w:sz="0" w:space="0" w:color="auto"/>
        <w:left w:val="none" w:sz="0" w:space="0" w:color="auto"/>
        <w:bottom w:val="none" w:sz="0" w:space="0" w:color="auto"/>
        <w:right w:val="none" w:sz="0" w:space="0" w:color="auto"/>
      </w:divBdr>
    </w:div>
    <w:div w:id="464662708">
      <w:bodyDiv w:val="1"/>
      <w:marLeft w:val="0"/>
      <w:marRight w:val="0"/>
      <w:marTop w:val="0"/>
      <w:marBottom w:val="0"/>
      <w:divBdr>
        <w:top w:val="none" w:sz="0" w:space="0" w:color="auto"/>
        <w:left w:val="none" w:sz="0" w:space="0" w:color="auto"/>
        <w:bottom w:val="none" w:sz="0" w:space="0" w:color="auto"/>
        <w:right w:val="none" w:sz="0" w:space="0" w:color="auto"/>
      </w:divBdr>
    </w:div>
    <w:div w:id="465003018">
      <w:bodyDiv w:val="1"/>
      <w:marLeft w:val="0"/>
      <w:marRight w:val="0"/>
      <w:marTop w:val="0"/>
      <w:marBottom w:val="0"/>
      <w:divBdr>
        <w:top w:val="none" w:sz="0" w:space="0" w:color="auto"/>
        <w:left w:val="none" w:sz="0" w:space="0" w:color="auto"/>
        <w:bottom w:val="none" w:sz="0" w:space="0" w:color="auto"/>
        <w:right w:val="none" w:sz="0" w:space="0" w:color="auto"/>
      </w:divBdr>
    </w:div>
    <w:div w:id="465466548">
      <w:bodyDiv w:val="1"/>
      <w:marLeft w:val="0"/>
      <w:marRight w:val="0"/>
      <w:marTop w:val="0"/>
      <w:marBottom w:val="0"/>
      <w:divBdr>
        <w:top w:val="none" w:sz="0" w:space="0" w:color="auto"/>
        <w:left w:val="none" w:sz="0" w:space="0" w:color="auto"/>
        <w:bottom w:val="none" w:sz="0" w:space="0" w:color="auto"/>
        <w:right w:val="none" w:sz="0" w:space="0" w:color="auto"/>
      </w:divBdr>
    </w:div>
    <w:div w:id="466506319">
      <w:bodyDiv w:val="1"/>
      <w:marLeft w:val="0"/>
      <w:marRight w:val="0"/>
      <w:marTop w:val="0"/>
      <w:marBottom w:val="0"/>
      <w:divBdr>
        <w:top w:val="none" w:sz="0" w:space="0" w:color="auto"/>
        <w:left w:val="none" w:sz="0" w:space="0" w:color="auto"/>
        <w:bottom w:val="none" w:sz="0" w:space="0" w:color="auto"/>
        <w:right w:val="none" w:sz="0" w:space="0" w:color="auto"/>
      </w:divBdr>
    </w:div>
    <w:div w:id="467086715">
      <w:bodyDiv w:val="1"/>
      <w:marLeft w:val="0"/>
      <w:marRight w:val="0"/>
      <w:marTop w:val="0"/>
      <w:marBottom w:val="0"/>
      <w:divBdr>
        <w:top w:val="none" w:sz="0" w:space="0" w:color="auto"/>
        <w:left w:val="none" w:sz="0" w:space="0" w:color="auto"/>
        <w:bottom w:val="none" w:sz="0" w:space="0" w:color="auto"/>
        <w:right w:val="none" w:sz="0" w:space="0" w:color="auto"/>
      </w:divBdr>
    </w:div>
    <w:div w:id="467280342">
      <w:bodyDiv w:val="1"/>
      <w:marLeft w:val="0"/>
      <w:marRight w:val="0"/>
      <w:marTop w:val="0"/>
      <w:marBottom w:val="0"/>
      <w:divBdr>
        <w:top w:val="none" w:sz="0" w:space="0" w:color="auto"/>
        <w:left w:val="none" w:sz="0" w:space="0" w:color="auto"/>
        <w:bottom w:val="none" w:sz="0" w:space="0" w:color="auto"/>
        <w:right w:val="none" w:sz="0" w:space="0" w:color="auto"/>
      </w:divBdr>
    </w:div>
    <w:div w:id="469397239">
      <w:bodyDiv w:val="1"/>
      <w:marLeft w:val="0"/>
      <w:marRight w:val="0"/>
      <w:marTop w:val="0"/>
      <w:marBottom w:val="0"/>
      <w:divBdr>
        <w:top w:val="none" w:sz="0" w:space="0" w:color="auto"/>
        <w:left w:val="none" w:sz="0" w:space="0" w:color="auto"/>
        <w:bottom w:val="none" w:sz="0" w:space="0" w:color="auto"/>
        <w:right w:val="none" w:sz="0" w:space="0" w:color="auto"/>
      </w:divBdr>
    </w:div>
    <w:div w:id="469980735">
      <w:bodyDiv w:val="1"/>
      <w:marLeft w:val="0"/>
      <w:marRight w:val="0"/>
      <w:marTop w:val="0"/>
      <w:marBottom w:val="0"/>
      <w:divBdr>
        <w:top w:val="none" w:sz="0" w:space="0" w:color="auto"/>
        <w:left w:val="none" w:sz="0" w:space="0" w:color="auto"/>
        <w:bottom w:val="none" w:sz="0" w:space="0" w:color="auto"/>
        <w:right w:val="none" w:sz="0" w:space="0" w:color="auto"/>
      </w:divBdr>
    </w:div>
    <w:div w:id="471286296">
      <w:bodyDiv w:val="1"/>
      <w:marLeft w:val="0"/>
      <w:marRight w:val="0"/>
      <w:marTop w:val="0"/>
      <w:marBottom w:val="0"/>
      <w:divBdr>
        <w:top w:val="none" w:sz="0" w:space="0" w:color="auto"/>
        <w:left w:val="none" w:sz="0" w:space="0" w:color="auto"/>
        <w:bottom w:val="none" w:sz="0" w:space="0" w:color="auto"/>
        <w:right w:val="none" w:sz="0" w:space="0" w:color="auto"/>
      </w:divBdr>
    </w:div>
    <w:div w:id="471404512">
      <w:bodyDiv w:val="1"/>
      <w:marLeft w:val="0"/>
      <w:marRight w:val="0"/>
      <w:marTop w:val="0"/>
      <w:marBottom w:val="0"/>
      <w:divBdr>
        <w:top w:val="none" w:sz="0" w:space="0" w:color="auto"/>
        <w:left w:val="none" w:sz="0" w:space="0" w:color="auto"/>
        <w:bottom w:val="none" w:sz="0" w:space="0" w:color="auto"/>
        <w:right w:val="none" w:sz="0" w:space="0" w:color="auto"/>
      </w:divBdr>
    </w:div>
    <w:div w:id="473330937">
      <w:bodyDiv w:val="1"/>
      <w:marLeft w:val="0"/>
      <w:marRight w:val="0"/>
      <w:marTop w:val="0"/>
      <w:marBottom w:val="0"/>
      <w:divBdr>
        <w:top w:val="none" w:sz="0" w:space="0" w:color="auto"/>
        <w:left w:val="none" w:sz="0" w:space="0" w:color="auto"/>
        <w:bottom w:val="none" w:sz="0" w:space="0" w:color="auto"/>
        <w:right w:val="none" w:sz="0" w:space="0" w:color="auto"/>
      </w:divBdr>
    </w:div>
    <w:div w:id="473446072">
      <w:bodyDiv w:val="1"/>
      <w:marLeft w:val="0"/>
      <w:marRight w:val="0"/>
      <w:marTop w:val="0"/>
      <w:marBottom w:val="0"/>
      <w:divBdr>
        <w:top w:val="none" w:sz="0" w:space="0" w:color="auto"/>
        <w:left w:val="none" w:sz="0" w:space="0" w:color="auto"/>
        <w:bottom w:val="none" w:sz="0" w:space="0" w:color="auto"/>
        <w:right w:val="none" w:sz="0" w:space="0" w:color="auto"/>
      </w:divBdr>
    </w:div>
    <w:div w:id="473453060">
      <w:bodyDiv w:val="1"/>
      <w:marLeft w:val="0"/>
      <w:marRight w:val="0"/>
      <w:marTop w:val="0"/>
      <w:marBottom w:val="0"/>
      <w:divBdr>
        <w:top w:val="none" w:sz="0" w:space="0" w:color="auto"/>
        <w:left w:val="none" w:sz="0" w:space="0" w:color="auto"/>
        <w:bottom w:val="none" w:sz="0" w:space="0" w:color="auto"/>
        <w:right w:val="none" w:sz="0" w:space="0" w:color="auto"/>
      </w:divBdr>
    </w:div>
    <w:div w:id="473645460">
      <w:bodyDiv w:val="1"/>
      <w:marLeft w:val="0"/>
      <w:marRight w:val="0"/>
      <w:marTop w:val="0"/>
      <w:marBottom w:val="0"/>
      <w:divBdr>
        <w:top w:val="none" w:sz="0" w:space="0" w:color="auto"/>
        <w:left w:val="none" w:sz="0" w:space="0" w:color="auto"/>
        <w:bottom w:val="none" w:sz="0" w:space="0" w:color="auto"/>
        <w:right w:val="none" w:sz="0" w:space="0" w:color="auto"/>
      </w:divBdr>
    </w:div>
    <w:div w:id="475341142">
      <w:bodyDiv w:val="1"/>
      <w:marLeft w:val="0"/>
      <w:marRight w:val="0"/>
      <w:marTop w:val="0"/>
      <w:marBottom w:val="0"/>
      <w:divBdr>
        <w:top w:val="none" w:sz="0" w:space="0" w:color="auto"/>
        <w:left w:val="none" w:sz="0" w:space="0" w:color="auto"/>
        <w:bottom w:val="none" w:sz="0" w:space="0" w:color="auto"/>
        <w:right w:val="none" w:sz="0" w:space="0" w:color="auto"/>
      </w:divBdr>
    </w:div>
    <w:div w:id="476068419">
      <w:bodyDiv w:val="1"/>
      <w:marLeft w:val="0"/>
      <w:marRight w:val="0"/>
      <w:marTop w:val="0"/>
      <w:marBottom w:val="0"/>
      <w:divBdr>
        <w:top w:val="none" w:sz="0" w:space="0" w:color="auto"/>
        <w:left w:val="none" w:sz="0" w:space="0" w:color="auto"/>
        <w:bottom w:val="none" w:sz="0" w:space="0" w:color="auto"/>
        <w:right w:val="none" w:sz="0" w:space="0" w:color="auto"/>
      </w:divBdr>
    </w:div>
    <w:div w:id="476915563">
      <w:bodyDiv w:val="1"/>
      <w:marLeft w:val="0"/>
      <w:marRight w:val="0"/>
      <w:marTop w:val="0"/>
      <w:marBottom w:val="0"/>
      <w:divBdr>
        <w:top w:val="none" w:sz="0" w:space="0" w:color="auto"/>
        <w:left w:val="none" w:sz="0" w:space="0" w:color="auto"/>
        <w:bottom w:val="none" w:sz="0" w:space="0" w:color="auto"/>
        <w:right w:val="none" w:sz="0" w:space="0" w:color="auto"/>
      </w:divBdr>
    </w:div>
    <w:div w:id="479614823">
      <w:bodyDiv w:val="1"/>
      <w:marLeft w:val="0"/>
      <w:marRight w:val="0"/>
      <w:marTop w:val="0"/>
      <w:marBottom w:val="0"/>
      <w:divBdr>
        <w:top w:val="none" w:sz="0" w:space="0" w:color="auto"/>
        <w:left w:val="none" w:sz="0" w:space="0" w:color="auto"/>
        <w:bottom w:val="none" w:sz="0" w:space="0" w:color="auto"/>
        <w:right w:val="none" w:sz="0" w:space="0" w:color="auto"/>
      </w:divBdr>
    </w:div>
    <w:div w:id="480276325">
      <w:bodyDiv w:val="1"/>
      <w:marLeft w:val="0"/>
      <w:marRight w:val="0"/>
      <w:marTop w:val="0"/>
      <w:marBottom w:val="0"/>
      <w:divBdr>
        <w:top w:val="none" w:sz="0" w:space="0" w:color="auto"/>
        <w:left w:val="none" w:sz="0" w:space="0" w:color="auto"/>
        <w:bottom w:val="none" w:sz="0" w:space="0" w:color="auto"/>
        <w:right w:val="none" w:sz="0" w:space="0" w:color="auto"/>
      </w:divBdr>
    </w:div>
    <w:div w:id="480313948">
      <w:bodyDiv w:val="1"/>
      <w:marLeft w:val="0"/>
      <w:marRight w:val="0"/>
      <w:marTop w:val="0"/>
      <w:marBottom w:val="0"/>
      <w:divBdr>
        <w:top w:val="none" w:sz="0" w:space="0" w:color="auto"/>
        <w:left w:val="none" w:sz="0" w:space="0" w:color="auto"/>
        <w:bottom w:val="none" w:sz="0" w:space="0" w:color="auto"/>
        <w:right w:val="none" w:sz="0" w:space="0" w:color="auto"/>
      </w:divBdr>
    </w:div>
    <w:div w:id="480385543">
      <w:bodyDiv w:val="1"/>
      <w:marLeft w:val="0"/>
      <w:marRight w:val="0"/>
      <w:marTop w:val="0"/>
      <w:marBottom w:val="0"/>
      <w:divBdr>
        <w:top w:val="none" w:sz="0" w:space="0" w:color="auto"/>
        <w:left w:val="none" w:sz="0" w:space="0" w:color="auto"/>
        <w:bottom w:val="none" w:sz="0" w:space="0" w:color="auto"/>
        <w:right w:val="none" w:sz="0" w:space="0" w:color="auto"/>
      </w:divBdr>
    </w:div>
    <w:div w:id="480923411">
      <w:bodyDiv w:val="1"/>
      <w:marLeft w:val="0"/>
      <w:marRight w:val="0"/>
      <w:marTop w:val="0"/>
      <w:marBottom w:val="0"/>
      <w:divBdr>
        <w:top w:val="none" w:sz="0" w:space="0" w:color="auto"/>
        <w:left w:val="none" w:sz="0" w:space="0" w:color="auto"/>
        <w:bottom w:val="none" w:sz="0" w:space="0" w:color="auto"/>
        <w:right w:val="none" w:sz="0" w:space="0" w:color="auto"/>
      </w:divBdr>
    </w:div>
    <w:div w:id="481580455">
      <w:bodyDiv w:val="1"/>
      <w:marLeft w:val="0"/>
      <w:marRight w:val="0"/>
      <w:marTop w:val="0"/>
      <w:marBottom w:val="0"/>
      <w:divBdr>
        <w:top w:val="none" w:sz="0" w:space="0" w:color="auto"/>
        <w:left w:val="none" w:sz="0" w:space="0" w:color="auto"/>
        <w:bottom w:val="none" w:sz="0" w:space="0" w:color="auto"/>
        <w:right w:val="none" w:sz="0" w:space="0" w:color="auto"/>
      </w:divBdr>
    </w:div>
    <w:div w:id="481703566">
      <w:bodyDiv w:val="1"/>
      <w:marLeft w:val="0"/>
      <w:marRight w:val="0"/>
      <w:marTop w:val="0"/>
      <w:marBottom w:val="0"/>
      <w:divBdr>
        <w:top w:val="none" w:sz="0" w:space="0" w:color="auto"/>
        <w:left w:val="none" w:sz="0" w:space="0" w:color="auto"/>
        <w:bottom w:val="none" w:sz="0" w:space="0" w:color="auto"/>
        <w:right w:val="none" w:sz="0" w:space="0" w:color="auto"/>
      </w:divBdr>
    </w:div>
    <w:div w:id="482896530">
      <w:bodyDiv w:val="1"/>
      <w:marLeft w:val="0"/>
      <w:marRight w:val="0"/>
      <w:marTop w:val="0"/>
      <w:marBottom w:val="0"/>
      <w:divBdr>
        <w:top w:val="none" w:sz="0" w:space="0" w:color="auto"/>
        <w:left w:val="none" w:sz="0" w:space="0" w:color="auto"/>
        <w:bottom w:val="none" w:sz="0" w:space="0" w:color="auto"/>
        <w:right w:val="none" w:sz="0" w:space="0" w:color="auto"/>
      </w:divBdr>
    </w:div>
    <w:div w:id="484662368">
      <w:bodyDiv w:val="1"/>
      <w:marLeft w:val="0"/>
      <w:marRight w:val="0"/>
      <w:marTop w:val="0"/>
      <w:marBottom w:val="0"/>
      <w:divBdr>
        <w:top w:val="none" w:sz="0" w:space="0" w:color="auto"/>
        <w:left w:val="none" w:sz="0" w:space="0" w:color="auto"/>
        <w:bottom w:val="none" w:sz="0" w:space="0" w:color="auto"/>
        <w:right w:val="none" w:sz="0" w:space="0" w:color="auto"/>
      </w:divBdr>
    </w:div>
    <w:div w:id="485050796">
      <w:bodyDiv w:val="1"/>
      <w:marLeft w:val="0"/>
      <w:marRight w:val="0"/>
      <w:marTop w:val="0"/>
      <w:marBottom w:val="0"/>
      <w:divBdr>
        <w:top w:val="none" w:sz="0" w:space="0" w:color="auto"/>
        <w:left w:val="none" w:sz="0" w:space="0" w:color="auto"/>
        <w:bottom w:val="none" w:sz="0" w:space="0" w:color="auto"/>
        <w:right w:val="none" w:sz="0" w:space="0" w:color="auto"/>
      </w:divBdr>
    </w:div>
    <w:div w:id="485752869">
      <w:bodyDiv w:val="1"/>
      <w:marLeft w:val="0"/>
      <w:marRight w:val="0"/>
      <w:marTop w:val="0"/>
      <w:marBottom w:val="0"/>
      <w:divBdr>
        <w:top w:val="none" w:sz="0" w:space="0" w:color="auto"/>
        <w:left w:val="none" w:sz="0" w:space="0" w:color="auto"/>
        <w:bottom w:val="none" w:sz="0" w:space="0" w:color="auto"/>
        <w:right w:val="none" w:sz="0" w:space="0" w:color="auto"/>
      </w:divBdr>
    </w:div>
    <w:div w:id="486433388">
      <w:bodyDiv w:val="1"/>
      <w:marLeft w:val="0"/>
      <w:marRight w:val="0"/>
      <w:marTop w:val="0"/>
      <w:marBottom w:val="0"/>
      <w:divBdr>
        <w:top w:val="none" w:sz="0" w:space="0" w:color="auto"/>
        <w:left w:val="none" w:sz="0" w:space="0" w:color="auto"/>
        <w:bottom w:val="none" w:sz="0" w:space="0" w:color="auto"/>
        <w:right w:val="none" w:sz="0" w:space="0" w:color="auto"/>
      </w:divBdr>
    </w:div>
    <w:div w:id="487982168">
      <w:bodyDiv w:val="1"/>
      <w:marLeft w:val="0"/>
      <w:marRight w:val="0"/>
      <w:marTop w:val="0"/>
      <w:marBottom w:val="0"/>
      <w:divBdr>
        <w:top w:val="none" w:sz="0" w:space="0" w:color="auto"/>
        <w:left w:val="none" w:sz="0" w:space="0" w:color="auto"/>
        <w:bottom w:val="none" w:sz="0" w:space="0" w:color="auto"/>
        <w:right w:val="none" w:sz="0" w:space="0" w:color="auto"/>
      </w:divBdr>
    </w:div>
    <w:div w:id="488135822">
      <w:bodyDiv w:val="1"/>
      <w:marLeft w:val="0"/>
      <w:marRight w:val="0"/>
      <w:marTop w:val="0"/>
      <w:marBottom w:val="0"/>
      <w:divBdr>
        <w:top w:val="none" w:sz="0" w:space="0" w:color="auto"/>
        <w:left w:val="none" w:sz="0" w:space="0" w:color="auto"/>
        <w:bottom w:val="none" w:sz="0" w:space="0" w:color="auto"/>
        <w:right w:val="none" w:sz="0" w:space="0" w:color="auto"/>
      </w:divBdr>
    </w:div>
    <w:div w:id="488638686">
      <w:bodyDiv w:val="1"/>
      <w:marLeft w:val="0"/>
      <w:marRight w:val="0"/>
      <w:marTop w:val="0"/>
      <w:marBottom w:val="0"/>
      <w:divBdr>
        <w:top w:val="none" w:sz="0" w:space="0" w:color="auto"/>
        <w:left w:val="none" w:sz="0" w:space="0" w:color="auto"/>
        <w:bottom w:val="none" w:sz="0" w:space="0" w:color="auto"/>
        <w:right w:val="none" w:sz="0" w:space="0" w:color="auto"/>
      </w:divBdr>
    </w:div>
    <w:div w:id="488718031">
      <w:bodyDiv w:val="1"/>
      <w:marLeft w:val="0"/>
      <w:marRight w:val="0"/>
      <w:marTop w:val="0"/>
      <w:marBottom w:val="0"/>
      <w:divBdr>
        <w:top w:val="none" w:sz="0" w:space="0" w:color="auto"/>
        <w:left w:val="none" w:sz="0" w:space="0" w:color="auto"/>
        <w:bottom w:val="none" w:sz="0" w:space="0" w:color="auto"/>
        <w:right w:val="none" w:sz="0" w:space="0" w:color="auto"/>
      </w:divBdr>
    </w:div>
    <w:div w:id="490100812">
      <w:bodyDiv w:val="1"/>
      <w:marLeft w:val="0"/>
      <w:marRight w:val="0"/>
      <w:marTop w:val="0"/>
      <w:marBottom w:val="0"/>
      <w:divBdr>
        <w:top w:val="none" w:sz="0" w:space="0" w:color="auto"/>
        <w:left w:val="none" w:sz="0" w:space="0" w:color="auto"/>
        <w:bottom w:val="none" w:sz="0" w:space="0" w:color="auto"/>
        <w:right w:val="none" w:sz="0" w:space="0" w:color="auto"/>
      </w:divBdr>
    </w:div>
    <w:div w:id="490680683">
      <w:bodyDiv w:val="1"/>
      <w:marLeft w:val="0"/>
      <w:marRight w:val="0"/>
      <w:marTop w:val="0"/>
      <w:marBottom w:val="0"/>
      <w:divBdr>
        <w:top w:val="none" w:sz="0" w:space="0" w:color="auto"/>
        <w:left w:val="none" w:sz="0" w:space="0" w:color="auto"/>
        <w:bottom w:val="none" w:sz="0" w:space="0" w:color="auto"/>
        <w:right w:val="none" w:sz="0" w:space="0" w:color="auto"/>
      </w:divBdr>
    </w:div>
    <w:div w:id="491914702">
      <w:bodyDiv w:val="1"/>
      <w:marLeft w:val="0"/>
      <w:marRight w:val="0"/>
      <w:marTop w:val="0"/>
      <w:marBottom w:val="0"/>
      <w:divBdr>
        <w:top w:val="none" w:sz="0" w:space="0" w:color="auto"/>
        <w:left w:val="none" w:sz="0" w:space="0" w:color="auto"/>
        <w:bottom w:val="none" w:sz="0" w:space="0" w:color="auto"/>
        <w:right w:val="none" w:sz="0" w:space="0" w:color="auto"/>
      </w:divBdr>
    </w:div>
    <w:div w:id="491917740">
      <w:bodyDiv w:val="1"/>
      <w:marLeft w:val="0"/>
      <w:marRight w:val="0"/>
      <w:marTop w:val="0"/>
      <w:marBottom w:val="0"/>
      <w:divBdr>
        <w:top w:val="none" w:sz="0" w:space="0" w:color="auto"/>
        <w:left w:val="none" w:sz="0" w:space="0" w:color="auto"/>
        <w:bottom w:val="none" w:sz="0" w:space="0" w:color="auto"/>
        <w:right w:val="none" w:sz="0" w:space="0" w:color="auto"/>
      </w:divBdr>
    </w:div>
    <w:div w:id="491986755">
      <w:bodyDiv w:val="1"/>
      <w:marLeft w:val="0"/>
      <w:marRight w:val="0"/>
      <w:marTop w:val="0"/>
      <w:marBottom w:val="0"/>
      <w:divBdr>
        <w:top w:val="none" w:sz="0" w:space="0" w:color="auto"/>
        <w:left w:val="none" w:sz="0" w:space="0" w:color="auto"/>
        <w:bottom w:val="none" w:sz="0" w:space="0" w:color="auto"/>
        <w:right w:val="none" w:sz="0" w:space="0" w:color="auto"/>
      </w:divBdr>
    </w:div>
    <w:div w:id="492650586">
      <w:bodyDiv w:val="1"/>
      <w:marLeft w:val="0"/>
      <w:marRight w:val="0"/>
      <w:marTop w:val="0"/>
      <w:marBottom w:val="0"/>
      <w:divBdr>
        <w:top w:val="none" w:sz="0" w:space="0" w:color="auto"/>
        <w:left w:val="none" w:sz="0" w:space="0" w:color="auto"/>
        <w:bottom w:val="none" w:sz="0" w:space="0" w:color="auto"/>
        <w:right w:val="none" w:sz="0" w:space="0" w:color="auto"/>
      </w:divBdr>
    </w:div>
    <w:div w:id="493448051">
      <w:bodyDiv w:val="1"/>
      <w:marLeft w:val="0"/>
      <w:marRight w:val="0"/>
      <w:marTop w:val="0"/>
      <w:marBottom w:val="0"/>
      <w:divBdr>
        <w:top w:val="none" w:sz="0" w:space="0" w:color="auto"/>
        <w:left w:val="none" w:sz="0" w:space="0" w:color="auto"/>
        <w:bottom w:val="none" w:sz="0" w:space="0" w:color="auto"/>
        <w:right w:val="none" w:sz="0" w:space="0" w:color="auto"/>
      </w:divBdr>
    </w:div>
    <w:div w:id="494615636">
      <w:bodyDiv w:val="1"/>
      <w:marLeft w:val="0"/>
      <w:marRight w:val="0"/>
      <w:marTop w:val="0"/>
      <w:marBottom w:val="0"/>
      <w:divBdr>
        <w:top w:val="none" w:sz="0" w:space="0" w:color="auto"/>
        <w:left w:val="none" w:sz="0" w:space="0" w:color="auto"/>
        <w:bottom w:val="none" w:sz="0" w:space="0" w:color="auto"/>
        <w:right w:val="none" w:sz="0" w:space="0" w:color="auto"/>
      </w:divBdr>
    </w:div>
    <w:div w:id="494957915">
      <w:bodyDiv w:val="1"/>
      <w:marLeft w:val="0"/>
      <w:marRight w:val="0"/>
      <w:marTop w:val="0"/>
      <w:marBottom w:val="0"/>
      <w:divBdr>
        <w:top w:val="none" w:sz="0" w:space="0" w:color="auto"/>
        <w:left w:val="none" w:sz="0" w:space="0" w:color="auto"/>
        <w:bottom w:val="none" w:sz="0" w:space="0" w:color="auto"/>
        <w:right w:val="none" w:sz="0" w:space="0" w:color="auto"/>
      </w:divBdr>
    </w:div>
    <w:div w:id="498355066">
      <w:bodyDiv w:val="1"/>
      <w:marLeft w:val="0"/>
      <w:marRight w:val="0"/>
      <w:marTop w:val="0"/>
      <w:marBottom w:val="0"/>
      <w:divBdr>
        <w:top w:val="none" w:sz="0" w:space="0" w:color="auto"/>
        <w:left w:val="none" w:sz="0" w:space="0" w:color="auto"/>
        <w:bottom w:val="none" w:sz="0" w:space="0" w:color="auto"/>
        <w:right w:val="none" w:sz="0" w:space="0" w:color="auto"/>
      </w:divBdr>
    </w:div>
    <w:div w:id="500244758">
      <w:bodyDiv w:val="1"/>
      <w:marLeft w:val="0"/>
      <w:marRight w:val="0"/>
      <w:marTop w:val="0"/>
      <w:marBottom w:val="0"/>
      <w:divBdr>
        <w:top w:val="none" w:sz="0" w:space="0" w:color="auto"/>
        <w:left w:val="none" w:sz="0" w:space="0" w:color="auto"/>
        <w:bottom w:val="none" w:sz="0" w:space="0" w:color="auto"/>
        <w:right w:val="none" w:sz="0" w:space="0" w:color="auto"/>
      </w:divBdr>
    </w:div>
    <w:div w:id="500504683">
      <w:bodyDiv w:val="1"/>
      <w:marLeft w:val="0"/>
      <w:marRight w:val="0"/>
      <w:marTop w:val="0"/>
      <w:marBottom w:val="0"/>
      <w:divBdr>
        <w:top w:val="none" w:sz="0" w:space="0" w:color="auto"/>
        <w:left w:val="none" w:sz="0" w:space="0" w:color="auto"/>
        <w:bottom w:val="none" w:sz="0" w:space="0" w:color="auto"/>
        <w:right w:val="none" w:sz="0" w:space="0" w:color="auto"/>
      </w:divBdr>
    </w:div>
    <w:div w:id="501091624">
      <w:bodyDiv w:val="1"/>
      <w:marLeft w:val="0"/>
      <w:marRight w:val="0"/>
      <w:marTop w:val="0"/>
      <w:marBottom w:val="0"/>
      <w:divBdr>
        <w:top w:val="none" w:sz="0" w:space="0" w:color="auto"/>
        <w:left w:val="none" w:sz="0" w:space="0" w:color="auto"/>
        <w:bottom w:val="none" w:sz="0" w:space="0" w:color="auto"/>
        <w:right w:val="none" w:sz="0" w:space="0" w:color="auto"/>
      </w:divBdr>
    </w:div>
    <w:div w:id="503975649">
      <w:bodyDiv w:val="1"/>
      <w:marLeft w:val="0"/>
      <w:marRight w:val="0"/>
      <w:marTop w:val="0"/>
      <w:marBottom w:val="0"/>
      <w:divBdr>
        <w:top w:val="none" w:sz="0" w:space="0" w:color="auto"/>
        <w:left w:val="none" w:sz="0" w:space="0" w:color="auto"/>
        <w:bottom w:val="none" w:sz="0" w:space="0" w:color="auto"/>
        <w:right w:val="none" w:sz="0" w:space="0" w:color="auto"/>
      </w:divBdr>
    </w:div>
    <w:div w:id="504712747">
      <w:bodyDiv w:val="1"/>
      <w:marLeft w:val="0"/>
      <w:marRight w:val="0"/>
      <w:marTop w:val="0"/>
      <w:marBottom w:val="0"/>
      <w:divBdr>
        <w:top w:val="none" w:sz="0" w:space="0" w:color="auto"/>
        <w:left w:val="none" w:sz="0" w:space="0" w:color="auto"/>
        <w:bottom w:val="none" w:sz="0" w:space="0" w:color="auto"/>
        <w:right w:val="none" w:sz="0" w:space="0" w:color="auto"/>
      </w:divBdr>
    </w:div>
    <w:div w:id="505903580">
      <w:bodyDiv w:val="1"/>
      <w:marLeft w:val="0"/>
      <w:marRight w:val="0"/>
      <w:marTop w:val="0"/>
      <w:marBottom w:val="0"/>
      <w:divBdr>
        <w:top w:val="none" w:sz="0" w:space="0" w:color="auto"/>
        <w:left w:val="none" w:sz="0" w:space="0" w:color="auto"/>
        <w:bottom w:val="none" w:sz="0" w:space="0" w:color="auto"/>
        <w:right w:val="none" w:sz="0" w:space="0" w:color="auto"/>
      </w:divBdr>
    </w:div>
    <w:div w:id="506942981">
      <w:bodyDiv w:val="1"/>
      <w:marLeft w:val="0"/>
      <w:marRight w:val="0"/>
      <w:marTop w:val="0"/>
      <w:marBottom w:val="0"/>
      <w:divBdr>
        <w:top w:val="none" w:sz="0" w:space="0" w:color="auto"/>
        <w:left w:val="none" w:sz="0" w:space="0" w:color="auto"/>
        <w:bottom w:val="none" w:sz="0" w:space="0" w:color="auto"/>
        <w:right w:val="none" w:sz="0" w:space="0" w:color="auto"/>
      </w:divBdr>
    </w:div>
    <w:div w:id="507790408">
      <w:bodyDiv w:val="1"/>
      <w:marLeft w:val="0"/>
      <w:marRight w:val="0"/>
      <w:marTop w:val="0"/>
      <w:marBottom w:val="0"/>
      <w:divBdr>
        <w:top w:val="none" w:sz="0" w:space="0" w:color="auto"/>
        <w:left w:val="none" w:sz="0" w:space="0" w:color="auto"/>
        <w:bottom w:val="none" w:sz="0" w:space="0" w:color="auto"/>
        <w:right w:val="none" w:sz="0" w:space="0" w:color="auto"/>
      </w:divBdr>
    </w:div>
    <w:div w:id="508452566">
      <w:bodyDiv w:val="1"/>
      <w:marLeft w:val="0"/>
      <w:marRight w:val="0"/>
      <w:marTop w:val="0"/>
      <w:marBottom w:val="0"/>
      <w:divBdr>
        <w:top w:val="none" w:sz="0" w:space="0" w:color="auto"/>
        <w:left w:val="none" w:sz="0" w:space="0" w:color="auto"/>
        <w:bottom w:val="none" w:sz="0" w:space="0" w:color="auto"/>
        <w:right w:val="none" w:sz="0" w:space="0" w:color="auto"/>
      </w:divBdr>
    </w:div>
    <w:div w:id="508645633">
      <w:bodyDiv w:val="1"/>
      <w:marLeft w:val="0"/>
      <w:marRight w:val="0"/>
      <w:marTop w:val="0"/>
      <w:marBottom w:val="0"/>
      <w:divBdr>
        <w:top w:val="none" w:sz="0" w:space="0" w:color="auto"/>
        <w:left w:val="none" w:sz="0" w:space="0" w:color="auto"/>
        <w:bottom w:val="none" w:sz="0" w:space="0" w:color="auto"/>
        <w:right w:val="none" w:sz="0" w:space="0" w:color="auto"/>
      </w:divBdr>
    </w:div>
    <w:div w:id="508788491">
      <w:bodyDiv w:val="1"/>
      <w:marLeft w:val="0"/>
      <w:marRight w:val="0"/>
      <w:marTop w:val="0"/>
      <w:marBottom w:val="0"/>
      <w:divBdr>
        <w:top w:val="none" w:sz="0" w:space="0" w:color="auto"/>
        <w:left w:val="none" w:sz="0" w:space="0" w:color="auto"/>
        <w:bottom w:val="none" w:sz="0" w:space="0" w:color="auto"/>
        <w:right w:val="none" w:sz="0" w:space="0" w:color="auto"/>
      </w:divBdr>
    </w:div>
    <w:div w:id="508912586">
      <w:bodyDiv w:val="1"/>
      <w:marLeft w:val="0"/>
      <w:marRight w:val="0"/>
      <w:marTop w:val="0"/>
      <w:marBottom w:val="0"/>
      <w:divBdr>
        <w:top w:val="none" w:sz="0" w:space="0" w:color="auto"/>
        <w:left w:val="none" w:sz="0" w:space="0" w:color="auto"/>
        <w:bottom w:val="none" w:sz="0" w:space="0" w:color="auto"/>
        <w:right w:val="none" w:sz="0" w:space="0" w:color="auto"/>
      </w:divBdr>
    </w:div>
    <w:div w:id="509418659">
      <w:bodyDiv w:val="1"/>
      <w:marLeft w:val="0"/>
      <w:marRight w:val="0"/>
      <w:marTop w:val="0"/>
      <w:marBottom w:val="0"/>
      <w:divBdr>
        <w:top w:val="none" w:sz="0" w:space="0" w:color="auto"/>
        <w:left w:val="none" w:sz="0" w:space="0" w:color="auto"/>
        <w:bottom w:val="none" w:sz="0" w:space="0" w:color="auto"/>
        <w:right w:val="none" w:sz="0" w:space="0" w:color="auto"/>
      </w:divBdr>
    </w:div>
    <w:div w:id="510263873">
      <w:bodyDiv w:val="1"/>
      <w:marLeft w:val="0"/>
      <w:marRight w:val="0"/>
      <w:marTop w:val="0"/>
      <w:marBottom w:val="0"/>
      <w:divBdr>
        <w:top w:val="none" w:sz="0" w:space="0" w:color="auto"/>
        <w:left w:val="none" w:sz="0" w:space="0" w:color="auto"/>
        <w:bottom w:val="none" w:sz="0" w:space="0" w:color="auto"/>
        <w:right w:val="none" w:sz="0" w:space="0" w:color="auto"/>
      </w:divBdr>
    </w:div>
    <w:div w:id="510418160">
      <w:bodyDiv w:val="1"/>
      <w:marLeft w:val="0"/>
      <w:marRight w:val="0"/>
      <w:marTop w:val="0"/>
      <w:marBottom w:val="0"/>
      <w:divBdr>
        <w:top w:val="none" w:sz="0" w:space="0" w:color="auto"/>
        <w:left w:val="none" w:sz="0" w:space="0" w:color="auto"/>
        <w:bottom w:val="none" w:sz="0" w:space="0" w:color="auto"/>
        <w:right w:val="none" w:sz="0" w:space="0" w:color="auto"/>
      </w:divBdr>
    </w:div>
    <w:div w:id="510491226">
      <w:bodyDiv w:val="1"/>
      <w:marLeft w:val="0"/>
      <w:marRight w:val="0"/>
      <w:marTop w:val="0"/>
      <w:marBottom w:val="0"/>
      <w:divBdr>
        <w:top w:val="none" w:sz="0" w:space="0" w:color="auto"/>
        <w:left w:val="none" w:sz="0" w:space="0" w:color="auto"/>
        <w:bottom w:val="none" w:sz="0" w:space="0" w:color="auto"/>
        <w:right w:val="none" w:sz="0" w:space="0" w:color="auto"/>
      </w:divBdr>
    </w:div>
    <w:div w:id="511992758">
      <w:bodyDiv w:val="1"/>
      <w:marLeft w:val="0"/>
      <w:marRight w:val="0"/>
      <w:marTop w:val="0"/>
      <w:marBottom w:val="0"/>
      <w:divBdr>
        <w:top w:val="none" w:sz="0" w:space="0" w:color="auto"/>
        <w:left w:val="none" w:sz="0" w:space="0" w:color="auto"/>
        <w:bottom w:val="none" w:sz="0" w:space="0" w:color="auto"/>
        <w:right w:val="none" w:sz="0" w:space="0" w:color="auto"/>
      </w:divBdr>
    </w:div>
    <w:div w:id="514424158">
      <w:bodyDiv w:val="1"/>
      <w:marLeft w:val="0"/>
      <w:marRight w:val="0"/>
      <w:marTop w:val="0"/>
      <w:marBottom w:val="0"/>
      <w:divBdr>
        <w:top w:val="none" w:sz="0" w:space="0" w:color="auto"/>
        <w:left w:val="none" w:sz="0" w:space="0" w:color="auto"/>
        <w:bottom w:val="none" w:sz="0" w:space="0" w:color="auto"/>
        <w:right w:val="none" w:sz="0" w:space="0" w:color="auto"/>
      </w:divBdr>
    </w:div>
    <w:div w:id="514685133">
      <w:bodyDiv w:val="1"/>
      <w:marLeft w:val="0"/>
      <w:marRight w:val="0"/>
      <w:marTop w:val="0"/>
      <w:marBottom w:val="0"/>
      <w:divBdr>
        <w:top w:val="none" w:sz="0" w:space="0" w:color="auto"/>
        <w:left w:val="none" w:sz="0" w:space="0" w:color="auto"/>
        <w:bottom w:val="none" w:sz="0" w:space="0" w:color="auto"/>
        <w:right w:val="none" w:sz="0" w:space="0" w:color="auto"/>
      </w:divBdr>
    </w:div>
    <w:div w:id="515001403">
      <w:bodyDiv w:val="1"/>
      <w:marLeft w:val="0"/>
      <w:marRight w:val="0"/>
      <w:marTop w:val="0"/>
      <w:marBottom w:val="0"/>
      <w:divBdr>
        <w:top w:val="none" w:sz="0" w:space="0" w:color="auto"/>
        <w:left w:val="none" w:sz="0" w:space="0" w:color="auto"/>
        <w:bottom w:val="none" w:sz="0" w:space="0" w:color="auto"/>
        <w:right w:val="none" w:sz="0" w:space="0" w:color="auto"/>
      </w:divBdr>
    </w:div>
    <w:div w:id="515115622">
      <w:bodyDiv w:val="1"/>
      <w:marLeft w:val="0"/>
      <w:marRight w:val="0"/>
      <w:marTop w:val="0"/>
      <w:marBottom w:val="0"/>
      <w:divBdr>
        <w:top w:val="none" w:sz="0" w:space="0" w:color="auto"/>
        <w:left w:val="none" w:sz="0" w:space="0" w:color="auto"/>
        <w:bottom w:val="none" w:sz="0" w:space="0" w:color="auto"/>
        <w:right w:val="none" w:sz="0" w:space="0" w:color="auto"/>
      </w:divBdr>
    </w:div>
    <w:div w:id="515537677">
      <w:bodyDiv w:val="1"/>
      <w:marLeft w:val="0"/>
      <w:marRight w:val="0"/>
      <w:marTop w:val="0"/>
      <w:marBottom w:val="0"/>
      <w:divBdr>
        <w:top w:val="none" w:sz="0" w:space="0" w:color="auto"/>
        <w:left w:val="none" w:sz="0" w:space="0" w:color="auto"/>
        <w:bottom w:val="none" w:sz="0" w:space="0" w:color="auto"/>
        <w:right w:val="none" w:sz="0" w:space="0" w:color="auto"/>
      </w:divBdr>
    </w:div>
    <w:div w:id="516121378">
      <w:bodyDiv w:val="1"/>
      <w:marLeft w:val="0"/>
      <w:marRight w:val="0"/>
      <w:marTop w:val="0"/>
      <w:marBottom w:val="0"/>
      <w:divBdr>
        <w:top w:val="none" w:sz="0" w:space="0" w:color="auto"/>
        <w:left w:val="none" w:sz="0" w:space="0" w:color="auto"/>
        <w:bottom w:val="none" w:sz="0" w:space="0" w:color="auto"/>
        <w:right w:val="none" w:sz="0" w:space="0" w:color="auto"/>
      </w:divBdr>
    </w:div>
    <w:div w:id="517162431">
      <w:bodyDiv w:val="1"/>
      <w:marLeft w:val="0"/>
      <w:marRight w:val="0"/>
      <w:marTop w:val="0"/>
      <w:marBottom w:val="0"/>
      <w:divBdr>
        <w:top w:val="none" w:sz="0" w:space="0" w:color="auto"/>
        <w:left w:val="none" w:sz="0" w:space="0" w:color="auto"/>
        <w:bottom w:val="none" w:sz="0" w:space="0" w:color="auto"/>
        <w:right w:val="none" w:sz="0" w:space="0" w:color="auto"/>
      </w:divBdr>
    </w:div>
    <w:div w:id="519196236">
      <w:bodyDiv w:val="1"/>
      <w:marLeft w:val="0"/>
      <w:marRight w:val="0"/>
      <w:marTop w:val="0"/>
      <w:marBottom w:val="0"/>
      <w:divBdr>
        <w:top w:val="none" w:sz="0" w:space="0" w:color="auto"/>
        <w:left w:val="none" w:sz="0" w:space="0" w:color="auto"/>
        <w:bottom w:val="none" w:sz="0" w:space="0" w:color="auto"/>
        <w:right w:val="none" w:sz="0" w:space="0" w:color="auto"/>
      </w:divBdr>
    </w:div>
    <w:div w:id="522011875">
      <w:bodyDiv w:val="1"/>
      <w:marLeft w:val="0"/>
      <w:marRight w:val="0"/>
      <w:marTop w:val="0"/>
      <w:marBottom w:val="0"/>
      <w:divBdr>
        <w:top w:val="none" w:sz="0" w:space="0" w:color="auto"/>
        <w:left w:val="none" w:sz="0" w:space="0" w:color="auto"/>
        <w:bottom w:val="none" w:sz="0" w:space="0" w:color="auto"/>
        <w:right w:val="none" w:sz="0" w:space="0" w:color="auto"/>
      </w:divBdr>
    </w:div>
    <w:div w:id="522060018">
      <w:bodyDiv w:val="1"/>
      <w:marLeft w:val="0"/>
      <w:marRight w:val="0"/>
      <w:marTop w:val="0"/>
      <w:marBottom w:val="0"/>
      <w:divBdr>
        <w:top w:val="none" w:sz="0" w:space="0" w:color="auto"/>
        <w:left w:val="none" w:sz="0" w:space="0" w:color="auto"/>
        <w:bottom w:val="none" w:sz="0" w:space="0" w:color="auto"/>
        <w:right w:val="none" w:sz="0" w:space="0" w:color="auto"/>
      </w:divBdr>
    </w:div>
    <w:div w:id="522090030">
      <w:bodyDiv w:val="1"/>
      <w:marLeft w:val="0"/>
      <w:marRight w:val="0"/>
      <w:marTop w:val="0"/>
      <w:marBottom w:val="0"/>
      <w:divBdr>
        <w:top w:val="none" w:sz="0" w:space="0" w:color="auto"/>
        <w:left w:val="none" w:sz="0" w:space="0" w:color="auto"/>
        <w:bottom w:val="none" w:sz="0" w:space="0" w:color="auto"/>
        <w:right w:val="none" w:sz="0" w:space="0" w:color="auto"/>
      </w:divBdr>
    </w:div>
    <w:div w:id="522861448">
      <w:bodyDiv w:val="1"/>
      <w:marLeft w:val="0"/>
      <w:marRight w:val="0"/>
      <w:marTop w:val="0"/>
      <w:marBottom w:val="0"/>
      <w:divBdr>
        <w:top w:val="none" w:sz="0" w:space="0" w:color="auto"/>
        <w:left w:val="none" w:sz="0" w:space="0" w:color="auto"/>
        <w:bottom w:val="none" w:sz="0" w:space="0" w:color="auto"/>
        <w:right w:val="none" w:sz="0" w:space="0" w:color="auto"/>
      </w:divBdr>
    </w:div>
    <w:div w:id="524634953">
      <w:bodyDiv w:val="1"/>
      <w:marLeft w:val="0"/>
      <w:marRight w:val="0"/>
      <w:marTop w:val="0"/>
      <w:marBottom w:val="0"/>
      <w:divBdr>
        <w:top w:val="none" w:sz="0" w:space="0" w:color="auto"/>
        <w:left w:val="none" w:sz="0" w:space="0" w:color="auto"/>
        <w:bottom w:val="none" w:sz="0" w:space="0" w:color="auto"/>
        <w:right w:val="none" w:sz="0" w:space="0" w:color="auto"/>
      </w:divBdr>
    </w:div>
    <w:div w:id="525218007">
      <w:bodyDiv w:val="1"/>
      <w:marLeft w:val="0"/>
      <w:marRight w:val="0"/>
      <w:marTop w:val="0"/>
      <w:marBottom w:val="0"/>
      <w:divBdr>
        <w:top w:val="none" w:sz="0" w:space="0" w:color="auto"/>
        <w:left w:val="none" w:sz="0" w:space="0" w:color="auto"/>
        <w:bottom w:val="none" w:sz="0" w:space="0" w:color="auto"/>
        <w:right w:val="none" w:sz="0" w:space="0" w:color="auto"/>
      </w:divBdr>
    </w:div>
    <w:div w:id="526024031">
      <w:bodyDiv w:val="1"/>
      <w:marLeft w:val="0"/>
      <w:marRight w:val="0"/>
      <w:marTop w:val="0"/>
      <w:marBottom w:val="0"/>
      <w:divBdr>
        <w:top w:val="none" w:sz="0" w:space="0" w:color="auto"/>
        <w:left w:val="none" w:sz="0" w:space="0" w:color="auto"/>
        <w:bottom w:val="none" w:sz="0" w:space="0" w:color="auto"/>
        <w:right w:val="none" w:sz="0" w:space="0" w:color="auto"/>
      </w:divBdr>
    </w:div>
    <w:div w:id="526677191">
      <w:bodyDiv w:val="1"/>
      <w:marLeft w:val="0"/>
      <w:marRight w:val="0"/>
      <w:marTop w:val="0"/>
      <w:marBottom w:val="0"/>
      <w:divBdr>
        <w:top w:val="none" w:sz="0" w:space="0" w:color="auto"/>
        <w:left w:val="none" w:sz="0" w:space="0" w:color="auto"/>
        <w:bottom w:val="none" w:sz="0" w:space="0" w:color="auto"/>
        <w:right w:val="none" w:sz="0" w:space="0" w:color="auto"/>
      </w:divBdr>
    </w:div>
    <w:div w:id="526678773">
      <w:bodyDiv w:val="1"/>
      <w:marLeft w:val="0"/>
      <w:marRight w:val="0"/>
      <w:marTop w:val="0"/>
      <w:marBottom w:val="0"/>
      <w:divBdr>
        <w:top w:val="none" w:sz="0" w:space="0" w:color="auto"/>
        <w:left w:val="none" w:sz="0" w:space="0" w:color="auto"/>
        <w:bottom w:val="none" w:sz="0" w:space="0" w:color="auto"/>
        <w:right w:val="none" w:sz="0" w:space="0" w:color="auto"/>
      </w:divBdr>
    </w:div>
    <w:div w:id="528185706">
      <w:bodyDiv w:val="1"/>
      <w:marLeft w:val="0"/>
      <w:marRight w:val="0"/>
      <w:marTop w:val="0"/>
      <w:marBottom w:val="0"/>
      <w:divBdr>
        <w:top w:val="none" w:sz="0" w:space="0" w:color="auto"/>
        <w:left w:val="none" w:sz="0" w:space="0" w:color="auto"/>
        <w:bottom w:val="none" w:sz="0" w:space="0" w:color="auto"/>
        <w:right w:val="none" w:sz="0" w:space="0" w:color="auto"/>
      </w:divBdr>
    </w:div>
    <w:div w:id="528370682">
      <w:bodyDiv w:val="1"/>
      <w:marLeft w:val="0"/>
      <w:marRight w:val="0"/>
      <w:marTop w:val="0"/>
      <w:marBottom w:val="0"/>
      <w:divBdr>
        <w:top w:val="none" w:sz="0" w:space="0" w:color="auto"/>
        <w:left w:val="none" w:sz="0" w:space="0" w:color="auto"/>
        <w:bottom w:val="none" w:sz="0" w:space="0" w:color="auto"/>
        <w:right w:val="none" w:sz="0" w:space="0" w:color="auto"/>
      </w:divBdr>
    </w:div>
    <w:div w:id="528953548">
      <w:bodyDiv w:val="1"/>
      <w:marLeft w:val="0"/>
      <w:marRight w:val="0"/>
      <w:marTop w:val="0"/>
      <w:marBottom w:val="0"/>
      <w:divBdr>
        <w:top w:val="none" w:sz="0" w:space="0" w:color="auto"/>
        <w:left w:val="none" w:sz="0" w:space="0" w:color="auto"/>
        <w:bottom w:val="none" w:sz="0" w:space="0" w:color="auto"/>
        <w:right w:val="none" w:sz="0" w:space="0" w:color="auto"/>
      </w:divBdr>
    </w:div>
    <w:div w:id="530727434">
      <w:bodyDiv w:val="1"/>
      <w:marLeft w:val="0"/>
      <w:marRight w:val="0"/>
      <w:marTop w:val="0"/>
      <w:marBottom w:val="0"/>
      <w:divBdr>
        <w:top w:val="none" w:sz="0" w:space="0" w:color="auto"/>
        <w:left w:val="none" w:sz="0" w:space="0" w:color="auto"/>
        <w:bottom w:val="none" w:sz="0" w:space="0" w:color="auto"/>
        <w:right w:val="none" w:sz="0" w:space="0" w:color="auto"/>
      </w:divBdr>
    </w:div>
    <w:div w:id="532889634">
      <w:bodyDiv w:val="1"/>
      <w:marLeft w:val="0"/>
      <w:marRight w:val="0"/>
      <w:marTop w:val="0"/>
      <w:marBottom w:val="0"/>
      <w:divBdr>
        <w:top w:val="none" w:sz="0" w:space="0" w:color="auto"/>
        <w:left w:val="none" w:sz="0" w:space="0" w:color="auto"/>
        <w:bottom w:val="none" w:sz="0" w:space="0" w:color="auto"/>
        <w:right w:val="none" w:sz="0" w:space="0" w:color="auto"/>
      </w:divBdr>
    </w:div>
    <w:div w:id="533269754">
      <w:bodyDiv w:val="1"/>
      <w:marLeft w:val="0"/>
      <w:marRight w:val="0"/>
      <w:marTop w:val="0"/>
      <w:marBottom w:val="0"/>
      <w:divBdr>
        <w:top w:val="none" w:sz="0" w:space="0" w:color="auto"/>
        <w:left w:val="none" w:sz="0" w:space="0" w:color="auto"/>
        <w:bottom w:val="none" w:sz="0" w:space="0" w:color="auto"/>
        <w:right w:val="none" w:sz="0" w:space="0" w:color="auto"/>
      </w:divBdr>
    </w:div>
    <w:div w:id="533620692">
      <w:bodyDiv w:val="1"/>
      <w:marLeft w:val="0"/>
      <w:marRight w:val="0"/>
      <w:marTop w:val="0"/>
      <w:marBottom w:val="0"/>
      <w:divBdr>
        <w:top w:val="none" w:sz="0" w:space="0" w:color="auto"/>
        <w:left w:val="none" w:sz="0" w:space="0" w:color="auto"/>
        <w:bottom w:val="none" w:sz="0" w:space="0" w:color="auto"/>
        <w:right w:val="none" w:sz="0" w:space="0" w:color="auto"/>
      </w:divBdr>
    </w:div>
    <w:div w:id="534540983">
      <w:bodyDiv w:val="1"/>
      <w:marLeft w:val="0"/>
      <w:marRight w:val="0"/>
      <w:marTop w:val="0"/>
      <w:marBottom w:val="0"/>
      <w:divBdr>
        <w:top w:val="none" w:sz="0" w:space="0" w:color="auto"/>
        <w:left w:val="none" w:sz="0" w:space="0" w:color="auto"/>
        <w:bottom w:val="none" w:sz="0" w:space="0" w:color="auto"/>
        <w:right w:val="none" w:sz="0" w:space="0" w:color="auto"/>
      </w:divBdr>
    </w:div>
    <w:div w:id="534853618">
      <w:bodyDiv w:val="1"/>
      <w:marLeft w:val="0"/>
      <w:marRight w:val="0"/>
      <w:marTop w:val="0"/>
      <w:marBottom w:val="0"/>
      <w:divBdr>
        <w:top w:val="none" w:sz="0" w:space="0" w:color="auto"/>
        <w:left w:val="none" w:sz="0" w:space="0" w:color="auto"/>
        <w:bottom w:val="none" w:sz="0" w:space="0" w:color="auto"/>
        <w:right w:val="none" w:sz="0" w:space="0" w:color="auto"/>
      </w:divBdr>
    </w:div>
    <w:div w:id="535046280">
      <w:bodyDiv w:val="1"/>
      <w:marLeft w:val="0"/>
      <w:marRight w:val="0"/>
      <w:marTop w:val="0"/>
      <w:marBottom w:val="0"/>
      <w:divBdr>
        <w:top w:val="none" w:sz="0" w:space="0" w:color="auto"/>
        <w:left w:val="none" w:sz="0" w:space="0" w:color="auto"/>
        <w:bottom w:val="none" w:sz="0" w:space="0" w:color="auto"/>
        <w:right w:val="none" w:sz="0" w:space="0" w:color="auto"/>
      </w:divBdr>
    </w:div>
    <w:div w:id="535192690">
      <w:bodyDiv w:val="1"/>
      <w:marLeft w:val="0"/>
      <w:marRight w:val="0"/>
      <w:marTop w:val="0"/>
      <w:marBottom w:val="0"/>
      <w:divBdr>
        <w:top w:val="none" w:sz="0" w:space="0" w:color="auto"/>
        <w:left w:val="none" w:sz="0" w:space="0" w:color="auto"/>
        <w:bottom w:val="none" w:sz="0" w:space="0" w:color="auto"/>
        <w:right w:val="none" w:sz="0" w:space="0" w:color="auto"/>
      </w:divBdr>
    </w:div>
    <w:div w:id="535240288">
      <w:bodyDiv w:val="1"/>
      <w:marLeft w:val="0"/>
      <w:marRight w:val="0"/>
      <w:marTop w:val="0"/>
      <w:marBottom w:val="0"/>
      <w:divBdr>
        <w:top w:val="none" w:sz="0" w:space="0" w:color="auto"/>
        <w:left w:val="none" w:sz="0" w:space="0" w:color="auto"/>
        <w:bottom w:val="none" w:sz="0" w:space="0" w:color="auto"/>
        <w:right w:val="none" w:sz="0" w:space="0" w:color="auto"/>
      </w:divBdr>
    </w:div>
    <w:div w:id="535851301">
      <w:bodyDiv w:val="1"/>
      <w:marLeft w:val="0"/>
      <w:marRight w:val="0"/>
      <w:marTop w:val="0"/>
      <w:marBottom w:val="0"/>
      <w:divBdr>
        <w:top w:val="none" w:sz="0" w:space="0" w:color="auto"/>
        <w:left w:val="none" w:sz="0" w:space="0" w:color="auto"/>
        <w:bottom w:val="none" w:sz="0" w:space="0" w:color="auto"/>
        <w:right w:val="none" w:sz="0" w:space="0" w:color="auto"/>
      </w:divBdr>
    </w:div>
    <w:div w:id="535968959">
      <w:bodyDiv w:val="1"/>
      <w:marLeft w:val="0"/>
      <w:marRight w:val="0"/>
      <w:marTop w:val="0"/>
      <w:marBottom w:val="0"/>
      <w:divBdr>
        <w:top w:val="none" w:sz="0" w:space="0" w:color="auto"/>
        <w:left w:val="none" w:sz="0" w:space="0" w:color="auto"/>
        <w:bottom w:val="none" w:sz="0" w:space="0" w:color="auto"/>
        <w:right w:val="none" w:sz="0" w:space="0" w:color="auto"/>
      </w:divBdr>
    </w:div>
    <w:div w:id="537815827">
      <w:bodyDiv w:val="1"/>
      <w:marLeft w:val="0"/>
      <w:marRight w:val="0"/>
      <w:marTop w:val="0"/>
      <w:marBottom w:val="0"/>
      <w:divBdr>
        <w:top w:val="none" w:sz="0" w:space="0" w:color="auto"/>
        <w:left w:val="none" w:sz="0" w:space="0" w:color="auto"/>
        <w:bottom w:val="none" w:sz="0" w:space="0" w:color="auto"/>
        <w:right w:val="none" w:sz="0" w:space="0" w:color="auto"/>
      </w:divBdr>
    </w:div>
    <w:div w:id="537855959">
      <w:bodyDiv w:val="1"/>
      <w:marLeft w:val="0"/>
      <w:marRight w:val="0"/>
      <w:marTop w:val="0"/>
      <w:marBottom w:val="0"/>
      <w:divBdr>
        <w:top w:val="none" w:sz="0" w:space="0" w:color="auto"/>
        <w:left w:val="none" w:sz="0" w:space="0" w:color="auto"/>
        <w:bottom w:val="none" w:sz="0" w:space="0" w:color="auto"/>
        <w:right w:val="none" w:sz="0" w:space="0" w:color="auto"/>
      </w:divBdr>
    </w:div>
    <w:div w:id="537862835">
      <w:bodyDiv w:val="1"/>
      <w:marLeft w:val="0"/>
      <w:marRight w:val="0"/>
      <w:marTop w:val="0"/>
      <w:marBottom w:val="0"/>
      <w:divBdr>
        <w:top w:val="none" w:sz="0" w:space="0" w:color="auto"/>
        <w:left w:val="none" w:sz="0" w:space="0" w:color="auto"/>
        <w:bottom w:val="none" w:sz="0" w:space="0" w:color="auto"/>
        <w:right w:val="none" w:sz="0" w:space="0" w:color="auto"/>
      </w:divBdr>
    </w:div>
    <w:div w:id="537934825">
      <w:bodyDiv w:val="1"/>
      <w:marLeft w:val="0"/>
      <w:marRight w:val="0"/>
      <w:marTop w:val="0"/>
      <w:marBottom w:val="0"/>
      <w:divBdr>
        <w:top w:val="none" w:sz="0" w:space="0" w:color="auto"/>
        <w:left w:val="none" w:sz="0" w:space="0" w:color="auto"/>
        <w:bottom w:val="none" w:sz="0" w:space="0" w:color="auto"/>
        <w:right w:val="none" w:sz="0" w:space="0" w:color="auto"/>
      </w:divBdr>
    </w:div>
    <w:div w:id="538472943">
      <w:bodyDiv w:val="1"/>
      <w:marLeft w:val="0"/>
      <w:marRight w:val="0"/>
      <w:marTop w:val="0"/>
      <w:marBottom w:val="0"/>
      <w:divBdr>
        <w:top w:val="none" w:sz="0" w:space="0" w:color="auto"/>
        <w:left w:val="none" w:sz="0" w:space="0" w:color="auto"/>
        <w:bottom w:val="none" w:sz="0" w:space="0" w:color="auto"/>
        <w:right w:val="none" w:sz="0" w:space="0" w:color="auto"/>
      </w:divBdr>
    </w:div>
    <w:div w:id="538517230">
      <w:bodyDiv w:val="1"/>
      <w:marLeft w:val="0"/>
      <w:marRight w:val="0"/>
      <w:marTop w:val="0"/>
      <w:marBottom w:val="0"/>
      <w:divBdr>
        <w:top w:val="none" w:sz="0" w:space="0" w:color="auto"/>
        <w:left w:val="none" w:sz="0" w:space="0" w:color="auto"/>
        <w:bottom w:val="none" w:sz="0" w:space="0" w:color="auto"/>
        <w:right w:val="none" w:sz="0" w:space="0" w:color="auto"/>
      </w:divBdr>
    </w:div>
    <w:div w:id="540286375">
      <w:bodyDiv w:val="1"/>
      <w:marLeft w:val="0"/>
      <w:marRight w:val="0"/>
      <w:marTop w:val="0"/>
      <w:marBottom w:val="0"/>
      <w:divBdr>
        <w:top w:val="none" w:sz="0" w:space="0" w:color="auto"/>
        <w:left w:val="none" w:sz="0" w:space="0" w:color="auto"/>
        <w:bottom w:val="none" w:sz="0" w:space="0" w:color="auto"/>
        <w:right w:val="none" w:sz="0" w:space="0" w:color="auto"/>
      </w:divBdr>
    </w:div>
    <w:div w:id="540364751">
      <w:bodyDiv w:val="1"/>
      <w:marLeft w:val="0"/>
      <w:marRight w:val="0"/>
      <w:marTop w:val="0"/>
      <w:marBottom w:val="0"/>
      <w:divBdr>
        <w:top w:val="none" w:sz="0" w:space="0" w:color="auto"/>
        <w:left w:val="none" w:sz="0" w:space="0" w:color="auto"/>
        <w:bottom w:val="none" w:sz="0" w:space="0" w:color="auto"/>
        <w:right w:val="none" w:sz="0" w:space="0" w:color="auto"/>
      </w:divBdr>
    </w:div>
    <w:div w:id="541746491">
      <w:bodyDiv w:val="1"/>
      <w:marLeft w:val="0"/>
      <w:marRight w:val="0"/>
      <w:marTop w:val="0"/>
      <w:marBottom w:val="0"/>
      <w:divBdr>
        <w:top w:val="none" w:sz="0" w:space="0" w:color="auto"/>
        <w:left w:val="none" w:sz="0" w:space="0" w:color="auto"/>
        <w:bottom w:val="none" w:sz="0" w:space="0" w:color="auto"/>
        <w:right w:val="none" w:sz="0" w:space="0" w:color="auto"/>
      </w:divBdr>
    </w:div>
    <w:div w:id="541868434">
      <w:bodyDiv w:val="1"/>
      <w:marLeft w:val="0"/>
      <w:marRight w:val="0"/>
      <w:marTop w:val="0"/>
      <w:marBottom w:val="0"/>
      <w:divBdr>
        <w:top w:val="none" w:sz="0" w:space="0" w:color="auto"/>
        <w:left w:val="none" w:sz="0" w:space="0" w:color="auto"/>
        <w:bottom w:val="none" w:sz="0" w:space="0" w:color="auto"/>
        <w:right w:val="none" w:sz="0" w:space="0" w:color="auto"/>
      </w:divBdr>
    </w:div>
    <w:div w:id="542327031">
      <w:bodyDiv w:val="1"/>
      <w:marLeft w:val="0"/>
      <w:marRight w:val="0"/>
      <w:marTop w:val="0"/>
      <w:marBottom w:val="0"/>
      <w:divBdr>
        <w:top w:val="none" w:sz="0" w:space="0" w:color="auto"/>
        <w:left w:val="none" w:sz="0" w:space="0" w:color="auto"/>
        <w:bottom w:val="none" w:sz="0" w:space="0" w:color="auto"/>
        <w:right w:val="none" w:sz="0" w:space="0" w:color="auto"/>
      </w:divBdr>
    </w:div>
    <w:div w:id="542720069">
      <w:bodyDiv w:val="1"/>
      <w:marLeft w:val="0"/>
      <w:marRight w:val="0"/>
      <w:marTop w:val="0"/>
      <w:marBottom w:val="0"/>
      <w:divBdr>
        <w:top w:val="none" w:sz="0" w:space="0" w:color="auto"/>
        <w:left w:val="none" w:sz="0" w:space="0" w:color="auto"/>
        <w:bottom w:val="none" w:sz="0" w:space="0" w:color="auto"/>
        <w:right w:val="none" w:sz="0" w:space="0" w:color="auto"/>
      </w:divBdr>
    </w:div>
    <w:div w:id="544029352">
      <w:bodyDiv w:val="1"/>
      <w:marLeft w:val="0"/>
      <w:marRight w:val="0"/>
      <w:marTop w:val="0"/>
      <w:marBottom w:val="0"/>
      <w:divBdr>
        <w:top w:val="none" w:sz="0" w:space="0" w:color="auto"/>
        <w:left w:val="none" w:sz="0" w:space="0" w:color="auto"/>
        <w:bottom w:val="none" w:sz="0" w:space="0" w:color="auto"/>
        <w:right w:val="none" w:sz="0" w:space="0" w:color="auto"/>
      </w:divBdr>
    </w:div>
    <w:div w:id="544633959">
      <w:bodyDiv w:val="1"/>
      <w:marLeft w:val="0"/>
      <w:marRight w:val="0"/>
      <w:marTop w:val="0"/>
      <w:marBottom w:val="0"/>
      <w:divBdr>
        <w:top w:val="none" w:sz="0" w:space="0" w:color="auto"/>
        <w:left w:val="none" w:sz="0" w:space="0" w:color="auto"/>
        <w:bottom w:val="none" w:sz="0" w:space="0" w:color="auto"/>
        <w:right w:val="none" w:sz="0" w:space="0" w:color="auto"/>
      </w:divBdr>
    </w:div>
    <w:div w:id="545023936">
      <w:bodyDiv w:val="1"/>
      <w:marLeft w:val="0"/>
      <w:marRight w:val="0"/>
      <w:marTop w:val="0"/>
      <w:marBottom w:val="0"/>
      <w:divBdr>
        <w:top w:val="none" w:sz="0" w:space="0" w:color="auto"/>
        <w:left w:val="none" w:sz="0" w:space="0" w:color="auto"/>
        <w:bottom w:val="none" w:sz="0" w:space="0" w:color="auto"/>
        <w:right w:val="none" w:sz="0" w:space="0" w:color="auto"/>
      </w:divBdr>
    </w:div>
    <w:div w:id="545459258">
      <w:bodyDiv w:val="1"/>
      <w:marLeft w:val="0"/>
      <w:marRight w:val="0"/>
      <w:marTop w:val="0"/>
      <w:marBottom w:val="0"/>
      <w:divBdr>
        <w:top w:val="none" w:sz="0" w:space="0" w:color="auto"/>
        <w:left w:val="none" w:sz="0" w:space="0" w:color="auto"/>
        <w:bottom w:val="none" w:sz="0" w:space="0" w:color="auto"/>
        <w:right w:val="none" w:sz="0" w:space="0" w:color="auto"/>
      </w:divBdr>
    </w:div>
    <w:div w:id="547186661">
      <w:bodyDiv w:val="1"/>
      <w:marLeft w:val="0"/>
      <w:marRight w:val="0"/>
      <w:marTop w:val="0"/>
      <w:marBottom w:val="0"/>
      <w:divBdr>
        <w:top w:val="none" w:sz="0" w:space="0" w:color="auto"/>
        <w:left w:val="none" w:sz="0" w:space="0" w:color="auto"/>
        <w:bottom w:val="none" w:sz="0" w:space="0" w:color="auto"/>
        <w:right w:val="none" w:sz="0" w:space="0" w:color="auto"/>
      </w:divBdr>
    </w:div>
    <w:div w:id="548230233">
      <w:bodyDiv w:val="1"/>
      <w:marLeft w:val="0"/>
      <w:marRight w:val="0"/>
      <w:marTop w:val="0"/>
      <w:marBottom w:val="0"/>
      <w:divBdr>
        <w:top w:val="none" w:sz="0" w:space="0" w:color="auto"/>
        <w:left w:val="none" w:sz="0" w:space="0" w:color="auto"/>
        <w:bottom w:val="none" w:sz="0" w:space="0" w:color="auto"/>
        <w:right w:val="none" w:sz="0" w:space="0" w:color="auto"/>
      </w:divBdr>
    </w:div>
    <w:div w:id="548612660">
      <w:bodyDiv w:val="1"/>
      <w:marLeft w:val="0"/>
      <w:marRight w:val="0"/>
      <w:marTop w:val="0"/>
      <w:marBottom w:val="0"/>
      <w:divBdr>
        <w:top w:val="none" w:sz="0" w:space="0" w:color="auto"/>
        <w:left w:val="none" w:sz="0" w:space="0" w:color="auto"/>
        <w:bottom w:val="none" w:sz="0" w:space="0" w:color="auto"/>
        <w:right w:val="none" w:sz="0" w:space="0" w:color="auto"/>
      </w:divBdr>
    </w:div>
    <w:div w:id="549002210">
      <w:bodyDiv w:val="1"/>
      <w:marLeft w:val="0"/>
      <w:marRight w:val="0"/>
      <w:marTop w:val="0"/>
      <w:marBottom w:val="0"/>
      <w:divBdr>
        <w:top w:val="none" w:sz="0" w:space="0" w:color="auto"/>
        <w:left w:val="none" w:sz="0" w:space="0" w:color="auto"/>
        <w:bottom w:val="none" w:sz="0" w:space="0" w:color="auto"/>
        <w:right w:val="none" w:sz="0" w:space="0" w:color="auto"/>
      </w:divBdr>
    </w:div>
    <w:div w:id="549072769">
      <w:bodyDiv w:val="1"/>
      <w:marLeft w:val="0"/>
      <w:marRight w:val="0"/>
      <w:marTop w:val="0"/>
      <w:marBottom w:val="0"/>
      <w:divBdr>
        <w:top w:val="none" w:sz="0" w:space="0" w:color="auto"/>
        <w:left w:val="none" w:sz="0" w:space="0" w:color="auto"/>
        <w:bottom w:val="none" w:sz="0" w:space="0" w:color="auto"/>
        <w:right w:val="none" w:sz="0" w:space="0" w:color="auto"/>
      </w:divBdr>
    </w:div>
    <w:div w:id="549222429">
      <w:bodyDiv w:val="1"/>
      <w:marLeft w:val="0"/>
      <w:marRight w:val="0"/>
      <w:marTop w:val="0"/>
      <w:marBottom w:val="0"/>
      <w:divBdr>
        <w:top w:val="none" w:sz="0" w:space="0" w:color="auto"/>
        <w:left w:val="none" w:sz="0" w:space="0" w:color="auto"/>
        <w:bottom w:val="none" w:sz="0" w:space="0" w:color="auto"/>
        <w:right w:val="none" w:sz="0" w:space="0" w:color="auto"/>
      </w:divBdr>
    </w:div>
    <w:div w:id="549342307">
      <w:bodyDiv w:val="1"/>
      <w:marLeft w:val="0"/>
      <w:marRight w:val="0"/>
      <w:marTop w:val="0"/>
      <w:marBottom w:val="0"/>
      <w:divBdr>
        <w:top w:val="none" w:sz="0" w:space="0" w:color="auto"/>
        <w:left w:val="none" w:sz="0" w:space="0" w:color="auto"/>
        <w:bottom w:val="none" w:sz="0" w:space="0" w:color="auto"/>
        <w:right w:val="none" w:sz="0" w:space="0" w:color="auto"/>
      </w:divBdr>
    </w:div>
    <w:div w:id="549346271">
      <w:bodyDiv w:val="1"/>
      <w:marLeft w:val="0"/>
      <w:marRight w:val="0"/>
      <w:marTop w:val="0"/>
      <w:marBottom w:val="0"/>
      <w:divBdr>
        <w:top w:val="none" w:sz="0" w:space="0" w:color="auto"/>
        <w:left w:val="none" w:sz="0" w:space="0" w:color="auto"/>
        <w:bottom w:val="none" w:sz="0" w:space="0" w:color="auto"/>
        <w:right w:val="none" w:sz="0" w:space="0" w:color="auto"/>
      </w:divBdr>
    </w:div>
    <w:div w:id="549727688">
      <w:bodyDiv w:val="1"/>
      <w:marLeft w:val="0"/>
      <w:marRight w:val="0"/>
      <w:marTop w:val="0"/>
      <w:marBottom w:val="0"/>
      <w:divBdr>
        <w:top w:val="none" w:sz="0" w:space="0" w:color="auto"/>
        <w:left w:val="none" w:sz="0" w:space="0" w:color="auto"/>
        <w:bottom w:val="none" w:sz="0" w:space="0" w:color="auto"/>
        <w:right w:val="none" w:sz="0" w:space="0" w:color="auto"/>
      </w:divBdr>
    </w:div>
    <w:div w:id="549731374">
      <w:bodyDiv w:val="1"/>
      <w:marLeft w:val="0"/>
      <w:marRight w:val="0"/>
      <w:marTop w:val="0"/>
      <w:marBottom w:val="0"/>
      <w:divBdr>
        <w:top w:val="none" w:sz="0" w:space="0" w:color="auto"/>
        <w:left w:val="none" w:sz="0" w:space="0" w:color="auto"/>
        <w:bottom w:val="none" w:sz="0" w:space="0" w:color="auto"/>
        <w:right w:val="none" w:sz="0" w:space="0" w:color="auto"/>
      </w:divBdr>
    </w:div>
    <w:div w:id="552734231">
      <w:bodyDiv w:val="1"/>
      <w:marLeft w:val="0"/>
      <w:marRight w:val="0"/>
      <w:marTop w:val="0"/>
      <w:marBottom w:val="0"/>
      <w:divBdr>
        <w:top w:val="none" w:sz="0" w:space="0" w:color="auto"/>
        <w:left w:val="none" w:sz="0" w:space="0" w:color="auto"/>
        <w:bottom w:val="none" w:sz="0" w:space="0" w:color="auto"/>
        <w:right w:val="none" w:sz="0" w:space="0" w:color="auto"/>
      </w:divBdr>
    </w:div>
    <w:div w:id="553543305">
      <w:bodyDiv w:val="1"/>
      <w:marLeft w:val="0"/>
      <w:marRight w:val="0"/>
      <w:marTop w:val="0"/>
      <w:marBottom w:val="0"/>
      <w:divBdr>
        <w:top w:val="none" w:sz="0" w:space="0" w:color="auto"/>
        <w:left w:val="none" w:sz="0" w:space="0" w:color="auto"/>
        <w:bottom w:val="none" w:sz="0" w:space="0" w:color="auto"/>
        <w:right w:val="none" w:sz="0" w:space="0" w:color="auto"/>
      </w:divBdr>
    </w:div>
    <w:div w:id="553934033">
      <w:bodyDiv w:val="1"/>
      <w:marLeft w:val="0"/>
      <w:marRight w:val="0"/>
      <w:marTop w:val="0"/>
      <w:marBottom w:val="0"/>
      <w:divBdr>
        <w:top w:val="none" w:sz="0" w:space="0" w:color="auto"/>
        <w:left w:val="none" w:sz="0" w:space="0" w:color="auto"/>
        <w:bottom w:val="none" w:sz="0" w:space="0" w:color="auto"/>
        <w:right w:val="none" w:sz="0" w:space="0" w:color="auto"/>
      </w:divBdr>
    </w:div>
    <w:div w:id="554007818">
      <w:bodyDiv w:val="1"/>
      <w:marLeft w:val="0"/>
      <w:marRight w:val="0"/>
      <w:marTop w:val="0"/>
      <w:marBottom w:val="0"/>
      <w:divBdr>
        <w:top w:val="none" w:sz="0" w:space="0" w:color="auto"/>
        <w:left w:val="none" w:sz="0" w:space="0" w:color="auto"/>
        <w:bottom w:val="none" w:sz="0" w:space="0" w:color="auto"/>
        <w:right w:val="none" w:sz="0" w:space="0" w:color="auto"/>
      </w:divBdr>
    </w:div>
    <w:div w:id="554388680">
      <w:bodyDiv w:val="1"/>
      <w:marLeft w:val="0"/>
      <w:marRight w:val="0"/>
      <w:marTop w:val="0"/>
      <w:marBottom w:val="0"/>
      <w:divBdr>
        <w:top w:val="none" w:sz="0" w:space="0" w:color="auto"/>
        <w:left w:val="none" w:sz="0" w:space="0" w:color="auto"/>
        <w:bottom w:val="none" w:sz="0" w:space="0" w:color="auto"/>
        <w:right w:val="none" w:sz="0" w:space="0" w:color="auto"/>
      </w:divBdr>
    </w:div>
    <w:div w:id="555095099">
      <w:bodyDiv w:val="1"/>
      <w:marLeft w:val="0"/>
      <w:marRight w:val="0"/>
      <w:marTop w:val="0"/>
      <w:marBottom w:val="0"/>
      <w:divBdr>
        <w:top w:val="none" w:sz="0" w:space="0" w:color="auto"/>
        <w:left w:val="none" w:sz="0" w:space="0" w:color="auto"/>
        <w:bottom w:val="none" w:sz="0" w:space="0" w:color="auto"/>
        <w:right w:val="none" w:sz="0" w:space="0" w:color="auto"/>
      </w:divBdr>
    </w:div>
    <w:div w:id="555170272">
      <w:bodyDiv w:val="1"/>
      <w:marLeft w:val="0"/>
      <w:marRight w:val="0"/>
      <w:marTop w:val="0"/>
      <w:marBottom w:val="0"/>
      <w:divBdr>
        <w:top w:val="none" w:sz="0" w:space="0" w:color="auto"/>
        <w:left w:val="none" w:sz="0" w:space="0" w:color="auto"/>
        <w:bottom w:val="none" w:sz="0" w:space="0" w:color="auto"/>
        <w:right w:val="none" w:sz="0" w:space="0" w:color="auto"/>
      </w:divBdr>
    </w:div>
    <w:div w:id="556890607">
      <w:bodyDiv w:val="1"/>
      <w:marLeft w:val="0"/>
      <w:marRight w:val="0"/>
      <w:marTop w:val="0"/>
      <w:marBottom w:val="0"/>
      <w:divBdr>
        <w:top w:val="none" w:sz="0" w:space="0" w:color="auto"/>
        <w:left w:val="none" w:sz="0" w:space="0" w:color="auto"/>
        <w:bottom w:val="none" w:sz="0" w:space="0" w:color="auto"/>
        <w:right w:val="none" w:sz="0" w:space="0" w:color="auto"/>
      </w:divBdr>
    </w:div>
    <w:div w:id="557518798">
      <w:bodyDiv w:val="1"/>
      <w:marLeft w:val="0"/>
      <w:marRight w:val="0"/>
      <w:marTop w:val="0"/>
      <w:marBottom w:val="0"/>
      <w:divBdr>
        <w:top w:val="none" w:sz="0" w:space="0" w:color="auto"/>
        <w:left w:val="none" w:sz="0" w:space="0" w:color="auto"/>
        <w:bottom w:val="none" w:sz="0" w:space="0" w:color="auto"/>
        <w:right w:val="none" w:sz="0" w:space="0" w:color="auto"/>
      </w:divBdr>
    </w:div>
    <w:div w:id="558974893">
      <w:bodyDiv w:val="1"/>
      <w:marLeft w:val="0"/>
      <w:marRight w:val="0"/>
      <w:marTop w:val="0"/>
      <w:marBottom w:val="0"/>
      <w:divBdr>
        <w:top w:val="none" w:sz="0" w:space="0" w:color="auto"/>
        <w:left w:val="none" w:sz="0" w:space="0" w:color="auto"/>
        <w:bottom w:val="none" w:sz="0" w:space="0" w:color="auto"/>
        <w:right w:val="none" w:sz="0" w:space="0" w:color="auto"/>
      </w:divBdr>
      <w:divsChild>
        <w:div w:id="1582182240">
          <w:marLeft w:val="0"/>
          <w:marRight w:val="0"/>
          <w:marTop w:val="0"/>
          <w:marBottom w:val="0"/>
          <w:divBdr>
            <w:top w:val="none" w:sz="0" w:space="0" w:color="auto"/>
            <w:left w:val="none" w:sz="0" w:space="0" w:color="auto"/>
            <w:bottom w:val="none" w:sz="0" w:space="0" w:color="auto"/>
            <w:right w:val="none" w:sz="0" w:space="0" w:color="auto"/>
          </w:divBdr>
        </w:div>
        <w:div w:id="218328146">
          <w:marLeft w:val="0"/>
          <w:marRight w:val="0"/>
          <w:marTop w:val="0"/>
          <w:marBottom w:val="0"/>
          <w:divBdr>
            <w:top w:val="none" w:sz="0" w:space="0" w:color="auto"/>
            <w:left w:val="none" w:sz="0" w:space="0" w:color="auto"/>
            <w:bottom w:val="none" w:sz="0" w:space="0" w:color="auto"/>
            <w:right w:val="none" w:sz="0" w:space="0" w:color="auto"/>
          </w:divBdr>
        </w:div>
      </w:divsChild>
    </w:div>
    <w:div w:id="559023947">
      <w:bodyDiv w:val="1"/>
      <w:marLeft w:val="0"/>
      <w:marRight w:val="0"/>
      <w:marTop w:val="0"/>
      <w:marBottom w:val="0"/>
      <w:divBdr>
        <w:top w:val="none" w:sz="0" w:space="0" w:color="auto"/>
        <w:left w:val="none" w:sz="0" w:space="0" w:color="auto"/>
        <w:bottom w:val="none" w:sz="0" w:space="0" w:color="auto"/>
        <w:right w:val="none" w:sz="0" w:space="0" w:color="auto"/>
      </w:divBdr>
    </w:div>
    <w:div w:id="563680107">
      <w:bodyDiv w:val="1"/>
      <w:marLeft w:val="0"/>
      <w:marRight w:val="0"/>
      <w:marTop w:val="0"/>
      <w:marBottom w:val="0"/>
      <w:divBdr>
        <w:top w:val="none" w:sz="0" w:space="0" w:color="auto"/>
        <w:left w:val="none" w:sz="0" w:space="0" w:color="auto"/>
        <w:bottom w:val="none" w:sz="0" w:space="0" w:color="auto"/>
        <w:right w:val="none" w:sz="0" w:space="0" w:color="auto"/>
      </w:divBdr>
    </w:div>
    <w:div w:id="563835010">
      <w:bodyDiv w:val="1"/>
      <w:marLeft w:val="0"/>
      <w:marRight w:val="0"/>
      <w:marTop w:val="0"/>
      <w:marBottom w:val="0"/>
      <w:divBdr>
        <w:top w:val="none" w:sz="0" w:space="0" w:color="auto"/>
        <w:left w:val="none" w:sz="0" w:space="0" w:color="auto"/>
        <w:bottom w:val="none" w:sz="0" w:space="0" w:color="auto"/>
        <w:right w:val="none" w:sz="0" w:space="0" w:color="auto"/>
      </w:divBdr>
    </w:div>
    <w:div w:id="563874298">
      <w:bodyDiv w:val="1"/>
      <w:marLeft w:val="0"/>
      <w:marRight w:val="0"/>
      <w:marTop w:val="0"/>
      <w:marBottom w:val="0"/>
      <w:divBdr>
        <w:top w:val="none" w:sz="0" w:space="0" w:color="auto"/>
        <w:left w:val="none" w:sz="0" w:space="0" w:color="auto"/>
        <w:bottom w:val="none" w:sz="0" w:space="0" w:color="auto"/>
        <w:right w:val="none" w:sz="0" w:space="0" w:color="auto"/>
      </w:divBdr>
    </w:div>
    <w:div w:id="564216869">
      <w:bodyDiv w:val="1"/>
      <w:marLeft w:val="0"/>
      <w:marRight w:val="0"/>
      <w:marTop w:val="0"/>
      <w:marBottom w:val="0"/>
      <w:divBdr>
        <w:top w:val="none" w:sz="0" w:space="0" w:color="auto"/>
        <w:left w:val="none" w:sz="0" w:space="0" w:color="auto"/>
        <w:bottom w:val="none" w:sz="0" w:space="0" w:color="auto"/>
        <w:right w:val="none" w:sz="0" w:space="0" w:color="auto"/>
      </w:divBdr>
    </w:div>
    <w:div w:id="565720841">
      <w:bodyDiv w:val="1"/>
      <w:marLeft w:val="0"/>
      <w:marRight w:val="0"/>
      <w:marTop w:val="0"/>
      <w:marBottom w:val="0"/>
      <w:divBdr>
        <w:top w:val="none" w:sz="0" w:space="0" w:color="auto"/>
        <w:left w:val="none" w:sz="0" w:space="0" w:color="auto"/>
        <w:bottom w:val="none" w:sz="0" w:space="0" w:color="auto"/>
        <w:right w:val="none" w:sz="0" w:space="0" w:color="auto"/>
      </w:divBdr>
    </w:div>
    <w:div w:id="569197250">
      <w:bodyDiv w:val="1"/>
      <w:marLeft w:val="0"/>
      <w:marRight w:val="0"/>
      <w:marTop w:val="0"/>
      <w:marBottom w:val="0"/>
      <w:divBdr>
        <w:top w:val="none" w:sz="0" w:space="0" w:color="auto"/>
        <w:left w:val="none" w:sz="0" w:space="0" w:color="auto"/>
        <w:bottom w:val="none" w:sz="0" w:space="0" w:color="auto"/>
        <w:right w:val="none" w:sz="0" w:space="0" w:color="auto"/>
      </w:divBdr>
    </w:div>
    <w:div w:id="571430461">
      <w:bodyDiv w:val="1"/>
      <w:marLeft w:val="0"/>
      <w:marRight w:val="0"/>
      <w:marTop w:val="0"/>
      <w:marBottom w:val="0"/>
      <w:divBdr>
        <w:top w:val="none" w:sz="0" w:space="0" w:color="auto"/>
        <w:left w:val="none" w:sz="0" w:space="0" w:color="auto"/>
        <w:bottom w:val="none" w:sz="0" w:space="0" w:color="auto"/>
        <w:right w:val="none" w:sz="0" w:space="0" w:color="auto"/>
      </w:divBdr>
    </w:div>
    <w:div w:id="572201393">
      <w:bodyDiv w:val="1"/>
      <w:marLeft w:val="0"/>
      <w:marRight w:val="0"/>
      <w:marTop w:val="0"/>
      <w:marBottom w:val="0"/>
      <w:divBdr>
        <w:top w:val="none" w:sz="0" w:space="0" w:color="auto"/>
        <w:left w:val="none" w:sz="0" w:space="0" w:color="auto"/>
        <w:bottom w:val="none" w:sz="0" w:space="0" w:color="auto"/>
        <w:right w:val="none" w:sz="0" w:space="0" w:color="auto"/>
      </w:divBdr>
    </w:div>
    <w:div w:id="573128407">
      <w:bodyDiv w:val="1"/>
      <w:marLeft w:val="0"/>
      <w:marRight w:val="0"/>
      <w:marTop w:val="0"/>
      <w:marBottom w:val="0"/>
      <w:divBdr>
        <w:top w:val="none" w:sz="0" w:space="0" w:color="auto"/>
        <w:left w:val="none" w:sz="0" w:space="0" w:color="auto"/>
        <w:bottom w:val="none" w:sz="0" w:space="0" w:color="auto"/>
        <w:right w:val="none" w:sz="0" w:space="0" w:color="auto"/>
      </w:divBdr>
    </w:div>
    <w:div w:id="575288340">
      <w:bodyDiv w:val="1"/>
      <w:marLeft w:val="0"/>
      <w:marRight w:val="0"/>
      <w:marTop w:val="0"/>
      <w:marBottom w:val="0"/>
      <w:divBdr>
        <w:top w:val="none" w:sz="0" w:space="0" w:color="auto"/>
        <w:left w:val="none" w:sz="0" w:space="0" w:color="auto"/>
        <w:bottom w:val="none" w:sz="0" w:space="0" w:color="auto"/>
        <w:right w:val="none" w:sz="0" w:space="0" w:color="auto"/>
      </w:divBdr>
    </w:div>
    <w:div w:id="575358477">
      <w:bodyDiv w:val="1"/>
      <w:marLeft w:val="0"/>
      <w:marRight w:val="0"/>
      <w:marTop w:val="0"/>
      <w:marBottom w:val="0"/>
      <w:divBdr>
        <w:top w:val="none" w:sz="0" w:space="0" w:color="auto"/>
        <w:left w:val="none" w:sz="0" w:space="0" w:color="auto"/>
        <w:bottom w:val="none" w:sz="0" w:space="0" w:color="auto"/>
        <w:right w:val="none" w:sz="0" w:space="0" w:color="auto"/>
      </w:divBdr>
    </w:div>
    <w:div w:id="575625474">
      <w:bodyDiv w:val="1"/>
      <w:marLeft w:val="0"/>
      <w:marRight w:val="0"/>
      <w:marTop w:val="0"/>
      <w:marBottom w:val="0"/>
      <w:divBdr>
        <w:top w:val="none" w:sz="0" w:space="0" w:color="auto"/>
        <w:left w:val="none" w:sz="0" w:space="0" w:color="auto"/>
        <w:bottom w:val="none" w:sz="0" w:space="0" w:color="auto"/>
        <w:right w:val="none" w:sz="0" w:space="0" w:color="auto"/>
      </w:divBdr>
    </w:div>
    <w:div w:id="575752067">
      <w:bodyDiv w:val="1"/>
      <w:marLeft w:val="0"/>
      <w:marRight w:val="0"/>
      <w:marTop w:val="0"/>
      <w:marBottom w:val="0"/>
      <w:divBdr>
        <w:top w:val="none" w:sz="0" w:space="0" w:color="auto"/>
        <w:left w:val="none" w:sz="0" w:space="0" w:color="auto"/>
        <w:bottom w:val="none" w:sz="0" w:space="0" w:color="auto"/>
        <w:right w:val="none" w:sz="0" w:space="0" w:color="auto"/>
      </w:divBdr>
    </w:div>
    <w:div w:id="576137190">
      <w:bodyDiv w:val="1"/>
      <w:marLeft w:val="0"/>
      <w:marRight w:val="0"/>
      <w:marTop w:val="0"/>
      <w:marBottom w:val="0"/>
      <w:divBdr>
        <w:top w:val="none" w:sz="0" w:space="0" w:color="auto"/>
        <w:left w:val="none" w:sz="0" w:space="0" w:color="auto"/>
        <w:bottom w:val="none" w:sz="0" w:space="0" w:color="auto"/>
        <w:right w:val="none" w:sz="0" w:space="0" w:color="auto"/>
      </w:divBdr>
    </w:div>
    <w:div w:id="576328144">
      <w:bodyDiv w:val="1"/>
      <w:marLeft w:val="0"/>
      <w:marRight w:val="0"/>
      <w:marTop w:val="0"/>
      <w:marBottom w:val="0"/>
      <w:divBdr>
        <w:top w:val="none" w:sz="0" w:space="0" w:color="auto"/>
        <w:left w:val="none" w:sz="0" w:space="0" w:color="auto"/>
        <w:bottom w:val="none" w:sz="0" w:space="0" w:color="auto"/>
        <w:right w:val="none" w:sz="0" w:space="0" w:color="auto"/>
      </w:divBdr>
    </w:div>
    <w:div w:id="577597126">
      <w:bodyDiv w:val="1"/>
      <w:marLeft w:val="0"/>
      <w:marRight w:val="0"/>
      <w:marTop w:val="0"/>
      <w:marBottom w:val="0"/>
      <w:divBdr>
        <w:top w:val="none" w:sz="0" w:space="0" w:color="auto"/>
        <w:left w:val="none" w:sz="0" w:space="0" w:color="auto"/>
        <w:bottom w:val="none" w:sz="0" w:space="0" w:color="auto"/>
        <w:right w:val="none" w:sz="0" w:space="0" w:color="auto"/>
      </w:divBdr>
    </w:div>
    <w:div w:id="578683747">
      <w:bodyDiv w:val="1"/>
      <w:marLeft w:val="0"/>
      <w:marRight w:val="0"/>
      <w:marTop w:val="0"/>
      <w:marBottom w:val="0"/>
      <w:divBdr>
        <w:top w:val="none" w:sz="0" w:space="0" w:color="auto"/>
        <w:left w:val="none" w:sz="0" w:space="0" w:color="auto"/>
        <w:bottom w:val="none" w:sz="0" w:space="0" w:color="auto"/>
        <w:right w:val="none" w:sz="0" w:space="0" w:color="auto"/>
      </w:divBdr>
    </w:div>
    <w:div w:id="579606443">
      <w:bodyDiv w:val="1"/>
      <w:marLeft w:val="0"/>
      <w:marRight w:val="0"/>
      <w:marTop w:val="0"/>
      <w:marBottom w:val="0"/>
      <w:divBdr>
        <w:top w:val="none" w:sz="0" w:space="0" w:color="auto"/>
        <w:left w:val="none" w:sz="0" w:space="0" w:color="auto"/>
        <w:bottom w:val="none" w:sz="0" w:space="0" w:color="auto"/>
        <w:right w:val="none" w:sz="0" w:space="0" w:color="auto"/>
      </w:divBdr>
    </w:div>
    <w:div w:id="579872408">
      <w:bodyDiv w:val="1"/>
      <w:marLeft w:val="0"/>
      <w:marRight w:val="0"/>
      <w:marTop w:val="0"/>
      <w:marBottom w:val="0"/>
      <w:divBdr>
        <w:top w:val="none" w:sz="0" w:space="0" w:color="auto"/>
        <w:left w:val="none" w:sz="0" w:space="0" w:color="auto"/>
        <w:bottom w:val="none" w:sz="0" w:space="0" w:color="auto"/>
        <w:right w:val="none" w:sz="0" w:space="0" w:color="auto"/>
      </w:divBdr>
    </w:div>
    <w:div w:id="580413903">
      <w:bodyDiv w:val="1"/>
      <w:marLeft w:val="0"/>
      <w:marRight w:val="0"/>
      <w:marTop w:val="0"/>
      <w:marBottom w:val="0"/>
      <w:divBdr>
        <w:top w:val="none" w:sz="0" w:space="0" w:color="auto"/>
        <w:left w:val="none" w:sz="0" w:space="0" w:color="auto"/>
        <w:bottom w:val="none" w:sz="0" w:space="0" w:color="auto"/>
        <w:right w:val="none" w:sz="0" w:space="0" w:color="auto"/>
      </w:divBdr>
    </w:div>
    <w:div w:id="580485016">
      <w:bodyDiv w:val="1"/>
      <w:marLeft w:val="0"/>
      <w:marRight w:val="0"/>
      <w:marTop w:val="0"/>
      <w:marBottom w:val="0"/>
      <w:divBdr>
        <w:top w:val="none" w:sz="0" w:space="0" w:color="auto"/>
        <w:left w:val="none" w:sz="0" w:space="0" w:color="auto"/>
        <w:bottom w:val="none" w:sz="0" w:space="0" w:color="auto"/>
        <w:right w:val="none" w:sz="0" w:space="0" w:color="auto"/>
      </w:divBdr>
    </w:div>
    <w:div w:id="580678715">
      <w:bodyDiv w:val="1"/>
      <w:marLeft w:val="0"/>
      <w:marRight w:val="0"/>
      <w:marTop w:val="0"/>
      <w:marBottom w:val="0"/>
      <w:divBdr>
        <w:top w:val="none" w:sz="0" w:space="0" w:color="auto"/>
        <w:left w:val="none" w:sz="0" w:space="0" w:color="auto"/>
        <w:bottom w:val="none" w:sz="0" w:space="0" w:color="auto"/>
        <w:right w:val="none" w:sz="0" w:space="0" w:color="auto"/>
      </w:divBdr>
    </w:div>
    <w:div w:id="580722201">
      <w:bodyDiv w:val="1"/>
      <w:marLeft w:val="0"/>
      <w:marRight w:val="0"/>
      <w:marTop w:val="0"/>
      <w:marBottom w:val="0"/>
      <w:divBdr>
        <w:top w:val="none" w:sz="0" w:space="0" w:color="auto"/>
        <w:left w:val="none" w:sz="0" w:space="0" w:color="auto"/>
        <w:bottom w:val="none" w:sz="0" w:space="0" w:color="auto"/>
        <w:right w:val="none" w:sz="0" w:space="0" w:color="auto"/>
      </w:divBdr>
    </w:div>
    <w:div w:id="581455712">
      <w:bodyDiv w:val="1"/>
      <w:marLeft w:val="0"/>
      <w:marRight w:val="0"/>
      <w:marTop w:val="0"/>
      <w:marBottom w:val="0"/>
      <w:divBdr>
        <w:top w:val="none" w:sz="0" w:space="0" w:color="auto"/>
        <w:left w:val="none" w:sz="0" w:space="0" w:color="auto"/>
        <w:bottom w:val="none" w:sz="0" w:space="0" w:color="auto"/>
        <w:right w:val="none" w:sz="0" w:space="0" w:color="auto"/>
      </w:divBdr>
    </w:div>
    <w:div w:id="582182190">
      <w:bodyDiv w:val="1"/>
      <w:marLeft w:val="0"/>
      <w:marRight w:val="0"/>
      <w:marTop w:val="0"/>
      <w:marBottom w:val="0"/>
      <w:divBdr>
        <w:top w:val="none" w:sz="0" w:space="0" w:color="auto"/>
        <w:left w:val="none" w:sz="0" w:space="0" w:color="auto"/>
        <w:bottom w:val="none" w:sz="0" w:space="0" w:color="auto"/>
        <w:right w:val="none" w:sz="0" w:space="0" w:color="auto"/>
      </w:divBdr>
    </w:div>
    <w:div w:id="582376709">
      <w:bodyDiv w:val="1"/>
      <w:marLeft w:val="0"/>
      <w:marRight w:val="0"/>
      <w:marTop w:val="0"/>
      <w:marBottom w:val="0"/>
      <w:divBdr>
        <w:top w:val="none" w:sz="0" w:space="0" w:color="auto"/>
        <w:left w:val="none" w:sz="0" w:space="0" w:color="auto"/>
        <w:bottom w:val="none" w:sz="0" w:space="0" w:color="auto"/>
        <w:right w:val="none" w:sz="0" w:space="0" w:color="auto"/>
      </w:divBdr>
    </w:div>
    <w:div w:id="583339677">
      <w:bodyDiv w:val="1"/>
      <w:marLeft w:val="0"/>
      <w:marRight w:val="0"/>
      <w:marTop w:val="0"/>
      <w:marBottom w:val="0"/>
      <w:divBdr>
        <w:top w:val="none" w:sz="0" w:space="0" w:color="auto"/>
        <w:left w:val="none" w:sz="0" w:space="0" w:color="auto"/>
        <w:bottom w:val="none" w:sz="0" w:space="0" w:color="auto"/>
        <w:right w:val="none" w:sz="0" w:space="0" w:color="auto"/>
      </w:divBdr>
    </w:div>
    <w:div w:id="583414814">
      <w:bodyDiv w:val="1"/>
      <w:marLeft w:val="0"/>
      <w:marRight w:val="0"/>
      <w:marTop w:val="0"/>
      <w:marBottom w:val="0"/>
      <w:divBdr>
        <w:top w:val="none" w:sz="0" w:space="0" w:color="auto"/>
        <w:left w:val="none" w:sz="0" w:space="0" w:color="auto"/>
        <w:bottom w:val="none" w:sz="0" w:space="0" w:color="auto"/>
        <w:right w:val="none" w:sz="0" w:space="0" w:color="auto"/>
      </w:divBdr>
    </w:div>
    <w:div w:id="584146231">
      <w:bodyDiv w:val="1"/>
      <w:marLeft w:val="0"/>
      <w:marRight w:val="0"/>
      <w:marTop w:val="0"/>
      <w:marBottom w:val="0"/>
      <w:divBdr>
        <w:top w:val="none" w:sz="0" w:space="0" w:color="auto"/>
        <w:left w:val="none" w:sz="0" w:space="0" w:color="auto"/>
        <w:bottom w:val="none" w:sz="0" w:space="0" w:color="auto"/>
        <w:right w:val="none" w:sz="0" w:space="0" w:color="auto"/>
      </w:divBdr>
    </w:div>
    <w:div w:id="587079427">
      <w:bodyDiv w:val="1"/>
      <w:marLeft w:val="0"/>
      <w:marRight w:val="0"/>
      <w:marTop w:val="0"/>
      <w:marBottom w:val="0"/>
      <w:divBdr>
        <w:top w:val="none" w:sz="0" w:space="0" w:color="auto"/>
        <w:left w:val="none" w:sz="0" w:space="0" w:color="auto"/>
        <w:bottom w:val="none" w:sz="0" w:space="0" w:color="auto"/>
        <w:right w:val="none" w:sz="0" w:space="0" w:color="auto"/>
      </w:divBdr>
    </w:div>
    <w:div w:id="587614681">
      <w:bodyDiv w:val="1"/>
      <w:marLeft w:val="0"/>
      <w:marRight w:val="0"/>
      <w:marTop w:val="0"/>
      <w:marBottom w:val="0"/>
      <w:divBdr>
        <w:top w:val="none" w:sz="0" w:space="0" w:color="auto"/>
        <w:left w:val="none" w:sz="0" w:space="0" w:color="auto"/>
        <w:bottom w:val="none" w:sz="0" w:space="0" w:color="auto"/>
        <w:right w:val="none" w:sz="0" w:space="0" w:color="auto"/>
      </w:divBdr>
    </w:div>
    <w:div w:id="588462283">
      <w:bodyDiv w:val="1"/>
      <w:marLeft w:val="0"/>
      <w:marRight w:val="0"/>
      <w:marTop w:val="0"/>
      <w:marBottom w:val="0"/>
      <w:divBdr>
        <w:top w:val="none" w:sz="0" w:space="0" w:color="auto"/>
        <w:left w:val="none" w:sz="0" w:space="0" w:color="auto"/>
        <w:bottom w:val="none" w:sz="0" w:space="0" w:color="auto"/>
        <w:right w:val="none" w:sz="0" w:space="0" w:color="auto"/>
      </w:divBdr>
    </w:div>
    <w:div w:id="588539093">
      <w:bodyDiv w:val="1"/>
      <w:marLeft w:val="0"/>
      <w:marRight w:val="0"/>
      <w:marTop w:val="0"/>
      <w:marBottom w:val="0"/>
      <w:divBdr>
        <w:top w:val="none" w:sz="0" w:space="0" w:color="auto"/>
        <w:left w:val="none" w:sz="0" w:space="0" w:color="auto"/>
        <w:bottom w:val="none" w:sz="0" w:space="0" w:color="auto"/>
        <w:right w:val="none" w:sz="0" w:space="0" w:color="auto"/>
      </w:divBdr>
    </w:div>
    <w:div w:id="589898948">
      <w:bodyDiv w:val="1"/>
      <w:marLeft w:val="0"/>
      <w:marRight w:val="0"/>
      <w:marTop w:val="0"/>
      <w:marBottom w:val="0"/>
      <w:divBdr>
        <w:top w:val="none" w:sz="0" w:space="0" w:color="auto"/>
        <w:left w:val="none" w:sz="0" w:space="0" w:color="auto"/>
        <w:bottom w:val="none" w:sz="0" w:space="0" w:color="auto"/>
        <w:right w:val="none" w:sz="0" w:space="0" w:color="auto"/>
      </w:divBdr>
    </w:div>
    <w:div w:id="590436918">
      <w:bodyDiv w:val="1"/>
      <w:marLeft w:val="0"/>
      <w:marRight w:val="0"/>
      <w:marTop w:val="0"/>
      <w:marBottom w:val="0"/>
      <w:divBdr>
        <w:top w:val="none" w:sz="0" w:space="0" w:color="auto"/>
        <w:left w:val="none" w:sz="0" w:space="0" w:color="auto"/>
        <w:bottom w:val="none" w:sz="0" w:space="0" w:color="auto"/>
        <w:right w:val="none" w:sz="0" w:space="0" w:color="auto"/>
      </w:divBdr>
    </w:div>
    <w:div w:id="590504158">
      <w:bodyDiv w:val="1"/>
      <w:marLeft w:val="0"/>
      <w:marRight w:val="0"/>
      <w:marTop w:val="0"/>
      <w:marBottom w:val="0"/>
      <w:divBdr>
        <w:top w:val="none" w:sz="0" w:space="0" w:color="auto"/>
        <w:left w:val="none" w:sz="0" w:space="0" w:color="auto"/>
        <w:bottom w:val="none" w:sz="0" w:space="0" w:color="auto"/>
        <w:right w:val="none" w:sz="0" w:space="0" w:color="auto"/>
      </w:divBdr>
    </w:div>
    <w:div w:id="590624525">
      <w:bodyDiv w:val="1"/>
      <w:marLeft w:val="0"/>
      <w:marRight w:val="0"/>
      <w:marTop w:val="0"/>
      <w:marBottom w:val="0"/>
      <w:divBdr>
        <w:top w:val="none" w:sz="0" w:space="0" w:color="auto"/>
        <w:left w:val="none" w:sz="0" w:space="0" w:color="auto"/>
        <w:bottom w:val="none" w:sz="0" w:space="0" w:color="auto"/>
        <w:right w:val="none" w:sz="0" w:space="0" w:color="auto"/>
      </w:divBdr>
    </w:div>
    <w:div w:id="590699231">
      <w:bodyDiv w:val="1"/>
      <w:marLeft w:val="0"/>
      <w:marRight w:val="0"/>
      <w:marTop w:val="0"/>
      <w:marBottom w:val="0"/>
      <w:divBdr>
        <w:top w:val="none" w:sz="0" w:space="0" w:color="auto"/>
        <w:left w:val="none" w:sz="0" w:space="0" w:color="auto"/>
        <w:bottom w:val="none" w:sz="0" w:space="0" w:color="auto"/>
        <w:right w:val="none" w:sz="0" w:space="0" w:color="auto"/>
      </w:divBdr>
    </w:div>
    <w:div w:id="591205144">
      <w:bodyDiv w:val="1"/>
      <w:marLeft w:val="0"/>
      <w:marRight w:val="0"/>
      <w:marTop w:val="0"/>
      <w:marBottom w:val="0"/>
      <w:divBdr>
        <w:top w:val="none" w:sz="0" w:space="0" w:color="auto"/>
        <w:left w:val="none" w:sz="0" w:space="0" w:color="auto"/>
        <w:bottom w:val="none" w:sz="0" w:space="0" w:color="auto"/>
        <w:right w:val="none" w:sz="0" w:space="0" w:color="auto"/>
      </w:divBdr>
    </w:div>
    <w:div w:id="591402374">
      <w:bodyDiv w:val="1"/>
      <w:marLeft w:val="0"/>
      <w:marRight w:val="0"/>
      <w:marTop w:val="0"/>
      <w:marBottom w:val="0"/>
      <w:divBdr>
        <w:top w:val="none" w:sz="0" w:space="0" w:color="auto"/>
        <w:left w:val="none" w:sz="0" w:space="0" w:color="auto"/>
        <w:bottom w:val="none" w:sz="0" w:space="0" w:color="auto"/>
        <w:right w:val="none" w:sz="0" w:space="0" w:color="auto"/>
      </w:divBdr>
    </w:div>
    <w:div w:id="592857526">
      <w:bodyDiv w:val="1"/>
      <w:marLeft w:val="0"/>
      <w:marRight w:val="0"/>
      <w:marTop w:val="0"/>
      <w:marBottom w:val="0"/>
      <w:divBdr>
        <w:top w:val="none" w:sz="0" w:space="0" w:color="auto"/>
        <w:left w:val="none" w:sz="0" w:space="0" w:color="auto"/>
        <w:bottom w:val="none" w:sz="0" w:space="0" w:color="auto"/>
        <w:right w:val="none" w:sz="0" w:space="0" w:color="auto"/>
      </w:divBdr>
    </w:div>
    <w:div w:id="592979145">
      <w:bodyDiv w:val="1"/>
      <w:marLeft w:val="0"/>
      <w:marRight w:val="0"/>
      <w:marTop w:val="0"/>
      <w:marBottom w:val="0"/>
      <w:divBdr>
        <w:top w:val="none" w:sz="0" w:space="0" w:color="auto"/>
        <w:left w:val="none" w:sz="0" w:space="0" w:color="auto"/>
        <w:bottom w:val="none" w:sz="0" w:space="0" w:color="auto"/>
        <w:right w:val="none" w:sz="0" w:space="0" w:color="auto"/>
      </w:divBdr>
    </w:div>
    <w:div w:id="594289373">
      <w:bodyDiv w:val="1"/>
      <w:marLeft w:val="0"/>
      <w:marRight w:val="0"/>
      <w:marTop w:val="0"/>
      <w:marBottom w:val="0"/>
      <w:divBdr>
        <w:top w:val="none" w:sz="0" w:space="0" w:color="auto"/>
        <w:left w:val="none" w:sz="0" w:space="0" w:color="auto"/>
        <w:bottom w:val="none" w:sz="0" w:space="0" w:color="auto"/>
        <w:right w:val="none" w:sz="0" w:space="0" w:color="auto"/>
      </w:divBdr>
    </w:div>
    <w:div w:id="595401803">
      <w:bodyDiv w:val="1"/>
      <w:marLeft w:val="0"/>
      <w:marRight w:val="0"/>
      <w:marTop w:val="0"/>
      <w:marBottom w:val="0"/>
      <w:divBdr>
        <w:top w:val="none" w:sz="0" w:space="0" w:color="auto"/>
        <w:left w:val="none" w:sz="0" w:space="0" w:color="auto"/>
        <w:bottom w:val="none" w:sz="0" w:space="0" w:color="auto"/>
        <w:right w:val="none" w:sz="0" w:space="0" w:color="auto"/>
      </w:divBdr>
    </w:div>
    <w:div w:id="595793514">
      <w:bodyDiv w:val="1"/>
      <w:marLeft w:val="0"/>
      <w:marRight w:val="0"/>
      <w:marTop w:val="0"/>
      <w:marBottom w:val="0"/>
      <w:divBdr>
        <w:top w:val="none" w:sz="0" w:space="0" w:color="auto"/>
        <w:left w:val="none" w:sz="0" w:space="0" w:color="auto"/>
        <w:bottom w:val="none" w:sz="0" w:space="0" w:color="auto"/>
        <w:right w:val="none" w:sz="0" w:space="0" w:color="auto"/>
      </w:divBdr>
    </w:div>
    <w:div w:id="595796666">
      <w:bodyDiv w:val="1"/>
      <w:marLeft w:val="0"/>
      <w:marRight w:val="0"/>
      <w:marTop w:val="0"/>
      <w:marBottom w:val="0"/>
      <w:divBdr>
        <w:top w:val="none" w:sz="0" w:space="0" w:color="auto"/>
        <w:left w:val="none" w:sz="0" w:space="0" w:color="auto"/>
        <w:bottom w:val="none" w:sz="0" w:space="0" w:color="auto"/>
        <w:right w:val="none" w:sz="0" w:space="0" w:color="auto"/>
      </w:divBdr>
    </w:div>
    <w:div w:id="596334183">
      <w:bodyDiv w:val="1"/>
      <w:marLeft w:val="0"/>
      <w:marRight w:val="0"/>
      <w:marTop w:val="0"/>
      <w:marBottom w:val="0"/>
      <w:divBdr>
        <w:top w:val="none" w:sz="0" w:space="0" w:color="auto"/>
        <w:left w:val="none" w:sz="0" w:space="0" w:color="auto"/>
        <w:bottom w:val="none" w:sz="0" w:space="0" w:color="auto"/>
        <w:right w:val="none" w:sz="0" w:space="0" w:color="auto"/>
      </w:divBdr>
    </w:div>
    <w:div w:id="597326530">
      <w:bodyDiv w:val="1"/>
      <w:marLeft w:val="0"/>
      <w:marRight w:val="0"/>
      <w:marTop w:val="0"/>
      <w:marBottom w:val="0"/>
      <w:divBdr>
        <w:top w:val="none" w:sz="0" w:space="0" w:color="auto"/>
        <w:left w:val="none" w:sz="0" w:space="0" w:color="auto"/>
        <w:bottom w:val="none" w:sz="0" w:space="0" w:color="auto"/>
        <w:right w:val="none" w:sz="0" w:space="0" w:color="auto"/>
      </w:divBdr>
    </w:div>
    <w:div w:id="597565724">
      <w:bodyDiv w:val="1"/>
      <w:marLeft w:val="0"/>
      <w:marRight w:val="0"/>
      <w:marTop w:val="0"/>
      <w:marBottom w:val="0"/>
      <w:divBdr>
        <w:top w:val="none" w:sz="0" w:space="0" w:color="auto"/>
        <w:left w:val="none" w:sz="0" w:space="0" w:color="auto"/>
        <w:bottom w:val="none" w:sz="0" w:space="0" w:color="auto"/>
        <w:right w:val="none" w:sz="0" w:space="0" w:color="auto"/>
      </w:divBdr>
    </w:div>
    <w:div w:id="599725287">
      <w:bodyDiv w:val="1"/>
      <w:marLeft w:val="0"/>
      <w:marRight w:val="0"/>
      <w:marTop w:val="0"/>
      <w:marBottom w:val="0"/>
      <w:divBdr>
        <w:top w:val="none" w:sz="0" w:space="0" w:color="auto"/>
        <w:left w:val="none" w:sz="0" w:space="0" w:color="auto"/>
        <w:bottom w:val="none" w:sz="0" w:space="0" w:color="auto"/>
        <w:right w:val="none" w:sz="0" w:space="0" w:color="auto"/>
      </w:divBdr>
    </w:div>
    <w:div w:id="600989606">
      <w:bodyDiv w:val="1"/>
      <w:marLeft w:val="0"/>
      <w:marRight w:val="0"/>
      <w:marTop w:val="0"/>
      <w:marBottom w:val="0"/>
      <w:divBdr>
        <w:top w:val="none" w:sz="0" w:space="0" w:color="auto"/>
        <w:left w:val="none" w:sz="0" w:space="0" w:color="auto"/>
        <w:bottom w:val="none" w:sz="0" w:space="0" w:color="auto"/>
        <w:right w:val="none" w:sz="0" w:space="0" w:color="auto"/>
      </w:divBdr>
    </w:div>
    <w:div w:id="601300031">
      <w:bodyDiv w:val="1"/>
      <w:marLeft w:val="0"/>
      <w:marRight w:val="0"/>
      <w:marTop w:val="0"/>
      <w:marBottom w:val="0"/>
      <w:divBdr>
        <w:top w:val="none" w:sz="0" w:space="0" w:color="auto"/>
        <w:left w:val="none" w:sz="0" w:space="0" w:color="auto"/>
        <w:bottom w:val="none" w:sz="0" w:space="0" w:color="auto"/>
        <w:right w:val="none" w:sz="0" w:space="0" w:color="auto"/>
      </w:divBdr>
    </w:div>
    <w:div w:id="601492557">
      <w:bodyDiv w:val="1"/>
      <w:marLeft w:val="0"/>
      <w:marRight w:val="0"/>
      <w:marTop w:val="0"/>
      <w:marBottom w:val="0"/>
      <w:divBdr>
        <w:top w:val="none" w:sz="0" w:space="0" w:color="auto"/>
        <w:left w:val="none" w:sz="0" w:space="0" w:color="auto"/>
        <w:bottom w:val="none" w:sz="0" w:space="0" w:color="auto"/>
        <w:right w:val="none" w:sz="0" w:space="0" w:color="auto"/>
      </w:divBdr>
    </w:div>
    <w:div w:id="601962437">
      <w:bodyDiv w:val="1"/>
      <w:marLeft w:val="0"/>
      <w:marRight w:val="0"/>
      <w:marTop w:val="0"/>
      <w:marBottom w:val="0"/>
      <w:divBdr>
        <w:top w:val="none" w:sz="0" w:space="0" w:color="auto"/>
        <w:left w:val="none" w:sz="0" w:space="0" w:color="auto"/>
        <w:bottom w:val="none" w:sz="0" w:space="0" w:color="auto"/>
        <w:right w:val="none" w:sz="0" w:space="0" w:color="auto"/>
      </w:divBdr>
    </w:div>
    <w:div w:id="602961892">
      <w:bodyDiv w:val="1"/>
      <w:marLeft w:val="0"/>
      <w:marRight w:val="0"/>
      <w:marTop w:val="0"/>
      <w:marBottom w:val="0"/>
      <w:divBdr>
        <w:top w:val="none" w:sz="0" w:space="0" w:color="auto"/>
        <w:left w:val="none" w:sz="0" w:space="0" w:color="auto"/>
        <w:bottom w:val="none" w:sz="0" w:space="0" w:color="auto"/>
        <w:right w:val="none" w:sz="0" w:space="0" w:color="auto"/>
      </w:divBdr>
    </w:div>
    <w:div w:id="604117773">
      <w:bodyDiv w:val="1"/>
      <w:marLeft w:val="0"/>
      <w:marRight w:val="0"/>
      <w:marTop w:val="0"/>
      <w:marBottom w:val="0"/>
      <w:divBdr>
        <w:top w:val="none" w:sz="0" w:space="0" w:color="auto"/>
        <w:left w:val="none" w:sz="0" w:space="0" w:color="auto"/>
        <w:bottom w:val="none" w:sz="0" w:space="0" w:color="auto"/>
        <w:right w:val="none" w:sz="0" w:space="0" w:color="auto"/>
      </w:divBdr>
    </w:div>
    <w:div w:id="604773183">
      <w:bodyDiv w:val="1"/>
      <w:marLeft w:val="0"/>
      <w:marRight w:val="0"/>
      <w:marTop w:val="0"/>
      <w:marBottom w:val="0"/>
      <w:divBdr>
        <w:top w:val="none" w:sz="0" w:space="0" w:color="auto"/>
        <w:left w:val="none" w:sz="0" w:space="0" w:color="auto"/>
        <w:bottom w:val="none" w:sz="0" w:space="0" w:color="auto"/>
        <w:right w:val="none" w:sz="0" w:space="0" w:color="auto"/>
      </w:divBdr>
    </w:div>
    <w:div w:id="605773740">
      <w:bodyDiv w:val="1"/>
      <w:marLeft w:val="0"/>
      <w:marRight w:val="0"/>
      <w:marTop w:val="0"/>
      <w:marBottom w:val="0"/>
      <w:divBdr>
        <w:top w:val="none" w:sz="0" w:space="0" w:color="auto"/>
        <w:left w:val="none" w:sz="0" w:space="0" w:color="auto"/>
        <w:bottom w:val="none" w:sz="0" w:space="0" w:color="auto"/>
        <w:right w:val="none" w:sz="0" w:space="0" w:color="auto"/>
      </w:divBdr>
    </w:div>
    <w:div w:id="605890279">
      <w:bodyDiv w:val="1"/>
      <w:marLeft w:val="0"/>
      <w:marRight w:val="0"/>
      <w:marTop w:val="0"/>
      <w:marBottom w:val="0"/>
      <w:divBdr>
        <w:top w:val="none" w:sz="0" w:space="0" w:color="auto"/>
        <w:left w:val="none" w:sz="0" w:space="0" w:color="auto"/>
        <w:bottom w:val="none" w:sz="0" w:space="0" w:color="auto"/>
        <w:right w:val="none" w:sz="0" w:space="0" w:color="auto"/>
      </w:divBdr>
    </w:div>
    <w:div w:id="607077968">
      <w:bodyDiv w:val="1"/>
      <w:marLeft w:val="0"/>
      <w:marRight w:val="0"/>
      <w:marTop w:val="0"/>
      <w:marBottom w:val="0"/>
      <w:divBdr>
        <w:top w:val="none" w:sz="0" w:space="0" w:color="auto"/>
        <w:left w:val="none" w:sz="0" w:space="0" w:color="auto"/>
        <w:bottom w:val="none" w:sz="0" w:space="0" w:color="auto"/>
        <w:right w:val="none" w:sz="0" w:space="0" w:color="auto"/>
      </w:divBdr>
    </w:div>
    <w:div w:id="608708745">
      <w:bodyDiv w:val="1"/>
      <w:marLeft w:val="0"/>
      <w:marRight w:val="0"/>
      <w:marTop w:val="0"/>
      <w:marBottom w:val="0"/>
      <w:divBdr>
        <w:top w:val="none" w:sz="0" w:space="0" w:color="auto"/>
        <w:left w:val="none" w:sz="0" w:space="0" w:color="auto"/>
        <w:bottom w:val="none" w:sz="0" w:space="0" w:color="auto"/>
        <w:right w:val="none" w:sz="0" w:space="0" w:color="auto"/>
      </w:divBdr>
    </w:div>
    <w:div w:id="608852742">
      <w:bodyDiv w:val="1"/>
      <w:marLeft w:val="0"/>
      <w:marRight w:val="0"/>
      <w:marTop w:val="0"/>
      <w:marBottom w:val="0"/>
      <w:divBdr>
        <w:top w:val="none" w:sz="0" w:space="0" w:color="auto"/>
        <w:left w:val="none" w:sz="0" w:space="0" w:color="auto"/>
        <w:bottom w:val="none" w:sz="0" w:space="0" w:color="auto"/>
        <w:right w:val="none" w:sz="0" w:space="0" w:color="auto"/>
      </w:divBdr>
    </w:div>
    <w:div w:id="609358874">
      <w:bodyDiv w:val="1"/>
      <w:marLeft w:val="0"/>
      <w:marRight w:val="0"/>
      <w:marTop w:val="0"/>
      <w:marBottom w:val="0"/>
      <w:divBdr>
        <w:top w:val="none" w:sz="0" w:space="0" w:color="auto"/>
        <w:left w:val="none" w:sz="0" w:space="0" w:color="auto"/>
        <w:bottom w:val="none" w:sz="0" w:space="0" w:color="auto"/>
        <w:right w:val="none" w:sz="0" w:space="0" w:color="auto"/>
      </w:divBdr>
    </w:div>
    <w:div w:id="610236359">
      <w:bodyDiv w:val="1"/>
      <w:marLeft w:val="0"/>
      <w:marRight w:val="0"/>
      <w:marTop w:val="0"/>
      <w:marBottom w:val="0"/>
      <w:divBdr>
        <w:top w:val="none" w:sz="0" w:space="0" w:color="auto"/>
        <w:left w:val="none" w:sz="0" w:space="0" w:color="auto"/>
        <w:bottom w:val="none" w:sz="0" w:space="0" w:color="auto"/>
        <w:right w:val="none" w:sz="0" w:space="0" w:color="auto"/>
      </w:divBdr>
    </w:div>
    <w:div w:id="611523231">
      <w:bodyDiv w:val="1"/>
      <w:marLeft w:val="0"/>
      <w:marRight w:val="0"/>
      <w:marTop w:val="0"/>
      <w:marBottom w:val="0"/>
      <w:divBdr>
        <w:top w:val="none" w:sz="0" w:space="0" w:color="auto"/>
        <w:left w:val="none" w:sz="0" w:space="0" w:color="auto"/>
        <w:bottom w:val="none" w:sz="0" w:space="0" w:color="auto"/>
        <w:right w:val="none" w:sz="0" w:space="0" w:color="auto"/>
      </w:divBdr>
    </w:div>
    <w:div w:id="613370408">
      <w:bodyDiv w:val="1"/>
      <w:marLeft w:val="0"/>
      <w:marRight w:val="0"/>
      <w:marTop w:val="0"/>
      <w:marBottom w:val="0"/>
      <w:divBdr>
        <w:top w:val="none" w:sz="0" w:space="0" w:color="auto"/>
        <w:left w:val="none" w:sz="0" w:space="0" w:color="auto"/>
        <w:bottom w:val="none" w:sz="0" w:space="0" w:color="auto"/>
        <w:right w:val="none" w:sz="0" w:space="0" w:color="auto"/>
      </w:divBdr>
    </w:div>
    <w:div w:id="614407173">
      <w:bodyDiv w:val="1"/>
      <w:marLeft w:val="0"/>
      <w:marRight w:val="0"/>
      <w:marTop w:val="0"/>
      <w:marBottom w:val="0"/>
      <w:divBdr>
        <w:top w:val="none" w:sz="0" w:space="0" w:color="auto"/>
        <w:left w:val="none" w:sz="0" w:space="0" w:color="auto"/>
        <w:bottom w:val="none" w:sz="0" w:space="0" w:color="auto"/>
        <w:right w:val="none" w:sz="0" w:space="0" w:color="auto"/>
      </w:divBdr>
    </w:div>
    <w:div w:id="615067573">
      <w:bodyDiv w:val="1"/>
      <w:marLeft w:val="0"/>
      <w:marRight w:val="0"/>
      <w:marTop w:val="0"/>
      <w:marBottom w:val="0"/>
      <w:divBdr>
        <w:top w:val="none" w:sz="0" w:space="0" w:color="auto"/>
        <w:left w:val="none" w:sz="0" w:space="0" w:color="auto"/>
        <w:bottom w:val="none" w:sz="0" w:space="0" w:color="auto"/>
        <w:right w:val="none" w:sz="0" w:space="0" w:color="auto"/>
      </w:divBdr>
    </w:div>
    <w:div w:id="615720034">
      <w:bodyDiv w:val="1"/>
      <w:marLeft w:val="0"/>
      <w:marRight w:val="0"/>
      <w:marTop w:val="0"/>
      <w:marBottom w:val="0"/>
      <w:divBdr>
        <w:top w:val="none" w:sz="0" w:space="0" w:color="auto"/>
        <w:left w:val="none" w:sz="0" w:space="0" w:color="auto"/>
        <w:bottom w:val="none" w:sz="0" w:space="0" w:color="auto"/>
        <w:right w:val="none" w:sz="0" w:space="0" w:color="auto"/>
      </w:divBdr>
    </w:div>
    <w:div w:id="616644479">
      <w:bodyDiv w:val="1"/>
      <w:marLeft w:val="0"/>
      <w:marRight w:val="0"/>
      <w:marTop w:val="0"/>
      <w:marBottom w:val="0"/>
      <w:divBdr>
        <w:top w:val="none" w:sz="0" w:space="0" w:color="auto"/>
        <w:left w:val="none" w:sz="0" w:space="0" w:color="auto"/>
        <w:bottom w:val="none" w:sz="0" w:space="0" w:color="auto"/>
        <w:right w:val="none" w:sz="0" w:space="0" w:color="auto"/>
      </w:divBdr>
    </w:div>
    <w:div w:id="618151132">
      <w:bodyDiv w:val="1"/>
      <w:marLeft w:val="0"/>
      <w:marRight w:val="0"/>
      <w:marTop w:val="0"/>
      <w:marBottom w:val="0"/>
      <w:divBdr>
        <w:top w:val="none" w:sz="0" w:space="0" w:color="auto"/>
        <w:left w:val="none" w:sz="0" w:space="0" w:color="auto"/>
        <w:bottom w:val="none" w:sz="0" w:space="0" w:color="auto"/>
        <w:right w:val="none" w:sz="0" w:space="0" w:color="auto"/>
      </w:divBdr>
    </w:div>
    <w:div w:id="618491382">
      <w:bodyDiv w:val="1"/>
      <w:marLeft w:val="0"/>
      <w:marRight w:val="0"/>
      <w:marTop w:val="0"/>
      <w:marBottom w:val="0"/>
      <w:divBdr>
        <w:top w:val="none" w:sz="0" w:space="0" w:color="auto"/>
        <w:left w:val="none" w:sz="0" w:space="0" w:color="auto"/>
        <w:bottom w:val="none" w:sz="0" w:space="0" w:color="auto"/>
        <w:right w:val="none" w:sz="0" w:space="0" w:color="auto"/>
      </w:divBdr>
    </w:div>
    <w:div w:id="619410129">
      <w:bodyDiv w:val="1"/>
      <w:marLeft w:val="0"/>
      <w:marRight w:val="0"/>
      <w:marTop w:val="0"/>
      <w:marBottom w:val="0"/>
      <w:divBdr>
        <w:top w:val="none" w:sz="0" w:space="0" w:color="auto"/>
        <w:left w:val="none" w:sz="0" w:space="0" w:color="auto"/>
        <w:bottom w:val="none" w:sz="0" w:space="0" w:color="auto"/>
        <w:right w:val="none" w:sz="0" w:space="0" w:color="auto"/>
      </w:divBdr>
    </w:div>
    <w:div w:id="619845623">
      <w:bodyDiv w:val="1"/>
      <w:marLeft w:val="0"/>
      <w:marRight w:val="0"/>
      <w:marTop w:val="0"/>
      <w:marBottom w:val="0"/>
      <w:divBdr>
        <w:top w:val="none" w:sz="0" w:space="0" w:color="auto"/>
        <w:left w:val="none" w:sz="0" w:space="0" w:color="auto"/>
        <w:bottom w:val="none" w:sz="0" w:space="0" w:color="auto"/>
        <w:right w:val="none" w:sz="0" w:space="0" w:color="auto"/>
      </w:divBdr>
    </w:div>
    <w:div w:id="620187661">
      <w:bodyDiv w:val="1"/>
      <w:marLeft w:val="0"/>
      <w:marRight w:val="0"/>
      <w:marTop w:val="0"/>
      <w:marBottom w:val="0"/>
      <w:divBdr>
        <w:top w:val="none" w:sz="0" w:space="0" w:color="auto"/>
        <w:left w:val="none" w:sz="0" w:space="0" w:color="auto"/>
        <w:bottom w:val="none" w:sz="0" w:space="0" w:color="auto"/>
        <w:right w:val="none" w:sz="0" w:space="0" w:color="auto"/>
      </w:divBdr>
    </w:div>
    <w:div w:id="620650998">
      <w:bodyDiv w:val="1"/>
      <w:marLeft w:val="0"/>
      <w:marRight w:val="0"/>
      <w:marTop w:val="0"/>
      <w:marBottom w:val="0"/>
      <w:divBdr>
        <w:top w:val="none" w:sz="0" w:space="0" w:color="auto"/>
        <w:left w:val="none" w:sz="0" w:space="0" w:color="auto"/>
        <w:bottom w:val="none" w:sz="0" w:space="0" w:color="auto"/>
        <w:right w:val="none" w:sz="0" w:space="0" w:color="auto"/>
      </w:divBdr>
    </w:div>
    <w:div w:id="620843134">
      <w:bodyDiv w:val="1"/>
      <w:marLeft w:val="0"/>
      <w:marRight w:val="0"/>
      <w:marTop w:val="0"/>
      <w:marBottom w:val="0"/>
      <w:divBdr>
        <w:top w:val="none" w:sz="0" w:space="0" w:color="auto"/>
        <w:left w:val="none" w:sz="0" w:space="0" w:color="auto"/>
        <w:bottom w:val="none" w:sz="0" w:space="0" w:color="auto"/>
        <w:right w:val="none" w:sz="0" w:space="0" w:color="auto"/>
      </w:divBdr>
    </w:div>
    <w:div w:id="621158361">
      <w:bodyDiv w:val="1"/>
      <w:marLeft w:val="0"/>
      <w:marRight w:val="0"/>
      <w:marTop w:val="0"/>
      <w:marBottom w:val="0"/>
      <w:divBdr>
        <w:top w:val="none" w:sz="0" w:space="0" w:color="auto"/>
        <w:left w:val="none" w:sz="0" w:space="0" w:color="auto"/>
        <w:bottom w:val="none" w:sz="0" w:space="0" w:color="auto"/>
        <w:right w:val="none" w:sz="0" w:space="0" w:color="auto"/>
      </w:divBdr>
    </w:div>
    <w:div w:id="622662587">
      <w:bodyDiv w:val="1"/>
      <w:marLeft w:val="0"/>
      <w:marRight w:val="0"/>
      <w:marTop w:val="0"/>
      <w:marBottom w:val="0"/>
      <w:divBdr>
        <w:top w:val="none" w:sz="0" w:space="0" w:color="auto"/>
        <w:left w:val="none" w:sz="0" w:space="0" w:color="auto"/>
        <w:bottom w:val="none" w:sz="0" w:space="0" w:color="auto"/>
        <w:right w:val="none" w:sz="0" w:space="0" w:color="auto"/>
      </w:divBdr>
    </w:div>
    <w:div w:id="622736407">
      <w:bodyDiv w:val="1"/>
      <w:marLeft w:val="0"/>
      <w:marRight w:val="0"/>
      <w:marTop w:val="0"/>
      <w:marBottom w:val="0"/>
      <w:divBdr>
        <w:top w:val="none" w:sz="0" w:space="0" w:color="auto"/>
        <w:left w:val="none" w:sz="0" w:space="0" w:color="auto"/>
        <w:bottom w:val="none" w:sz="0" w:space="0" w:color="auto"/>
        <w:right w:val="none" w:sz="0" w:space="0" w:color="auto"/>
      </w:divBdr>
    </w:div>
    <w:div w:id="623580009">
      <w:bodyDiv w:val="1"/>
      <w:marLeft w:val="0"/>
      <w:marRight w:val="0"/>
      <w:marTop w:val="0"/>
      <w:marBottom w:val="0"/>
      <w:divBdr>
        <w:top w:val="none" w:sz="0" w:space="0" w:color="auto"/>
        <w:left w:val="none" w:sz="0" w:space="0" w:color="auto"/>
        <w:bottom w:val="none" w:sz="0" w:space="0" w:color="auto"/>
        <w:right w:val="none" w:sz="0" w:space="0" w:color="auto"/>
      </w:divBdr>
    </w:div>
    <w:div w:id="623736060">
      <w:bodyDiv w:val="1"/>
      <w:marLeft w:val="0"/>
      <w:marRight w:val="0"/>
      <w:marTop w:val="0"/>
      <w:marBottom w:val="0"/>
      <w:divBdr>
        <w:top w:val="none" w:sz="0" w:space="0" w:color="auto"/>
        <w:left w:val="none" w:sz="0" w:space="0" w:color="auto"/>
        <w:bottom w:val="none" w:sz="0" w:space="0" w:color="auto"/>
        <w:right w:val="none" w:sz="0" w:space="0" w:color="auto"/>
      </w:divBdr>
    </w:div>
    <w:div w:id="623971621">
      <w:bodyDiv w:val="1"/>
      <w:marLeft w:val="0"/>
      <w:marRight w:val="0"/>
      <w:marTop w:val="0"/>
      <w:marBottom w:val="0"/>
      <w:divBdr>
        <w:top w:val="none" w:sz="0" w:space="0" w:color="auto"/>
        <w:left w:val="none" w:sz="0" w:space="0" w:color="auto"/>
        <w:bottom w:val="none" w:sz="0" w:space="0" w:color="auto"/>
        <w:right w:val="none" w:sz="0" w:space="0" w:color="auto"/>
      </w:divBdr>
    </w:div>
    <w:div w:id="626860524">
      <w:bodyDiv w:val="1"/>
      <w:marLeft w:val="0"/>
      <w:marRight w:val="0"/>
      <w:marTop w:val="0"/>
      <w:marBottom w:val="0"/>
      <w:divBdr>
        <w:top w:val="none" w:sz="0" w:space="0" w:color="auto"/>
        <w:left w:val="none" w:sz="0" w:space="0" w:color="auto"/>
        <w:bottom w:val="none" w:sz="0" w:space="0" w:color="auto"/>
        <w:right w:val="none" w:sz="0" w:space="0" w:color="auto"/>
      </w:divBdr>
    </w:div>
    <w:div w:id="627784400">
      <w:bodyDiv w:val="1"/>
      <w:marLeft w:val="0"/>
      <w:marRight w:val="0"/>
      <w:marTop w:val="0"/>
      <w:marBottom w:val="0"/>
      <w:divBdr>
        <w:top w:val="none" w:sz="0" w:space="0" w:color="auto"/>
        <w:left w:val="none" w:sz="0" w:space="0" w:color="auto"/>
        <w:bottom w:val="none" w:sz="0" w:space="0" w:color="auto"/>
        <w:right w:val="none" w:sz="0" w:space="0" w:color="auto"/>
      </w:divBdr>
    </w:div>
    <w:div w:id="628169994">
      <w:bodyDiv w:val="1"/>
      <w:marLeft w:val="0"/>
      <w:marRight w:val="0"/>
      <w:marTop w:val="0"/>
      <w:marBottom w:val="0"/>
      <w:divBdr>
        <w:top w:val="none" w:sz="0" w:space="0" w:color="auto"/>
        <w:left w:val="none" w:sz="0" w:space="0" w:color="auto"/>
        <w:bottom w:val="none" w:sz="0" w:space="0" w:color="auto"/>
        <w:right w:val="none" w:sz="0" w:space="0" w:color="auto"/>
      </w:divBdr>
    </w:div>
    <w:div w:id="628243790">
      <w:bodyDiv w:val="1"/>
      <w:marLeft w:val="0"/>
      <w:marRight w:val="0"/>
      <w:marTop w:val="0"/>
      <w:marBottom w:val="0"/>
      <w:divBdr>
        <w:top w:val="none" w:sz="0" w:space="0" w:color="auto"/>
        <w:left w:val="none" w:sz="0" w:space="0" w:color="auto"/>
        <w:bottom w:val="none" w:sz="0" w:space="0" w:color="auto"/>
        <w:right w:val="none" w:sz="0" w:space="0" w:color="auto"/>
      </w:divBdr>
    </w:div>
    <w:div w:id="628390926">
      <w:bodyDiv w:val="1"/>
      <w:marLeft w:val="0"/>
      <w:marRight w:val="0"/>
      <w:marTop w:val="0"/>
      <w:marBottom w:val="0"/>
      <w:divBdr>
        <w:top w:val="none" w:sz="0" w:space="0" w:color="auto"/>
        <w:left w:val="none" w:sz="0" w:space="0" w:color="auto"/>
        <w:bottom w:val="none" w:sz="0" w:space="0" w:color="auto"/>
        <w:right w:val="none" w:sz="0" w:space="0" w:color="auto"/>
      </w:divBdr>
    </w:div>
    <w:div w:id="628627221">
      <w:bodyDiv w:val="1"/>
      <w:marLeft w:val="0"/>
      <w:marRight w:val="0"/>
      <w:marTop w:val="0"/>
      <w:marBottom w:val="0"/>
      <w:divBdr>
        <w:top w:val="none" w:sz="0" w:space="0" w:color="auto"/>
        <w:left w:val="none" w:sz="0" w:space="0" w:color="auto"/>
        <w:bottom w:val="none" w:sz="0" w:space="0" w:color="auto"/>
        <w:right w:val="none" w:sz="0" w:space="0" w:color="auto"/>
      </w:divBdr>
    </w:div>
    <w:div w:id="629670179">
      <w:bodyDiv w:val="1"/>
      <w:marLeft w:val="0"/>
      <w:marRight w:val="0"/>
      <w:marTop w:val="0"/>
      <w:marBottom w:val="0"/>
      <w:divBdr>
        <w:top w:val="none" w:sz="0" w:space="0" w:color="auto"/>
        <w:left w:val="none" w:sz="0" w:space="0" w:color="auto"/>
        <w:bottom w:val="none" w:sz="0" w:space="0" w:color="auto"/>
        <w:right w:val="none" w:sz="0" w:space="0" w:color="auto"/>
      </w:divBdr>
    </w:div>
    <w:div w:id="630356568">
      <w:bodyDiv w:val="1"/>
      <w:marLeft w:val="0"/>
      <w:marRight w:val="0"/>
      <w:marTop w:val="0"/>
      <w:marBottom w:val="0"/>
      <w:divBdr>
        <w:top w:val="none" w:sz="0" w:space="0" w:color="auto"/>
        <w:left w:val="none" w:sz="0" w:space="0" w:color="auto"/>
        <w:bottom w:val="none" w:sz="0" w:space="0" w:color="auto"/>
        <w:right w:val="none" w:sz="0" w:space="0" w:color="auto"/>
      </w:divBdr>
    </w:div>
    <w:div w:id="630595844">
      <w:bodyDiv w:val="1"/>
      <w:marLeft w:val="0"/>
      <w:marRight w:val="0"/>
      <w:marTop w:val="0"/>
      <w:marBottom w:val="0"/>
      <w:divBdr>
        <w:top w:val="none" w:sz="0" w:space="0" w:color="auto"/>
        <w:left w:val="none" w:sz="0" w:space="0" w:color="auto"/>
        <w:bottom w:val="none" w:sz="0" w:space="0" w:color="auto"/>
        <w:right w:val="none" w:sz="0" w:space="0" w:color="auto"/>
      </w:divBdr>
    </w:div>
    <w:div w:id="630668875">
      <w:bodyDiv w:val="1"/>
      <w:marLeft w:val="0"/>
      <w:marRight w:val="0"/>
      <w:marTop w:val="0"/>
      <w:marBottom w:val="0"/>
      <w:divBdr>
        <w:top w:val="none" w:sz="0" w:space="0" w:color="auto"/>
        <w:left w:val="none" w:sz="0" w:space="0" w:color="auto"/>
        <w:bottom w:val="none" w:sz="0" w:space="0" w:color="auto"/>
        <w:right w:val="none" w:sz="0" w:space="0" w:color="auto"/>
      </w:divBdr>
    </w:div>
    <w:div w:id="630677070">
      <w:bodyDiv w:val="1"/>
      <w:marLeft w:val="0"/>
      <w:marRight w:val="0"/>
      <w:marTop w:val="0"/>
      <w:marBottom w:val="0"/>
      <w:divBdr>
        <w:top w:val="none" w:sz="0" w:space="0" w:color="auto"/>
        <w:left w:val="none" w:sz="0" w:space="0" w:color="auto"/>
        <w:bottom w:val="none" w:sz="0" w:space="0" w:color="auto"/>
        <w:right w:val="none" w:sz="0" w:space="0" w:color="auto"/>
      </w:divBdr>
    </w:div>
    <w:div w:id="631255921">
      <w:bodyDiv w:val="1"/>
      <w:marLeft w:val="0"/>
      <w:marRight w:val="0"/>
      <w:marTop w:val="0"/>
      <w:marBottom w:val="0"/>
      <w:divBdr>
        <w:top w:val="none" w:sz="0" w:space="0" w:color="auto"/>
        <w:left w:val="none" w:sz="0" w:space="0" w:color="auto"/>
        <w:bottom w:val="none" w:sz="0" w:space="0" w:color="auto"/>
        <w:right w:val="none" w:sz="0" w:space="0" w:color="auto"/>
      </w:divBdr>
    </w:div>
    <w:div w:id="631638655">
      <w:bodyDiv w:val="1"/>
      <w:marLeft w:val="0"/>
      <w:marRight w:val="0"/>
      <w:marTop w:val="0"/>
      <w:marBottom w:val="0"/>
      <w:divBdr>
        <w:top w:val="none" w:sz="0" w:space="0" w:color="auto"/>
        <w:left w:val="none" w:sz="0" w:space="0" w:color="auto"/>
        <w:bottom w:val="none" w:sz="0" w:space="0" w:color="auto"/>
        <w:right w:val="none" w:sz="0" w:space="0" w:color="auto"/>
      </w:divBdr>
    </w:div>
    <w:div w:id="631712391">
      <w:bodyDiv w:val="1"/>
      <w:marLeft w:val="0"/>
      <w:marRight w:val="0"/>
      <w:marTop w:val="0"/>
      <w:marBottom w:val="0"/>
      <w:divBdr>
        <w:top w:val="none" w:sz="0" w:space="0" w:color="auto"/>
        <w:left w:val="none" w:sz="0" w:space="0" w:color="auto"/>
        <w:bottom w:val="none" w:sz="0" w:space="0" w:color="auto"/>
        <w:right w:val="none" w:sz="0" w:space="0" w:color="auto"/>
      </w:divBdr>
    </w:div>
    <w:div w:id="631793728">
      <w:bodyDiv w:val="1"/>
      <w:marLeft w:val="0"/>
      <w:marRight w:val="0"/>
      <w:marTop w:val="0"/>
      <w:marBottom w:val="0"/>
      <w:divBdr>
        <w:top w:val="none" w:sz="0" w:space="0" w:color="auto"/>
        <w:left w:val="none" w:sz="0" w:space="0" w:color="auto"/>
        <w:bottom w:val="none" w:sz="0" w:space="0" w:color="auto"/>
        <w:right w:val="none" w:sz="0" w:space="0" w:color="auto"/>
      </w:divBdr>
    </w:div>
    <w:div w:id="633948126">
      <w:bodyDiv w:val="1"/>
      <w:marLeft w:val="0"/>
      <w:marRight w:val="0"/>
      <w:marTop w:val="0"/>
      <w:marBottom w:val="0"/>
      <w:divBdr>
        <w:top w:val="none" w:sz="0" w:space="0" w:color="auto"/>
        <w:left w:val="none" w:sz="0" w:space="0" w:color="auto"/>
        <w:bottom w:val="none" w:sz="0" w:space="0" w:color="auto"/>
        <w:right w:val="none" w:sz="0" w:space="0" w:color="auto"/>
      </w:divBdr>
    </w:div>
    <w:div w:id="635530119">
      <w:bodyDiv w:val="1"/>
      <w:marLeft w:val="0"/>
      <w:marRight w:val="0"/>
      <w:marTop w:val="0"/>
      <w:marBottom w:val="0"/>
      <w:divBdr>
        <w:top w:val="none" w:sz="0" w:space="0" w:color="auto"/>
        <w:left w:val="none" w:sz="0" w:space="0" w:color="auto"/>
        <w:bottom w:val="none" w:sz="0" w:space="0" w:color="auto"/>
        <w:right w:val="none" w:sz="0" w:space="0" w:color="auto"/>
      </w:divBdr>
    </w:div>
    <w:div w:id="636451083">
      <w:bodyDiv w:val="1"/>
      <w:marLeft w:val="0"/>
      <w:marRight w:val="0"/>
      <w:marTop w:val="0"/>
      <w:marBottom w:val="0"/>
      <w:divBdr>
        <w:top w:val="none" w:sz="0" w:space="0" w:color="auto"/>
        <w:left w:val="none" w:sz="0" w:space="0" w:color="auto"/>
        <w:bottom w:val="none" w:sz="0" w:space="0" w:color="auto"/>
        <w:right w:val="none" w:sz="0" w:space="0" w:color="auto"/>
      </w:divBdr>
    </w:div>
    <w:div w:id="637222160">
      <w:bodyDiv w:val="1"/>
      <w:marLeft w:val="0"/>
      <w:marRight w:val="0"/>
      <w:marTop w:val="0"/>
      <w:marBottom w:val="0"/>
      <w:divBdr>
        <w:top w:val="none" w:sz="0" w:space="0" w:color="auto"/>
        <w:left w:val="none" w:sz="0" w:space="0" w:color="auto"/>
        <w:bottom w:val="none" w:sz="0" w:space="0" w:color="auto"/>
        <w:right w:val="none" w:sz="0" w:space="0" w:color="auto"/>
      </w:divBdr>
    </w:div>
    <w:div w:id="637536789">
      <w:bodyDiv w:val="1"/>
      <w:marLeft w:val="0"/>
      <w:marRight w:val="0"/>
      <w:marTop w:val="0"/>
      <w:marBottom w:val="0"/>
      <w:divBdr>
        <w:top w:val="none" w:sz="0" w:space="0" w:color="auto"/>
        <w:left w:val="none" w:sz="0" w:space="0" w:color="auto"/>
        <w:bottom w:val="none" w:sz="0" w:space="0" w:color="auto"/>
        <w:right w:val="none" w:sz="0" w:space="0" w:color="auto"/>
      </w:divBdr>
    </w:div>
    <w:div w:id="638537904">
      <w:bodyDiv w:val="1"/>
      <w:marLeft w:val="0"/>
      <w:marRight w:val="0"/>
      <w:marTop w:val="0"/>
      <w:marBottom w:val="0"/>
      <w:divBdr>
        <w:top w:val="none" w:sz="0" w:space="0" w:color="auto"/>
        <w:left w:val="none" w:sz="0" w:space="0" w:color="auto"/>
        <w:bottom w:val="none" w:sz="0" w:space="0" w:color="auto"/>
        <w:right w:val="none" w:sz="0" w:space="0" w:color="auto"/>
      </w:divBdr>
    </w:div>
    <w:div w:id="638610067">
      <w:bodyDiv w:val="1"/>
      <w:marLeft w:val="0"/>
      <w:marRight w:val="0"/>
      <w:marTop w:val="0"/>
      <w:marBottom w:val="0"/>
      <w:divBdr>
        <w:top w:val="none" w:sz="0" w:space="0" w:color="auto"/>
        <w:left w:val="none" w:sz="0" w:space="0" w:color="auto"/>
        <w:bottom w:val="none" w:sz="0" w:space="0" w:color="auto"/>
        <w:right w:val="none" w:sz="0" w:space="0" w:color="auto"/>
      </w:divBdr>
    </w:div>
    <w:div w:id="638876446">
      <w:bodyDiv w:val="1"/>
      <w:marLeft w:val="0"/>
      <w:marRight w:val="0"/>
      <w:marTop w:val="0"/>
      <w:marBottom w:val="0"/>
      <w:divBdr>
        <w:top w:val="none" w:sz="0" w:space="0" w:color="auto"/>
        <w:left w:val="none" w:sz="0" w:space="0" w:color="auto"/>
        <w:bottom w:val="none" w:sz="0" w:space="0" w:color="auto"/>
        <w:right w:val="none" w:sz="0" w:space="0" w:color="auto"/>
      </w:divBdr>
    </w:div>
    <w:div w:id="639074045">
      <w:bodyDiv w:val="1"/>
      <w:marLeft w:val="0"/>
      <w:marRight w:val="0"/>
      <w:marTop w:val="0"/>
      <w:marBottom w:val="0"/>
      <w:divBdr>
        <w:top w:val="none" w:sz="0" w:space="0" w:color="auto"/>
        <w:left w:val="none" w:sz="0" w:space="0" w:color="auto"/>
        <w:bottom w:val="none" w:sz="0" w:space="0" w:color="auto"/>
        <w:right w:val="none" w:sz="0" w:space="0" w:color="auto"/>
      </w:divBdr>
    </w:div>
    <w:div w:id="639309252">
      <w:bodyDiv w:val="1"/>
      <w:marLeft w:val="0"/>
      <w:marRight w:val="0"/>
      <w:marTop w:val="0"/>
      <w:marBottom w:val="0"/>
      <w:divBdr>
        <w:top w:val="none" w:sz="0" w:space="0" w:color="auto"/>
        <w:left w:val="none" w:sz="0" w:space="0" w:color="auto"/>
        <w:bottom w:val="none" w:sz="0" w:space="0" w:color="auto"/>
        <w:right w:val="none" w:sz="0" w:space="0" w:color="auto"/>
      </w:divBdr>
    </w:div>
    <w:div w:id="640425554">
      <w:bodyDiv w:val="1"/>
      <w:marLeft w:val="0"/>
      <w:marRight w:val="0"/>
      <w:marTop w:val="0"/>
      <w:marBottom w:val="0"/>
      <w:divBdr>
        <w:top w:val="none" w:sz="0" w:space="0" w:color="auto"/>
        <w:left w:val="none" w:sz="0" w:space="0" w:color="auto"/>
        <w:bottom w:val="none" w:sz="0" w:space="0" w:color="auto"/>
        <w:right w:val="none" w:sz="0" w:space="0" w:color="auto"/>
      </w:divBdr>
    </w:div>
    <w:div w:id="641497132">
      <w:bodyDiv w:val="1"/>
      <w:marLeft w:val="0"/>
      <w:marRight w:val="0"/>
      <w:marTop w:val="0"/>
      <w:marBottom w:val="0"/>
      <w:divBdr>
        <w:top w:val="none" w:sz="0" w:space="0" w:color="auto"/>
        <w:left w:val="none" w:sz="0" w:space="0" w:color="auto"/>
        <w:bottom w:val="none" w:sz="0" w:space="0" w:color="auto"/>
        <w:right w:val="none" w:sz="0" w:space="0" w:color="auto"/>
      </w:divBdr>
    </w:div>
    <w:div w:id="641623176">
      <w:bodyDiv w:val="1"/>
      <w:marLeft w:val="0"/>
      <w:marRight w:val="0"/>
      <w:marTop w:val="0"/>
      <w:marBottom w:val="0"/>
      <w:divBdr>
        <w:top w:val="none" w:sz="0" w:space="0" w:color="auto"/>
        <w:left w:val="none" w:sz="0" w:space="0" w:color="auto"/>
        <w:bottom w:val="none" w:sz="0" w:space="0" w:color="auto"/>
        <w:right w:val="none" w:sz="0" w:space="0" w:color="auto"/>
      </w:divBdr>
    </w:div>
    <w:div w:id="642075666">
      <w:bodyDiv w:val="1"/>
      <w:marLeft w:val="0"/>
      <w:marRight w:val="0"/>
      <w:marTop w:val="0"/>
      <w:marBottom w:val="0"/>
      <w:divBdr>
        <w:top w:val="none" w:sz="0" w:space="0" w:color="auto"/>
        <w:left w:val="none" w:sz="0" w:space="0" w:color="auto"/>
        <w:bottom w:val="none" w:sz="0" w:space="0" w:color="auto"/>
        <w:right w:val="none" w:sz="0" w:space="0" w:color="auto"/>
      </w:divBdr>
    </w:div>
    <w:div w:id="642545890">
      <w:bodyDiv w:val="1"/>
      <w:marLeft w:val="0"/>
      <w:marRight w:val="0"/>
      <w:marTop w:val="0"/>
      <w:marBottom w:val="0"/>
      <w:divBdr>
        <w:top w:val="none" w:sz="0" w:space="0" w:color="auto"/>
        <w:left w:val="none" w:sz="0" w:space="0" w:color="auto"/>
        <w:bottom w:val="none" w:sz="0" w:space="0" w:color="auto"/>
        <w:right w:val="none" w:sz="0" w:space="0" w:color="auto"/>
      </w:divBdr>
    </w:div>
    <w:div w:id="642736209">
      <w:bodyDiv w:val="1"/>
      <w:marLeft w:val="0"/>
      <w:marRight w:val="0"/>
      <w:marTop w:val="0"/>
      <w:marBottom w:val="0"/>
      <w:divBdr>
        <w:top w:val="none" w:sz="0" w:space="0" w:color="auto"/>
        <w:left w:val="none" w:sz="0" w:space="0" w:color="auto"/>
        <w:bottom w:val="none" w:sz="0" w:space="0" w:color="auto"/>
        <w:right w:val="none" w:sz="0" w:space="0" w:color="auto"/>
      </w:divBdr>
    </w:div>
    <w:div w:id="642739828">
      <w:bodyDiv w:val="1"/>
      <w:marLeft w:val="0"/>
      <w:marRight w:val="0"/>
      <w:marTop w:val="0"/>
      <w:marBottom w:val="0"/>
      <w:divBdr>
        <w:top w:val="none" w:sz="0" w:space="0" w:color="auto"/>
        <w:left w:val="none" w:sz="0" w:space="0" w:color="auto"/>
        <w:bottom w:val="none" w:sz="0" w:space="0" w:color="auto"/>
        <w:right w:val="none" w:sz="0" w:space="0" w:color="auto"/>
      </w:divBdr>
    </w:div>
    <w:div w:id="642999544">
      <w:bodyDiv w:val="1"/>
      <w:marLeft w:val="0"/>
      <w:marRight w:val="0"/>
      <w:marTop w:val="0"/>
      <w:marBottom w:val="0"/>
      <w:divBdr>
        <w:top w:val="none" w:sz="0" w:space="0" w:color="auto"/>
        <w:left w:val="none" w:sz="0" w:space="0" w:color="auto"/>
        <w:bottom w:val="none" w:sz="0" w:space="0" w:color="auto"/>
        <w:right w:val="none" w:sz="0" w:space="0" w:color="auto"/>
      </w:divBdr>
    </w:div>
    <w:div w:id="643389987">
      <w:bodyDiv w:val="1"/>
      <w:marLeft w:val="0"/>
      <w:marRight w:val="0"/>
      <w:marTop w:val="0"/>
      <w:marBottom w:val="0"/>
      <w:divBdr>
        <w:top w:val="none" w:sz="0" w:space="0" w:color="auto"/>
        <w:left w:val="none" w:sz="0" w:space="0" w:color="auto"/>
        <w:bottom w:val="none" w:sz="0" w:space="0" w:color="auto"/>
        <w:right w:val="none" w:sz="0" w:space="0" w:color="auto"/>
      </w:divBdr>
    </w:div>
    <w:div w:id="643506746">
      <w:bodyDiv w:val="1"/>
      <w:marLeft w:val="0"/>
      <w:marRight w:val="0"/>
      <w:marTop w:val="0"/>
      <w:marBottom w:val="0"/>
      <w:divBdr>
        <w:top w:val="none" w:sz="0" w:space="0" w:color="auto"/>
        <w:left w:val="none" w:sz="0" w:space="0" w:color="auto"/>
        <w:bottom w:val="none" w:sz="0" w:space="0" w:color="auto"/>
        <w:right w:val="none" w:sz="0" w:space="0" w:color="auto"/>
      </w:divBdr>
    </w:div>
    <w:div w:id="644354674">
      <w:bodyDiv w:val="1"/>
      <w:marLeft w:val="0"/>
      <w:marRight w:val="0"/>
      <w:marTop w:val="0"/>
      <w:marBottom w:val="0"/>
      <w:divBdr>
        <w:top w:val="none" w:sz="0" w:space="0" w:color="auto"/>
        <w:left w:val="none" w:sz="0" w:space="0" w:color="auto"/>
        <w:bottom w:val="none" w:sz="0" w:space="0" w:color="auto"/>
        <w:right w:val="none" w:sz="0" w:space="0" w:color="auto"/>
      </w:divBdr>
    </w:div>
    <w:div w:id="646251212">
      <w:bodyDiv w:val="1"/>
      <w:marLeft w:val="0"/>
      <w:marRight w:val="0"/>
      <w:marTop w:val="0"/>
      <w:marBottom w:val="0"/>
      <w:divBdr>
        <w:top w:val="none" w:sz="0" w:space="0" w:color="auto"/>
        <w:left w:val="none" w:sz="0" w:space="0" w:color="auto"/>
        <w:bottom w:val="none" w:sz="0" w:space="0" w:color="auto"/>
        <w:right w:val="none" w:sz="0" w:space="0" w:color="auto"/>
      </w:divBdr>
    </w:div>
    <w:div w:id="647173277">
      <w:bodyDiv w:val="1"/>
      <w:marLeft w:val="0"/>
      <w:marRight w:val="0"/>
      <w:marTop w:val="0"/>
      <w:marBottom w:val="0"/>
      <w:divBdr>
        <w:top w:val="none" w:sz="0" w:space="0" w:color="auto"/>
        <w:left w:val="none" w:sz="0" w:space="0" w:color="auto"/>
        <w:bottom w:val="none" w:sz="0" w:space="0" w:color="auto"/>
        <w:right w:val="none" w:sz="0" w:space="0" w:color="auto"/>
      </w:divBdr>
    </w:div>
    <w:div w:id="647512008">
      <w:bodyDiv w:val="1"/>
      <w:marLeft w:val="0"/>
      <w:marRight w:val="0"/>
      <w:marTop w:val="0"/>
      <w:marBottom w:val="0"/>
      <w:divBdr>
        <w:top w:val="none" w:sz="0" w:space="0" w:color="auto"/>
        <w:left w:val="none" w:sz="0" w:space="0" w:color="auto"/>
        <w:bottom w:val="none" w:sz="0" w:space="0" w:color="auto"/>
        <w:right w:val="none" w:sz="0" w:space="0" w:color="auto"/>
      </w:divBdr>
    </w:div>
    <w:div w:id="648440096">
      <w:bodyDiv w:val="1"/>
      <w:marLeft w:val="0"/>
      <w:marRight w:val="0"/>
      <w:marTop w:val="0"/>
      <w:marBottom w:val="0"/>
      <w:divBdr>
        <w:top w:val="none" w:sz="0" w:space="0" w:color="auto"/>
        <w:left w:val="none" w:sz="0" w:space="0" w:color="auto"/>
        <w:bottom w:val="none" w:sz="0" w:space="0" w:color="auto"/>
        <w:right w:val="none" w:sz="0" w:space="0" w:color="auto"/>
      </w:divBdr>
    </w:div>
    <w:div w:id="648635791">
      <w:bodyDiv w:val="1"/>
      <w:marLeft w:val="0"/>
      <w:marRight w:val="0"/>
      <w:marTop w:val="0"/>
      <w:marBottom w:val="0"/>
      <w:divBdr>
        <w:top w:val="none" w:sz="0" w:space="0" w:color="auto"/>
        <w:left w:val="none" w:sz="0" w:space="0" w:color="auto"/>
        <w:bottom w:val="none" w:sz="0" w:space="0" w:color="auto"/>
        <w:right w:val="none" w:sz="0" w:space="0" w:color="auto"/>
      </w:divBdr>
    </w:div>
    <w:div w:id="648871953">
      <w:bodyDiv w:val="1"/>
      <w:marLeft w:val="0"/>
      <w:marRight w:val="0"/>
      <w:marTop w:val="0"/>
      <w:marBottom w:val="0"/>
      <w:divBdr>
        <w:top w:val="none" w:sz="0" w:space="0" w:color="auto"/>
        <w:left w:val="none" w:sz="0" w:space="0" w:color="auto"/>
        <w:bottom w:val="none" w:sz="0" w:space="0" w:color="auto"/>
        <w:right w:val="none" w:sz="0" w:space="0" w:color="auto"/>
      </w:divBdr>
    </w:div>
    <w:div w:id="649099755">
      <w:bodyDiv w:val="1"/>
      <w:marLeft w:val="0"/>
      <w:marRight w:val="0"/>
      <w:marTop w:val="0"/>
      <w:marBottom w:val="0"/>
      <w:divBdr>
        <w:top w:val="none" w:sz="0" w:space="0" w:color="auto"/>
        <w:left w:val="none" w:sz="0" w:space="0" w:color="auto"/>
        <w:bottom w:val="none" w:sz="0" w:space="0" w:color="auto"/>
        <w:right w:val="none" w:sz="0" w:space="0" w:color="auto"/>
      </w:divBdr>
    </w:div>
    <w:div w:id="649166450">
      <w:bodyDiv w:val="1"/>
      <w:marLeft w:val="0"/>
      <w:marRight w:val="0"/>
      <w:marTop w:val="0"/>
      <w:marBottom w:val="0"/>
      <w:divBdr>
        <w:top w:val="none" w:sz="0" w:space="0" w:color="auto"/>
        <w:left w:val="none" w:sz="0" w:space="0" w:color="auto"/>
        <w:bottom w:val="none" w:sz="0" w:space="0" w:color="auto"/>
        <w:right w:val="none" w:sz="0" w:space="0" w:color="auto"/>
      </w:divBdr>
    </w:div>
    <w:div w:id="650252681">
      <w:bodyDiv w:val="1"/>
      <w:marLeft w:val="0"/>
      <w:marRight w:val="0"/>
      <w:marTop w:val="0"/>
      <w:marBottom w:val="0"/>
      <w:divBdr>
        <w:top w:val="none" w:sz="0" w:space="0" w:color="auto"/>
        <w:left w:val="none" w:sz="0" w:space="0" w:color="auto"/>
        <w:bottom w:val="none" w:sz="0" w:space="0" w:color="auto"/>
        <w:right w:val="none" w:sz="0" w:space="0" w:color="auto"/>
      </w:divBdr>
    </w:div>
    <w:div w:id="651712291">
      <w:bodyDiv w:val="1"/>
      <w:marLeft w:val="0"/>
      <w:marRight w:val="0"/>
      <w:marTop w:val="0"/>
      <w:marBottom w:val="0"/>
      <w:divBdr>
        <w:top w:val="none" w:sz="0" w:space="0" w:color="auto"/>
        <w:left w:val="none" w:sz="0" w:space="0" w:color="auto"/>
        <w:bottom w:val="none" w:sz="0" w:space="0" w:color="auto"/>
        <w:right w:val="none" w:sz="0" w:space="0" w:color="auto"/>
      </w:divBdr>
    </w:div>
    <w:div w:id="651714120">
      <w:bodyDiv w:val="1"/>
      <w:marLeft w:val="0"/>
      <w:marRight w:val="0"/>
      <w:marTop w:val="0"/>
      <w:marBottom w:val="0"/>
      <w:divBdr>
        <w:top w:val="none" w:sz="0" w:space="0" w:color="auto"/>
        <w:left w:val="none" w:sz="0" w:space="0" w:color="auto"/>
        <w:bottom w:val="none" w:sz="0" w:space="0" w:color="auto"/>
        <w:right w:val="none" w:sz="0" w:space="0" w:color="auto"/>
      </w:divBdr>
    </w:div>
    <w:div w:id="651835902">
      <w:bodyDiv w:val="1"/>
      <w:marLeft w:val="0"/>
      <w:marRight w:val="0"/>
      <w:marTop w:val="0"/>
      <w:marBottom w:val="0"/>
      <w:divBdr>
        <w:top w:val="none" w:sz="0" w:space="0" w:color="auto"/>
        <w:left w:val="none" w:sz="0" w:space="0" w:color="auto"/>
        <w:bottom w:val="none" w:sz="0" w:space="0" w:color="auto"/>
        <w:right w:val="none" w:sz="0" w:space="0" w:color="auto"/>
      </w:divBdr>
    </w:div>
    <w:div w:id="653222803">
      <w:bodyDiv w:val="1"/>
      <w:marLeft w:val="0"/>
      <w:marRight w:val="0"/>
      <w:marTop w:val="0"/>
      <w:marBottom w:val="0"/>
      <w:divBdr>
        <w:top w:val="none" w:sz="0" w:space="0" w:color="auto"/>
        <w:left w:val="none" w:sz="0" w:space="0" w:color="auto"/>
        <w:bottom w:val="none" w:sz="0" w:space="0" w:color="auto"/>
        <w:right w:val="none" w:sz="0" w:space="0" w:color="auto"/>
      </w:divBdr>
    </w:div>
    <w:div w:id="653485767">
      <w:bodyDiv w:val="1"/>
      <w:marLeft w:val="0"/>
      <w:marRight w:val="0"/>
      <w:marTop w:val="0"/>
      <w:marBottom w:val="0"/>
      <w:divBdr>
        <w:top w:val="none" w:sz="0" w:space="0" w:color="auto"/>
        <w:left w:val="none" w:sz="0" w:space="0" w:color="auto"/>
        <w:bottom w:val="none" w:sz="0" w:space="0" w:color="auto"/>
        <w:right w:val="none" w:sz="0" w:space="0" w:color="auto"/>
      </w:divBdr>
    </w:div>
    <w:div w:id="654921798">
      <w:bodyDiv w:val="1"/>
      <w:marLeft w:val="0"/>
      <w:marRight w:val="0"/>
      <w:marTop w:val="0"/>
      <w:marBottom w:val="0"/>
      <w:divBdr>
        <w:top w:val="none" w:sz="0" w:space="0" w:color="auto"/>
        <w:left w:val="none" w:sz="0" w:space="0" w:color="auto"/>
        <w:bottom w:val="none" w:sz="0" w:space="0" w:color="auto"/>
        <w:right w:val="none" w:sz="0" w:space="0" w:color="auto"/>
      </w:divBdr>
    </w:div>
    <w:div w:id="659817728">
      <w:bodyDiv w:val="1"/>
      <w:marLeft w:val="0"/>
      <w:marRight w:val="0"/>
      <w:marTop w:val="0"/>
      <w:marBottom w:val="0"/>
      <w:divBdr>
        <w:top w:val="none" w:sz="0" w:space="0" w:color="auto"/>
        <w:left w:val="none" w:sz="0" w:space="0" w:color="auto"/>
        <w:bottom w:val="none" w:sz="0" w:space="0" w:color="auto"/>
        <w:right w:val="none" w:sz="0" w:space="0" w:color="auto"/>
      </w:divBdr>
    </w:div>
    <w:div w:id="659892180">
      <w:bodyDiv w:val="1"/>
      <w:marLeft w:val="0"/>
      <w:marRight w:val="0"/>
      <w:marTop w:val="0"/>
      <w:marBottom w:val="0"/>
      <w:divBdr>
        <w:top w:val="none" w:sz="0" w:space="0" w:color="auto"/>
        <w:left w:val="none" w:sz="0" w:space="0" w:color="auto"/>
        <w:bottom w:val="none" w:sz="0" w:space="0" w:color="auto"/>
        <w:right w:val="none" w:sz="0" w:space="0" w:color="auto"/>
      </w:divBdr>
    </w:div>
    <w:div w:id="660623792">
      <w:bodyDiv w:val="1"/>
      <w:marLeft w:val="0"/>
      <w:marRight w:val="0"/>
      <w:marTop w:val="0"/>
      <w:marBottom w:val="0"/>
      <w:divBdr>
        <w:top w:val="none" w:sz="0" w:space="0" w:color="auto"/>
        <w:left w:val="none" w:sz="0" w:space="0" w:color="auto"/>
        <w:bottom w:val="none" w:sz="0" w:space="0" w:color="auto"/>
        <w:right w:val="none" w:sz="0" w:space="0" w:color="auto"/>
      </w:divBdr>
    </w:div>
    <w:div w:id="664019787">
      <w:bodyDiv w:val="1"/>
      <w:marLeft w:val="0"/>
      <w:marRight w:val="0"/>
      <w:marTop w:val="0"/>
      <w:marBottom w:val="0"/>
      <w:divBdr>
        <w:top w:val="none" w:sz="0" w:space="0" w:color="auto"/>
        <w:left w:val="none" w:sz="0" w:space="0" w:color="auto"/>
        <w:bottom w:val="none" w:sz="0" w:space="0" w:color="auto"/>
        <w:right w:val="none" w:sz="0" w:space="0" w:color="auto"/>
      </w:divBdr>
    </w:div>
    <w:div w:id="664357279">
      <w:bodyDiv w:val="1"/>
      <w:marLeft w:val="0"/>
      <w:marRight w:val="0"/>
      <w:marTop w:val="0"/>
      <w:marBottom w:val="0"/>
      <w:divBdr>
        <w:top w:val="none" w:sz="0" w:space="0" w:color="auto"/>
        <w:left w:val="none" w:sz="0" w:space="0" w:color="auto"/>
        <w:bottom w:val="none" w:sz="0" w:space="0" w:color="auto"/>
        <w:right w:val="none" w:sz="0" w:space="0" w:color="auto"/>
      </w:divBdr>
    </w:div>
    <w:div w:id="665670527">
      <w:bodyDiv w:val="1"/>
      <w:marLeft w:val="0"/>
      <w:marRight w:val="0"/>
      <w:marTop w:val="0"/>
      <w:marBottom w:val="0"/>
      <w:divBdr>
        <w:top w:val="none" w:sz="0" w:space="0" w:color="auto"/>
        <w:left w:val="none" w:sz="0" w:space="0" w:color="auto"/>
        <w:bottom w:val="none" w:sz="0" w:space="0" w:color="auto"/>
        <w:right w:val="none" w:sz="0" w:space="0" w:color="auto"/>
      </w:divBdr>
    </w:div>
    <w:div w:id="665740599">
      <w:bodyDiv w:val="1"/>
      <w:marLeft w:val="0"/>
      <w:marRight w:val="0"/>
      <w:marTop w:val="0"/>
      <w:marBottom w:val="0"/>
      <w:divBdr>
        <w:top w:val="none" w:sz="0" w:space="0" w:color="auto"/>
        <w:left w:val="none" w:sz="0" w:space="0" w:color="auto"/>
        <w:bottom w:val="none" w:sz="0" w:space="0" w:color="auto"/>
        <w:right w:val="none" w:sz="0" w:space="0" w:color="auto"/>
      </w:divBdr>
    </w:div>
    <w:div w:id="665746777">
      <w:bodyDiv w:val="1"/>
      <w:marLeft w:val="0"/>
      <w:marRight w:val="0"/>
      <w:marTop w:val="0"/>
      <w:marBottom w:val="0"/>
      <w:divBdr>
        <w:top w:val="none" w:sz="0" w:space="0" w:color="auto"/>
        <w:left w:val="none" w:sz="0" w:space="0" w:color="auto"/>
        <w:bottom w:val="none" w:sz="0" w:space="0" w:color="auto"/>
        <w:right w:val="none" w:sz="0" w:space="0" w:color="auto"/>
      </w:divBdr>
    </w:div>
    <w:div w:id="667099017">
      <w:bodyDiv w:val="1"/>
      <w:marLeft w:val="0"/>
      <w:marRight w:val="0"/>
      <w:marTop w:val="0"/>
      <w:marBottom w:val="0"/>
      <w:divBdr>
        <w:top w:val="none" w:sz="0" w:space="0" w:color="auto"/>
        <w:left w:val="none" w:sz="0" w:space="0" w:color="auto"/>
        <w:bottom w:val="none" w:sz="0" w:space="0" w:color="auto"/>
        <w:right w:val="none" w:sz="0" w:space="0" w:color="auto"/>
      </w:divBdr>
    </w:div>
    <w:div w:id="667363188">
      <w:bodyDiv w:val="1"/>
      <w:marLeft w:val="0"/>
      <w:marRight w:val="0"/>
      <w:marTop w:val="0"/>
      <w:marBottom w:val="0"/>
      <w:divBdr>
        <w:top w:val="none" w:sz="0" w:space="0" w:color="auto"/>
        <w:left w:val="none" w:sz="0" w:space="0" w:color="auto"/>
        <w:bottom w:val="none" w:sz="0" w:space="0" w:color="auto"/>
        <w:right w:val="none" w:sz="0" w:space="0" w:color="auto"/>
      </w:divBdr>
    </w:div>
    <w:div w:id="667561918">
      <w:bodyDiv w:val="1"/>
      <w:marLeft w:val="0"/>
      <w:marRight w:val="0"/>
      <w:marTop w:val="0"/>
      <w:marBottom w:val="0"/>
      <w:divBdr>
        <w:top w:val="none" w:sz="0" w:space="0" w:color="auto"/>
        <w:left w:val="none" w:sz="0" w:space="0" w:color="auto"/>
        <w:bottom w:val="none" w:sz="0" w:space="0" w:color="auto"/>
        <w:right w:val="none" w:sz="0" w:space="0" w:color="auto"/>
      </w:divBdr>
    </w:div>
    <w:div w:id="667636254">
      <w:bodyDiv w:val="1"/>
      <w:marLeft w:val="0"/>
      <w:marRight w:val="0"/>
      <w:marTop w:val="0"/>
      <w:marBottom w:val="0"/>
      <w:divBdr>
        <w:top w:val="none" w:sz="0" w:space="0" w:color="auto"/>
        <w:left w:val="none" w:sz="0" w:space="0" w:color="auto"/>
        <w:bottom w:val="none" w:sz="0" w:space="0" w:color="auto"/>
        <w:right w:val="none" w:sz="0" w:space="0" w:color="auto"/>
      </w:divBdr>
    </w:div>
    <w:div w:id="668292631">
      <w:bodyDiv w:val="1"/>
      <w:marLeft w:val="0"/>
      <w:marRight w:val="0"/>
      <w:marTop w:val="0"/>
      <w:marBottom w:val="0"/>
      <w:divBdr>
        <w:top w:val="none" w:sz="0" w:space="0" w:color="auto"/>
        <w:left w:val="none" w:sz="0" w:space="0" w:color="auto"/>
        <w:bottom w:val="none" w:sz="0" w:space="0" w:color="auto"/>
        <w:right w:val="none" w:sz="0" w:space="0" w:color="auto"/>
      </w:divBdr>
    </w:div>
    <w:div w:id="670646286">
      <w:bodyDiv w:val="1"/>
      <w:marLeft w:val="0"/>
      <w:marRight w:val="0"/>
      <w:marTop w:val="0"/>
      <w:marBottom w:val="0"/>
      <w:divBdr>
        <w:top w:val="none" w:sz="0" w:space="0" w:color="auto"/>
        <w:left w:val="none" w:sz="0" w:space="0" w:color="auto"/>
        <w:bottom w:val="none" w:sz="0" w:space="0" w:color="auto"/>
        <w:right w:val="none" w:sz="0" w:space="0" w:color="auto"/>
      </w:divBdr>
    </w:div>
    <w:div w:id="671489053">
      <w:bodyDiv w:val="1"/>
      <w:marLeft w:val="0"/>
      <w:marRight w:val="0"/>
      <w:marTop w:val="0"/>
      <w:marBottom w:val="0"/>
      <w:divBdr>
        <w:top w:val="none" w:sz="0" w:space="0" w:color="auto"/>
        <w:left w:val="none" w:sz="0" w:space="0" w:color="auto"/>
        <w:bottom w:val="none" w:sz="0" w:space="0" w:color="auto"/>
        <w:right w:val="none" w:sz="0" w:space="0" w:color="auto"/>
      </w:divBdr>
    </w:div>
    <w:div w:id="672029212">
      <w:bodyDiv w:val="1"/>
      <w:marLeft w:val="0"/>
      <w:marRight w:val="0"/>
      <w:marTop w:val="0"/>
      <w:marBottom w:val="0"/>
      <w:divBdr>
        <w:top w:val="none" w:sz="0" w:space="0" w:color="auto"/>
        <w:left w:val="none" w:sz="0" w:space="0" w:color="auto"/>
        <w:bottom w:val="none" w:sz="0" w:space="0" w:color="auto"/>
        <w:right w:val="none" w:sz="0" w:space="0" w:color="auto"/>
      </w:divBdr>
    </w:div>
    <w:div w:id="673411808">
      <w:bodyDiv w:val="1"/>
      <w:marLeft w:val="0"/>
      <w:marRight w:val="0"/>
      <w:marTop w:val="0"/>
      <w:marBottom w:val="0"/>
      <w:divBdr>
        <w:top w:val="none" w:sz="0" w:space="0" w:color="auto"/>
        <w:left w:val="none" w:sz="0" w:space="0" w:color="auto"/>
        <w:bottom w:val="none" w:sz="0" w:space="0" w:color="auto"/>
        <w:right w:val="none" w:sz="0" w:space="0" w:color="auto"/>
      </w:divBdr>
    </w:div>
    <w:div w:id="674068765">
      <w:bodyDiv w:val="1"/>
      <w:marLeft w:val="0"/>
      <w:marRight w:val="0"/>
      <w:marTop w:val="0"/>
      <w:marBottom w:val="0"/>
      <w:divBdr>
        <w:top w:val="none" w:sz="0" w:space="0" w:color="auto"/>
        <w:left w:val="none" w:sz="0" w:space="0" w:color="auto"/>
        <w:bottom w:val="none" w:sz="0" w:space="0" w:color="auto"/>
        <w:right w:val="none" w:sz="0" w:space="0" w:color="auto"/>
      </w:divBdr>
    </w:div>
    <w:div w:id="675305056">
      <w:bodyDiv w:val="1"/>
      <w:marLeft w:val="0"/>
      <w:marRight w:val="0"/>
      <w:marTop w:val="0"/>
      <w:marBottom w:val="0"/>
      <w:divBdr>
        <w:top w:val="none" w:sz="0" w:space="0" w:color="auto"/>
        <w:left w:val="none" w:sz="0" w:space="0" w:color="auto"/>
        <w:bottom w:val="none" w:sz="0" w:space="0" w:color="auto"/>
        <w:right w:val="none" w:sz="0" w:space="0" w:color="auto"/>
      </w:divBdr>
    </w:div>
    <w:div w:id="675425721">
      <w:bodyDiv w:val="1"/>
      <w:marLeft w:val="0"/>
      <w:marRight w:val="0"/>
      <w:marTop w:val="0"/>
      <w:marBottom w:val="0"/>
      <w:divBdr>
        <w:top w:val="none" w:sz="0" w:space="0" w:color="auto"/>
        <w:left w:val="none" w:sz="0" w:space="0" w:color="auto"/>
        <w:bottom w:val="none" w:sz="0" w:space="0" w:color="auto"/>
        <w:right w:val="none" w:sz="0" w:space="0" w:color="auto"/>
      </w:divBdr>
    </w:div>
    <w:div w:id="675616598">
      <w:bodyDiv w:val="1"/>
      <w:marLeft w:val="0"/>
      <w:marRight w:val="0"/>
      <w:marTop w:val="0"/>
      <w:marBottom w:val="0"/>
      <w:divBdr>
        <w:top w:val="none" w:sz="0" w:space="0" w:color="auto"/>
        <w:left w:val="none" w:sz="0" w:space="0" w:color="auto"/>
        <w:bottom w:val="none" w:sz="0" w:space="0" w:color="auto"/>
        <w:right w:val="none" w:sz="0" w:space="0" w:color="auto"/>
      </w:divBdr>
    </w:div>
    <w:div w:id="676468518">
      <w:bodyDiv w:val="1"/>
      <w:marLeft w:val="0"/>
      <w:marRight w:val="0"/>
      <w:marTop w:val="0"/>
      <w:marBottom w:val="0"/>
      <w:divBdr>
        <w:top w:val="none" w:sz="0" w:space="0" w:color="auto"/>
        <w:left w:val="none" w:sz="0" w:space="0" w:color="auto"/>
        <w:bottom w:val="none" w:sz="0" w:space="0" w:color="auto"/>
        <w:right w:val="none" w:sz="0" w:space="0" w:color="auto"/>
      </w:divBdr>
    </w:div>
    <w:div w:id="677003529">
      <w:bodyDiv w:val="1"/>
      <w:marLeft w:val="0"/>
      <w:marRight w:val="0"/>
      <w:marTop w:val="0"/>
      <w:marBottom w:val="0"/>
      <w:divBdr>
        <w:top w:val="none" w:sz="0" w:space="0" w:color="auto"/>
        <w:left w:val="none" w:sz="0" w:space="0" w:color="auto"/>
        <w:bottom w:val="none" w:sz="0" w:space="0" w:color="auto"/>
        <w:right w:val="none" w:sz="0" w:space="0" w:color="auto"/>
      </w:divBdr>
    </w:div>
    <w:div w:id="680199202">
      <w:bodyDiv w:val="1"/>
      <w:marLeft w:val="0"/>
      <w:marRight w:val="0"/>
      <w:marTop w:val="0"/>
      <w:marBottom w:val="0"/>
      <w:divBdr>
        <w:top w:val="none" w:sz="0" w:space="0" w:color="auto"/>
        <w:left w:val="none" w:sz="0" w:space="0" w:color="auto"/>
        <w:bottom w:val="none" w:sz="0" w:space="0" w:color="auto"/>
        <w:right w:val="none" w:sz="0" w:space="0" w:color="auto"/>
      </w:divBdr>
    </w:div>
    <w:div w:id="680355321">
      <w:bodyDiv w:val="1"/>
      <w:marLeft w:val="0"/>
      <w:marRight w:val="0"/>
      <w:marTop w:val="0"/>
      <w:marBottom w:val="0"/>
      <w:divBdr>
        <w:top w:val="none" w:sz="0" w:space="0" w:color="auto"/>
        <w:left w:val="none" w:sz="0" w:space="0" w:color="auto"/>
        <w:bottom w:val="none" w:sz="0" w:space="0" w:color="auto"/>
        <w:right w:val="none" w:sz="0" w:space="0" w:color="auto"/>
      </w:divBdr>
    </w:div>
    <w:div w:id="680737564">
      <w:bodyDiv w:val="1"/>
      <w:marLeft w:val="0"/>
      <w:marRight w:val="0"/>
      <w:marTop w:val="0"/>
      <w:marBottom w:val="0"/>
      <w:divBdr>
        <w:top w:val="none" w:sz="0" w:space="0" w:color="auto"/>
        <w:left w:val="none" w:sz="0" w:space="0" w:color="auto"/>
        <w:bottom w:val="none" w:sz="0" w:space="0" w:color="auto"/>
        <w:right w:val="none" w:sz="0" w:space="0" w:color="auto"/>
      </w:divBdr>
    </w:div>
    <w:div w:id="681707516">
      <w:bodyDiv w:val="1"/>
      <w:marLeft w:val="0"/>
      <w:marRight w:val="0"/>
      <w:marTop w:val="0"/>
      <w:marBottom w:val="0"/>
      <w:divBdr>
        <w:top w:val="none" w:sz="0" w:space="0" w:color="auto"/>
        <w:left w:val="none" w:sz="0" w:space="0" w:color="auto"/>
        <w:bottom w:val="none" w:sz="0" w:space="0" w:color="auto"/>
        <w:right w:val="none" w:sz="0" w:space="0" w:color="auto"/>
      </w:divBdr>
    </w:div>
    <w:div w:id="681934194">
      <w:bodyDiv w:val="1"/>
      <w:marLeft w:val="0"/>
      <w:marRight w:val="0"/>
      <w:marTop w:val="0"/>
      <w:marBottom w:val="0"/>
      <w:divBdr>
        <w:top w:val="none" w:sz="0" w:space="0" w:color="auto"/>
        <w:left w:val="none" w:sz="0" w:space="0" w:color="auto"/>
        <w:bottom w:val="none" w:sz="0" w:space="0" w:color="auto"/>
        <w:right w:val="none" w:sz="0" w:space="0" w:color="auto"/>
      </w:divBdr>
    </w:div>
    <w:div w:id="682785978">
      <w:bodyDiv w:val="1"/>
      <w:marLeft w:val="0"/>
      <w:marRight w:val="0"/>
      <w:marTop w:val="0"/>
      <w:marBottom w:val="0"/>
      <w:divBdr>
        <w:top w:val="none" w:sz="0" w:space="0" w:color="auto"/>
        <w:left w:val="none" w:sz="0" w:space="0" w:color="auto"/>
        <w:bottom w:val="none" w:sz="0" w:space="0" w:color="auto"/>
        <w:right w:val="none" w:sz="0" w:space="0" w:color="auto"/>
      </w:divBdr>
    </w:div>
    <w:div w:id="683436079">
      <w:bodyDiv w:val="1"/>
      <w:marLeft w:val="0"/>
      <w:marRight w:val="0"/>
      <w:marTop w:val="0"/>
      <w:marBottom w:val="0"/>
      <w:divBdr>
        <w:top w:val="none" w:sz="0" w:space="0" w:color="auto"/>
        <w:left w:val="none" w:sz="0" w:space="0" w:color="auto"/>
        <w:bottom w:val="none" w:sz="0" w:space="0" w:color="auto"/>
        <w:right w:val="none" w:sz="0" w:space="0" w:color="auto"/>
      </w:divBdr>
    </w:div>
    <w:div w:id="683747751">
      <w:bodyDiv w:val="1"/>
      <w:marLeft w:val="0"/>
      <w:marRight w:val="0"/>
      <w:marTop w:val="0"/>
      <w:marBottom w:val="0"/>
      <w:divBdr>
        <w:top w:val="none" w:sz="0" w:space="0" w:color="auto"/>
        <w:left w:val="none" w:sz="0" w:space="0" w:color="auto"/>
        <w:bottom w:val="none" w:sz="0" w:space="0" w:color="auto"/>
        <w:right w:val="none" w:sz="0" w:space="0" w:color="auto"/>
      </w:divBdr>
    </w:div>
    <w:div w:id="684330888">
      <w:bodyDiv w:val="1"/>
      <w:marLeft w:val="0"/>
      <w:marRight w:val="0"/>
      <w:marTop w:val="0"/>
      <w:marBottom w:val="0"/>
      <w:divBdr>
        <w:top w:val="none" w:sz="0" w:space="0" w:color="auto"/>
        <w:left w:val="none" w:sz="0" w:space="0" w:color="auto"/>
        <w:bottom w:val="none" w:sz="0" w:space="0" w:color="auto"/>
        <w:right w:val="none" w:sz="0" w:space="0" w:color="auto"/>
      </w:divBdr>
    </w:div>
    <w:div w:id="685061972">
      <w:bodyDiv w:val="1"/>
      <w:marLeft w:val="0"/>
      <w:marRight w:val="0"/>
      <w:marTop w:val="0"/>
      <w:marBottom w:val="0"/>
      <w:divBdr>
        <w:top w:val="none" w:sz="0" w:space="0" w:color="auto"/>
        <w:left w:val="none" w:sz="0" w:space="0" w:color="auto"/>
        <w:bottom w:val="none" w:sz="0" w:space="0" w:color="auto"/>
        <w:right w:val="none" w:sz="0" w:space="0" w:color="auto"/>
      </w:divBdr>
    </w:div>
    <w:div w:id="686369028">
      <w:bodyDiv w:val="1"/>
      <w:marLeft w:val="0"/>
      <w:marRight w:val="0"/>
      <w:marTop w:val="0"/>
      <w:marBottom w:val="0"/>
      <w:divBdr>
        <w:top w:val="none" w:sz="0" w:space="0" w:color="auto"/>
        <w:left w:val="none" w:sz="0" w:space="0" w:color="auto"/>
        <w:bottom w:val="none" w:sz="0" w:space="0" w:color="auto"/>
        <w:right w:val="none" w:sz="0" w:space="0" w:color="auto"/>
      </w:divBdr>
    </w:div>
    <w:div w:id="687291033">
      <w:bodyDiv w:val="1"/>
      <w:marLeft w:val="0"/>
      <w:marRight w:val="0"/>
      <w:marTop w:val="0"/>
      <w:marBottom w:val="0"/>
      <w:divBdr>
        <w:top w:val="none" w:sz="0" w:space="0" w:color="auto"/>
        <w:left w:val="none" w:sz="0" w:space="0" w:color="auto"/>
        <w:bottom w:val="none" w:sz="0" w:space="0" w:color="auto"/>
        <w:right w:val="none" w:sz="0" w:space="0" w:color="auto"/>
      </w:divBdr>
    </w:div>
    <w:div w:id="688138938">
      <w:bodyDiv w:val="1"/>
      <w:marLeft w:val="0"/>
      <w:marRight w:val="0"/>
      <w:marTop w:val="0"/>
      <w:marBottom w:val="0"/>
      <w:divBdr>
        <w:top w:val="none" w:sz="0" w:space="0" w:color="auto"/>
        <w:left w:val="none" w:sz="0" w:space="0" w:color="auto"/>
        <w:bottom w:val="none" w:sz="0" w:space="0" w:color="auto"/>
        <w:right w:val="none" w:sz="0" w:space="0" w:color="auto"/>
      </w:divBdr>
    </w:div>
    <w:div w:id="688415625">
      <w:bodyDiv w:val="1"/>
      <w:marLeft w:val="0"/>
      <w:marRight w:val="0"/>
      <w:marTop w:val="0"/>
      <w:marBottom w:val="0"/>
      <w:divBdr>
        <w:top w:val="none" w:sz="0" w:space="0" w:color="auto"/>
        <w:left w:val="none" w:sz="0" w:space="0" w:color="auto"/>
        <w:bottom w:val="none" w:sz="0" w:space="0" w:color="auto"/>
        <w:right w:val="none" w:sz="0" w:space="0" w:color="auto"/>
      </w:divBdr>
    </w:div>
    <w:div w:id="688750402">
      <w:bodyDiv w:val="1"/>
      <w:marLeft w:val="0"/>
      <w:marRight w:val="0"/>
      <w:marTop w:val="0"/>
      <w:marBottom w:val="0"/>
      <w:divBdr>
        <w:top w:val="none" w:sz="0" w:space="0" w:color="auto"/>
        <w:left w:val="none" w:sz="0" w:space="0" w:color="auto"/>
        <w:bottom w:val="none" w:sz="0" w:space="0" w:color="auto"/>
        <w:right w:val="none" w:sz="0" w:space="0" w:color="auto"/>
      </w:divBdr>
    </w:div>
    <w:div w:id="689599767">
      <w:bodyDiv w:val="1"/>
      <w:marLeft w:val="0"/>
      <w:marRight w:val="0"/>
      <w:marTop w:val="0"/>
      <w:marBottom w:val="0"/>
      <w:divBdr>
        <w:top w:val="none" w:sz="0" w:space="0" w:color="auto"/>
        <w:left w:val="none" w:sz="0" w:space="0" w:color="auto"/>
        <w:bottom w:val="none" w:sz="0" w:space="0" w:color="auto"/>
        <w:right w:val="none" w:sz="0" w:space="0" w:color="auto"/>
      </w:divBdr>
    </w:div>
    <w:div w:id="690454177">
      <w:bodyDiv w:val="1"/>
      <w:marLeft w:val="0"/>
      <w:marRight w:val="0"/>
      <w:marTop w:val="0"/>
      <w:marBottom w:val="0"/>
      <w:divBdr>
        <w:top w:val="none" w:sz="0" w:space="0" w:color="auto"/>
        <w:left w:val="none" w:sz="0" w:space="0" w:color="auto"/>
        <w:bottom w:val="none" w:sz="0" w:space="0" w:color="auto"/>
        <w:right w:val="none" w:sz="0" w:space="0" w:color="auto"/>
      </w:divBdr>
    </w:div>
    <w:div w:id="692339928">
      <w:bodyDiv w:val="1"/>
      <w:marLeft w:val="0"/>
      <w:marRight w:val="0"/>
      <w:marTop w:val="0"/>
      <w:marBottom w:val="0"/>
      <w:divBdr>
        <w:top w:val="none" w:sz="0" w:space="0" w:color="auto"/>
        <w:left w:val="none" w:sz="0" w:space="0" w:color="auto"/>
        <w:bottom w:val="none" w:sz="0" w:space="0" w:color="auto"/>
        <w:right w:val="none" w:sz="0" w:space="0" w:color="auto"/>
      </w:divBdr>
    </w:div>
    <w:div w:id="693002894">
      <w:bodyDiv w:val="1"/>
      <w:marLeft w:val="0"/>
      <w:marRight w:val="0"/>
      <w:marTop w:val="0"/>
      <w:marBottom w:val="0"/>
      <w:divBdr>
        <w:top w:val="none" w:sz="0" w:space="0" w:color="auto"/>
        <w:left w:val="none" w:sz="0" w:space="0" w:color="auto"/>
        <w:bottom w:val="none" w:sz="0" w:space="0" w:color="auto"/>
        <w:right w:val="none" w:sz="0" w:space="0" w:color="auto"/>
      </w:divBdr>
    </w:div>
    <w:div w:id="693458291">
      <w:bodyDiv w:val="1"/>
      <w:marLeft w:val="0"/>
      <w:marRight w:val="0"/>
      <w:marTop w:val="0"/>
      <w:marBottom w:val="0"/>
      <w:divBdr>
        <w:top w:val="none" w:sz="0" w:space="0" w:color="auto"/>
        <w:left w:val="none" w:sz="0" w:space="0" w:color="auto"/>
        <w:bottom w:val="none" w:sz="0" w:space="0" w:color="auto"/>
        <w:right w:val="none" w:sz="0" w:space="0" w:color="auto"/>
      </w:divBdr>
    </w:div>
    <w:div w:id="693461987">
      <w:bodyDiv w:val="1"/>
      <w:marLeft w:val="0"/>
      <w:marRight w:val="0"/>
      <w:marTop w:val="0"/>
      <w:marBottom w:val="0"/>
      <w:divBdr>
        <w:top w:val="none" w:sz="0" w:space="0" w:color="auto"/>
        <w:left w:val="none" w:sz="0" w:space="0" w:color="auto"/>
        <w:bottom w:val="none" w:sz="0" w:space="0" w:color="auto"/>
        <w:right w:val="none" w:sz="0" w:space="0" w:color="auto"/>
      </w:divBdr>
    </w:div>
    <w:div w:id="694385702">
      <w:bodyDiv w:val="1"/>
      <w:marLeft w:val="0"/>
      <w:marRight w:val="0"/>
      <w:marTop w:val="0"/>
      <w:marBottom w:val="0"/>
      <w:divBdr>
        <w:top w:val="none" w:sz="0" w:space="0" w:color="auto"/>
        <w:left w:val="none" w:sz="0" w:space="0" w:color="auto"/>
        <w:bottom w:val="none" w:sz="0" w:space="0" w:color="auto"/>
        <w:right w:val="none" w:sz="0" w:space="0" w:color="auto"/>
      </w:divBdr>
    </w:div>
    <w:div w:id="695160911">
      <w:bodyDiv w:val="1"/>
      <w:marLeft w:val="0"/>
      <w:marRight w:val="0"/>
      <w:marTop w:val="0"/>
      <w:marBottom w:val="0"/>
      <w:divBdr>
        <w:top w:val="none" w:sz="0" w:space="0" w:color="auto"/>
        <w:left w:val="none" w:sz="0" w:space="0" w:color="auto"/>
        <w:bottom w:val="none" w:sz="0" w:space="0" w:color="auto"/>
        <w:right w:val="none" w:sz="0" w:space="0" w:color="auto"/>
      </w:divBdr>
    </w:div>
    <w:div w:id="695932630">
      <w:bodyDiv w:val="1"/>
      <w:marLeft w:val="0"/>
      <w:marRight w:val="0"/>
      <w:marTop w:val="0"/>
      <w:marBottom w:val="0"/>
      <w:divBdr>
        <w:top w:val="none" w:sz="0" w:space="0" w:color="auto"/>
        <w:left w:val="none" w:sz="0" w:space="0" w:color="auto"/>
        <w:bottom w:val="none" w:sz="0" w:space="0" w:color="auto"/>
        <w:right w:val="none" w:sz="0" w:space="0" w:color="auto"/>
      </w:divBdr>
    </w:div>
    <w:div w:id="698046200">
      <w:bodyDiv w:val="1"/>
      <w:marLeft w:val="0"/>
      <w:marRight w:val="0"/>
      <w:marTop w:val="0"/>
      <w:marBottom w:val="0"/>
      <w:divBdr>
        <w:top w:val="none" w:sz="0" w:space="0" w:color="auto"/>
        <w:left w:val="none" w:sz="0" w:space="0" w:color="auto"/>
        <w:bottom w:val="none" w:sz="0" w:space="0" w:color="auto"/>
        <w:right w:val="none" w:sz="0" w:space="0" w:color="auto"/>
      </w:divBdr>
    </w:div>
    <w:div w:id="699360357">
      <w:bodyDiv w:val="1"/>
      <w:marLeft w:val="0"/>
      <w:marRight w:val="0"/>
      <w:marTop w:val="0"/>
      <w:marBottom w:val="0"/>
      <w:divBdr>
        <w:top w:val="none" w:sz="0" w:space="0" w:color="auto"/>
        <w:left w:val="none" w:sz="0" w:space="0" w:color="auto"/>
        <w:bottom w:val="none" w:sz="0" w:space="0" w:color="auto"/>
        <w:right w:val="none" w:sz="0" w:space="0" w:color="auto"/>
      </w:divBdr>
    </w:div>
    <w:div w:id="700132882">
      <w:bodyDiv w:val="1"/>
      <w:marLeft w:val="0"/>
      <w:marRight w:val="0"/>
      <w:marTop w:val="0"/>
      <w:marBottom w:val="0"/>
      <w:divBdr>
        <w:top w:val="none" w:sz="0" w:space="0" w:color="auto"/>
        <w:left w:val="none" w:sz="0" w:space="0" w:color="auto"/>
        <w:bottom w:val="none" w:sz="0" w:space="0" w:color="auto"/>
        <w:right w:val="none" w:sz="0" w:space="0" w:color="auto"/>
      </w:divBdr>
    </w:div>
    <w:div w:id="700596218">
      <w:bodyDiv w:val="1"/>
      <w:marLeft w:val="0"/>
      <w:marRight w:val="0"/>
      <w:marTop w:val="0"/>
      <w:marBottom w:val="0"/>
      <w:divBdr>
        <w:top w:val="none" w:sz="0" w:space="0" w:color="auto"/>
        <w:left w:val="none" w:sz="0" w:space="0" w:color="auto"/>
        <w:bottom w:val="none" w:sz="0" w:space="0" w:color="auto"/>
        <w:right w:val="none" w:sz="0" w:space="0" w:color="auto"/>
      </w:divBdr>
    </w:div>
    <w:div w:id="700981659">
      <w:bodyDiv w:val="1"/>
      <w:marLeft w:val="0"/>
      <w:marRight w:val="0"/>
      <w:marTop w:val="0"/>
      <w:marBottom w:val="0"/>
      <w:divBdr>
        <w:top w:val="none" w:sz="0" w:space="0" w:color="auto"/>
        <w:left w:val="none" w:sz="0" w:space="0" w:color="auto"/>
        <w:bottom w:val="none" w:sz="0" w:space="0" w:color="auto"/>
        <w:right w:val="none" w:sz="0" w:space="0" w:color="auto"/>
      </w:divBdr>
    </w:div>
    <w:div w:id="701125570">
      <w:bodyDiv w:val="1"/>
      <w:marLeft w:val="0"/>
      <w:marRight w:val="0"/>
      <w:marTop w:val="0"/>
      <w:marBottom w:val="0"/>
      <w:divBdr>
        <w:top w:val="none" w:sz="0" w:space="0" w:color="auto"/>
        <w:left w:val="none" w:sz="0" w:space="0" w:color="auto"/>
        <w:bottom w:val="none" w:sz="0" w:space="0" w:color="auto"/>
        <w:right w:val="none" w:sz="0" w:space="0" w:color="auto"/>
      </w:divBdr>
    </w:div>
    <w:div w:id="701128776">
      <w:bodyDiv w:val="1"/>
      <w:marLeft w:val="0"/>
      <w:marRight w:val="0"/>
      <w:marTop w:val="0"/>
      <w:marBottom w:val="0"/>
      <w:divBdr>
        <w:top w:val="none" w:sz="0" w:space="0" w:color="auto"/>
        <w:left w:val="none" w:sz="0" w:space="0" w:color="auto"/>
        <w:bottom w:val="none" w:sz="0" w:space="0" w:color="auto"/>
        <w:right w:val="none" w:sz="0" w:space="0" w:color="auto"/>
      </w:divBdr>
    </w:div>
    <w:div w:id="701636628">
      <w:bodyDiv w:val="1"/>
      <w:marLeft w:val="0"/>
      <w:marRight w:val="0"/>
      <w:marTop w:val="0"/>
      <w:marBottom w:val="0"/>
      <w:divBdr>
        <w:top w:val="none" w:sz="0" w:space="0" w:color="auto"/>
        <w:left w:val="none" w:sz="0" w:space="0" w:color="auto"/>
        <w:bottom w:val="none" w:sz="0" w:space="0" w:color="auto"/>
        <w:right w:val="none" w:sz="0" w:space="0" w:color="auto"/>
      </w:divBdr>
    </w:div>
    <w:div w:id="702098023">
      <w:bodyDiv w:val="1"/>
      <w:marLeft w:val="0"/>
      <w:marRight w:val="0"/>
      <w:marTop w:val="0"/>
      <w:marBottom w:val="0"/>
      <w:divBdr>
        <w:top w:val="none" w:sz="0" w:space="0" w:color="auto"/>
        <w:left w:val="none" w:sz="0" w:space="0" w:color="auto"/>
        <w:bottom w:val="none" w:sz="0" w:space="0" w:color="auto"/>
        <w:right w:val="none" w:sz="0" w:space="0" w:color="auto"/>
      </w:divBdr>
    </w:div>
    <w:div w:id="702286388">
      <w:bodyDiv w:val="1"/>
      <w:marLeft w:val="0"/>
      <w:marRight w:val="0"/>
      <w:marTop w:val="0"/>
      <w:marBottom w:val="0"/>
      <w:divBdr>
        <w:top w:val="none" w:sz="0" w:space="0" w:color="auto"/>
        <w:left w:val="none" w:sz="0" w:space="0" w:color="auto"/>
        <w:bottom w:val="none" w:sz="0" w:space="0" w:color="auto"/>
        <w:right w:val="none" w:sz="0" w:space="0" w:color="auto"/>
      </w:divBdr>
    </w:div>
    <w:div w:id="702361693">
      <w:bodyDiv w:val="1"/>
      <w:marLeft w:val="0"/>
      <w:marRight w:val="0"/>
      <w:marTop w:val="0"/>
      <w:marBottom w:val="0"/>
      <w:divBdr>
        <w:top w:val="none" w:sz="0" w:space="0" w:color="auto"/>
        <w:left w:val="none" w:sz="0" w:space="0" w:color="auto"/>
        <w:bottom w:val="none" w:sz="0" w:space="0" w:color="auto"/>
        <w:right w:val="none" w:sz="0" w:space="0" w:color="auto"/>
      </w:divBdr>
    </w:div>
    <w:div w:id="703092404">
      <w:bodyDiv w:val="1"/>
      <w:marLeft w:val="0"/>
      <w:marRight w:val="0"/>
      <w:marTop w:val="0"/>
      <w:marBottom w:val="0"/>
      <w:divBdr>
        <w:top w:val="none" w:sz="0" w:space="0" w:color="auto"/>
        <w:left w:val="none" w:sz="0" w:space="0" w:color="auto"/>
        <w:bottom w:val="none" w:sz="0" w:space="0" w:color="auto"/>
        <w:right w:val="none" w:sz="0" w:space="0" w:color="auto"/>
      </w:divBdr>
    </w:div>
    <w:div w:id="703680477">
      <w:bodyDiv w:val="1"/>
      <w:marLeft w:val="0"/>
      <w:marRight w:val="0"/>
      <w:marTop w:val="0"/>
      <w:marBottom w:val="0"/>
      <w:divBdr>
        <w:top w:val="none" w:sz="0" w:space="0" w:color="auto"/>
        <w:left w:val="none" w:sz="0" w:space="0" w:color="auto"/>
        <w:bottom w:val="none" w:sz="0" w:space="0" w:color="auto"/>
        <w:right w:val="none" w:sz="0" w:space="0" w:color="auto"/>
      </w:divBdr>
    </w:div>
    <w:div w:id="703945092">
      <w:bodyDiv w:val="1"/>
      <w:marLeft w:val="0"/>
      <w:marRight w:val="0"/>
      <w:marTop w:val="0"/>
      <w:marBottom w:val="0"/>
      <w:divBdr>
        <w:top w:val="none" w:sz="0" w:space="0" w:color="auto"/>
        <w:left w:val="none" w:sz="0" w:space="0" w:color="auto"/>
        <w:bottom w:val="none" w:sz="0" w:space="0" w:color="auto"/>
        <w:right w:val="none" w:sz="0" w:space="0" w:color="auto"/>
      </w:divBdr>
    </w:div>
    <w:div w:id="704064789">
      <w:bodyDiv w:val="1"/>
      <w:marLeft w:val="0"/>
      <w:marRight w:val="0"/>
      <w:marTop w:val="0"/>
      <w:marBottom w:val="0"/>
      <w:divBdr>
        <w:top w:val="none" w:sz="0" w:space="0" w:color="auto"/>
        <w:left w:val="none" w:sz="0" w:space="0" w:color="auto"/>
        <w:bottom w:val="none" w:sz="0" w:space="0" w:color="auto"/>
        <w:right w:val="none" w:sz="0" w:space="0" w:color="auto"/>
      </w:divBdr>
    </w:div>
    <w:div w:id="704714287">
      <w:bodyDiv w:val="1"/>
      <w:marLeft w:val="0"/>
      <w:marRight w:val="0"/>
      <w:marTop w:val="0"/>
      <w:marBottom w:val="0"/>
      <w:divBdr>
        <w:top w:val="none" w:sz="0" w:space="0" w:color="auto"/>
        <w:left w:val="none" w:sz="0" w:space="0" w:color="auto"/>
        <w:bottom w:val="none" w:sz="0" w:space="0" w:color="auto"/>
        <w:right w:val="none" w:sz="0" w:space="0" w:color="auto"/>
      </w:divBdr>
    </w:div>
    <w:div w:id="704908820">
      <w:bodyDiv w:val="1"/>
      <w:marLeft w:val="0"/>
      <w:marRight w:val="0"/>
      <w:marTop w:val="0"/>
      <w:marBottom w:val="0"/>
      <w:divBdr>
        <w:top w:val="none" w:sz="0" w:space="0" w:color="auto"/>
        <w:left w:val="none" w:sz="0" w:space="0" w:color="auto"/>
        <w:bottom w:val="none" w:sz="0" w:space="0" w:color="auto"/>
        <w:right w:val="none" w:sz="0" w:space="0" w:color="auto"/>
      </w:divBdr>
    </w:div>
    <w:div w:id="705300743">
      <w:bodyDiv w:val="1"/>
      <w:marLeft w:val="0"/>
      <w:marRight w:val="0"/>
      <w:marTop w:val="0"/>
      <w:marBottom w:val="0"/>
      <w:divBdr>
        <w:top w:val="none" w:sz="0" w:space="0" w:color="auto"/>
        <w:left w:val="none" w:sz="0" w:space="0" w:color="auto"/>
        <w:bottom w:val="none" w:sz="0" w:space="0" w:color="auto"/>
        <w:right w:val="none" w:sz="0" w:space="0" w:color="auto"/>
      </w:divBdr>
    </w:div>
    <w:div w:id="706874681">
      <w:bodyDiv w:val="1"/>
      <w:marLeft w:val="0"/>
      <w:marRight w:val="0"/>
      <w:marTop w:val="0"/>
      <w:marBottom w:val="0"/>
      <w:divBdr>
        <w:top w:val="none" w:sz="0" w:space="0" w:color="auto"/>
        <w:left w:val="none" w:sz="0" w:space="0" w:color="auto"/>
        <w:bottom w:val="none" w:sz="0" w:space="0" w:color="auto"/>
        <w:right w:val="none" w:sz="0" w:space="0" w:color="auto"/>
      </w:divBdr>
    </w:div>
    <w:div w:id="707266541">
      <w:bodyDiv w:val="1"/>
      <w:marLeft w:val="0"/>
      <w:marRight w:val="0"/>
      <w:marTop w:val="0"/>
      <w:marBottom w:val="0"/>
      <w:divBdr>
        <w:top w:val="none" w:sz="0" w:space="0" w:color="auto"/>
        <w:left w:val="none" w:sz="0" w:space="0" w:color="auto"/>
        <w:bottom w:val="none" w:sz="0" w:space="0" w:color="auto"/>
        <w:right w:val="none" w:sz="0" w:space="0" w:color="auto"/>
      </w:divBdr>
    </w:div>
    <w:div w:id="707990781">
      <w:bodyDiv w:val="1"/>
      <w:marLeft w:val="0"/>
      <w:marRight w:val="0"/>
      <w:marTop w:val="0"/>
      <w:marBottom w:val="0"/>
      <w:divBdr>
        <w:top w:val="none" w:sz="0" w:space="0" w:color="auto"/>
        <w:left w:val="none" w:sz="0" w:space="0" w:color="auto"/>
        <w:bottom w:val="none" w:sz="0" w:space="0" w:color="auto"/>
        <w:right w:val="none" w:sz="0" w:space="0" w:color="auto"/>
      </w:divBdr>
    </w:div>
    <w:div w:id="708604222">
      <w:bodyDiv w:val="1"/>
      <w:marLeft w:val="0"/>
      <w:marRight w:val="0"/>
      <w:marTop w:val="0"/>
      <w:marBottom w:val="0"/>
      <w:divBdr>
        <w:top w:val="none" w:sz="0" w:space="0" w:color="auto"/>
        <w:left w:val="none" w:sz="0" w:space="0" w:color="auto"/>
        <w:bottom w:val="none" w:sz="0" w:space="0" w:color="auto"/>
        <w:right w:val="none" w:sz="0" w:space="0" w:color="auto"/>
      </w:divBdr>
    </w:div>
    <w:div w:id="710882849">
      <w:bodyDiv w:val="1"/>
      <w:marLeft w:val="0"/>
      <w:marRight w:val="0"/>
      <w:marTop w:val="0"/>
      <w:marBottom w:val="0"/>
      <w:divBdr>
        <w:top w:val="none" w:sz="0" w:space="0" w:color="auto"/>
        <w:left w:val="none" w:sz="0" w:space="0" w:color="auto"/>
        <w:bottom w:val="none" w:sz="0" w:space="0" w:color="auto"/>
        <w:right w:val="none" w:sz="0" w:space="0" w:color="auto"/>
      </w:divBdr>
    </w:div>
    <w:div w:id="711342203">
      <w:bodyDiv w:val="1"/>
      <w:marLeft w:val="0"/>
      <w:marRight w:val="0"/>
      <w:marTop w:val="0"/>
      <w:marBottom w:val="0"/>
      <w:divBdr>
        <w:top w:val="none" w:sz="0" w:space="0" w:color="auto"/>
        <w:left w:val="none" w:sz="0" w:space="0" w:color="auto"/>
        <w:bottom w:val="none" w:sz="0" w:space="0" w:color="auto"/>
        <w:right w:val="none" w:sz="0" w:space="0" w:color="auto"/>
      </w:divBdr>
    </w:div>
    <w:div w:id="712002182">
      <w:bodyDiv w:val="1"/>
      <w:marLeft w:val="0"/>
      <w:marRight w:val="0"/>
      <w:marTop w:val="0"/>
      <w:marBottom w:val="0"/>
      <w:divBdr>
        <w:top w:val="none" w:sz="0" w:space="0" w:color="auto"/>
        <w:left w:val="none" w:sz="0" w:space="0" w:color="auto"/>
        <w:bottom w:val="none" w:sz="0" w:space="0" w:color="auto"/>
        <w:right w:val="none" w:sz="0" w:space="0" w:color="auto"/>
      </w:divBdr>
    </w:div>
    <w:div w:id="713500885">
      <w:bodyDiv w:val="1"/>
      <w:marLeft w:val="0"/>
      <w:marRight w:val="0"/>
      <w:marTop w:val="0"/>
      <w:marBottom w:val="0"/>
      <w:divBdr>
        <w:top w:val="none" w:sz="0" w:space="0" w:color="auto"/>
        <w:left w:val="none" w:sz="0" w:space="0" w:color="auto"/>
        <w:bottom w:val="none" w:sz="0" w:space="0" w:color="auto"/>
        <w:right w:val="none" w:sz="0" w:space="0" w:color="auto"/>
      </w:divBdr>
    </w:div>
    <w:div w:id="714042295">
      <w:bodyDiv w:val="1"/>
      <w:marLeft w:val="0"/>
      <w:marRight w:val="0"/>
      <w:marTop w:val="0"/>
      <w:marBottom w:val="0"/>
      <w:divBdr>
        <w:top w:val="none" w:sz="0" w:space="0" w:color="auto"/>
        <w:left w:val="none" w:sz="0" w:space="0" w:color="auto"/>
        <w:bottom w:val="none" w:sz="0" w:space="0" w:color="auto"/>
        <w:right w:val="none" w:sz="0" w:space="0" w:color="auto"/>
      </w:divBdr>
    </w:div>
    <w:div w:id="715200399">
      <w:bodyDiv w:val="1"/>
      <w:marLeft w:val="0"/>
      <w:marRight w:val="0"/>
      <w:marTop w:val="0"/>
      <w:marBottom w:val="0"/>
      <w:divBdr>
        <w:top w:val="none" w:sz="0" w:space="0" w:color="auto"/>
        <w:left w:val="none" w:sz="0" w:space="0" w:color="auto"/>
        <w:bottom w:val="none" w:sz="0" w:space="0" w:color="auto"/>
        <w:right w:val="none" w:sz="0" w:space="0" w:color="auto"/>
      </w:divBdr>
    </w:div>
    <w:div w:id="715394160">
      <w:bodyDiv w:val="1"/>
      <w:marLeft w:val="0"/>
      <w:marRight w:val="0"/>
      <w:marTop w:val="0"/>
      <w:marBottom w:val="0"/>
      <w:divBdr>
        <w:top w:val="none" w:sz="0" w:space="0" w:color="auto"/>
        <w:left w:val="none" w:sz="0" w:space="0" w:color="auto"/>
        <w:bottom w:val="none" w:sz="0" w:space="0" w:color="auto"/>
        <w:right w:val="none" w:sz="0" w:space="0" w:color="auto"/>
      </w:divBdr>
    </w:div>
    <w:div w:id="716122603">
      <w:bodyDiv w:val="1"/>
      <w:marLeft w:val="0"/>
      <w:marRight w:val="0"/>
      <w:marTop w:val="0"/>
      <w:marBottom w:val="0"/>
      <w:divBdr>
        <w:top w:val="none" w:sz="0" w:space="0" w:color="auto"/>
        <w:left w:val="none" w:sz="0" w:space="0" w:color="auto"/>
        <w:bottom w:val="none" w:sz="0" w:space="0" w:color="auto"/>
        <w:right w:val="none" w:sz="0" w:space="0" w:color="auto"/>
      </w:divBdr>
    </w:div>
    <w:div w:id="716512194">
      <w:bodyDiv w:val="1"/>
      <w:marLeft w:val="0"/>
      <w:marRight w:val="0"/>
      <w:marTop w:val="0"/>
      <w:marBottom w:val="0"/>
      <w:divBdr>
        <w:top w:val="none" w:sz="0" w:space="0" w:color="auto"/>
        <w:left w:val="none" w:sz="0" w:space="0" w:color="auto"/>
        <w:bottom w:val="none" w:sz="0" w:space="0" w:color="auto"/>
        <w:right w:val="none" w:sz="0" w:space="0" w:color="auto"/>
      </w:divBdr>
    </w:div>
    <w:div w:id="716854535">
      <w:bodyDiv w:val="1"/>
      <w:marLeft w:val="0"/>
      <w:marRight w:val="0"/>
      <w:marTop w:val="0"/>
      <w:marBottom w:val="0"/>
      <w:divBdr>
        <w:top w:val="none" w:sz="0" w:space="0" w:color="auto"/>
        <w:left w:val="none" w:sz="0" w:space="0" w:color="auto"/>
        <w:bottom w:val="none" w:sz="0" w:space="0" w:color="auto"/>
        <w:right w:val="none" w:sz="0" w:space="0" w:color="auto"/>
      </w:divBdr>
    </w:div>
    <w:div w:id="718480721">
      <w:bodyDiv w:val="1"/>
      <w:marLeft w:val="0"/>
      <w:marRight w:val="0"/>
      <w:marTop w:val="0"/>
      <w:marBottom w:val="0"/>
      <w:divBdr>
        <w:top w:val="none" w:sz="0" w:space="0" w:color="auto"/>
        <w:left w:val="none" w:sz="0" w:space="0" w:color="auto"/>
        <w:bottom w:val="none" w:sz="0" w:space="0" w:color="auto"/>
        <w:right w:val="none" w:sz="0" w:space="0" w:color="auto"/>
      </w:divBdr>
    </w:div>
    <w:div w:id="719747112">
      <w:bodyDiv w:val="1"/>
      <w:marLeft w:val="0"/>
      <w:marRight w:val="0"/>
      <w:marTop w:val="0"/>
      <w:marBottom w:val="0"/>
      <w:divBdr>
        <w:top w:val="none" w:sz="0" w:space="0" w:color="auto"/>
        <w:left w:val="none" w:sz="0" w:space="0" w:color="auto"/>
        <w:bottom w:val="none" w:sz="0" w:space="0" w:color="auto"/>
        <w:right w:val="none" w:sz="0" w:space="0" w:color="auto"/>
      </w:divBdr>
    </w:div>
    <w:div w:id="719863833">
      <w:bodyDiv w:val="1"/>
      <w:marLeft w:val="0"/>
      <w:marRight w:val="0"/>
      <w:marTop w:val="0"/>
      <w:marBottom w:val="0"/>
      <w:divBdr>
        <w:top w:val="none" w:sz="0" w:space="0" w:color="auto"/>
        <w:left w:val="none" w:sz="0" w:space="0" w:color="auto"/>
        <w:bottom w:val="none" w:sz="0" w:space="0" w:color="auto"/>
        <w:right w:val="none" w:sz="0" w:space="0" w:color="auto"/>
      </w:divBdr>
    </w:div>
    <w:div w:id="720515014">
      <w:bodyDiv w:val="1"/>
      <w:marLeft w:val="0"/>
      <w:marRight w:val="0"/>
      <w:marTop w:val="0"/>
      <w:marBottom w:val="0"/>
      <w:divBdr>
        <w:top w:val="none" w:sz="0" w:space="0" w:color="auto"/>
        <w:left w:val="none" w:sz="0" w:space="0" w:color="auto"/>
        <w:bottom w:val="none" w:sz="0" w:space="0" w:color="auto"/>
        <w:right w:val="none" w:sz="0" w:space="0" w:color="auto"/>
      </w:divBdr>
    </w:div>
    <w:div w:id="721292287">
      <w:bodyDiv w:val="1"/>
      <w:marLeft w:val="0"/>
      <w:marRight w:val="0"/>
      <w:marTop w:val="0"/>
      <w:marBottom w:val="0"/>
      <w:divBdr>
        <w:top w:val="none" w:sz="0" w:space="0" w:color="auto"/>
        <w:left w:val="none" w:sz="0" w:space="0" w:color="auto"/>
        <w:bottom w:val="none" w:sz="0" w:space="0" w:color="auto"/>
        <w:right w:val="none" w:sz="0" w:space="0" w:color="auto"/>
      </w:divBdr>
    </w:div>
    <w:div w:id="721759463">
      <w:bodyDiv w:val="1"/>
      <w:marLeft w:val="0"/>
      <w:marRight w:val="0"/>
      <w:marTop w:val="0"/>
      <w:marBottom w:val="0"/>
      <w:divBdr>
        <w:top w:val="none" w:sz="0" w:space="0" w:color="auto"/>
        <w:left w:val="none" w:sz="0" w:space="0" w:color="auto"/>
        <w:bottom w:val="none" w:sz="0" w:space="0" w:color="auto"/>
        <w:right w:val="none" w:sz="0" w:space="0" w:color="auto"/>
      </w:divBdr>
    </w:div>
    <w:div w:id="721830705">
      <w:bodyDiv w:val="1"/>
      <w:marLeft w:val="0"/>
      <w:marRight w:val="0"/>
      <w:marTop w:val="0"/>
      <w:marBottom w:val="0"/>
      <w:divBdr>
        <w:top w:val="none" w:sz="0" w:space="0" w:color="auto"/>
        <w:left w:val="none" w:sz="0" w:space="0" w:color="auto"/>
        <w:bottom w:val="none" w:sz="0" w:space="0" w:color="auto"/>
        <w:right w:val="none" w:sz="0" w:space="0" w:color="auto"/>
      </w:divBdr>
    </w:div>
    <w:div w:id="724373096">
      <w:bodyDiv w:val="1"/>
      <w:marLeft w:val="0"/>
      <w:marRight w:val="0"/>
      <w:marTop w:val="0"/>
      <w:marBottom w:val="0"/>
      <w:divBdr>
        <w:top w:val="none" w:sz="0" w:space="0" w:color="auto"/>
        <w:left w:val="none" w:sz="0" w:space="0" w:color="auto"/>
        <w:bottom w:val="none" w:sz="0" w:space="0" w:color="auto"/>
        <w:right w:val="none" w:sz="0" w:space="0" w:color="auto"/>
      </w:divBdr>
    </w:div>
    <w:div w:id="724449124">
      <w:bodyDiv w:val="1"/>
      <w:marLeft w:val="0"/>
      <w:marRight w:val="0"/>
      <w:marTop w:val="0"/>
      <w:marBottom w:val="0"/>
      <w:divBdr>
        <w:top w:val="none" w:sz="0" w:space="0" w:color="auto"/>
        <w:left w:val="none" w:sz="0" w:space="0" w:color="auto"/>
        <w:bottom w:val="none" w:sz="0" w:space="0" w:color="auto"/>
        <w:right w:val="none" w:sz="0" w:space="0" w:color="auto"/>
      </w:divBdr>
    </w:div>
    <w:div w:id="724721257">
      <w:bodyDiv w:val="1"/>
      <w:marLeft w:val="0"/>
      <w:marRight w:val="0"/>
      <w:marTop w:val="0"/>
      <w:marBottom w:val="0"/>
      <w:divBdr>
        <w:top w:val="none" w:sz="0" w:space="0" w:color="auto"/>
        <w:left w:val="none" w:sz="0" w:space="0" w:color="auto"/>
        <w:bottom w:val="none" w:sz="0" w:space="0" w:color="auto"/>
        <w:right w:val="none" w:sz="0" w:space="0" w:color="auto"/>
      </w:divBdr>
    </w:div>
    <w:div w:id="724913068">
      <w:bodyDiv w:val="1"/>
      <w:marLeft w:val="0"/>
      <w:marRight w:val="0"/>
      <w:marTop w:val="0"/>
      <w:marBottom w:val="0"/>
      <w:divBdr>
        <w:top w:val="none" w:sz="0" w:space="0" w:color="auto"/>
        <w:left w:val="none" w:sz="0" w:space="0" w:color="auto"/>
        <w:bottom w:val="none" w:sz="0" w:space="0" w:color="auto"/>
        <w:right w:val="none" w:sz="0" w:space="0" w:color="auto"/>
      </w:divBdr>
    </w:div>
    <w:div w:id="725691099">
      <w:bodyDiv w:val="1"/>
      <w:marLeft w:val="0"/>
      <w:marRight w:val="0"/>
      <w:marTop w:val="0"/>
      <w:marBottom w:val="0"/>
      <w:divBdr>
        <w:top w:val="none" w:sz="0" w:space="0" w:color="auto"/>
        <w:left w:val="none" w:sz="0" w:space="0" w:color="auto"/>
        <w:bottom w:val="none" w:sz="0" w:space="0" w:color="auto"/>
        <w:right w:val="none" w:sz="0" w:space="0" w:color="auto"/>
      </w:divBdr>
    </w:div>
    <w:div w:id="725952520">
      <w:bodyDiv w:val="1"/>
      <w:marLeft w:val="0"/>
      <w:marRight w:val="0"/>
      <w:marTop w:val="0"/>
      <w:marBottom w:val="0"/>
      <w:divBdr>
        <w:top w:val="none" w:sz="0" w:space="0" w:color="auto"/>
        <w:left w:val="none" w:sz="0" w:space="0" w:color="auto"/>
        <w:bottom w:val="none" w:sz="0" w:space="0" w:color="auto"/>
        <w:right w:val="none" w:sz="0" w:space="0" w:color="auto"/>
      </w:divBdr>
    </w:div>
    <w:div w:id="726414909">
      <w:bodyDiv w:val="1"/>
      <w:marLeft w:val="0"/>
      <w:marRight w:val="0"/>
      <w:marTop w:val="0"/>
      <w:marBottom w:val="0"/>
      <w:divBdr>
        <w:top w:val="none" w:sz="0" w:space="0" w:color="auto"/>
        <w:left w:val="none" w:sz="0" w:space="0" w:color="auto"/>
        <w:bottom w:val="none" w:sz="0" w:space="0" w:color="auto"/>
        <w:right w:val="none" w:sz="0" w:space="0" w:color="auto"/>
      </w:divBdr>
    </w:div>
    <w:div w:id="729575107">
      <w:bodyDiv w:val="1"/>
      <w:marLeft w:val="0"/>
      <w:marRight w:val="0"/>
      <w:marTop w:val="0"/>
      <w:marBottom w:val="0"/>
      <w:divBdr>
        <w:top w:val="none" w:sz="0" w:space="0" w:color="auto"/>
        <w:left w:val="none" w:sz="0" w:space="0" w:color="auto"/>
        <w:bottom w:val="none" w:sz="0" w:space="0" w:color="auto"/>
        <w:right w:val="none" w:sz="0" w:space="0" w:color="auto"/>
      </w:divBdr>
    </w:div>
    <w:div w:id="729691861">
      <w:bodyDiv w:val="1"/>
      <w:marLeft w:val="0"/>
      <w:marRight w:val="0"/>
      <w:marTop w:val="0"/>
      <w:marBottom w:val="0"/>
      <w:divBdr>
        <w:top w:val="none" w:sz="0" w:space="0" w:color="auto"/>
        <w:left w:val="none" w:sz="0" w:space="0" w:color="auto"/>
        <w:bottom w:val="none" w:sz="0" w:space="0" w:color="auto"/>
        <w:right w:val="none" w:sz="0" w:space="0" w:color="auto"/>
      </w:divBdr>
    </w:div>
    <w:div w:id="730228249">
      <w:bodyDiv w:val="1"/>
      <w:marLeft w:val="0"/>
      <w:marRight w:val="0"/>
      <w:marTop w:val="0"/>
      <w:marBottom w:val="0"/>
      <w:divBdr>
        <w:top w:val="none" w:sz="0" w:space="0" w:color="auto"/>
        <w:left w:val="none" w:sz="0" w:space="0" w:color="auto"/>
        <w:bottom w:val="none" w:sz="0" w:space="0" w:color="auto"/>
        <w:right w:val="none" w:sz="0" w:space="0" w:color="auto"/>
      </w:divBdr>
    </w:div>
    <w:div w:id="731461933">
      <w:bodyDiv w:val="1"/>
      <w:marLeft w:val="0"/>
      <w:marRight w:val="0"/>
      <w:marTop w:val="0"/>
      <w:marBottom w:val="0"/>
      <w:divBdr>
        <w:top w:val="none" w:sz="0" w:space="0" w:color="auto"/>
        <w:left w:val="none" w:sz="0" w:space="0" w:color="auto"/>
        <w:bottom w:val="none" w:sz="0" w:space="0" w:color="auto"/>
        <w:right w:val="none" w:sz="0" w:space="0" w:color="auto"/>
      </w:divBdr>
    </w:div>
    <w:div w:id="731584836">
      <w:bodyDiv w:val="1"/>
      <w:marLeft w:val="0"/>
      <w:marRight w:val="0"/>
      <w:marTop w:val="0"/>
      <w:marBottom w:val="0"/>
      <w:divBdr>
        <w:top w:val="none" w:sz="0" w:space="0" w:color="auto"/>
        <w:left w:val="none" w:sz="0" w:space="0" w:color="auto"/>
        <w:bottom w:val="none" w:sz="0" w:space="0" w:color="auto"/>
        <w:right w:val="none" w:sz="0" w:space="0" w:color="auto"/>
      </w:divBdr>
    </w:div>
    <w:div w:id="732852353">
      <w:bodyDiv w:val="1"/>
      <w:marLeft w:val="0"/>
      <w:marRight w:val="0"/>
      <w:marTop w:val="0"/>
      <w:marBottom w:val="0"/>
      <w:divBdr>
        <w:top w:val="none" w:sz="0" w:space="0" w:color="auto"/>
        <w:left w:val="none" w:sz="0" w:space="0" w:color="auto"/>
        <w:bottom w:val="none" w:sz="0" w:space="0" w:color="auto"/>
        <w:right w:val="none" w:sz="0" w:space="0" w:color="auto"/>
      </w:divBdr>
    </w:div>
    <w:div w:id="733695283">
      <w:bodyDiv w:val="1"/>
      <w:marLeft w:val="0"/>
      <w:marRight w:val="0"/>
      <w:marTop w:val="0"/>
      <w:marBottom w:val="0"/>
      <w:divBdr>
        <w:top w:val="none" w:sz="0" w:space="0" w:color="auto"/>
        <w:left w:val="none" w:sz="0" w:space="0" w:color="auto"/>
        <w:bottom w:val="none" w:sz="0" w:space="0" w:color="auto"/>
        <w:right w:val="none" w:sz="0" w:space="0" w:color="auto"/>
      </w:divBdr>
    </w:div>
    <w:div w:id="735322919">
      <w:bodyDiv w:val="1"/>
      <w:marLeft w:val="0"/>
      <w:marRight w:val="0"/>
      <w:marTop w:val="0"/>
      <w:marBottom w:val="0"/>
      <w:divBdr>
        <w:top w:val="none" w:sz="0" w:space="0" w:color="auto"/>
        <w:left w:val="none" w:sz="0" w:space="0" w:color="auto"/>
        <w:bottom w:val="none" w:sz="0" w:space="0" w:color="auto"/>
        <w:right w:val="none" w:sz="0" w:space="0" w:color="auto"/>
      </w:divBdr>
    </w:div>
    <w:div w:id="735857706">
      <w:bodyDiv w:val="1"/>
      <w:marLeft w:val="0"/>
      <w:marRight w:val="0"/>
      <w:marTop w:val="0"/>
      <w:marBottom w:val="0"/>
      <w:divBdr>
        <w:top w:val="none" w:sz="0" w:space="0" w:color="auto"/>
        <w:left w:val="none" w:sz="0" w:space="0" w:color="auto"/>
        <w:bottom w:val="none" w:sz="0" w:space="0" w:color="auto"/>
        <w:right w:val="none" w:sz="0" w:space="0" w:color="auto"/>
      </w:divBdr>
    </w:div>
    <w:div w:id="736439154">
      <w:bodyDiv w:val="1"/>
      <w:marLeft w:val="0"/>
      <w:marRight w:val="0"/>
      <w:marTop w:val="0"/>
      <w:marBottom w:val="0"/>
      <w:divBdr>
        <w:top w:val="none" w:sz="0" w:space="0" w:color="auto"/>
        <w:left w:val="none" w:sz="0" w:space="0" w:color="auto"/>
        <w:bottom w:val="none" w:sz="0" w:space="0" w:color="auto"/>
        <w:right w:val="none" w:sz="0" w:space="0" w:color="auto"/>
      </w:divBdr>
    </w:div>
    <w:div w:id="736901762">
      <w:bodyDiv w:val="1"/>
      <w:marLeft w:val="0"/>
      <w:marRight w:val="0"/>
      <w:marTop w:val="0"/>
      <w:marBottom w:val="0"/>
      <w:divBdr>
        <w:top w:val="none" w:sz="0" w:space="0" w:color="auto"/>
        <w:left w:val="none" w:sz="0" w:space="0" w:color="auto"/>
        <w:bottom w:val="none" w:sz="0" w:space="0" w:color="auto"/>
        <w:right w:val="none" w:sz="0" w:space="0" w:color="auto"/>
      </w:divBdr>
    </w:div>
    <w:div w:id="736978649">
      <w:bodyDiv w:val="1"/>
      <w:marLeft w:val="0"/>
      <w:marRight w:val="0"/>
      <w:marTop w:val="0"/>
      <w:marBottom w:val="0"/>
      <w:divBdr>
        <w:top w:val="none" w:sz="0" w:space="0" w:color="auto"/>
        <w:left w:val="none" w:sz="0" w:space="0" w:color="auto"/>
        <w:bottom w:val="none" w:sz="0" w:space="0" w:color="auto"/>
        <w:right w:val="none" w:sz="0" w:space="0" w:color="auto"/>
      </w:divBdr>
    </w:div>
    <w:div w:id="737048074">
      <w:bodyDiv w:val="1"/>
      <w:marLeft w:val="0"/>
      <w:marRight w:val="0"/>
      <w:marTop w:val="0"/>
      <w:marBottom w:val="0"/>
      <w:divBdr>
        <w:top w:val="none" w:sz="0" w:space="0" w:color="auto"/>
        <w:left w:val="none" w:sz="0" w:space="0" w:color="auto"/>
        <w:bottom w:val="none" w:sz="0" w:space="0" w:color="auto"/>
        <w:right w:val="none" w:sz="0" w:space="0" w:color="auto"/>
      </w:divBdr>
    </w:div>
    <w:div w:id="737477601">
      <w:bodyDiv w:val="1"/>
      <w:marLeft w:val="0"/>
      <w:marRight w:val="0"/>
      <w:marTop w:val="0"/>
      <w:marBottom w:val="0"/>
      <w:divBdr>
        <w:top w:val="none" w:sz="0" w:space="0" w:color="auto"/>
        <w:left w:val="none" w:sz="0" w:space="0" w:color="auto"/>
        <w:bottom w:val="none" w:sz="0" w:space="0" w:color="auto"/>
        <w:right w:val="none" w:sz="0" w:space="0" w:color="auto"/>
      </w:divBdr>
    </w:div>
    <w:div w:id="737869892">
      <w:bodyDiv w:val="1"/>
      <w:marLeft w:val="0"/>
      <w:marRight w:val="0"/>
      <w:marTop w:val="0"/>
      <w:marBottom w:val="0"/>
      <w:divBdr>
        <w:top w:val="none" w:sz="0" w:space="0" w:color="auto"/>
        <w:left w:val="none" w:sz="0" w:space="0" w:color="auto"/>
        <w:bottom w:val="none" w:sz="0" w:space="0" w:color="auto"/>
        <w:right w:val="none" w:sz="0" w:space="0" w:color="auto"/>
      </w:divBdr>
    </w:div>
    <w:div w:id="737901642">
      <w:bodyDiv w:val="1"/>
      <w:marLeft w:val="0"/>
      <w:marRight w:val="0"/>
      <w:marTop w:val="0"/>
      <w:marBottom w:val="0"/>
      <w:divBdr>
        <w:top w:val="none" w:sz="0" w:space="0" w:color="auto"/>
        <w:left w:val="none" w:sz="0" w:space="0" w:color="auto"/>
        <w:bottom w:val="none" w:sz="0" w:space="0" w:color="auto"/>
        <w:right w:val="none" w:sz="0" w:space="0" w:color="auto"/>
      </w:divBdr>
    </w:div>
    <w:div w:id="740833626">
      <w:bodyDiv w:val="1"/>
      <w:marLeft w:val="0"/>
      <w:marRight w:val="0"/>
      <w:marTop w:val="0"/>
      <w:marBottom w:val="0"/>
      <w:divBdr>
        <w:top w:val="none" w:sz="0" w:space="0" w:color="auto"/>
        <w:left w:val="none" w:sz="0" w:space="0" w:color="auto"/>
        <w:bottom w:val="none" w:sz="0" w:space="0" w:color="auto"/>
        <w:right w:val="none" w:sz="0" w:space="0" w:color="auto"/>
      </w:divBdr>
    </w:div>
    <w:div w:id="741027173">
      <w:bodyDiv w:val="1"/>
      <w:marLeft w:val="0"/>
      <w:marRight w:val="0"/>
      <w:marTop w:val="0"/>
      <w:marBottom w:val="0"/>
      <w:divBdr>
        <w:top w:val="none" w:sz="0" w:space="0" w:color="auto"/>
        <w:left w:val="none" w:sz="0" w:space="0" w:color="auto"/>
        <w:bottom w:val="none" w:sz="0" w:space="0" w:color="auto"/>
        <w:right w:val="none" w:sz="0" w:space="0" w:color="auto"/>
      </w:divBdr>
    </w:div>
    <w:div w:id="741290657">
      <w:bodyDiv w:val="1"/>
      <w:marLeft w:val="0"/>
      <w:marRight w:val="0"/>
      <w:marTop w:val="0"/>
      <w:marBottom w:val="0"/>
      <w:divBdr>
        <w:top w:val="none" w:sz="0" w:space="0" w:color="auto"/>
        <w:left w:val="none" w:sz="0" w:space="0" w:color="auto"/>
        <w:bottom w:val="none" w:sz="0" w:space="0" w:color="auto"/>
        <w:right w:val="none" w:sz="0" w:space="0" w:color="auto"/>
      </w:divBdr>
    </w:div>
    <w:div w:id="741756187">
      <w:bodyDiv w:val="1"/>
      <w:marLeft w:val="0"/>
      <w:marRight w:val="0"/>
      <w:marTop w:val="0"/>
      <w:marBottom w:val="0"/>
      <w:divBdr>
        <w:top w:val="none" w:sz="0" w:space="0" w:color="auto"/>
        <w:left w:val="none" w:sz="0" w:space="0" w:color="auto"/>
        <w:bottom w:val="none" w:sz="0" w:space="0" w:color="auto"/>
        <w:right w:val="none" w:sz="0" w:space="0" w:color="auto"/>
      </w:divBdr>
    </w:div>
    <w:div w:id="743181609">
      <w:bodyDiv w:val="1"/>
      <w:marLeft w:val="0"/>
      <w:marRight w:val="0"/>
      <w:marTop w:val="0"/>
      <w:marBottom w:val="0"/>
      <w:divBdr>
        <w:top w:val="none" w:sz="0" w:space="0" w:color="auto"/>
        <w:left w:val="none" w:sz="0" w:space="0" w:color="auto"/>
        <w:bottom w:val="none" w:sz="0" w:space="0" w:color="auto"/>
        <w:right w:val="none" w:sz="0" w:space="0" w:color="auto"/>
      </w:divBdr>
    </w:div>
    <w:div w:id="744035880">
      <w:bodyDiv w:val="1"/>
      <w:marLeft w:val="0"/>
      <w:marRight w:val="0"/>
      <w:marTop w:val="0"/>
      <w:marBottom w:val="0"/>
      <w:divBdr>
        <w:top w:val="none" w:sz="0" w:space="0" w:color="auto"/>
        <w:left w:val="none" w:sz="0" w:space="0" w:color="auto"/>
        <w:bottom w:val="none" w:sz="0" w:space="0" w:color="auto"/>
        <w:right w:val="none" w:sz="0" w:space="0" w:color="auto"/>
      </w:divBdr>
    </w:div>
    <w:div w:id="744566717">
      <w:bodyDiv w:val="1"/>
      <w:marLeft w:val="0"/>
      <w:marRight w:val="0"/>
      <w:marTop w:val="0"/>
      <w:marBottom w:val="0"/>
      <w:divBdr>
        <w:top w:val="none" w:sz="0" w:space="0" w:color="auto"/>
        <w:left w:val="none" w:sz="0" w:space="0" w:color="auto"/>
        <w:bottom w:val="none" w:sz="0" w:space="0" w:color="auto"/>
        <w:right w:val="none" w:sz="0" w:space="0" w:color="auto"/>
      </w:divBdr>
    </w:div>
    <w:div w:id="744763567">
      <w:bodyDiv w:val="1"/>
      <w:marLeft w:val="0"/>
      <w:marRight w:val="0"/>
      <w:marTop w:val="0"/>
      <w:marBottom w:val="0"/>
      <w:divBdr>
        <w:top w:val="none" w:sz="0" w:space="0" w:color="auto"/>
        <w:left w:val="none" w:sz="0" w:space="0" w:color="auto"/>
        <w:bottom w:val="none" w:sz="0" w:space="0" w:color="auto"/>
        <w:right w:val="none" w:sz="0" w:space="0" w:color="auto"/>
      </w:divBdr>
    </w:div>
    <w:div w:id="745880906">
      <w:bodyDiv w:val="1"/>
      <w:marLeft w:val="0"/>
      <w:marRight w:val="0"/>
      <w:marTop w:val="0"/>
      <w:marBottom w:val="0"/>
      <w:divBdr>
        <w:top w:val="none" w:sz="0" w:space="0" w:color="auto"/>
        <w:left w:val="none" w:sz="0" w:space="0" w:color="auto"/>
        <w:bottom w:val="none" w:sz="0" w:space="0" w:color="auto"/>
        <w:right w:val="none" w:sz="0" w:space="0" w:color="auto"/>
      </w:divBdr>
    </w:div>
    <w:div w:id="746656727">
      <w:bodyDiv w:val="1"/>
      <w:marLeft w:val="0"/>
      <w:marRight w:val="0"/>
      <w:marTop w:val="0"/>
      <w:marBottom w:val="0"/>
      <w:divBdr>
        <w:top w:val="none" w:sz="0" w:space="0" w:color="auto"/>
        <w:left w:val="none" w:sz="0" w:space="0" w:color="auto"/>
        <w:bottom w:val="none" w:sz="0" w:space="0" w:color="auto"/>
        <w:right w:val="none" w:sz="0" w:space="0" w:color="auto"/>
      </w:divBdr>
    </w:div>
    <w:div w:id="746682737">
      <w:bodyDiv w:val="1"/>
      <w:marLeft w:val="0"/>
      <w:marRight w:val="0"/>
      <w:marTop w:val="0"/>
      <w:marBottom w:val="0"/>
      <w:divBdr>
        <w:top w:val="none" w:sz="0" w:space="0" w:color="auto"/>
        <w:left w:val="none" w:sz="0" w:space="0" w:color="auto"/>
        <w:bottom w:val="none" w:sz="0" w:space="0" w:color="auto"/>
        <w:right w:val="none" w:sz="0" w:space="0" w:color="auto"/>
      </w:divBdr>
    </w:div>
    <w:div w:id="747113995">
      <w:bodyDiv w:val="1"/>
      <w:marLeft w:val="0"/>
      <w:marRight w:val="0"/>
      <w:marTop w:val="0"/>
      <w:marBottom w:val="0"/>
      <w:divBdr>
        <w:top w:val="none" w:sz="0" w:space="0" w:color="auto"/>
        <w:left w:val="none" w:sz="0" w:space="0" w:color="auto"/>
        <w:bottom w:val="none" w:sz="0" w:space="0" w:color="auto"/>
        <w:right w:val="none" w:sz="0" w:space="0" w:color="auto"/>
      </w:divBdr>
    </w:div>
    <w:div w:id="747458395">
      <w:bodyDiv w:val="1"/>
      <w:marLeft w:val="0"/>
      <w:marRight w:val="0"/>
      <w:marTop w:val="0"/>
      <w:marBottom w:val="0"/>
      <w:divBdr>
        <w:top w:val="none" w:sz="0" w:space="0" w:color="auto"/>
        <w:left w:val="none" w:sz="0" w:space="0" w:color="auto"/>
        <w:bottom w:val="none" w:sz="0" w:space="0" w:color="auto"/>
        <w:right w:val="none" w:sz="0" w:space="0" w:color="auto"/>
      </w:divBdr>
    </w:div>
    <w:div w:id="748424190">
      <w:bodyDiv w:val="1"/>
      <w:marLeft w:val="0"/>
      <w:marRight w:val="0"/>
      <w:marTop w:val="0"/>
      <w:marBottom w:val="0"/>
      <w:divBdr>
        <w:top w:val="none" w:sz="0" w:space="0" w:color="auto"/>
        <w:left w:val="none" w:sz="0" w:space="0" w:color="auto"/>
        <w:bottom w:val="none" w:sz="0" w:space="0" w:color="auto"/>
        <w:right w:val="none" w:sz="0" w:space="0" w:color="auto"/>
      </w:divBdr>
    </w:div>
    <w:div w:id="748575541">
      <w:bodyDiv w:val="1"/>
      <w:marLeft w:val="0"/>
      <w:marRight w:val="0"/>
      <w:marTop w:val="0"/>
      <w:marBottom w:val="0"/>
      <w:divBdr>
        <w:top w:val="none" w:sz="0" w:space="0" w:color="auto"/>
        <w:left w:val="none" w:sz="0" w:space="0" w:color="auto"/>
        <w:bottom w:val="none" w:sz="0" w:space="0" w:color="auto"/>
        <w:right w:val="none" w:sz="0" w:space="0" w:color="auto"/>
      </w:divBdr>
    </w:div>
    <w:div w:id="749038354">
      <w:bodyDiv w:val="1"/>
      <w:marLeft w:val="0"/>
      <w:marRight w:val="0"/>
      <w:marTop w:val="0"/>
      <w:marBottom w:val="0"/>
      <w:divBdr>
        <w:top w:val="none" w:sz="0" w:space="0" w:color="auto"/>
        <w:left w:val="none" w:sz="0" w:space="0" w:color="auto"/>
        <w:bottom w:val="none" w:sz="0" w:space="0" w:color="auto"/>
        <w:right w:val="none" w:sz="0" w:space="0" w:color="auto"/>
      </w:divBdr>
    </w:div>
    <w:div w:id="749811366">
      <w:bodyDiv w:val="1"/>
      <w:marLeft w:val="0"/>
      <w:marRight w:val="0"/>
      <w:marTop w:val="0"/>
      <w:marBottom w:val="0"/>
      <w:divBdr>
        <w:top w:val="none" w:sz="0" w:space="0" w:color="auto"/>
        <w:left w:val="none" w:sz="0" w:space="0" w:color="auto"/>
        <w:bottom w:val="none" w:sz="0" w:space="0" w:color="auto"/>
        <w:right w:val="none" w:sz="0" w:space="0" w:color="auto"/>
      </w:divBdr>
    </w:div>
    <w:div w:id="752628810">
      <w:bodyDiv w:val="1"/>
      <w:marLeft w:val="0"/>
      <w:marRight w:val="0"/>
      <w:marTop w:val="0"/>
      <w:marBottom w:val="0"/>
      <w:divBdr>
        <w:top w:val="none" w:sz="0" w:space="0" w:color="auto"/>
        <w:left w:val="none" w:sz="0" w:space="0" w:color="auto"/>
        <w:bottom w:val="none" w:sz="0" w:space="0" w:color="auto"/>
        <w:right w:val="none" w:sz="0" w:space="0" w:color="auto"/>
      </w:divBdr>
    </w:div>
    <w:div w:id="752631974">
      <w:bodyDiv w:val="1"/>
      <w:marLeft w:val="0"/>
      <w:marRight w:val="0"/>
      <w:marTop w:val="0"/>
      <w:marBottom w:val="0"/>
      <w:divBdr>
        <w:top w:val="none" w:sz="0" w:space="0" w:color="auto"/>
        <w:left w:val="none" w:sz="0" w:space="0" w:color="auto"/>
        <w:bottom w:val="none" w:sz="0" w:space="0" w:color="auto"/>
        <w:right w:val="none" w:sz="0" w:space="0" w:color="auto"/>
      </w:divBdr>
    </w:div>
    <w:div w:id="753210909">
      <w:bodyDiv w:val="1"/>
      <w:marLeft w:val="0"/>
      <w:marRight w:val="0"/>
      <w:marTop w:val="0"/>
      <w:marBottom w:val="0"/>
      <w:divBdr>
        <w:top w:val="none" w:sz="0" w:space="0" w:color="auto"/>
        <w:left w:val="none" w:sz="0" w:space="0" w:color="auto"/>
        <w:bottom w:val="none" w:sz="0" w:space="0" w:color="auto"/>
        <w:right w:val="none" w:sz="0" w:space="0" w:color="auto"/>
      </w:divBdr>
    </w:div>
    <w:div w:id="754089441">
      <w:bodyDiv w:val="1"/>
      <w:marLeft w:val="0"/>
      <w:marRight w:val="0"/>
      <w:marTop w:val="0"/>
      <w:marBottom w:val="0"/>
      <w:divBdr>
        <w:top w:val="none" w:sz="0" w:space="0" w:color="auto"/>
        <w:left w:val="none" w:sz="0" w:space="0" w:color="auto"/>
        <w:bottom w:val="none" w:sz="0" w:space="0" w:color="auto"/>
        <w:right w:val="none" w:sz="0" w:space="0" w:color="auto"/>
      </w:divBdr>
    </w:div>
    <w:div w:id="754940207">
      <w:bodyDiv w:val="1"/>
      <w:marLeft w:val="0"/>
      <w:marRight w:val="0"/>
      <w:marTop w:val="0"/>
      <w:marBottom w:val="0"/>
      <w:divBdr>
        <w:top w:val="none" w:sz="0" w:space="0" w:color="auto"/>
        <w:left w:val="none" w:sz="0" w:space="0" w:color="auto"/>
        <w:bottom w:val="none" w:sz="0" w:space="0" w:color="auto"/>
        <w:right w:val="none" w:sz="0" w:space="0" w:color="auto"/>
      </w:divBdr>
    </w:div>
    <w:div w:id="755856646">
      <w:bodyDiv w:val="1"/>
      <w:marLeft w:val="0"/>
      <w:marRight w:val="0"/>
      <w:marTop w:val="0"/>
      <w:marBottom w:val="0"/>
      <w:divBdr>
        <w:top w:val="none" w:sz="0" w:space="0" w:color="auto"/>
        <w:left w:val="none" w:sz="0" w:space="0" w:color="auto"/>
        <w:bottom w:val="none" w:sz="0" w:space="0" w:color="auto"/>
        <w:right w:val="none" w:sz="0" w:space="0" w:color="auto"/>
      </w:divBdr>
    </w:div>
    <w:div w:id="756096605">
      <w:bodyDiv w:val="1"/>
      <w:marLeft w:val="0"/>
      <w:marRight w:val="0"/>
      <w:marTop w:val="0"/>
      <w:marBottom w:val="0"/>
      <w:divBdr>
        <w:top w:val="none" w:sz="0" w:space="0" w:color="auto"/>
        <w:left w:val="none" w:sz="0" w:space="0" w:color="auto"/>
        <w:bottom w:val="none" w:sz="0" w:space="0" w:color="auto"/>
        <w:right w:val="none" w:sz="0" w:space="0" w:color="auto"/>
      </w:divBdr>
    </w:div>
    <w:div w:id="758065432">
      <w:bodyDiv w:val="1"/>
      <w:marLeft w:val="0"/>
      <w:marRight w:val="0"/>
      <w:marTop w:val="0"/>
      <w:marBottom w:val="0"/>
      <w:divBdr>
        <w:top w:val="none" w:sz="0" w:space="0" w:color="auto"/>
        <w:left w:val="none" w:sz="0" w:space="0" w:color="auto"/>
        <w:bottom w:val="none" w:sz="0" w:space="0" w:color="auto"/>
        <w:right w:val="none" w:sz="0" w:space="0" w:color="auto"/>
      </w:divBdr>
    </w:div>
    <w:div w:id="759562863">
      <w:bodyDiv w:val="1"/>
      <w:marLeft w:val="0"/>
      <w:marRight w:val="0"/>
      <w:marTop w:val="0"/>
      <w:marBottom w:val="0"/>
      <w:divBdr>
        <w:top w:val="none" w:sz="0" w:space="0" w:color="auto"/>
        <w:left w:val="none" w:sz="0" w:space="0" w:color="auto"/>
        <w:bottom w:val="none" w:sz="0" w:space="0" w:color="auto"/>
        <w:right w:val="none" w:sz="0" w:space="0" w:color="auto"/>
      </w:divBdr>
    </w:div>
    <w:div w:id="760101782">
      <w:bodyDiv w:val="1"/>
      <w:marLeft w:val="0"/>
      <w:marRight w:val="0"/>
      <w:marTop w:val="0"/>
      <w:marBottom w:val="0"/>
      <w:divBdr>
        <w:top w:val="none" w:sz="0" w:space="0" w:color="auto"/>
        <w:left w:val="none" w:sz="0" w:space="0" w:color="auto"/>
        <w:bottom w:val="none" w:sz="0" w:space="0" w:color="auto"/>
        <w:right w:val="none" w:sz="0" w:space="0" w:color="auto"/>
      </w:divBdr>
    </w:div>
    <w:div w:id="760219203">
      <w:bodyDiv w:val="1"/>
      <w:marLeft w:val="0"/>
      <w:marRight w:val="0"/>
      <w:marTop w:val="0"/>
      <w:marBottom w:val="0"/>
      <w:divBdr>
        <w:top w:val="none" w:sz="0" w:space="0" w:color="auto"/>
        <w:left w:val="none" w:sz="0" w:space="0" w:color="auto"/>
        <w:bottom w:val="none" w:sz="0" w:space="0" w:color="auto"/>
        <w:right w:val="none" w:sz="0" w:space="0" w:color="auto"/>
      </w:divBdr>
    </w:div>
    <w:div w:id="761488571">
      <w:bodyDiv w:val="1"/>
      <w:marLeft w:val="0"/>
      <w:marRight w:val="0"/>
      <w:marTop w:val="0"/>
      <w:marBottom w:val="0"/>
      <w:divBdr>
        <w:top w:val="none" w:sz="0" w:space="0" w:color="auto"/>
        <w:left w:val="none" w:sz="0" w:space="0" w:color="auto"/>
        <w:bottom w:val="none" w:sz="0" w:space="0" w:color="auto"/>
        <w:right w:val="none" w:sz="0" w:space="0" w:color="auto"/>
      </w:divBdr>
    </w:div>
    <w:div w:id="762072467">
      <w:bodyDiv w:val="1"/>
      <w:marLeft w:val="0"/>
      <w:marRight w:val="0"/>
      <w:marTop w:val="0"/>
      <w:marBottom w:val="0"/>
      <w:divBdr>
        <w:top w:val="none" w:sz="0" w:space="0" w:color="auto"/>
        <w:left w:val="none" w:sz="0" w:space="0" w:color="auto"/>
        <w:bottom w:val="none" w:sz="0" w:space="0" w:color="auto"/>
        <w:right w:val="none" w:sz="0" w:space="0" w:color="auto"/>
      </w:divBdr>
    </w:div>
    <w:div w:id="762799040">
      <w:bodyDiv w:val="1"/>
      <w:marLeft w:val="0"/>
      <w:marRight w:val="0"/>
      <w:marTop w:val="0"/>
      <w:marBottom w:val="0"/>
      <w:divBdr>
        <w:top w:val="none" w:sz="0" w:space="0" w:color="auto"/>
        <w:left w:val="none" w:sz="0" w:space="0" w:color="auto"/>
        <w:bottom w:val="none" w:sz="0" w:space="0" w:color="auto"/>
        <w:right w:val="none" w:sz="0" w:space="0" w:color="auto"/>
      </w:divBdr>
    </w:div>
    <w:div w:id="763455566">
      <w:bodyDiv w:val="1"/>
      <w:marLeft w:val="0"/>
      <w:marRight w:val="0"/>
      <w:marTop w:val="0"/>
      <w:marBottom w:val="0"/>
      <w:divBdr>
        <w:top w:val="none" w:sz="0" w:space="0" w:color="auto"/>
        <w:left w:val="none" w:sz="0" w:space="0" w:color="auto"/>
        <w:bottom w:val="none" w:sz="0" w:space="0" w:color="auto"/>
        <w:right w:val="none" w:sz="0" w:space="0" w:color="auto"/>
      </w:divBdr>
    </w:div>
    <w:div w:id="763839566">
      <w:bodyDiv w:val="1"/>
      <w:marLeft w:val="0"/>
      <w:marRight w:val="0"/>
      <w:marTop w:val="0"/>
      <w:marBottom w:val="0"/>
      <w:divBdr>
        <w:top w:val="none" w:sz="0" w:space="0" w:color="auto"/>
        <w:left w:val="none" w:sz="0" w:space="0" w:color="auto"/>
        <w:bottom w:val="none" w:sz="0" w:space="0" w:color="auto"/>
        <w:right w:val="none" w:sz="0" w:space="0" w:color="auto"/>
      </w:divBdr>
    </w:div>
    <w:div w:id="764544552">
      <w:bodyDiv w:val="1"/>
      <w:marLeft w:val="0"/>
      <w:marRight w:val="0"/>
      <w:marTop w:val="0"/>
      <w:marBottom w:val="0"/>
      <w:divBdr>
        <w:top w:val="none" w:sz="0" w:space="0" w:color="auto"/>
        <w:left w:val="none" w:sz="0" w:space="0" w:color="auto"/>
        <w:bottom w:val="none" w:sz="0" w:space="0" w:color="auto"/>
        <w:right w:val="none" w:sz="0" w:space="0" w:color="auto"/>
      </w:divBdr>
    </w:div>
    <w:div w:id="764568319">
      <w:bodyDiv w:val="1"/>
      <w:marLeft w:val="0"/>
      <w:marRight w:val="0"/>
      <w:marTop w:val="0"/>
      <w:marBottom w:val="0"/>
      <w:divBdr>
        <w:top w:val="none" w:sz="0" w:space="0" w:color="auto"/>
        <w:left w:val="none" w:sz="0" w:space="0" w:color="auto"/>
        <w:bottom w:val="none" w:sz="0" w:space="0" w:color="auto"/>
        <w:right w:val="none" w:sz="0" w:space="0" w:color="auto"/>
      </w:divBdr>
    </w:div>
    <w:div w:id="764693861">
      <w:bodyDiv w:val="1"/>
      <w:marLeft w:val="0"/>
      <w:marRight w:val="0"/>
      <w:marTop w:val="0"/>
      <w:marBottom w:val="0"/>
      <w:divBdr>
        <w:top w:val="none" w:sz="0" w:space="0" w:color="auto"/>
        <w:left w:val="none" w:sz="0" w:space="0" w:color="auto"/>
        <w:bottom w:val="none" w:sz="0" w:space="0" w:color="auto"/>
        <w:right w:val="none" w:sz="0" w:space="0" w:color="auto"/>
      </w:divBdr>
    </w:div>
    <w:div w:id="766265518">
      <w:bodyDiv w:val="1"/>
      <w:marLeft w:val="0"/>
      <w:marRight w:val="0"/>
      <w:marTop w:val="0"/>
      <w:marBottom w:val="0"/>
      <w:divBdr>
        <w:top w:val="none" w:sz="0" w:space="0" w:color="auto"/>
        <w:left w:val="none" w:sz="0" w:space="0" w:color="auto"/>
        <w:bottom w:val="none" w:sz="0" w:space="0" w:color="auto"/>
        <w:right w:val="none" w:sz="0" w:space="0" w:color="auto"/>
      </w:divBdr>
    </w:div>
    <w:div w:id="766510745">
      <w:bodyDiv w:val="1"/>
      <w:marLeft w:val="0"/>
      <w:marRight w:val="0"/>
      <w:marTop w:val="0"/>
      <w:marBottom w:val="0"/>
      <w:divBdr>
        <w:top w:val="none" w:sz="0" w:space="0" w:color="auto"/>
        <w:left w:val="none" w:sz="0" w:space="0" w:color="auto"/>
        <w:bottom w:val="none" w:sz="0" w:space="0" w:color="auto"/>
        <w:right w:val="none" w:sz="0" w:space="0" w:color="auto"/>
      </w:divBdr>
    </w:div>
    <w:div w:id="767384267">
      <w:bodyDiv w:val="1"/>
      <w:marLeft w:val="0"/>
      <w:marRight w:val="0"/>
      <w:marTop w:val="0"/>
      <w:marBottom w:val="0"/>
      <w:divBdr>
        <w:top w:val="none" w:sz="0" w:space="0" w:color="auto"/>
        <w:left w:val="none" w:sz="0" w:space="0" w:color="auto"/>
        <w:bottom w:val="none" w:sz="0" w:space="0" w:color="auto"/>
        <w:right w:val="none" w:sz="0" w:space="0" w:color="auto"/>
      </w:divBdr>
    </w:div>
    <w:div w:id="767777813">
      <w:bodyDiv w:val="1"/>
      <w:marLeft w:val="0"/>
      <w:marRight w:val="0"/>
      <w:marTop w:val="0"/>
      <w:marBottom w:val="0"/>
      <w:divBdr>
        <w:top w:val="none" w:sz="0" w:space="0" w:color="auto"/>
        <w:left w:val="none" w:sz="0" w:space="0" w:color="auto"/>
        <w:bottom w:val="none" w:sz="0" w:space="0" w:color="auto"/>
        <w:right w:val="none" w:sz="0" w:space="0" w:color="auto"/>
      </w:divBdr>
    </w:div>
    <w:div w:id="768281531">
      <w:bodyDiv w:val="1"/>
      <w:marLeft w:val="0"/>
      <w:marRight w:val="0"/>
      <w:marTop w:val="0"/>
      <w:marBottom w:val="0"/>
      <w:divBdr>
        <w:top w:val="none" w:sz="0" w:space="0" w:color="auto"/>
        <w:left w:val="none" w:sz="0" w:space="0" w:color="auto"/>
        <w:bottom w:val="none" w:sz="0" w:space="0" w:color="auto"/>
        <w:right w:val="none" w:sz="0" w:space="0" w:color="auto"/>
      </w:divBdr>
    </w:div>
    <w:div w:id="768814802">
      <w:bodyDiv w:val="1"/>
      <w:marLeft w:val="0"/>
      <w:marRight w:val="0"/>
      <w:marTop w:val="0"/>
      <w:marBottom w:val="0"/>
      <w:divBdr>
        <w:top w:val="none" w:sz="0" w:space="0" w:color="auto"/>
        <w:left w:val="none" w:sz="0" w:space="0" w:color="auto"/>
        <w:bottom w:val="none" w:sz="0" w:space="0" w:color="auto"/>
        <w:right w:val="none" w:sz="0" w:space="0" w:color="auto"/>
      </w:divBdr>
    </w:div>
    <w:div w:id="770777776">
      <w:bodyDiv w:val="1"/>
      <w:marLeft w:val="0"/>
      <w:marRight w:val="0"/>
      <w:marTop w:val="0"/>
      <w:marBottom w:val="0"/>
      <w:divBdr>
        <w:top w:val="none" w:sz="0" w:space="0" w:color="auto"/>
        <w:left w:val="none" w:sz="0" w:space="0" w:color="auto"/>
        <w:bottom w:val="none" w:sz="0" w:space="0" w:color="auto"/>
        <w:right w:val="none" w:sz="0" w:space="0" w:color="auto"/>
      </w:divBdr>
    </w:div>
    <w:div w:id="771128266">
      <w:bodyDiv w:val="1"/>
      <w:marLeft w:val="0"/>
      <w:marRight w:val="0"/>
      <w:marTop w:val="0"/>
      <w:marBottom w:val="0"/>
      <w:divBdr>
        <w:top w:val="none" w:sz="0" w:space="0" w:color="auto"/>
        <w:left w:val="none" w:sz="0" w:space="0" w:color="auto"/>
        <w:bottom w:val="none" w:sz="0" w:space="0" w:color="auto"/>
        <w:right w:val="none" w:sz="0" w:space="0" w:color="auto"/>
      </w:divBdr>
    </w:div>
    <w:div w:id="772435437">
      <w:bodyDiv w:val="1"/>
      <w:marLeft w:val="0"/>
      <w:marRight w:val="0"/>
      <w:marTop w:val="0"/>
      <w:marBottom w:val="0"/>
      <w:divBdr>
        <w:top w:val="none" w:sz="0" w:space="0" w:color="auto"/>
        <w:left w:val="none" w:sz="0" w:space="0" w:color="auto"/>
        <w:bottom w:val="none" w:sz="0" w:space="0" w:color="auto"/>
        <w:right w:val="none" w:sz="0" w:space="0" w:color="auto"/>
      </w:divBdr>
    </w:div>
    <w:div w:id="772936331">
      <w:bodyDiv w:val="1"/>
      <w:marLeft w:val="0"/>
      <w:marRight w:val="0"/>
      <w:marTop w:val="0"/>
      <w:marBottom w:val="0"/>
      <w:divBdr>
        <w:top w:val="none" w:sz="0" w:space="0" w:color="auto"/>
        <w:left w:val="none" w:sz="0" w:space="0" w:color="auto"/>
        <w:bottom w:val="none" w:sz="0" w:space="0" w:color="auto"/>
        <w:right w:val="none" w:sz="0" w:space="0" w:color="auto"/>
      </w:divBdr>
    </w:div>
    <w:div w:id="774519236">
      <w:bodyDiv w:val="1"/>
      <w:marLeft w:val="0"/>
      <w:marRight w:val="0"/>
      <w:marTop w:val="0"/>
      <w:marBottom w:val="0"/>
      <w:divBdr>
        <w:top w:val="none" w:sz="0" w:space="0" w:color="auto"/>
        <w:left w:val="none" w:sz="0" w:space="0" w:color="auto"/>
        <w:bottom w:val="none" w:sz="0" w:space="0" w:color="auto"/>
        <w:right w:val="none" w:sz="0" w:space="0" w:color="auto"/>
      </w:divBdr>
    </w:div>
    <w:div w:id="774642899">
      <w:bodyDiv w:val="1"/>
      <w:marLeft w:val="0"/>
      <w:marRight w:val="0"/>
      <w:marTop w:val="0"/>
      <w:marBottom w:val="0"/>
      <w:divBdr>
        <w:top w:val="none" w:sz="0" w:space="0" w:color="auto"/>
        <w:left w:val="none" w:sz="0" w:space="0" w:color="auto"/>
        <w:bottom w:val="none" w:sz="0" w:space="0" w:color="auto"/>
        <w:right w:val="none" w:sz="0" w:space="0" w:color="auto"/>
      </w:divBdr>
    </w:div>
    <w:div w:id="775293974">
      <w:bodyDiv w:val="1"/>
      <w:marLeft w:val="0"/>
      <w:marRight w:val="0"/>
      <w:marTop w:val="0"/>
      <w:marBottom w:val="0"/>
      <w:divBdr>
        <w:top w:val="none" w:sz="0" w:space="0" w:color="auto"/>
        <w:left w:val="none" w:sz="0" w:space="0" w:color="auto"/>
        <w:bottom w:val="none" w:sz="0" w:space="0" w:color="auto"/>
        <w:right w:val="none" w:sz="0" w:space="0" w:color="auto"/>
      </w:divBdr>
    </w:div>
    <w:div w:id="775518824">
      <w:bodyDiv w:val="1"/>
      <w:marLeft w:val="0"/>
      <w:marRight w:val="0"/>
      <w:marTop w:val="0"/>
      <w:marBottom w:val="0"/>
      <w:divBdr>
        <w:top w:val="none" w:sz="0" w:space="0" w:color="auto"/>
        <w:left w:val="none" w:sz="0" w:space="0" w:color="auto"/>
        <w:bottom w:val="none" w:sz="0" w:space="0" w:color="auto"/>
        <w:right w:val="none" w:sz="0" w:space="0" w:color="auto"/>
      </w:divBdr>
    </w:div>
    <w:div w:id="777525760">
      <w:bodyDiv w:val="1"/>
      <w:marLeft w:val="0"/>
      <w:marRight w:val="0"/>
      <w:marTop w:val="0"/>
      <w:marBottom w:val="0"/>
      <w:divBdr>
        <w:top w:val="none" w:sz="0" w:space="0" w:color="auto"/>
        <w:left w:val="none" w:sz="0" w:space="0" w:color="auto"/>
        <w:bottom w:val="none" w:sz="0" w:space="0" w:color="auto"/>
        <w:right w:val="none" w:sz="0" w:space="0" w:color="auto"/>
      </w:divBdr>
      <w:divsChild>
        <w:div w:id="1362979428">
          <w:marLeft w:val="0"/>
          <w:marRight w:val="0"/>
          <w:marTop w:val="0"/>
          <w:marBottom w:val="0"/>
          <w:divBdr>
            <w:top w:val="none" w:sz="0" w:space="0" w:color="auto"/>
            <w:left w:val="none" w:sz="0" w:space="0" w:color="auto"/>
            <w:bottom w:val="none" w:sz="0" w:space="0" w:color="auto"/>
            <w:right w:val="none" w:sz="0" w:space="0" w:color="auto"/>
          </w:divBdr>
          <w:divsChild>
            <w:div w:id="407389244">
              <w:marLeft w:val="0"/>
              <w:marRight w:val="0"/>
              <w:marTop w:val="0"/>
              <w:marBottom w:val="0"/>
              <w:divBdr>
                <w:top w:val="none" w:sz="0" w:space="0" w:color="auto"/>
                <w:left w:val="none" w:sz="0" w:space="0" w:color="auto"/>
                <w:bottom w:val="none" w:sz="0" w:space="0" w:color="auto"/>
                <w:right w:val="none" w:sz="0" w:space="0" w:color="auto"/>
              </w:divBdr>
              <w:divsChild>
                <w:div w:id="2098745240">
                  <w:marLeft w:val="0"/>
                  <w:marRight w:val="0"/>
                  <w:marTop w:val="0"/>
                  <w:marBottom w:val="0"/>
                  <w:divBdr>
                    <w:top w:val="none" w:sz="0" w:space="0" w:color="auto"/>
                    <w:left w:val="none" w:sz="0" w:space="0" w:color="auto"/>
                    <w:bottom w:val="none" w:sz="0" w:space="0" w:color="auto"/>
                    <w:right w:val="none" w:sz="0" w:space="0" w:color="auto"/>
                  </w:divBdr>
                  <w:divsChild>
                    <w:div w:id="96639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875029">
      <w:bodyDiv w:val="1"/>
      <w:marLeft w:val="0"/>
      <w:marRight w:val="0"/>
      <w:marTop w:val="0"/>
      <w:marBottom w:val="0"/>
      <w:divBdr>
        <w:top w:val="none" w:sz="0" w:space="0" w:color="auto"/>
        <w:left w:val="none" w:sz="0" w:space="0" w:color="auto"/>
        <w:bottom w:val="none" w:sz="0" w:space="0" w:color="auto"/>
        <w:right w:val="none" w:sz="0" w:space="0" w:color="auto"/>
      </w:divBdr>
    </w:div>
    <w:div w:id="780999299">
      <w:bodyDiv w:val="1"/>
      <w:marLeft w:val="0"/>
      <w:marRight w:val="0"/>
      <w:marTop w:val="0"/>
      <w:marBottom w:val="0"/>
      <w:divBdr>
        <w:top w:val="none" w:sz="0" w:space="0" w:color="auto"/>
        <w:left w:val="none" w:sz="0" w:space="0" w:color="auto"/>
        <w:bottom w:val="none" w:sz="0" w:space="0" w:color="auto"/>
        <w:right w:val="none" w:sz="0" w:space="0" w:color="auto"/>
      </w:divBdr>
    </w:div>
    <w:div w:id="782110760">
      <w:bodyDiv w:val="1"/>
      <w:marLeft w:val="0"/>
      <w:marRight w:val="0"/>
      <w:marTop w:val="0"/>
      <w:marBottom w:val="0"/>
      <w:divBdr>
        <w:top w:val="none" w:sz="0" w:space="0" w:color="auto"/>
        <w:left w:val="none" w:sz="0" w:space="0" w:color="auto"/>
        <w:bottom w:val="none" w:sz="0" w:space="0" w:color="auto"/>
        <w:right w:val="none" w:sz="0" w:space="0" w:color="auto"/>
      </w:divBdr>
    </w:div>
    <w:div w:id="782111702">
      <w:bodyDiv w:val="1"/>
      <w:marLeft w:val="0"/>
      <w:marRight w:val="0"/>
      <w:marTop w:val="0"/>
      <w:marBottom w:val="0"/>
      <w:divBdr>
        <w:top w:val="none" w:sz="0" w:space="0" w:color="auto"/>
        <w:left w:val="none" w:sz="0" w:space="0" w:color="auto"/>
        <w:bottom w:val="none" w:sz="0" w:space="0" w:color="auto"/>
        <w:right w:val="none" w:sz="0" w:space="0" w:color="auto"/>
      </w:divBdr>
    </w:div>
    <w:div w:id="782500587">
      <w:bodyDiv w:val="1"/>
      <w:marLeft w:val="0"/>
      <w:marRight w:val="0"/>
      <w:marTop w:val="0"/>
      <w:marBottom w:val="0"/>
      <w:divBdr>
        <w:top w:val="none" w:sz="0" w:space="0" w:color="auto"/>
        <w:left w:val="none" w:sz="0" w:space="0" w:color="auto"/>
        <w:bottom w:val="none" w:sz="0" w:space="0" w:color="auto"/>
        <w:right w:val="none" w:sz="0" w:space="0" w:color="auto"/>
      </w:divBdr>
    </w:div>
    <w:div w:id="782572360">
      <w:bodyDiv w:val="1"/>
      <w:marLeft w:val="0"/>
      <w:marRight w:val="0"/>
      <w:marTop w:val="0"/>
      <w:marBottom w:val="0"/>
      <w:divBdr>
        <w:top w:val="none" w:sz="0" w:space="0" w:color="auto"/>
        <w:left w:val="none" w:sz="0" w:space="0" w:color="auto"/>
        <w:bottom w:val="none" w:sz="0" w:space="0" w:color="auto"/>
        <w:right w:val="none" w:sz="0" w:space="0" w:color="auto"/>
      </w:divBdr>
    </w:div>
    <w:div w:id="782774806">
      <w:bodyDiv w:val="1"/>
      <w:marLeft w:val="0"/>
      <w:marRight w:val="0"/>
      <w:marTop w:val="0"/>
      <w:marBottom w:val="0"/>
      <w:divBdr>
        <w:top w:val="none" w:sz="0" w:space="0" w:color="auto"/>
        <w:left w:val="none" w:sz="0" w:space="0" w:color="auto"/>
        <w:bottom w:val="none" w:sz="0" w:space="0" w:color="auto"/>
        <w:right w:val="none" w:sz="0" w:space="0" w:color="auto"/>
      </w:divBdr>
    </w:div>
    <w:div w:id="784471915">
      <w:bodyDiv w:val="1"/>
      <w:marLeft w:val="0"/>
      <w:marRight w:val="0"/>
      <w:marTop w:val="0"/>
      <w:marBottom w:val="0"/>
      <w:divBdr>
        <w:top w:val="none" w:sz="0" w:space="0" w:color="auto"/>
        <w:left w:val="none" w:sz="0" w:space="0" w:color="auto"/>
        <w:bottom w:val="none" w:sz="0" w:space="0" w:color="auto"/>
        <w:right w:val="none" w:sz="0" w:space="0" w:color="auto"/>
      </w:divBdr>
    </w:div>
    <w:div w:id="785393909">
      <w:bodyDiv w:val="1"/>
      <w:marLeft w:val="0"/>
      <w:marRight w:val="0"/>
      <w:marTop w:val="0"/>
      <w:marBottom w:val="0"/>
      <w:divBdr>
        <w:top w:val="none" w:sz="0" w:space="0" w:color="auto"/>
        <w:left w:val="none" w:sz="0" w:space="0" w:color="auto"/>
        <w:bottom w:val="none" w:sz="0" w:space="0" w:color="auto"/>
        <w:right w:val="none" w:sz="0" w:space="0" w:color="auto"/>
      </w:divBdr>
    </w:div>
    <w:div w:id="785394087">
      <w:bodyDiv w:val="1"/>
      <w:marLeft w:val="0"/>
      <w:marRight w:val="0"/>
      <w:marTop w:val="0"/>
      <w:marBottom w:val="0"/>
      <w:divBdr>
        <w:top w:val="none" w:sz="0" w:space="0" w:color="auto"/>
        <w:left w:val="none" w:sz="0" w:space="0" w:color="auto"/>
        <w:bottom w:val="none" w:sz="0" w:space="0" w:color="auto"/>
        <w:right w:val="none" w:sz="0" w:space="0" w:color="auto"/>
      </w:divBdr>
    </w:div>
    <w:div w:id="787162595">
      <w:bodyDiv w:val="1"/>
      <w:marLeft w:val="0"/>
      <w:marRight w:val="0"/>
      <w:marTop w:val="0"/>
      <w:marBottom w:val="0"/>
      <w:divBdr>
        <w:top w:val="none" w:sz="0" w:space="0" w:color="auto"/>
        <w:left w:val="none" w:sz="0" w:space="0" w:color="auto"/>
        <w:bottom w:val="none" w:sz="0" w:space="0" w:color="auto"/>
        <w:right w:val="none" w:sz="0" w:space="0" w:color="auto"/>
      </w:divBdr>
    </w:div>
    <w:div w:id="787310341">
      <w:bodyDiv w:val="1"/>
      <w:marLeft w:val="0"/>
      <w:marRight w:val="0"/>
      <w:marTop w:val="0"/>
      <w:marBottom w:val="0"/>
      <w:divBdr>
        <w:top w:val="none" w:sz="0" w:space="0" w:color="auto"/>
        <w:left w:val="none" w:sz="0" w:space="0" w:color="auto"/>
        <w:bottom w:val="none" w:sz="0" w:space="0" w:color="auto"/>
        <w:right w:val="none" w:sz="0" w:space="0" w:color="auto"/>
      </w:divBdr>
    </w:div>
    <w:div w:id="787504408">
      <w:bodyDiv w:val="1"/>
      <w:marLeft w:val="0"/>
      <w:marRight w:val="0"/>
      <w:marTop w:val="0"/>
      <w:marBottom w:val="0"/>
      <w:divBdr>
        <w:top w:val="none" w:sz="0" w:space="0" w:color="auto"/>
        <w:left w:val="none" w:sz="0" w:space="0" w:color="auto"/>
        <w:bottom w:val="none" w:sz="0" w:space="0" w:color="auto"/>
        <w:right w:val="none" w:sz="0" w:space="0" w:color="auto"/>
      </w:divBdr>
    </w:div>
    <w:div w:id="787703841">
      <w:bodyDiv w:val="1"/>
      <w:marLeft w:val="0"/>
      <w:marRight w:val="0"/>
      <w:marTop w:val="0"/>
      <w:marBottom w:val="0"/>
      <w:divBdr>
        <w:top w:val="none" w:sz="0" w:space="0" w:color="auto"/>
        <w:left w:val="none" w:sz="0" w:space="0" w:color="auto"/>
        <w:bottom w:val="none" w:sz="0" w:space="0" w:color="auto"/>
        <w:right w:val="none" w:sz="0" w:space="0" w:color="auto"/>
      </w:divBdr>
    </w:div>
    <w:div w:id="788747451">
      <w:bodyDiv w:val="1"/>
      <w:marLeft w:val="0"/>
      <w:marRight w:val="0"/>
      <w:marTop w:val="0"/>
      <w:marBottom w:val="0"/>
      <w:divBdr>
        <w:top w:val="none" w:sz="0" w:space="0" w:color="auto"/>
        <w:left w:val="none" w:sz="0" w:space="0" w:color="auto"/>
        <w:bottom w:val="none" w:sz="0" w:space="0" w:color="auto"/>
        <w:right w:val="none" w:sz="0" w:space="0" w:color="auto"/>
      </w:divBdr>
    </w:div>
    <w:div w:id="789007805">
      <w:bodyDiv w:val="1"/>
      <w:marLeft w:val="0"/>
      <w:marRight w:val="0"/>
      <w:marTop w:val="0"/>
      <w:marBottom w:val="0"/>
      <w:divBdr>
        <w:top w:val="none" w:sz="0" w:space="0" w:color="auto"/>
        <w:left w:val="none" w:sz="0" w:space="0" w:color="auto"/>
        <w:bottom w:val="none" w:sz="0" w:space="0" w:color="auto"/>
        <w:right w:val="none" w:sz="0" w:space="0" w:color="auto"/>
      </w:divBdr>
    </w:div>
    <w:div w:id="790048991">
      <w:bodyDiv w:val="1"/>
      <w:marLeft w:val="0"/>
      <w:marRight w:val="0"/>
      <w:marTop w:val="0"/>
      <w:marBottom w:val="0"/>
      <w:divBdr>
        <w:top w:val="none" w:sz="0" w:space="0" w:color="auto"/>
        <w:left w:val="none" w:sz="0" w:space="0" w:color="auto"/>
        <w:bottom w:val="none" w:sz="0" w:space="0" w:color="auto"/>
        <w:right w:val="none" w:sz="0" w:space="0" w:color="auto"/>
      </w:divBdr>
    </w:div>
    <w:div w:id="790440277">
      <w:bodyDiv w:val="1"/>
      <w:marLeft w:val="0"/>
      <w:marRight w:val="0"/>
      <w:marTop w:val="0"/>
      <w:marBottom w:val="0"/>
      <w:divBdr>
        <w:top w:val="none" w:sz="0" w:space="0" w:color="auto"/>
        <w:left w:val="none" w:sz="0" w:space="0" w:color="auto"/>
        <w:bottom w:val="none" w:sz="0" w:space="0" w:color="auto"/>
        <w:right w:val="none" w:sz="0" w:space="0" w:color="auto"/>
      </w:divBdr>
    </w:div>
    <w:div w:id="790788171">
      <w:bodyDiv w:val="1"/>
      <w:marLeft w:val="0"/>
      <w:marRight w:val="0"/>
      <w:marTop w:val="0"/>
      <w:marBottom w:val="0"/>
      <w:divBdr>
        <w:top w:val="none" w:sz="0" w:space="0" w:color="auto"/>
        <w:left w:val="none" w:sz="0" w:space="0" w:color="auto"/>
        <w:bottom w:val="none" w:sz="0" w:space="0" w:color="auto"/>
        <w:right w:val="none" w:sz="0" w:space="0" w:color="auto"/>
      </w:divBdr>
    </w:div>
    <w:div w:id="791943180">
      <w:bodyDiv w:val="1"/>
      <w:marLeft w:val="0"/>
      <w:marRight w:val="0"/>
      <w:marTop w:val="0"/>
      <w:marBottom w:val="0"/>
      <w:divBdr>
        <w:top w:val="none" w:sz="0" w:space="0" w:color="auto"/>
        <w:left w:val="none" w:sz="0" w:space="0" w:color="auto"/>
        <w:bottom w:val="none" w:sz="0" w:space="0" w:color="auto"/>
        <w:right w:val="none" w:sz="0" w:space="0" w:color="auto"/>
      </w:divBdr>
    </w:div>
    <w:div w:id="793645166">
      <w:bodyDiv w:val="1"/>
      <w:marLeft w:val="0"/>
      <w:marRight w:val="0"/>
      <w:marTop w:val="0"/>
      <w:marBottom w:val="0"/>
      <w:divBdr>
        <w:top w:val="none" w:sz="0" w:space="0" w:color="auto"/>
        <w:left w:val="none" w:sz="0" w:space="0" w:color="auto"/>
        <w:bottom w:val="none" w:sz="0" w:space="0" w:color="auto"/>
        <w:right w:val="none" w:sz="0" w:space="0" w:color="auto"/>
      </w:divBdr>
    </w:div>
    <w:div w:id="794520185">
      <w:bodyDiv w:val="1"/>
      <w:marLeft w:val="0"/>
      <w:marRight w:val="0"/>
      <w:marTop w:val="0"/>
      <w:marBottom w:val="0"/>
      <w:divBdr>
        <w:top w:val="none" w:sz="0" w:space="0" w:color="auto"/>
        <w:left w:val="none" w:sz="0" w:space="0" w:color="auto"/>
        <w:bottom w:val="none" w:sz="0" w:space="0" w:color="auto"/>
        <w:right w:val="none" w:sz="0" w:space="0" w:color="auto"/>
      </w:divBdr>
    </w:div>
    <w:div w:id="794717287">
      <w:bodyDiv w:val="1"/>
      <w:marLeft w:val="0"/>
      <w:marRight w:val="0"/>
      <w:marTop w:val="0"/>
      <w:marBottom w:val="0"/>
      <w:divBdr>
        <w:top w:val="none" w:sz="0" w:space="0" w:color="auto"/>
        <w:left w:val="none" w:sz="0" w:space="0" w:color="auto"/>
        <w:bottom w:val="none" w:sz="0" w:space="0" w:color="auto"/>
        <w:right w:val="none" w:sz="0" w:space="0" w:color="auto"/>
      </w:divBdr>
    </w:div>
    <w:div w:id="795174171">
      <w:bodyDiv w:val="1"/>
      <w:marLeft w:val="0"/>
      <w:marRight w:val="0"/>
      <w:marTop w:val="0"/>
      <w:marBottom w:val="0"/>
      <w:divBdr>
        <w:top w:val="none" w:sz="0" w:space="0" w:color="auto"/>
        <w:left w:val="none" w:sz="0" w:space="0" w:color="auto"/>
        <w:bottom w:val="none" w:sz="0" w:space="0" w:color="auto"/>
        <w:right w:val="none" w:sz="0" w:space="0" w:color="auto"/>
      </w:divBdr>
    </w:div>
    <w:div w:id="795413483">
      <w:bodyDiv w:val="1"/>
      <w:marLeft w:val="0"/>
      <w:marRight w:val="0"/>
      <w:marTop w:val="0"/>
      <w:marBottom w:val="0"/>
      <w:divBdr>
        <w:top w:val="none" w:sz="0" w:space="0" w:color="auto"/>
        <w:left w:val="none" w:sz="0" w:space="0" w:color="auto"/>
        <w:bottom w:val="none" w:sz="0" w:space="0" w:color="auto"/>
        <w:right w:val="none" w:sz="0" w:space="0" w:color="auto"/>
      </w:divBdr>
    </w:div>
    <w:div w:id="796222267">
      <w:bodyDiv w:val="1"/>
      <w:marLeft w:val="0"/>
      <w:marRight w:val="0"/>
      <w:marTop w:val="0"/>
      <w:marBottom w:val="0"/>
      <w:divBdr>
        <w:top w:val="none" w:sz="0" w:space="0" w:color="auto"/>
        <w:left w:val="none" w:sz="0" w:space="0" w:color="auto"/>
        <w:bottom w:val="none" w:sz="0" w:space="0" w:color="auto"/>
        <w:right w:val="none" w:sz="0" w:space="0" w:color="auto"/>
      </w:divBdr>
    </w:div>
    <w:div w:id="798844249">
      <w:bodyDiv w:val="1"/>
      <w:marLeft w:val="0"/>
      <w:marRight w:val="0"/>
      <w:marTop w:val="0"/>
      <w:marBottom w:val="0"/>
      <w:divBdr>
        <w:top w:val="none" w:sz="0" w:space="0" w:color="auto"/>
        <w:left w:val="none" w:sz="0" w:space="0" w:color="auto"/>
        <w:bottom w:val="none" w:sz="0" w:space="0" w:color="auto"/>
        <w:right w:val="none" w:sz="0" w:space="0" w:color="auto"/>
      </w:divBdr>
    </w:div>
    <w:div w:id="799886167">
      <w:bodyDiv w:val="1"/>
      <w:marLeft w:val="0"/>
      <w:marRight w:val="0"/>
      <w:marTop w:val="0"/>
      <w:marBottom w:val="0"/>
      <w:divBdr>
        <w:top w:val="none" w:sz="0" w:space="0" w:color="auto"/>
        <w:left w:val="none" w:sz="0" w:space="0" w:color="auto"/>
        <w:bottom w:val="none" w:sz="0" w:space="0" w:color="auto"/>
        <w:right w:val="none" w:sz="0" w:space="0" w:color="auto"/>
      </w:divBdr>
    </w:div>
    <w:div w:id="800000208">
      <w:bodyDiv w:val="1"/>
      <w:marLeft w:val="0"/>
      <w:marRight w:val="0"/>
      <w:marTop w:val="0"/>
      <w:marBottom w:val="0"/>
      <w:divBdr>
        <w:top w:val="none" w:sz="0" w:space="0" w:color="auto"/>
        <w:left w:val="none" w:sz="0" w:space="0" w:color="auto"/>
        <w:bottom w:val="none" w:sz="0" w:space="0" w:color="auto"/>
        <w:right w:val="none" w:sz="0" w:space="0" w:color="auto"/>
      </w:divBdr>
    </w:div>
    <w:div w:id="800224543">
      <w:bodyDiv w:val="1"/>
      <w:marLeft w:val="0"/>
      <w:marRight w:val="0"/>
      <w:marTop w:val="0"/>
      <w:marBottom w:val="0"/>
      <w:divBdr>
        <w:top w:val="none" w:sz="0" w:space="0" w:color="auto"/>
        <w:left w:val="none" w:sz="0" w:space="0" w:color="auto"/>
        <w:bottom w:val="none" w:sz="0" w:space="0" w:color="auto"/>
        <w:right w:val="none" w:sz="0" w:space="0" w:color="auto"/>
      </w:divBdr>
    </w:div>
    <w:div w:id="800877584">
      <w:bodyDiv w:val="1"/>
      <w:marLeft w:val="0"/>
      <w:marRight w:val="0"/>
      <w:marTop w:val="0"/>
      <w:marBottom w:val="0"/>
      <w:divBdr>
        <w:top w:val="none" w:sz="0" w:space="0" w:color="auto"/>
        <w:left w:val="none" w:sz="0" w:space="0" w:color="auto"/>
        <w:bottom w:val="none" w:sz="0" w:space="0" w:color="auto"/>
        <w:right w:val="none" w:sz="0" w:space="0" w:color="auto"/>
      </w:divBdr>
    </w:div>
    <w:div w:id="803501565">
      <w:bodyDiv w:val="1"/>
      <w:marLeft w:val="0"/>
      <w:marRight w:val="0"/>
      <w:marTop w:val="0"/>
      <w:marBottom w:val="0"/>
      <w:divBdr>
        <w:top w:val="none" w:sz="0" w:space="0" w:color="auto"/>
        <w:left w:val="none" w:sz="0" w:space="0" w:color="auto"/>
        <w:bottom w:val="none" w:sz="0" w:space="0" w:color="auto"/>
        <w:right w:val="none" w:sz="0" w:space="0" w:color="auto"/>
      </w:divBdr>
    </w:div>
    <w:div w:id="804280320">
      <w:bodyDiv w:val="1"/>
      <w:marLeft w:val="0"/>
      <w:marRight w:val="0"/>
      <w:marTop w:val="0"/>
      <w:marBottom w:val="0"/>
      <w:divBdr>
        <w:top w:val="none" w:sz="0" w:space="0" w:color="auto"/>
        <w:left w:val="none" w:sz="0" w:space="0" w:color="auto"/>
        <w:bottom w:val="none" w:sz="0" w:space="0" w:color="auto"/>
        <w:right w:val="none" w:sz="0" w:space="0" w:color="auto"/>
      </w:divBdr>
    </w:div>
    <w:div w:id="805201620">
      <w:bodyDiv w:val="1"/>
      <w:marLeft w:val="0"/>
      <w:marRight w:val="0"/>
      <w:marTop w:val="0"/>
      <w:marBottom w:val="0"/>
      <w:divBdr>
        <w:top w:val="none" w:sz="0" w:space="0" w:color="auto"/>
        <w:left w:val="none" w:sz="0" w:space="0" w:color="auto"/>
        <w:bottom w:val="none" w:sz="0" w:space="0" w:color="auto"/>
        <w:right w:val="none" w:sz="0" w:space="0" w:color="auto"/>
      </w:divBdr>
    </w:div>
    <w:div w:id="805968370">
      <w:bodyDiv w:val="1"/>
      <w:marLeft w:val="0"/>
      <w:marRight w:val="0"/>
      <w:marTop w:val="0"/>
      <w:marBottom w:val="0"/>
      <w:divBdr>
        <w:top w:val="none" w:sz="0" w:space="0" w:color="auto"/>
        <w:left w:val="none" w:sz="0" w:space="0" w:color="auto"/>
        <w:bottom w:val="none" w:sz="0" w:space="0" w:color="auto"/>
        <w:right w:val="none" w:sz="0" w:space="0" w:color="auto"/>
      </w:divBdr>
    </w:div>
    <w:div w:id="806360605">
      <w:bodyDiv w:val="1"/>
      <w:marLeft w:val="0"/>
      <w:marRight w:val="0"/>
      <w:marTop w:val="0"/>
      <w:marBottom w:val="0"/>
      <w:divBdr>
        <w:top w:val="none" w:sz="0" w:space="0" w:color="auto"/>
        <w:left w:val="none" w:sz="0" w:space="0" w:color="auto"/>
        <w:bottom w:val="none" w:sz="0" w:space="0" w:color="auto"/>
        <w:right w:val="none" w:sz="0" w:space="0" w:color="auto"/>
      </w:divBdr>
    </w:div>
    <w:div w:id="806776564">
      <w:bodyDiv w:val="1"/>
      <w:marLeft w:val="0"/>
      <w:marRight w:val="0"/>
      <w:marTop w:val="0"/>
      <w:marBottom w:val="0"/>
      <w:divBdr>
        <w:top w:val="none" w:sz="0" w:space="0" w:color="auto"/>
        <w:left w:val="none" w:sz="0" w:space="0" w:color="auto"/>
        <w:bottom w:val="none" w:sz="0" w:space="0" w:color="auto"/>
        <w:right w:val="none" w:sz="0" w:space="0" w:color="auto"/>
      </w:divBdr>
    </w:div>
    <w:div w:id="807085842">
      <w:bodyDiv w:val="1"/>
      <w:marLeft w:val="0"/>
      <w:marRight w:val="0"/>
      <w:marTop w:val="0"/>
      <w:marBottom w:val="0"/>
      <w:divBdr>
        <w:top w:val="none" w:sz="0" w:space="0" w:color="auto"/>
        <w:left w:val="none" w:sz="0" w:space="0" w:color="auto"/>
        <w:bottom w:val="none" w:sz="0" w:space="0" w:color="auto"/>
        <w:right w:val="none" w:sz="0" w:space="0" w:color="auto"/>
      </w:divBdr>
    </w:div>
    <w:div w:id="807476746">
      <w:bodyDiv w:val="1"/>
      <w:marLeft w:val="0"/>
      <w:marRight w:val="0"/>
      <w:marTop w:val="0"/>
      <w:marBottom w:val="0"/>
      <w:divBdr>
        <w:top w:val="none" w:sz="0" w:space="0" w:color="auto"/>
        <w:left w:val="none" w:sz="0" w:space="0" w:color="auto"/>
        <w:bottom w:val="none" w:sz="0" w:space="0" w:color="auto"/>
        <w:right w:val="none" w:sz="0" w:space="0" w:color="auto"/>
      </w:divBdr>
    </w:div>
    <w:div w:id="808285773">
      <w:bodyDiv w:val="1"/>
      <w:marLeft w:val="0"/>
      <w:marRight w:val="0"/>
      <w:marTop w:val="0"/>
      <w:marBottom w:val="0"/>
      <w:divBdr>
        <w:top w:val="none" w:sz="0" w:space="0" w:color="auto"/>
        <w:left w:val="none" w:sz="0" w:space="0" w:color="auto"/>
        <w:bottom w:val="none" w:sz="0" w:space="0" w:color="auto"/>
        <w:right w:val="none" w:sz="0" w:space="0" w:color="auto"/>
      </w:divBdr>
    </w:div>
    <w:div w:id="808398472">
      <w:bodyDiv w:val="1"/>
      <w:marLeft w:val="0"/>
      <w:marRight w:val="0"/>
      <w:marTop w:val="0"/>
      <w:marBottom w:val="0"/>
      <w:divBdr>
        <w:top w:val="none" w:sz="0" w:space="0" w:color="auto"/>
        <w:left w:val="none" w:sz="0" w:space="0" w:color="auto"/>
        <w:bottom w:val="none" w:sz="0" w:space="0" w:color="auto"/>
        <w:right w:val="none" w:sz="0" w:space="0" w:color="auto"/>
      </w:divBdr>
    </w:div>
    <w:div w:id="809709405">
      <w:bodyDiv w:val="1"/>
      <w:marLeft w:val="0"/>
      <w:marRight w:val="0"/>
      <w:marTop w:val="0"/>
      <w:marBottom w:val="0"/>
      <w:divBdr>
        <w:top w:val="none" w:sz="0" w:space="0" w:color="auto"/>
        <w:left w:val="none" w:sz="0" w:space="0" w:color="auto"/>
        <w:bottom w:val="none" w:sz="0" w:space="0" w:color="auto"/>
        <w:right w:val="none" w:sz="0" w:space="0" w:color="auto"/>
      </w:divBdr>
    </w:div>
    <w:div w:id="809715351">
      <w:bodyDiv w:val="1"/>
      <w:marLeft w:val="0"/>
      <w:marRight w:val="0"/>
      <w:marTop w:val="0"/>
      <w:marBottom w:val="0"/>
      <w:divBdr>
        <w:top w:val="none" w:sz="0" w:space="0" w:color="auto"/>
        <w:left w:val="none" w:sz="0" w:space="0" w:color="auto"/>
        <w:bottom w:val="none" w:sz="0" w:space="0" w:color="auto"/>
        <w:right w:val="none" w:sz="0" w:space="0" w:color="auto"/>
      </w:divBdr>
    </w:div>
    <w:div w:id="809789498">
      <w:bodyDiv w:val="1"/>
      <w:marLeft w:val="0"/>
      <w:marRight w:val="0"/>
      <w:marTop w:val="0"/>
      <w:marBottom w:val="0"/>
      <w:divBdr>
        <w:top w:val="none" w:sz="0" w:space="0" w:color="auto"/>
        <w:left w:val="none" w:sz="0" w:space="0" w:color="auto"/>
        <w:bottom w:val="none" w:sz="0" w:space="0" w:color="auto"/>
        <w:right w:val="none" w:sz="0" w:space="0" w:color="auto"/>
      </w:divBdr>
    </w:div>
    <w:div w:id="810907557">
      <w:bodyDiv w:val="1"/>
      <w:marLeft w:val="0"/>
      <w:marRight w:val="0"/>
      <w:marTop w:val="0"/>
      <w:marBottom w:val="0"/>
      <w:divBdr>
        <w:top w:val="none" w:sz="0" w:space="0" w:color="auto"/>
        <w:left w:val="none" w:sz="0" w:space="0" w:color="auto"/>
        <w:bottom w:val="none" w:sz="0" w:space="0" w:color="auto"/>
        <w:right w:val="none" w:sz="0" w:space="0" w:color="auto"/>
      </w:divBdr>
    </w:div>
    <w:div w:id="811169701">
      <w:bodyDiv w:val="1"/>
      <w:marLeft w:val="0"/>
      <w:marRight w:val="0"/>
      <w:marTop w:val="0"/>
      <w:marBottom w:val="0"/>
      <w:divBdr>
        <w:top w:val="none" w:sz="0" w:space="0" w:color="auto"/>
        <w:left w:val="none" w:sz="0" w:space="0" w:color="auto"/>
        <w:bottom w:val="none" w:sz="0" w:space="0" w:color="auto"/>
        <w:right w:val="none" w:sz="0" w:space="0" w:color="auto"/>
      </w:divBdr>
    </w:div>
    <w:div w:id="812678097">
      <w:bodyDiv w:val="1"/>
      <w:marLeft w:val="0"/>
      <w:marRight w:val="0"/>
      <w:marTop w:val="0"/>
      <w:marBottom w:val="0"/>
      <w:divBdr>
        <w:top w:val="none" w:sz="0" w:space="0" w:color="auto"/>
        <w:left w:val="none" w:sz="0" w:space="0" w:color="auto"/>
        <w:bottom w:val="none" w:sz="0" w:space="0" w:color="auto"/>
        <w:right w:val="none" w:sz="0" w:space="0" w:color="auto"/>
      </w:divBdr>
    </w:div>
    <w:div w:id="813641950">
      <w:bodyDiv w:val="1"/>
      <w:marLeft w:val="0"/>
      <w:marRight w:val="0"/>
      <w:marTop w:val="0"/>
      <w:marBottom w:val="0"/>
      <w:divBdr>
        <w:top w:val="none" w:sz="0" w:space="0" w:color="auto"/>
        <w:left w:val="none" w:sz="0" w:space="0" w:color="auto"/>
        <w:bottom w:val="none" w:sz="0" w:space="0" w:color="auto"/>
        <w:right w:val="none" w:sz="0" w:space="0" w:color="auto"/>
      </w:divBdr>
    </w:div>
    <w:div w:id="813907707">
      <w:bodyDiv w:val="1"/>
      <w:marLeft w:val="0"/>
      <w:marRight w:val="0"/>
      <w:marTop w:val="0"/>
      <w:marBottom w:val="0"/>
      <w:divBdr>
        <w:top w:val="none" w:sz="0" w:space="0" w:color="auto"/>
        <w:left w:val="none" w:sz="0" w:space="0" w:color="auto"/>
        <w:bottom w:val="none" w:sz="0" w:space="0" w:color="auto"/>
        <w:right w:val="none" w:sz="0" w:space="0" w:color="auto"/>
      </w:divBdr>
    </w:div>
    <w:div w:id="815142792">
      <w:bodyDiv w:val="1"/>
      <w:marLeft w:val="0"/>
      <w:marRight w:val="0"/>
      <w:marTop w:val="0"/>
      <w:marBottom w:val="0"/>
      <w:divBdr>
        <w:top w:val="none" w:sz="0" w:space="0" w:color="auto"/>
        <w:left w:val="none" w:sz="0" w:space="0" w:color="auto"/>
        <w:bottom w:val="none" w:sz="0" w:space="0" w:color="auto"/>
        <w:right w:val="none" w:sz="0" w:space="0" w:color="auto"/>
      </w:divBdr>
    </w:div>
    <w:div w:id="815219883">
      <w:bodyDiv w:val="1"/>
      <w:marLeft w:val="0"/>
      <w:marRight w:val="0"/>
      <w:marTop w:val="0"/>
      <w:marBottom w:val="0"/>
      <w:divBdr>
        <w:top w:val="none" w:sz="0" w:space="0" w:color="auto"/>
        <w:left w:val="none" w:sz="0" w:space="0" w:color="auto"/>
        <w:bottom w:val="none" w:sz="0" w:space="0" w:color="auto"/>
        <w:right w:val="none" w:sz="0" w:space="0" w:color="auto"/>
      </w:divBdr>
    </w:div>
    <w:div w:id="815226840">
      <w:bodyDiv w:val="1"/>
      <w:marLeft w:val="0"/>
      <w:marRight w:val="0"/>
      <w:marTop w:val="0"/>
      <w:marBottom w:val="0"/>
      <w:divBdr>
        <w:top w:val="none" w:sz="0" w:space="0" w:color="auto"/>
        <w:left w:val="none" w:sz="0" w:space="0" w:color="auto"/>
        <w:bottom w:val="none" w:sz="0" w:space="0" w:color="auto"/>
        <w:right w:val="none" w:sz="0" w:space="0" w:color="auto"/>
      </w:divBdr>
    </w:div>
    <w:div w:id="815490032">
      <w:bodyDiv w:val="1"/>
      <w:marLeft w:val="0"/>
      <w:marRight w:val="0"/>
      <w:marTop w:val="0"/>
      <w:marBottom w:val="0"/>
      <w:divBdr>
        <w:top w:val="none" w:sz="0" w:space="0" w:color="auto"/>
        <w:left w:val="none" w:sz="0" w:space="0" w:color="auto"/>
        <w:bottom w:val="none" w:sz="0" w:space="0" w:color="auto"/>
        <w:right w:val="none" w:sz="0" w:space="0" w:color="auto"/>
      </w:divBdr>
    </w:div>
    <w:div w:id="815755467">
      <w:bodyDiv w:val="1"/>
      <w:marLeft w:val="0"/>
      <w:marRight w:val="0"/>
      <w:marTop w:val="0"/>
      <w:marBottom w:val="0"/>
      <w:divBdr>
        <w:top w:val="none" w:sz="0" w:space="0" w:color="auto"/>
        <w:left w:val="none" w:sz="0" w:space="0" w:color="auto"/>
        <w:bottom w:val="none" w:sz="0" w:space="0" w:color="auto"/>
        <w:right w:val="none" w:sz="0" w:space="0" w:color="auto"/>
      </w:divBdr>
    </w:div>
    <w:div w:id="816653338">
      <w:bodyDiv w:val="1"/>
      <w:marLeft w:val="0"/>
      <w:marRight w:val="0"/>
      <w:marTop w:val="0"/>
      <w:marBottom w:val="0"/>
      <w:divBdr>
        <w:top w:val="none" w:sz="0" w:space="0" w:color="auto"/>
        <w:left w:val="none" w:sz="0" w:space="0" w:color="auto"/>
        <w:bottom w:val="none" w:sz="0" w:space="0" w:color="auto"/>
        <w:right w:val="none" w:sz="0" w:space="0" w:color="auto"/>
      </w:divBdr>
    </w:div>
    <w:div w:id="816804246">
      <w:bodyDiv w:val="1"/>
      <w:marLeft w:val="0"/>
      <w:marRight w:val="0"/>
      <w:marTop w:val="0"/>
      <w:marBottom w:val="0"/>
      <w:divBdr>
        <w:top w:val="none" w:sz="0" w:space="0" w:color="auto"/>
        <w:left w:val="none" w:sz="0" w:space="0" w:color="auto"/>
        <w:bottom w:val="none" w:sz="0" w:space="0" w:color="auto"/>
        <w:right w:val="none" w:sz="0" w:space="0" w:color="auto"/>
      </w:divBdr>
    </w:div>
    <w:div w:id="816915958">
      <w:bodyDiv w:val="1"/>
      <w:marLeft w:val="0"/>
      <w:marRight w:val="0"/>
      <w:marTop w:val="0"/>
      <w:marBottom w:val="0"/>
      <w:divBdr>
        <w:top w:val="none" w:sz="0" w:space="0" w:color="auto"/>
        <w:left w:val="none" w:sz="0" w:space="0" w:color="auto"/>
        <w:bottom w:val="none" w:sz="0" w:space="0" w:color="auto"/>
        <w:right w:val="none" w:sz="0" w:space="0" w:color="auto"/>
      </w:divBdr>
    </w:div>
    <w:div w:id="817258823">
      <w:bodyDiv w:val="1"/>
      <w:marLeft w:val="0"/>
      <w:marRight w:val="0"/>
      <w:marTop w:val="0"/>
      <w:marBottom w:val="0"/>
      <w:divBdr>
        <w:top w:val="none" w:sz="0" w:space="0" w:color="auto"/>
        <w:left w:val="none" w:sz="0" w:space="0" w:color="auto"/>
        <w:bottom w:val="none" w:sz="0" w:space="0" w:color="auto"/>
        <w:right w:val="none" w:sz="0" w:space="0" w:color="auto"/>
      </w:divBdr>
    </w:div>
    <w:div w:id="817460348">
      <w:bodyDiv w:val="1"/>
      <w:marLeft w:val="0"/>
      <w:marRight w:val="0"/>
      <w:marTop w:val="0"/>
      <w:marBottom w:val="0"/>
      <w:divBdr>
        <w:top w:val="none" w:sz="0" w:space="0" w:color="auto"/>
        <w:left w:val="none" w:sz="0" w:space="0" w:color="auto"/>
        <w:bottom w:val="none" w:sz="0" w:space="0" w:color="auto"/>
        <w:right w:val="none" w:sz="0" w:space="0" w:color="auto"/>
      </w:divBdr>
    </w:div>
    <w:div w:id="817766630">
      <w:bodyDiv w:val="1"/>
      <w:marLeft w:val="0"/>
      <w:marRight w:val="0"/>
      <w:marTop w:val="0"/>
      <w:marBottom w:val="0"/>
      <w:divBdr>
        <w:top w:val="none" w:sz="0" w:space="0" w:color="auto"/>
        <w:left w:val="none" w:sz="0" w:space="0" w:color="auto"/>
        <w:bottom w:val="none" w:sz="0" w:space="0" w:color="auto"/>
        <w:right w:val="none" w:sz="0" w:space="0" w:color="auto"/>
      </w:divBdr>
    </w:div>
    <w:div w:id="817920549">
      <w:bodyDiv w:val="1"/>
      <w:marLeft w:val="0"/>
      <w:marRight w:val="0"/>
      <w:marTop w:val="0"/>
      <w:marBottom w:val="0"/>
      <w:divBdr>
        <w:top w:val="none" w:sz="0" w:space="0" w:color="auto"/>
        <w:left w:val="none" w:sz="0" w:space="0" w:color="auto"/>
        <w:bottom w:val="none" w:sz="0" w:space="0" w:color="auto"/>
        <w:right w:val="none" w:sz="0" w:space="0" w:color="auto"/>
      </w:divBdr>
    </w:div>
    <w:div w:id="818425172">
      <w:bodyDiv w:val="1"/>
      <w:marLeft w:val="0"/>
      <w:marRight w:val="0"/>
      <w:marTop w:val="0"/>
      <w:marBottom w:val="0"/>
      <w:divBdr>
        <w:top w:val="none" w:sz="0" w:space="0" w:color="auto"/>
        <w:left w:val="none" w:sz="0" w:space="0" w:color="auto"/>
        <w:bottom w:val="none" w:sz="0" w:space="0" w:color="auto"/>
        <w:right w:val="none" w:sz="0" w:space="0" w:color="auto"/>
      </w:divBdr>
    </w:div>
    <w:div w:id="818813839">
      <w:bodyDiv w:val="1"/>
      <w:marLeft w:val="0"/>
      <w:marRight w:val="0"/>
      <w:marTop w:val="0"/>
      <w:marBottom w:val="0"/>
      <w:divBdr>
        <w:top w:val="none" w:sz="0" w:space="0" w:color="auto"/>
        <w:left w:val="none" w:sz="0" w:space="0" w:color="auto"/>
        <w:bottom w:val="none" w:sz="0" w:space="0" w:color="auto"/>
        <w:right w:val="none" w:sz="0" w:space="0" w:color="auto"/>
      </w:divBdr>
    </w:div>
    <w:div w:id="822354029">
      <w:bodyDiv w:val="1"/>
      <w:marLeft w:val="0"/>
      <w:marRight w:val="0"/>
      <w:marTop w:val="0"/>
      <w:marBottom w:val="0"/>
      <w:divBdr>
        <w:top w:val="none" w:sz="0" w:space="0" w:color="auto"/>
        <w:left w:val="none" w:sz="0" w:space="0" w:color="auto"/>
        <w:bottom w:val="none" w:sz="0" w:space="0" w:color="auto"/>
        <w:right w:val="none" w:sz="0" w:space="0" w:color="auto"/>
      </w:divBdr>
    </w:div>
    <w:div w:id="822429687">
      <w:bodyDiv w:val="1"/>
      <w:marLeft w:val="0"/>
      <w:marRight w:val="0"/>
      <w:marTop w:val="0"/>
      <w:marBottom w:val="0"/>
      <w:divBdr>
        <w:top w:val="none" w:sz="0" w:space="0" w:color="auto"/>
        <w:left w:val="none" w:sz="0" w:space="0" w:color="auto"/>
        <w:bottom w:val="none" w:sz="0" w:space="0" w:color="auto"/>
        <w:right w:val="none" w:sz="0" w:space="0" w:color="auto"/>
      </w:divBdr>
    </w:div>
    <w:div w:id="822697634">
      <w:bodyDiv w:val="1"/>
      <w:marLeft w:val="0"/>
      <w:marRight w:val="0"/>
      <w:marTop w:val="0"/>
      <w:marBottom w:val="0"/>
      <w:divBdr>
        <w:top w:val="none" w:sz="0" w:space="0" w:color="auto"/>
        <w:left w:val="none" w:sz="0" w:space="0" w:color="auto"/>
        <w:bottom w:val="none" w:sz="0" w:space="0" w:color="auto"/>
        <w:right w:val="none" w:sz="0" w:space="0" w:color="auto"/>
      </w:divBdr>
    </w:div>
    <w:div w:id="824661030">
      <w:bodyDiv w:val="1"/>
      <w:marLeft w:val="0"/>
      <w:marRight w:val="0"/>
      <w:marTop w:val="0"/>
      <w:marBottom w:val="0"/>
      <w:divBdr>
        <w:top w:val="none" w:sz="0" w:space="0" w:color="auto"/>
        <w:left w:val="none" w:sz="0" w:space="0" w:color="auto"/>
        <w:bottom w:val="none" w:sz="0" w:space="0" w:color="auto"/>
        <w:right w:val="none" w:sz="0" w:space="0" w:color="auto"/>
      </w:divBdr>
    </w:div>
    <w:div w:id="824856400">
      <w:bodyDiv w:val="1"/>
      <w:marLeft w:val="0"/>
      <w:marRight w:val="0"/>
      <w:marTop w:val="0"/>
      <w:marBottom w:val="0"/>
      <w:divBdr>
        <w:top w:val="none" w:sz="0" w:space="0" w:color="auto"/>
        <w:left w:val="none" w:sz="0" w:space="0" w:color="auto"/>
        <w:bottom w:val="none" w:sz="0" w:space="0" w:color="auto"/>
        <w:right w:val="none" w:sz="0" w:space="0" w:color="auto"/>
      </w:divBdr>
    </w:div>
    <w:div w:id="828596042">
      <w:bodyDiv w:val="1"/>
      <w:marLeft w:val="0"/>
      <w:marRight w:val="0"/>
      <w:marTop w:val="0"/>
      <w:marBottom w:val="0"/>
      <w:divBdr>
        <w:top w:val="none" w:sz="0" w:space="0" w:color="auto"/>
        <w:left w:val="none" w:sz="0" w:space="0" w:color="auto"/>
        <w:bottom w:val="none" w:sz="0" w:space="0" w:color="auto"/>
        <w:right w:val="none" w:sz="0" w:space="0" w:color="auto"/>
      </w:divBdr>
    </w:div>
    <w:div w:id="828597532">
      <w:bodyDiv w:val="1"/>
      <w:marLeft w:val="0"/>
      <w:marRight w:val="0"/>
      <w:marTop w:val="0"/>
      <w:marBottom w:val="0"/>
      <w:divBdr>
        <w:top w:val="none" w:sz="0" w:space="0" w:color="auto"/>
        <w:left w:val="none" w:sz="0" w:space="0" w:color="auto"/>
        <w:bottom w:val="none" w:sz="0" w:space="0" w:color="auto"/>
        <w:right w:val="none" w:sz="0" w:space="0" w:color="auto"/>
      </w:divBdr>
    </w:div>
    <w:div w:id="828669683">
      <w:bodyDiv w:val="1"/>
      <w:marLeft w:val="0"/>
      <w:marRight w:val="0"/>
      <w:marTop w:val="0"/>
      <w:marBottom w:val="0"/>
      <w:divBdr>
        <w:top w:val="none" w:sz="0" w:space="0" w:color="auto"/>
        <w:left w:val="none" w:sz="0" w:space="0" w:color="auto"/>
        <w:bottom w:val="none" w:sz="0" w:space="0" w:color="auto"/>
        <w:right w:val="none" w:sz="0" w:space="0" w:color="auto"/>
      </w:divBdr>
    </w:div>
    <w:div w:id="828860747">
      <w:bodyDiv w:val="1"/>
      <w:marLeft w:val="0"/>
      <w:marRight w:val="0"/>
      <w:marTop w:val="0"/>
      <w:marBottom w:val="0"/>
      <w:divBdr>
        <w:top w:val="none" w:sz="0" w:space="0" w:color="auto"/>
        <w:left w:val="none" w:sz="0" w:space="0" w:color="auto"/>
        <w:bottom w:val="none" w:sz="0" w:space="0" w:color="auto"/>
        <w:right w:val="none" w:sz="0" w:space="0" w:color="auto"/>
      </w:divBdr>
    </w:div>
    <w:div w:id="828911139">
      <w:bodyDiv w:val="1"/>
      <w:marLeft w:val="0"/>
      <w:marRight w:val="0"/>
      <w:marTop w:val="0"/>
      <w:marBottom w:val="0"/>
      <w:divBdr>
        <w:top w:val="none" w:sz="0" w:space="0" w:color="auto"/>
        <w:left w:val="none" w:sz="0" w:space="0" w:color="auto"/>
        <w:bottom w:val="none" w:sz="0" w:space="0" w:color="auto"/>
        <w:right w:val="none" w:sz="0" w:space="0" w:color="auto"/>
      </w:divBdr>
    </w:div>
    <w:div w:id="829249004">
      <w:bodyDiv w:val="1"/>
      <w:marLeft w:val="0"/>
      <w:marRight w:val="0"/>
      <w:marTop w:val="0"/>
      <w:marBottom w:val="0"/>
      <w:divBdr>
        <w:top w:val="none" w:sz="0" w:space="0" w:color="auto"/>
        <w:left w:val="none" w:sz="0" w:space="0" w:color="auto"/>
        <w:bottom w:val="none" w:sz="0" w:space="0" w:color="auto"/>
        <w:right w:val="none" w:sz="0" w:space="0" w:color="auto"/>
      </w:divBdr>
    </w:div>
    <w:div w:id="830023607">
      <w:bodyDiv w:val="1"/>
      <w:marLeft w:val="0"/>
      <w:marRight w:val="0"/>
      <w:marTop w:val="0"/>
      <w:marBottom w:val="0"/>
      <w:divBdr>
        <w:top w:val="none" w:sz="0" w:space="0" w:color="auto"/>
        <w:left w:val="none" w:sz="0" w:space="0" w:color="auto"/>
        <w:bottom w:val="none" w:sz="0" w:space="0" w:color="auto"/>
        <w:right w:val="none" w:sz="0" w:space="0" w:color="auto"/>
      </w:divBdr>
    </w:div>
    <w:div w:id="830369994">
      <w:bodyDiv w:val="1"/>
      <w:marLeft w:val="0"/>
      <w:marRight w:val="0"/>
      <w:marTop w:val="0"/>
      <w:marBottom w:val="0"/>
      <w:divBdr>
        <w:top w:val="none" w:sz="0" w:space="0" w:color="auto"/>
        <w:left w:val="none" w:sz="0" w:space="0" w:color="auto"/>
        <w:bottom w:val="none" w:sz="0" w:space="0" w:color="auto"/>
        <w:right w:val="none" w:sz="0" w:space="0" w:color="auto"/>
      </w:divBdr>
    </w:div>
    <w:div w:id="830945733">
      <w:bodyDiv w:val="1"/>
      <w:marLeft w:val="0"/>
      <w:marRight w:val="0"/>
      <w:marTop w:val="0"/>
      <w:marBottom w:val="0"/>
      <w:divBdr>
        <w:top w:val="none" w:sz="0" w:space="0" w:color="auto"/>
        <w:left w:val="none" w:sz="0" w:space="0" w:color="auto"/>
        <w:bottom w:val="none" w:sz="0" w:space="0" w:color="auto"/>
        <w:right w:val="none" w:sz="0" w:space="0" w:color="auto"/>
      </w:divBdr>
    </w:div>
    <w:div w:id="831065482">
      <w:bodyDiv w:val="1"/>
      <w:marLeft w:val="0"/>
      <w:marRight w:val="0"/>
      <w:marTop w:val="0"/>
      <w:marBottom w:val="0"/>
      <w:divBdr>
        <w:top w:val="none" w:sz="0" w:space="0" w:color="auto"/>
        <w:left w:val="none" w:sz="0" w:space="0" w:color="auto"/>
        <w:bottom w:val="none" w:sz="0" w:space="0" w:color="auto"/>
        <w:right w:val="none" w:sz="0" w:space="0" w:color="auto"/>
      </w:divBdr>
    </w:div>
    <w:div w:id="832255450">
      <w:bodyDiv w:val="1"/>
      <w:marLeft w:val="0"/>
      <w:marRight w:val="0"/>
      <w:marTop w:val="0"/>
      <w:marBottom w:val="0"/>
      <w:divBdr>
        <w:top w:val="none" w:sz="0" w:space="0" w:color="auto"/>
        <w:left w:val="none" w:sz="0" w:space="0" w:color="auto"/>
        <w:bottom w:val="none" w:sz="0" w:space="0" w:color="auto"/>
        <w:right w:val="none" w:sz="0" w:space="0" w:color="auto"/>
      </w:divBdr>
    </w:div>
    <w:div w:id="832373808">
      <w:bodyDiv w:val="1"/>
      <w:marLeft w:val="0"/>
      <w:marRight w:val="0"/>
      <w:marTop w:val="0"/>
      <w:marBottom w:val="0"/>
      <w:divBdr>
        <w:top w:val="none" w:sz="0" w:space="0" w:color="auto"/>
        <w:left w:val="none" w:sz="0" w:space="0" w:color="auto"/>
        <w:bottom w:val="none" w:sz="0" w:space="0" w:color="auto"/>
        <w:right w:val="none" w:sz="0" w:space="0" w:color="auto"/>
      </w:divBdr>
    </w:div>
    <w:div w:id="832532154">
      <w:bodyDiv w:val="1"/>
      <w:marLeft w:val="0"/>
      <w:marRight w:val="0"/>
      <w:marTop w:val="0"/>
      <w:marBottom w:val="0"/>
      <w:divBdr>
        <w:top w:val="none" w:sz="0" w:space="0" w:color="auto"/>
        <w:left w:val="none" w:sz="0" w:space="0" w:color="auto"/>
        <w:bottom w:val="none" w:sz="0" w:space="0" w:color="auto"/>
        <w:right w:val="none" w:sz="0" w:space="0" w:color="auto"/>
      </w:divBdr>
    </w:div>
    <w:div w:id="834342330">
      <w:bodyDiv w:val="1"/>
      <w:marLeft w:val="0"/>
      <w:marRight w:val="0"/>
      <w:marTop w:val="0"/>
      <w:marBottom w:val="0"/>
      <w:divBdr>
        <w:top w:val="none" w:sz="0" w:space="0" w:color="auto"/>
        <w:left w:val="none" w:sz="0" w:space="0" w:color="auto"/>
        <w:bottom w:val="none" w:sz="0" w:space="0" w:color="auto"/>
        <w:right w:val="none" w:sz="0" w:space="0" w:color="auto"/>
      </w:divBdr>
    </w:div>
    <w:div w:id="835878653">
      <w:bodyDiv w:val="1"/>
      <w:marLeft w:val="0"/>
      <w:marRight w:val="0"/>
      <w:marTop w:val="0"/>
      <w:marBottom w:val="0"/>
      <w:divBdr>
        <w:top w:val="none" w:sz="0" w:space="0" w:color="auto"/>
        <w:left w:val="none" w:sz="0" w:space="0" w:color="auto"/>
        <w:bottom w:val="none" w:sz="0" w:space="0" w:color="auto"/>
        <w:right w:val="none" w:sz="0" w:space="0" w:color="auto"/>
      </w:divBdr>
    </w:div>
    <w:div w:id="836118970">
      <w:bodyDiv w:val="1"/>
      <w:marLeft w:val="0"/>
      <w:marRight w:val="0"/>
      <w:marTop w:val="0"/>
      <w:marBottom w:val="0"/>
      <w:divBdr>
        <w:top w:val="none" w:sz="0" w:space="0" w:color="auto"/>
        <w:left w:val="none" w:sz="0" w:space="0" w:color="auto"/>
        <w:bottom w:val="none" w:sz="0" w:space="0" w:color="auto"/>
        <w:right w:val="none" w:sz="0" w:space="0" w:color="auto"/>
      </w:divBdr>
    </w:div>
    <w:div w:id="837034512">
      <w:bodyDiv w:val="1"/>
      <w:marLeft w:val="0"/>
      <w:marRight w:val="0"/>
      <w:marTop w:val="0"/>
      <w:marBottom w:val="0"/>
      <w:divBdr>
        <w:top w:val="none" w:sz="0" w:space="0" w:color="auto"/>
        <w:left w:val="none" w:sz="0" w:space="0" w:color="auto"/>
        <w:bottom w:val="none" w:sz="0" w:space="0" w:color="auto"/>
        <w:right w:val="none" w:sz="0" w:space="0" w:color="auto"/>
      </w:divBdr>
    </w:div>
    <w:div w:id="837695438">
      <w:bodyDiv w:val="1"/>
      <w:marLeft w:val="0"/>
      <w:marRight w:val="0"/>
      <w:marTop w:val="0"/>
      <w:marBottom w:val="0"/>
      <w:divBdr>
        <w:top w:val="none" w:sz="0" w:space="0" w:color="auto"/>
        <w:left w:val="none" w:sz="0" w:space="0" w:color="auto"/>
        <w:bottom w:val="none" w:sz="0" w:space="0" w:color="auto"/>
        <w:right w:val="none" w:sz="0" w:space="0" w:color="auto"/>
      </w:divBdr>
    </w:div>
    <w:div w:id="837889967">
      <w:bodyDiv w:val="1"/>
      <w:marLeft w:val="0"/>
      <w:marRight w:val="0"/>
      <w:marTop w:val="0"/>
      <w:marBottom w:val="0"/>
      <w:divBdr>
        <w:top w:val="none" w:sz="0" w:space="0" w:color="auto"/>
        <w:left w:val="none" w:sz="0" w:space="0" w:color="auto"/>
        <w:bottom w:val="none" w:sz="0" w:space="0" w:color="auto"/>
        <w:right w:val="none" w:sz="0" w:space="0" w:color="auto"/>
      </w:divBdr>
    </w:div>
    <w:div w:id="838276685">
      <w:bodyDiv w:val="1"/>
      <w:marLeft w:val="0"/>
      <w:marRight w:val="0"/>
      <w:marTop w:val="0"/>
      <w:marBottom w:val="0"/>
      <w:divBdr>
        <w:top w:val="none" w:sz="0" w:space="0" w:color="auto"/>
        <w:left w:val="none" w:sz="0" w:space="0" w:color="auto"/>
        <w:bottom w:val="none" w:sz="0" w:space="0" w:color="auto"/>
        <w:right w:val="none" w:sz="0" w:space="0" w:color="auto"/>
      </w:divBdr>
    </w:div>
    <w:div w:id="839349101">
      <w:bodyDiv w:val="1"/>
      <w:marLeft w:val="0"/>
      <w:marRight w:val="0"/>
      <w:marTop w:val="0"/>
      <w:marBottom w:val="0"/>
      <w:divBdr>
        <w:top w:val="none" w:sz="0" w:space="0" w:color="auto"/>
        <w:left w:val="none" w:sz="0" w:space="0" w:color="auto"/>
        <w:bottom w:val="none" w:sz="0" w:space="0" w:color="auto"/>
        <w:right w:val="none" w:sz="0" w:space="0" w:color="auto"/>
      </w:divBdr>
    </w:div>
    <w:div w:id="841160523">
      <w:bodyDiv w:val="1"/>
      <w:marLeft w:val="0"/>
      <w:marRight w:val="0"/>
      <w:marTop w:val="0"/>
      <w:marBottom w:val="0"/>
      <w:divBdr>
        <w:top w:val="none" w:sz="0" w:space="0" w:color="auto"/>
        <w:left w:val="none" w:sz="0" w:space="0" w:color="auto"/>
        <w:bottom w:val="none" w:sz="0" w:space="0" w:color="auto"/>
        <w:right w:val="none" w:sz="0" w:space="0" w:color="auto"/>
      </w:divBdr>
    </w:div>
    <w:div w:id="841310132">
      <w:bodyDiv w:val="1"/>
      <w:marLeft w:val="0"/>
      <w:marRight w:val="0"/>
      <w:marTop w:val="0"/>
      <w:marBottom w:val="0"/>
      <w:divBdr>
        <w:top w:val="none" w:sz="0" w:space="0" w:color="auto"/>
        <w:left w:val="none" w:sz="0" w:space="0" w:color="auto"/>
        <w:bottom w:val="none" w:sz="0" w:space="0" w:color="auto"/>
        <w:right w:val="none" w:sz="0" w:space="0" w:color="auto"/>
      </w:divBdr>
    </w:div>
    <w:div w:id="841506656">
      <w:bodyDiv w:val="1"/>
      <w:marLeft w:val="0"/>
      <w:marRight w:val="0"/>
      <w:marTop w:val="0"/>
      <w:marBottom w:val="0"/>
      <w:divBdr>
        <w:top w:val="none" w:sz="0" w:space="0" w:color="auto"/>
        <w:left w:val="none" w:sz="0" w:space="0" w:color="auto"/>
        <w:bottom w:val="none" w:sz="0" w:space="0" w:color="auto"/>
        <w:right w:val="none" w:sz="0" w:space="0" w:color="auto"/>
      </w:divBdr>
    </w:div>
    <w:div w:id="842088190">
      <w:bodyDiv w:val="1"/>
      <w:marLeft w:val="0"/>
      <w:marRight w:val="0"/>
      <w:marTop w:val="0"/>
      <w:marBottom w:val="0"/>
      <w:divBdr>
        <w:top w:val="none" w:sz="0" w:space="0" w:color="auto"/>
        <w:left w:val="none" w:sz="0" w:space="0" w:color="auto"/>
        <w:bottom w:val="none" w:sz="0" w:space="0" w:color="auto"/>
        <w:right w:val="none" w:sz="0" w:space="0" w:color="auto"/>
      </w:divBdr>
    </w:div>
    <w:div w:id="843057484">
      <w:bodyDiv w:val="1"/>
      <w:marLeft w:val="0"/>
      <w:marRight w:val="0"/>
      <w:marTop w:val="0"/>
      <w:marBottom w:val="0"/>
      <w:divBdr>
        <w:top w:val="none" w:sz="0" w:space="0" w:color="auto"/>
        <w:left w:val="none" w:sz="0" w:space="0" w:color="auto"/>
        <w:bottom w:val="none" w:sz="0" w:space="0" w:color="auto"/>
        <w:right w:val="none" w:sz="0" w:space="0" w:color="auto"/>
      </w:divBdr>
    </w:div>
    <w:div w:id="845167381">
      <w:bodyDiv w:val="1"/>
      <w:marLeft w:val="0"/>
      <w:marRight w:val="0"/>
      <w:marTop w:val="0"/>
      <w:marBottom w:val="0"/>
      <w:divBdr>
        <w:top w:val="none" w:sz="0" w:space="0" w:color="auto"/>
        <w:left w:val="none" w:sz="0" w:space="0" w:color="auto"/>
        <w:bottom w:val="none" w:sz="0" w:space="0" w:color="auto"/>
        <w:right w:val="none" w:sz="0" w:space="0" w:color="auto"/>
      </w:divBdr>
    </w:div>
    <w:div w:id="846676782">
      <w:bodyDiv w:val="1"/>
      <w:marLeft w:val="0"/>
      <w:marRight w:val="0"/>
      <w:marTop w:val="0"/>
      <w:marBottom w:val="0"/>
      <w:divBdr>
        <w:top w:val="none" w:sz="0" w:space="0" w:color="auto"/>
        <w:left w:val="none" w:sz="0" w:space="0" w:color="auto"/>
        <w:bottom w:val="none" w:sz="0" w:space="0" w:color="auto"/>
        <w:right w:val="none" w:sz="0" w:space="0" w:color="auto"/>
      </w:divBdr>
    </w:div>
    <w:div w:id="848061674">
      <w:bodyDiv w:val="1"/>
      <w:marLeft w:val="0"/>
      <w:marRight w:val="0"/>
      <w:marTop w:val="0"/>
      <w:marBottom w:val="0"/>
      <w:divBdr>
        <w:top w:val="none" w:sz="0" w:space="0" w:color="auto"/>
        <w:left w:val="none" w:sz="0" w:space="0" w:color="auto"/>
        <w:bottom w:val="none" w:sz="0" w:space="0" w:color="auto"/>
        <w:right w:val="none" w:sz="0" w:space="0" w:color="auto"/>
      </w:divBdr>
    </w:div>
    <w:div w:id="848562250">
      <w:bodyDiv w:val="1"/>
      <w:marLeft w:val="0"/>
      <w:marRight w:val="0"/>
      <w:marTop w:val="0"/>
      <w:marBottom w:val="0"/>
      <w:divBdr>
        <w:top w:val="none" w:sz="0" w:space="0" w:color="auto"/>
        <w:left w:val="none" w:sz="0" w:space="0" w:color="auto"/>
        <w:bottom w:val="none" w:sz="0" w:space="0" w:color="auto"/>
        <w:right w:val="none" w:sz="0" w:space="0" w:color="auto"/>
      </w:divBdr>
    </w:div>
    <w:div w:id="849024149">
      <w:bodyDiv w:val="1"/>
      <w:marLeft w:val="0"/>
      <w:marRight w:val="0"/>
      <w:marTop w:val="0"/>
      <w:marBottom w:val="0"/>
      <w:divBdr>
        <w:top w:val="none" w:sz="0" w:space="0" w:color="auto"/>
        <w:left w:val="none" w:sz="0" w:space="0" w:color="auto"/>
        <w:bottom w:val="none" w:sz="0" w:space="0" w:color="auto"/>
        <w:right w:val="none" w:sz="0" w:space="0" w:color="auto"/>
      </w:divBdr>
    </w:div>
    <w:div w:id="850606172">
      <w:bodyDiv w:val="1"/>
      <w:marLeft w:val="0"/>
      <w:marRight w:val="0"/>
      <w:marTop w:val="0"/>
      <w:marBottom w:val="0"/>
      <w:divBdr>
        <w:top w:val="none" w:sz="0" w:space="0" w:color="auto"/>
        <w:left w:val="none" w:sz="0" w:space="0" w:color="auto"/>
        <w:bottom w:val="none" w:sz="0" w:space="0" w:color="auto"/>
        <w:right w:val="none" w:sz="0" w:space="0" w:color="auto"/>
      </w:divBdr>
    </w:div>
    <w:div w:id="851147418">
      <w:bodyDiv w:val="1"/>
      <w:marLeft w:val="0"/>
      <w:marRight w:val="0"/>
      <w:marTop w:val="0"/>
      <w:marBottom w:val="0"/>
      <w:divBdr>
        <w:top w:val="none" w:sz="0" w:space="0" w:color="auto"/>
        <w:left w:val="none" w:sz="0" w:space="0" w:color="auto"/>
        <w:bottom w:val="none" w:sz="0" w:space="0" w:color="auto"/>
        <w:right w:val="none" w:sz="0" w:space="0" w:color="auto"/>
      </w:divBdr>
    </w:div>
    <w:div w:id="851266105">
      <w:bodyDiv w:val="1"/>
      <w:marLeft w:val="0"/>
      <w:marRight w:val="0"/>
      <w:marTop w:val="0"/>
      <w:marBottom w:val="0"/>
      <w:divBdr>
        <w:top w:val="none" w:sz="0" w:space="0" w:color="auto"/>
        <w:left w:val="none" w:sz="0" w:space="0" w:color="auto"/>
        <w:bottom w:val="none" w:sz="0" w:space="0" w:color="auto"/>
        <w:right w:val="none" w:sz="0" w:space="0" w:color="auto"/>
      </w:divBdr>
    </w:div>
    <w:div w:id="851798588">
      <w:bodyDiv w:val="1"/>
      <w:marLeft w:val="0"/>
      <w:marRight w:val="0"/>
      <w:marTop w:val="0"/>
      <w:marBottom w:val="0"/>
      <w:divBdr>
        <w:top w:val="none" w:sz="0" w:space="0" w:color="auto"/>
        <w:left w:val="none" w:sz="0" w:space="0" w:color="auto"/>
        <w:bottom w:val="none" w:sz="0" w:space="0" w:color="auto"/>
        <w:right w:val="none" w:sz="0" w:space="0" w:color="auto"/>
      </w:divBdr>
    </w:div>
    <w:div w:id="853618277">
      <w:bodyDiv w:val="1"/>
      <w:marLeft w:val="0"/>
      <w:marRight w:val="0"/>
      <w:marTop w:val="0"/>
      <w:marBottom w:val="0"/>
      <w:divBdr>
        <w:top w:val="none" w:sz="0" w:space="0" w:color="auto"/>
        <w:left w:val="none" w:sz="0" w:space="0" w:color="auto"/>
        <w:bottom w:val="none" w:sz="0" w:space="0" w:color="auto"/>
        <w:right w:val="none" w:sz="0" w:space="0" w:color="auto"/>
      </w:divBdr>
    </w:div>
    <w:div w:id="854002082">
      <w:bodyDiv w:val="1"/>
      <w:marLeft w:val="0"/>
      <w:marRight w:val="0"/>
      <w:marTop w:val="0"/>
      <w:marBottom w:val="0"/>
      <w:divBdr>
        <w:top w:val="none" w:sz="0" w:space="0" w:color="auto"/>
        <w:left w:val="none" w:sz="0" w:space="0" w:color="auto"/>
        <w:bottom w:val="none" w:sz="0" w:space="0" w:color="auto"/>
        <w:right w:val="none" w:sz="0" w:space="0" w:color="auto"/>
      </w:divBdr>
    </w:div>
    <w:div w:id="855005018">
      <w:bodyDiv w:val="1"/>
      <w:marLeft w:val="0"/>
      <w:marRight w:val="0"/>
      <w:marTop w:val="0"/>
      <w:marBottom w:val="0"/>
      <w:divBdr>
        <w:top w:val="none" w:sz="0" w:space="0" w:color="auto"/>
        <w:left w:val="none" w:sz="0" w:space="0" w:color="auto"/>
        <w:bottom w:val="none" w:sz="0" w:space="0" w:color="auto"/>
        <w:right w:val="none" w:sz="0" w:space="0" w:color="auto"/>
      </w:divBdr>
    </w:div>
    <w:div w:id="857043905">
      <w:bodyDiv w:val="1"/>
      <w:marLeft w:val="0"/>
      <w:marRight w:val="0"/>
      <w:marTop w:val="0"/>
      <w:marBottom w:val="0"/>
      <w:divBdr>
        <w:top w:val="none" w:sz="0" w:space="0" w:color="auto"/>
        <w:left w:val="none" w:sz="0" w:space="0" w:color="auto"/>
        <w:bottom w:val="none" w:sz="0" w:space="0" w:color="auto"/>
        <w:right w:val="none" w:sz="0" w:space="0" w:color="auto"/>
      </w:divBdr>
    </w:div>
    <w:div w:id="857347949">
      <w:bodyDiv w:val="1"/>
      <w:marLeft w:val="0"/>
      <w:marRight w:val="0"/>
      <w:marTop w:val="0"/>
      <w:marBottom w:val="0"/>
      <w:divBdr>
        <w:top w:val="none" w:sz="0" w:space="0" w:color="auto"/>
        <w:left w:val="none" w:sz="0" w:space="0" w:color="auto"/>
        <w:bottom w:val="none" w:sz="0" w:space="0" w:color="auto"/>
        <w:right w:val="none" w:sz="0" w:space="0" w:color="auto"/>
      </w:divBdr>
    </w:div>
    <w:div w:id="857963453">
      <w:bodyDiv w:val="1"/>
      <w:marLeft w:val="0"/>
      <w:marRight w:val="0"/>
      <w:marTop w:val="0"/>
      <w:marBottom w:val="0"/>
      <w:divBdr>
        <w:top w:val="none" w:sz="0" w:space="0" w:color="auto"/>
        <w:left w:val="none" w:sz="0" w:space="0" w:color="auto"/>
        <w:bottom w:val="none" w:sz="0" w:space="0" w:color="auto"/>
        <w:right w:val="none" w:sz="0" w:space="0" w:color="auto"/>
      </w:divBdr>
    </w:div>
    <w:div w:id="858200779">
      <w:bodyDiv w:val="1"/>
      <w:marLeft w:val="0"/>
      <w:marRight w:val="0"/>
      <w:marTop w:val="0"/>
      <w:marBottom w:val="0"/>
      <w:divBdr>
        <w:top w:val="none" w:sz="0" w:space="0" w:color="auto"/>
        <w:left w:val="none" w:sz="0" w:space="0" w:color="auto"/>
        <w:bottom w:val="none" w:sz="0" w:space="0" w:color="auto"/>
        <w:right w:val="none" w:sz="0" w:space="0" w:color="auto"/>
      </w:divBdr>
    </w:div>
    <w:div w:id="858278751">
      <w:bodyDiv w:val="1"/>
      <w:marLeft w:val="0"/>
      <w:marRight w:val="0"/>
      <w:marTop w:val="0"/>
      <w:marBottom w:val="0"/>
      <w:divBdr>
        <w:top w:val="none" w:sz="0" w:space="0" w:color="auto"/>
        <w:left w:val="none" w:sz="0" w:space="0" w:color="auto"/>
        <w:bottom w:val="none" w:sz="0" w:space="0" w:color="auto"/>
        <w:right w:val="none" w:sz="0" w:space="0" w:color="auto"/>
      </w:divBdr>
    </w:div>
    <w:div w:id="861287549">
      <w:bodyDiv w:val="1"/>
      <w:marLeft w:val="0"/>
      <w:marRight w:val="0"/>
      <w:marTop w:val="0"/>
      <w:marBottom w:val="0"/>
      <w:divBdr>
        <w:top w:val="none" w:sz="0" w:space="0" w:color="auto"/>
        <w:left w:val="none" w:sz="0" w:space="0" w:color="auto"/>
        <w:bottom w:val="none" w:sz="0" w:space="0" w:color="auto"/>
        <w:right w:val="none" w:sz="0" w:space="0" w:color="auto"/>
      </w:divBdr>
    </w:div>
    <w:div w:id="861548669">
      <w:bodyDiv w:val="1"/>
      <w:marLeft w:val="0"/>
      <w:marRight w:val="0"/>
      <w:marTop w:val="0"/>
      <w:marBottom w:val="0"/>
      <w:divBdr>
        <w:top w:val="none" w:sz="0" w:space="0" w:color="auto"/>
        <w:left w:val="none" w:sz="0" w:space="0" w:color="auto"/>
        <w:bottom w:val="none" w:sz="0" w:space="0" w:color="auto"/>
        <w:right w:val="none" w:sz="0" w:space="0" w:color="auto"/>
      </w:divBdr>
    </w:div>
    <w:div w:id="861699087">
      <w:bodyDiv w:val="1"/>
      <w:marLeft w:val="0"/>
      <w:marRight w:val="0"/>
      <w:marTop w:val="0"/>
      <w:marBottom w:val="0"/>
      <w:divBdr>
        <w:top w:val="none" w:sz="0" w:space="0" w:color="auto"/>
        <w:left w:val="none" w:sz="0" w:space="0" w:color="auto"/>
        <w:bottom w:val="none" w:sz="0" w:space="0" w:color="auto"/>
        <w:right w:val="none" w:sz="0" w:space="0" w:color="auto"/>
      </w:divBdr>
    </w:div>
    <w:div w:id="861893388">
      <w:bodyDiv w:val="1"/>
      <w:marLeft w:val="0"/>
      <w:marRight w:val="0"/>
      <w:marTop w:val="0"/>
      <w:marBottom w:val="0"/>
      <w:divBdr>
        <w:top w:val="none" w:sz="0" w:space="0" w:color="auto"/>
        <w:left w:val="none" w:sz="0" w:space="0" w:color="auto"/>
        <w:bottom w:val="none" w:sz="0" w:space="0" w:color="auto"/>
        <w:right w:val="none" w:sz="0" w:space="0" w:color="auto"/>
      </w:divBdr>
    </w:div>
    <w:div w:id="862015069">
      <w:bodyDiv w:val="1"/>
      <w:marLeft w:val="0"/>
      <w:marRight w:val="0"/>
      <w:marTop w:val="0"/>
      <w:marBottom w:val="0"/>
      <w:divBdr>
        <w:top w:val="none" w:sz="0" w:space="0" w:color="auto"/>
        <w:left w:val="none" w:sz="0" w:space="0" w:color="auto"/>
        <w:bottom w:val="none" w:sz="0" w:space="0" w:color="auto"/>
        <w:right w:val="none" w:sz="0" w:space="0" w:color="auto"/>
      </w:divBdr>
    </w:div>
    <w:div w:id="862016185">
      <w:bodyDiv w:val="1"/>
      <w:marLeft w:val="0"/>
      <w:marRight w:val="0"/>
      <w:marTop w:val="0"/>
      <w:marBottom w:val="0"/>
      <w:divBdr>
        <w:top w:val="none" w:sz="0" w:space="0" w:color="auto"/>
        <w:left w:val="none" w:sz="0" w:space="0" w:color="auto"/>
        <w:bottom w:val="none" w:sz="0" w:space="0" w:color="auto"/>
        <w:right w:val="none" w:sz="0" w:space="0" w:color="auto"/>
      </w:divBdr>
    </w:div>
    <w:div w:id="862860434">
      <w:bodyDiv w:val="1"/>
      <w:marLeft w:val="0"/>
      <w:marRight w:val="0"/>
      <w:marTop w:val="0"/>
      <w:marBottom w:val="0"/>
      <w:divBdr>
        <w:top w:val="none" w:sz="0" w:space="0" w:color="auto"/>
        <w:left w:val="none" w:sz="0" w:space="0" w:color="auto"/>
        <w:bottom w:val="none" w:sz="0" w:space="0" w:color="auto"/>
        <w:right w:val="none" w:sz="0" w:space="0" w:color="auto"/>
      </w:divBdr>
    </w:div>
    <w:div w:id="863786251">
      <w:bodyDiv w:val="1"/>
      <w:marLeft w:val="0"/>
      <w:marRight w:val="0"/>
      <w:marTop w:val="0"/>
      <w:marBottom w:val="0"/>
      <w:divBdr>
        <w:top w:val="none" w:sz="0" w:space="0" w:color="auto"/>
        <w:left w:val="none" w:sz="0" w:space="0" w:color="auto"/>
        <w:bottom w:val="none" w:sz="0" w:space="0" w:color="auto"/>
        <w:right w:val="none" w:sz="0" w:space="0" w:color="auto"/>
      </w:divBdr>
    </w:div>
    <w:div w:id="863831199">
      <w:bodyDiv w:val="1"/>
      <w:marLeft w:val="0"/>
      <w:marRight w:val="0"/>
      <w:marTop w:val="0"/>
      <w:marBottom w:val="0"/>
      <w:divBdr>
        <w:top w:val="none" w:sz="0" w:space="0" w:color="auto"/>
        <w:left w:val="none" w:sz="0" w:space="0" w:color="auto"/>
        <w:bottom w:val="none" w:sz="0" w:space="0" w:color="auto"/>
        <w:right w:val="none" w:sz="0" w:space="0" w:color="auto"/>
      </w:divBdr>
    </w:div>
    <w:div w:id="866412976">
      <w:bodyDiv w:val="1"/>
      <w:marLeft w:val="0"/>
      <w:marRight w:val="0"/>
      <w:marTop w:val="0"/>
      <w:marBottom w:val="0"/>
      <w:divBdr>
        <w:top w:val="none" w:sz="0" w:space="0" w:color="auto"/>
        <w:left w:val="none" w:sz="0" w:space="0" w:color="auto"/>
        <w:bottom w:val="none" w:sz="0" w:space="0" w:color="auto"/>
        <w:right w:val="none" w:sz="0" w:space="0" w:color="auto"/>
      </w:divBdr>
    </w:div>
    <w:div w:id="869226056">
      <w:bodyDiv w:val="1"/>
      <w:marLeft w:val="0"/>
      <w:marRight w:val="0"/>
      <w:marTop w:val="0"/>
      <w:marBottom w:val="0"/>
      <w:divBdr>
        <w:top w:val="none" w:sz="0" w:space="0" w:color="auto"/>
        <w:left w:val="none" w:sz="0" w:space="0" w:color="auto"/>
        <w:bottom w:val="none" w:sz="0" w:space="0" w:color="auto"/>
        <w:right w:val="none" w:sz="0" w:space="0" w:color="auto"/>
      </w:divBdr>
    </w:div>
    <w:div w:id="871765374">
      <w:bodyDiv w:val="1"/>
      <w:marLeft w:val="0"/>
      <w:marRight w:val="0"/>
      <w:marTop w:val="0"/>
      <w:marBottom w:val="0"/>
      <w:divBdr>
        <w:top w:val="none" w:sz="0" w:space="0" w:color="auto"/>
        <w:left w:val="none" w:sz="0" w:space="0" w:color="auto"/>
        <w:bottom w:val="none" w:sz="0" w:space="0" w:color="auto"/>
        <w:right w:val="none" w:sz="0" w:space="0" w:color="auto"/>
      </w:divBdr>
    </w:div>
    <w:div w:id="871766683">
      <w:bodyDiv w:val="1"/>
      <w:marLeft w:val="0"/>
      <w:marRight w:val="0"/>
      <w:marTop w:val="0"/>
      <w:marBottom w:val="0"/>
      <w:divBdr>
        <w:top w:val="none" w:sz="0" w:space="0" w:color="auto"/>
        <w:left w:val="none" w:sz="0" w:space="0" w:color="auto"/>
        <w:bottom w:val="none" w:sz="0" w:space="0" w:color="auto"/>
        <w:right w:val="none" w:sz="0" w:space="0" w:color="auto"/>
      </w:divBdr>
    </w:div>
    <w:div w:id="871770805">
      <w:bodyDiv w:val="1"/>
      <w:marLeft w:val="0"/>
      <w:marRight w:val="0"/>
      <w:marTop w:val="0"/>
      <w:marBottom w:val="0"/>
      <w:divBdr>
        <w:top w:val="none" w:sz="0" w:space="0" w:color="auto"/>
        <w:left w:val="none" w:sz="0" w:space="0" w:color="auto"/>
        <w:bottom w:val="none" w:sz="0" w:space="0" w:color="auto"/>
        <w:right w:val="none" w:sz="0" w:space="0" w:color="auto"/>
      </w:divBdr>
    </w:div>
    <w:div w:id="872814199">
      <w:bodyDiv w:val="1"/>
      <w:marLeft w:val="0"/>
      <w:marRight w:val="0"/>
      <w:marTop w:val="0"/>
      <w:marBottom w:val="0"/>
      <w:divBdr>
        <w:top w:val="none" w:sz="0" w:space="0" w:color="auto"/>
        <w:left w:val="none" w:sz="0" w:space="0" w:color="auto"/>
        <w:bottom w:val="none" w:sz="0" w:space="0" w:color="auto"/>
        <w:right w:val="none" w:sz="0" w:space="0" w:color="auto"/>
      </w:divBdr>
    </w:div>
    <w:div w:id="872965689">
      <w:bodyDiv w:val="1"/>
      <w:marLeft w:val="0"/>
      <w:marRight w:val="0"/>
      <w:marTop w:val="0"/>
      <w:marBottom w:val="0"/>
      <w:divBdr>
        <w:top w:val="none" w:sz="0" w:space="0" w:color="auto"/>
        <w:left w:val="none" w:sz="0" w:space="0" w:color="auto"/>
        <w:bottom w:val="none" w:sz="0" w:space="0" w:color="auto"/>
        <w:right w:val="none" w:sz="0" w:space="0" w:color="auto"/>
      </w:divBdr>
    </w:div>
    <w:div w:id="873156988">
      <w:bodyDiv w:val="1"/>
      <w:marLeft w:val="0"/>
      <w:marRight w:val="0"/>
      <w:marTop w:val="0"/>
      <w:marBottom w:val="0"/>
      <w:divBdr>
        <w:top w:val="none" w:sz="0" w:space="0" w:color="auto"/>
        <w:left w:val="none" w:sz="0" w:space="0" w:color="auto"/>
        <w:bottom w:val="none" w:sz="0" w:space="0" w:color="auto"/>
        <w:right w:val="none" w:sz="0" w:space="0" w:color="auto"/>
      </w:divBdr>
    </w:div>
    <w:div w:id="874267569">
      <w:bodyDiv w:val="1"/>
      <w:marLeft w:val="0"/>
      <w:marRight w:val="0"/>
      <w:marTop w:val="0"/>
      <w:marBottom w:val="0"/>
      <w:divBdr>
        <w:top w:val="none" w:sz="0" w:space="0" w:color="auto"/>
        <w:left w:val="none" w:sz="0" w:space="0" w:color="auto"/>
        <w:bottom w:val="none" w:sz="0" w:space="0" w:color="auto"/>
        <w:right w:val="none" w:sz="0" w:space="0" w:color="auto"/>
      </w:divBdr>
    </w:div>
    <w:div w:id="874775215">
      <w:bodyDiv w:val="1"/>
      <w:marLeft w:val="0"/>
      <w:marRight w:val="0"/>
      <w:marTop w:val="0"/>
      <w:marBottom w:val="0"/>
      <w:divBdr>
        <w:top w:val="none" w:sz="0" w:space="0" w:color="auto"/>
        <w:left w:val="none" w:sz="0" w:space="0" w:color="auto"/>
        <w:bottom w:val="none" w:sz="0" w:space="0" w:color="auto"/>
        <w:right w:val="none" w:sz="0" w:space="0" w:color="auto"/>
      </w:divBdr>
    </w:div>
    <w:div w:id="875239062">
      <w:bodyDiv w:val="1"/>
      <w:marLeft w:val="0"/>
      <w:marRight w:val="0"/>
      <w:marTop w:val="0"/>
      <w:marBottom w:val="0"/>
      <w:divBdr>
        <w:top w:val="none" w:sz="0" w:space="0" w:color="auto"/>
        <w:left w:val="none" w:sz="0" w:space="0" w:color="auto"/>
        <w:bottom w:val="none" w:sz="0" w:space="0" w:color="auto"/>
        <w:right w:val="none" w:sz="0" w:space="0" w:color="auto"/>
      </w:divBdr>
    </w:div>
    <w:div w:id="875239300">
      <w:bodyDiv w:val="1"/>
      <w:marLeft w:val="0"/>
      <w:marRight w:val="0"/>
      <w:marTop w:val="0"/>
      <w:marBottom w:val="0"/>
      <w:divBdr>
        <w:top w:val="none" w:sz="0" w:space="0" w:color="auto"/>
        <w:left w:val="none" w:sz="0" w:space="0" w:color="auto"/>
        <w:bottom w:val="none" w:sz="0" w:space="0" w:color="auto"/>
        <w:right w:val="none" w:sz="0" w:space="0" w:color="auto"/>
      </w:divBdr>
    </w:div>
    <w:div w:id="875855798">
      <w:bodyDiv w:val="1"/>
      <w:marLeft w:val="0"/>
      <w:marRight w:val="0"/>
      <w:marTop w:val="0"/>
      <w:marBottom w:val="0"/>
      <w:divBdr>
        <w:top w:val="none" w:sz="0" w:space="0" w:color="auto"/>
        <w:left w:val="none" w:sz="0" w:space="0" w:color="auto"/>
        <w:bottom w:val="none" w:sz="0" w:space="0" w:color="auto"/>
        <w:right w:val="none" w:sz="0" w:space="0" w:color="auto"/>
      </w:divBdr>
    </w:div>
    <w:div w:id="875965391">
      <w:bodyDiv w:val="1"/>
      <w:marLeft w:val="0"/>
      <w:marRight w:val="0"/>
      <w:marTop w:val="0"/>
      <w:marBottom w:val="0"/>
      <w:divBdr>
        <w:top w:val="none" w:sz="0" w:space="0" w:color="auto"/>
        <w:left w:val="none" w:sz="0" w:space="0" w:color="auto"/>
        <w:bottom w:val="none" w:sz="0" w:space="0" w:color="auto"/>
        <w:right w:val="none" w:sz="0" w:space="0" w:color="auto"/>
      </w:divBdr>
    </w:div>
    <w:div w:id="876505743">
      <w:bodyDiv w:val="1"/>
      <w:marLeft w:val="0"/>
      <w:marRight w:val="0"/>
      <w:marTop w:val="0"/>
      <w:marBottom w:val="0"/>
      <w:divBdr>
        <w:top w:val="none" w:sz="0" w:space="0" w:color="auto"/>
        <w:left w:val="none" w:sz="0" w:space="0" w:color="auto"/>
        <w:bottom w:val="none" w:sz="0" w:space="0" w:color="auto"/>
        <w:right w:val="none" w:sz="0" w:space="0" w:color="auto"/>
      </w:divBdr>
    </w:div>
    <w:div w:id="876624705">
      <w:bodyDiv w:val="1"/>
      <w:marLeft w:val="0"/>
      <w:marRight w:val="0"/>
      <w:marTop w:val="0"/>
      <w:marBottom w:val="0"/>
      <w:divBdr>
        <w:top w:val="none" w:sz="0" w:space="0" w:color="auto"/>
        <w:left w:val="none" w:sz="0" w:space="0" w:color="auto"/>
        <w:bottom w:val="none" w:sz="0" w:space="0" w:color="auto"/>
        <w:right w:val="none" w:sz="0" w:space="0" w:color="auto"/>
      </w:divBdr>
    </w:div>
    <w:div w:id="878055738">
      <w:bodyDiv w:val="1"/>
      <w:marLeft w:val="0"/>
      <w:marRight w:val="0"/>
      <w:marTop w:val="0"/>
      <w:marBottom w:val="0"/>
      <w:divBdr>
        <w:top w:val="none" w:sz="0" w:space="0" w:color="auto"/>
        <w:left w:val="none" w:sz="0" w:space="0" w:color="auto"/>
        <w:bottom w:val="none" w:sz="0" w:space="0" w:color="auto"/>
        <w:right w:val="none" w:sz="0" w:space="0" w:color="auto"/>
      </w:divBdr>
    </w:div>
    <w:div w:id="878124443">
      <w:bodyDiv w:val="1"/>
      <w:marLeft w:val="0"/>
      <w:marRight w:val="0"/>
      <w:marTop w:val="0"/>
      <w:marBottom w:val="0"/>
      <w:divBdr>
        <w:top w:val="none" w:sz="0" w:space="0" w:color="auto"/>
        <w:left w:val="none" w:sz="0" w:space="0" w:color="auto"/>
        <w:bottom w:val="none" w:sz="0" w:space="0" w:color="auto"/>
        <w:right w:val="none" w:sz="0" w:space="0" w:color="auto"/>
      </w:divBdr>
    </w:div>
    <w:div w:id="878513438">
      <w:bodyDiv w:val="1"/>
      <w:marLeft w:val="0"/>
      <w:marRight w:val="0"/>
      <w:marTop w:val="0"/>
      <w:marBottom w:val="0"/>
      <w:divBdr>
        <w:top w:val="none" w:sz="0" w:space="0" w:color="auto"/>
        <w:left w:val="none" w:sz="0" w:space="0" w:color="auto"/>
        <w:bottom w:val="none" w:sz="0" w:space="0" w:color="auto"/>
        <w:right w:val="none" w:sz="0" w:space="0" w:color="auto"/>
      </w:divBdr>
    </w:div>
    <w:div w:id="878973801">
      <w:bodyDiv w:val="1"/>
      <w:marLeft w:val="0"/>
      <w:marRight w:val="0"/>
      <w:marTop w:val="0"/>
      <w:marBottom w:val="0"/>
      <w:divBdr>
        <w:top w:val="none" w:sz="0" w:space="0" w:color="auto"/>
        <w:left w:val="none" w:sz="0" w:space="0" w:color="auto"/>
        <w:bottom w:val="none" w:sz="0" w:space="0" w:color="auto"/>
        <w:right w:val="none" w:sz="0" w:space="0" w:color="auto"/>
      </w:divBdr>
    </w:div>
    <w:div w:id="880751731">
      <w:bodyDiv w:val="1"/>
      <w:marLeft w:val="0"/>
      <w:marRight w:val="0"/>
      <w:marTop w:val="0"/>
      <w:marBottom w:val="0"/>
      <w:divBdr>
        <w:top w:val="none" w:sz="0" w:space="0" w:color="auto"/>
        <w:left w:val="none" w:sz="0" w:space="0" w:color="auto"/>
        <w:bottom w:val="none" w:sz="0" w:space="0" w:color="auto"/>
        <w:right w:val="none" w:sz="0" w:space="0" w:color="auto"/>
      </w:divBdr>
    </w:div>
    <w:div w:id="881018150">
      <w:bodyDiv w:val="1"/>
      <w:marLeft w:val="0"/>
      <w:marRight w:val="0"/>
      <w:marTop w:val="0"/>
      <w:marBottom w:val="0"/>
      <w:divBdr>
        <w:top w:val="none" w:sz="0" w:space="0" w:color="auto"/>
        <w:left w:val="none" w:sz="0" w:space="0" w:color="auto"/>
        <w:bottom w:val="none" w:sz="0" w:space="0" w:color="auto"/>
        <w:right w:val="none" w:sz="0" w:space="0" w:color="auto"/>
      </w:divBdr>
    </w:div>
    <w:div w:id="881748112">
      <w:bodyDiv w:val="1"/>
      <w:marLeft w:val="0"/>
      <w:marRight w:val="0"/>
      <w:marTop w:val="0"/>
      <w:marBottom w:val="0"/>
      <w:divBdr>
        <w:top w:val="none" w:sz="0" w:space="0" w:color="auto"/>
        <w:left w:val="none" w:sz="0" w:space="0" w:color="auto"/>
        <w:bottom w:val="none" w:sz="0" w:space="0" w:color="auto"/>
        <w:right w:val="none" w:sz="0" w:space="0" w:color="auto"/>
      </w:divBdr>
    </w:div>
    <w:div w:id="884803423">
      <w:bodyDiv w:val="1"/>
      <w:marLeft w:val="0"/>
      <w:marRight w:val="0"/>
      <w:marTop w:val="0"/>
      <w:marBottom w:val="0"/>
      <w:divBdr>
        <w:top w:val="none" w:sz="0" w:space="0" w:color="auto"/>
        <w:left w:val="none" w:sz="0" w:space="0" w:color="auto"/>
        <w:bottom w:val="none" w:sz="0" w:space="0" w:color="auto"/>
        <w:right w:val="none" w:sz="0" w:space="0" w:color="auto"/>
      </w:divBdr>
    </w:div>
    <w:div w:id="884949611">
      <w:bodyDiv w:val="1"/>
      <w:marLeft w:val="0"/>
      <w:marRight w:val="0"/>
      <w:marTop w:val="0"/>
      <w:marBottom w:val="0"/>
      <w:divBdr>
        <w:top w:val="none" w:sz="0" w:space="0" w:color="auto"/>
        <w:left w:val="none" w:sz="0" w:space="0" w:color="auto"/>
        <w:bottom w:val="none" w:sz="0" w:space="0" w:color="auto"/>
        <w:right w:val="none" w:sz="0" w:space="0" w:color="auto"/>
      </w:divBdr>
    </w:div>
    <w:div w:id="885146761">
      <w:bodyDiv w:val="1"/>
      <w:marLeft w:val="0"/>
      <w:marRight w:val="0"/>
      <w:marTop w:val="0"/>
      <w:marBottom w:val="0"/>
      <w:divBdr>
        <w:top w:val="none" w:sz="0" w:space="0" w:color="auto"/>
        <w:left w:val="none" w:sz="0" w:space="0" w:color="auto"/>
        <w:bottom w:val="none" w:sz="0" w:space="0" w:color="auto"/>
        <w:right w:val="none" w:sz="0" w:space="0" w:color="auto"/>
      </w:divBdr>
    </w:div>
    <w:div w:id="885334392">
      <w:bodyDiv w:val="1"/>
      <w:marLeft w:val="0"/>
      <w:marRight w:val="0"/>
      <w:marTop w:val="0"/>
      <w:marBottom w:val="0"/>
      <w:divBdr>
        <w:top w:val="none" w:sz="0" w:space="0" w:color="auto"/>
        <w:left w:val="none" w:sz="0" w:space="0" w:color="auto"/>
        <w:bottom w:val="none" w:sz="0" w:space="0" w:color="auto"/>
        <w:right w:val="none" w:sz="0" w:space="0" w:color="auto"/>
      </w:divBdr>
    </w:div>
    <w:div w:id="885874993">
      <w:bodyDiv w:val="1"/>
      <w:marLeft w:val="0"/>
      <w:marRight w:val="0"/>
      <w:marTop w:val="0"/>
      <w:marBottom w:val="0"/>
      <w:divBdr>
        <w:top w:val="none" w:sz="0" w:space="0" w:color="auto"/>
        <w:left w:val="none" w:sz="0" w:space="0" w:color="auto"/>
        <w:bottom w:val="none" w:sz="0" w:space="0" w:color="auto"/>
        <w:right w:val="none" w:sz="0" w:space="0" w:color="auto"/>
      </w:divBdr>
    </w:div>
    <w:div w:id="886919073">
      <w:bodyDiv w:val="1"/>
      <w:marLeft w:val="0"/>
      <w:marRight w:val="0"/>
      <w:marTop w:val="0"/>
      <w:marBottom w:val="0"/>
      <w:divBdr>
        <w:top w:val="none" w:sz="0" w:space="0" w:color="auto"/>
        <w:left w:val="none" w:sz="0" w:space="0" w:color="auto"/>
        <w:bottom w:val="none" w:sz="0" w:space="0" w:color="auto"/>
        <w:right w:val="none" w:sz="0" w:space="0" w:color="auto"/>
      </w:divBdr>
    </w:div>
    <w:div w:id="887643812">
      <w:bodyDiv w:val="1"/>
      <w:marLeft w:val="0"/>
      <w:marRight w:val="0"/>
      <w:marTop w:val="0"/>
      <w:marBottom w:val="0"/>
      <w:divBdr>
        <w:top w:val="none" w:sz="0" w:space="0" w:color="auto"/>
        <w:left w:val="none" w:sz="0" w:space="0" w:color="auto"/>
        <w:bottom w:val="none" w:sz="0" w:space="0" w:color="auto"/>
        <w:right w:val="none" w:sz="0" w:space="0" w:color="auto"/>
      </w:divBdr>
    </w:div>
    <w:div w:id="888303720">
      <w:bodyDiv w:val="1"/>
      <w:marLeft w:val="0"/>
      <w:marRight w:val="0"/>
      <w:marTop w:val="0"/>
      <w:marBottom w:val="0"/>
      <w:divBdr>
        <w:top w:val="none" w:sz="0" w:space="0" w:color="auto"/>
        <w:left w:val="none" w:sz="0" w:space="0" w:color="auto"/>
        <w:bottom w:val="none" w:sz="0" w:space="0" w:color="auto"/>
        <w:right w:val="none" w:sz="0" w:space="0" w:color="auto"/>
      </w:divBdr>
    </w:div>
    <w:div w:id="888422686">
      <w:bodyDiv w:val="1"/>
      <w:marLeft w:val="0"/>
      <w:marRight w:val="0"/>
      <w:marTop w:val="0"/>
      <w:marBottom w:val="0"/>
      <w:divBdr>
        <w:top w:val="none" w:sz="0" w:space="0" w:color="auto"/>
        <w:left w:val="none" w:sz="0" w:space="0" w:color="auto"/>
        <w:bottom w:val="none" w:sz="0" w:space="0" w:color="auto"/>
        <w:right w:val="none" w:sz="0" w:space="0" w:color="auto"/>
      </w:divBdr>
    </w:div>
    <w:div w:id="889659059">
      <w:bodyDiv w:val="1"/>
      <w:marLeft w:val="0"/>
      <w:marRight w:val="0"/>
      <w:marTop w:val="0"/>
      <w:marBottom w:val="0"/>
      <w:divBdr>
        <w:top w:val="none" w:sz="0" w:space="0" w:color="auto"/>
        <w:left w:val="none" w:sz="0" w:space="0" w:color="auto"/>
        <w:bottom w:val="none" w:sz="0" w:space="0" w:color="auto"/>
        <w:right w:val="none" w:sz="0" w:space="0" w:color="auto"/>
      </w:divBdr>
    </w:div>
    <w:div w:id="889728784">
      <w:bodyDiv w:val="1"/>
      <w:marLeft w:val="0"/>
      <w:marRight w:val="0"/>
      <w:marTop w:val="0"/>
      <w:marBottom w:val="0"/>
      <w:divBdr>
        <w:top w:val="none" w:sz="0" w:space="0" w:color="auto"/>
        <w:left w:val="none" w:sz="0" w:space="0" w:color="auto"/>
        <w:bottom w:val="none" w:sz="0" w:space="0" w:color="auto"/>
        <w:right w:val="none" w:sz="0" w:space="0" w:color="auto"/>
      </w:divBdr>
    </w:div>
    <w:div w:id="890262926">
      <w:bodyDiv w:val="1"/>
      <w:marLeft w:val="0"/>
      <w:marRight w:val="0"/>
      <w:marTop w:val="0"/>
      <w:marBottom w:val="0"/>
      <w:divBdr>
        <w:top w:val="none" w:sz="0" w:space="0" w:color="auto"/>
        <w:left w:val="none" w:sz="0" w:space="0" w:color="auto"/>
        <w:bottom w:val="none" w:sz="0" w:space="0" w:color="auto"/>
        <w:right w:val="none" w:sz="0" w:space="0" w:color="auto"/>
      </w:divBdr>
    </w:div>
    <w:div w:id="890653169">
      <w:bodyDiv w:val="1"/>
      <w:marLeft w:val="0"/>
      <w:marRight w:val="0"/>
      <w:marTop w:val="0"/>
      <w:marBottom w:val="0"/>
      <w:divBdr>
        <w:top w:val="none" w:sz="0" w:space="0" w:color="auto"/>
        <w:left w:val="none" w:sz="0" w:space="0" w:color="auto"/>
        <w:bottom w:val="none" w:sz="0" w:space="0" w:color="auto"/>
        <w:right w:val="none" w:sz="0" w:space="0" w:color="auto"/>
      </w:divBdr>
    </w:div>
    <w:div w:id="891692920">
      <w:bodyDiv w:val="1"/>
      <w:marLeft w:val="0"/>
      <w:marRight w:val="0"/>
      <w:marTop w:val="0"/>
      <w:marBottom w:val="0"/>
      <w:divBdr>
        <w:top w:val="none" w:sz="0" w:space="0" w:color="auto"/>
        <w:left w:val="none" w:sz="0" w:space="0" w:color="auto"/>
        <w:bottom w:val="none" w:sz="0" w:space="0" w:color="auto"/>
        <w:right w:val="none" w:sz="0" w:space="0" w:color="auto"/>
      </w:divBdr>
    </w:div>
    <w:div w:id="892231079">
      <w:bodyDiv w:val="1"/>
      <w:marLeft w:val="0"/>
      <w:marRight w:val="0"/>
      <w:marTop w:val="0"/>
      <w:marBottom w:val="0"/>
      <w:divBdr>
        <w:top w:val="none" w:sz="0" w:space="0" w:color="auto"/>
        <w:left w:val="none" w:sz="0" w:space="0" w:color="auto"/>
        <w:bottom w:val="none" w:sz="0" w:space="0" w:color="auto"/>
        <w:right w:val="none" w:sz="0" w:space="0" w:color="auto"/>
      </w:divBdr>
    </w:div>
    <w:div w:id="893321559">
      <w:bodyDiv w:val="1"/>
      <w:marLeft w:val="0"/>
      <w:marRight w:val="0"/>
      <w:marTop w:val="0"/>
      <w:marBottom w:val="0"/>
      <w:divBdr>
        <w:top w:val="none" w:sz="0" w:space="0" w:color="auto"/>
        <w:left w:val="none" w:sz="0" w:space="0" w:color="auto"/>
        <w:bottom w:val="none" w:sz="0" w:space="0" w:color="auto"/>
        <w:right w:val="none" w:sz="0" w:space="0" w:color="auto"/>
      </w:divBdr>
    </w:div>
    <w:div w:id="894853571">
      <w:bodyDiv w:val="1"/>
      <w:marLeft w:val="0"/>
      <w:marRight w:val="0"/>
      <w:marTop w:val="0"/>
      <w:marBottom w:val="0"/>
      <w:divBdr>
        <w:top w:val="none" w:sz="0" w:space="0" w:color="auto"/>
        <w:left w:val="none" w:sz="0" w:space="0" w:color="auto"/>
        <w:bottom w:val="none" w:sz="0" w:space="0" w:color="auto"/>
        <w:right w:val="none" w:sz="0" w:space="0" w:color="auto"/>
      </w:divBdr>
    </w:div>
    <w:div w:id="894975764">
      <w:bodyDiv w:val="1"/>
      <w:marLeft w:val="0"/>
      <w:marRight w:val="0"/>
      <w:marTop w:val="0"/>
      <w:marBottom w:val="0"/>
      <w:divBdr>
        <w:top w:val="none" w:sz="0" w:space="0" w:color="auto"/>
        <w:left w:val="none" w:sz="0" w:space="0" w:color="auto"/>
        <w:bottom w:val="none" w:sz="0" w:space="0" w:color="auto"/>
        <w:right w:val="none" w:sz="0" w:space="0" w:color="auto"/>
      </w:divBdr>
    </w:div>
    <w:div w:id="898398475">
      <w:bodyDiv w:val="1"/>
      <w:marLeft w:val="0"/>
      <w:marRight w:val="0"/>
      <w:marTop w:val="0"/>
      <w:marBottom w:val="0"/>
      <w:divBdr>
        <w:top w:val="none" w:sz="0" w:space="0" w:color="auto"/>
        <w:left w:val="none" w:sz="0" w:space="0" w:color="auto"/>
        <w:bottom w:val="none" w:sz="0" w:space="0" w:color="auto"/>
        <w:right w:val="none" w:sz="0" w:space="0" w:color="auto"/>
      </w:divBdr>
    </w:div>
    <w:div w:id="899243342">
      <w:bodyDiv w:val="1"/>
      <w:marLeft w:val="0"/>
      <w:marRight w:val="0"/>
      <w:marTop w:val="0"/>
      <w:marBottom w:val="0"/>
      <w:divBdr>
        <w:top w:val="none" w:sz="0" w:space="0" w:color="auto"/>
        <w:left w:val="none" w:sz="0" w:space="0" w:color="auto"/>
        <w:bottom w:val="none" w:sz="0" w:space="0" w:color="auto"/>
        <w:right w:val="none" w:sz="0" w:space="0" w:color="auto"/>
      </w:divBdr>
    </w:div>
    <w:div w:id="899827782">
      <w:bodyDiv w:val="1"/>
      <w:marLeft w:val="0"/>
      <w:marRight w:val="0"/>
      <w:marTop w:val="0"/>
      <w:marBottom w:val="0"/>
      <w:divBdr>
        <w:top w:val="none" w:sz="0" w:space="0" w:color="auto"/>
        <w:left w:val="none" w:sz="0" w:space="0" w:color="auto"/>
        <w:bottom w:val="none" w:sz="0" w:space="0" w:color="auto"/>
        <w:right w:val="none" w:sz="0" w:space="0" w:color="auto"/>
      </w:divBdr>
    </w:div>
    <w:div w:id="900557594">
      <w:bodyDiv w:val="1"/>
      <w:marLeft w:val="0"/>
      <w:marRight w:val="0"/>
      <w:marTop w:val="0"/>
      <w:marBottom w:val="0"/>
      <w:divBdr>
        <w:top w:val="none" w:sz="0" w:space="0" w:color="auto"/>
        <w:left w:val="none" w:sz="0" w:space="0" w:color="auto"/>
        <w:bottom w:val="none" w:sz="0" w:space="0" w:color="auto"/>
        <w:right w:val="none" w:sz="0" w:space="0" w:color="auto"/>
      </w:divBdr>
    </w:div>
    <w:div w:id="901254568">
      <w:bodyDiv w:val="1"/>
      <w:marLeft w:val="0"/>
      <w:marRight w:val="0"/>
      <w:marTop w:val="0"/>
      <w:marBottom w:val="0"/>
      <w:divBdr>
        <w:top w:val="none" w:sz="0" w:space="0" w:color="auto"/>
        <w:left w:val="none" w:sz="0" w:space="0" w:color="auto"/>
        <w:bottom w:val="none" w:sz="0" w:space="0" w:color="auto"/>
        <w:right w:val="none" w:sz="0" w:space="0" w:color="auto"/>
      </w:divBdr>
    </w:div>
    <w:div w:id="904100528">
      <w:bodyDiv w:val="1"/>
      <w:marLeft w:val="0"/>
      <w:marRight w:val="0"/>
      <w:marTop w:val="0"/>
      <w:marBottom w:val="0"/>
      <w:divBdr>
        <w:top w:val="none" w:sz="0" w:space="0" w:color="auto"/>
        <w:left w:val="none" w:sz="0" w:space="0" w:color="auto"/>
        <w:bottom w:val="none" w:sz="0" w:space="0" w:color="auto"/>
        <w:right w:val="none" w:sz="0" w:space="0" w:color="auto"/>
      </w:divBdr>
    </w:div>
    <w:div w:id="904998672">
      <w:bodyDiv w:val="1"/>
      <w:marLeft w:val="0"/>
      <w:marRight w:val="0"/>
      <w:marTop w:val="0"/>
      <w:marBottom w:val="0"/>
      <w:divBdr>
        <w:top w:val="none" w:sz="0" w:space="0" w:color="auto"/>
        <w:left w:val="none" w:sz="0" w:space="0" w:color="auto"/>
        <w:bottom w:val="none" w:sz="0" w:space="0" w:color="auto"/>
        <w:right w:val="none" w:sz="0" w:space="0" w:color="auto"/>
      </w:divBdr>
    </w:div>
    <w:div w:id="906064555">
      <w:bodyDiv w:val="1"/>
      <w:marLeft w:val="0"/>
      <w:marRight w:val="0"/>
      <w:marTop w:val="0"/>
      <w:marBottom w:val="0"/>
      <w:divBdr>
        <w:top w:val="none" w:sz="0" w:space="0" w:color="auto"/>
        <w:left w:val="none" w:sz="0" w:space="0" w:color="auto"/>
        <w:bottom w:val="none" w:sz="0" w:space="0" w:color="auto"/>
        <w:right w:val="none" w:sz="0" w:space="0" w:color="auto"/>
      </w:divBdr>
    </w:div>
    <w:div w:id="906526655">
      <w:bodyDiv w:val="1"/>
      <w:marLeft w:val="0"/>
      <w:marRight w:val="0"/>
      <w:marTop w:val="0"/>
      <w:marBottom w:val="0"/>
      <w:divBdr>
        <w:top w:val="none" w:sz="0" w:space="0" w:color="auto"/>
        <w:left w:val="none" w:sz="0" w:space="0" w:color="auto"/>
        <w:bottom w:val="none" w:sz="0" w:space="0" w:color="auto"/>
        <w:right w:val="none" w:sz="0" w:space="0" w:color="auto"/>
      </w:divBdr>
    </w:div>
    <w:div w:id="908074378">
      <w:bodyDiv w:val="1"/>
      <w:marLeft w:val="0"/>
      <w:marRight w:val="0"/>
      <w:marTop w:val="0"/>
      <w:marBottom w:val="0"/>
      <w:divBdr>
        <w:top w:val="none" w:sz="0" w:space="0" w:color="auto"/>
        <w:left w:val="none" w:sz="0" w:space="0" w:color="auto"/>
        <w:bottom w:val="none" w:sz="0" w:space="0" w:color="auto"/>
        <w:right w:val="none" w:sz="0" w:space="0" w:color="auto"/>
      </w:divBdr>
    </w:div>
    <w:div w:id="908686127">
      <w:bodyDiv w:val="1"/>
      <w:marLeft w:val="0"/>
      <w:marRight w:val="0"/>
      <w:marTop w:val="0"/>
      <w:marBottom w:val="0"/>
      <w:divBdr>
        <w:top w:val="none" w:sz="0" w:space="0" w:color="auto"/>
        <w:left w:val="none" w:sz="0" w:space="0" w:color="auto"/>
        <w:bottom w:val="none" w:sz="0" w:space="0" w:color="auto"/>
        <w:right w:val="none" w:sz="0" w:space="0" w:color="auto"/>
      </w:divBdr>
    </w:div>
    <w:div w:id="909116715">
      <w:bodyDiv w:val="1"/>
      <w:marLeft w:val="0"/>
      <w:marRight w:val="0"/>
      <w:marTop w:val="0"/>
      <w:marBottom w:val="0"/>
      <w:divBdr>
        <w:top w:val="none" w:sz="0" w:space="0" w:color="auto"/>
        <w:left w:val="none" w:sz="0" w:space="0" w:color="auto"/>
        <w:bottom w:val="none" w:sz="0" w:space="0" w:color="auto"/>
        <w:right w:val="none" w:sz="0" w:space="0" w:color="auto"/>
      </w:divBdr>
    </w:div>
    <w:div w:id="909774518">
      <w:bodyDiv w:val="1"/>
      <w:marLeft w:val="0"/>
      <w:marRight w:val="0"/>
      <w:marTop w:val="0"/>
      <w:marBottom w:val="0"/>
      <w:divBdr>
        <w:top w:val="none" w:sz="0" w:space="0" w:color="auto"/>
        <w:left w:val="none" w:sz="0" w:space="0" w:color="auto"/>
        <w:bottom w:val="none" w:sz="0" w:space="0" w:color="auto"/>
        <w:right w:val="none" w:sz="0" w:space="0" w:color="auto"/>
      </w:divBdr>
    </w:div>
    <w:div w:id="909997081">
      <w:bodyDiv w:val="1"/>
      <w:marLeft w:val="0"/>
      <w:marRight w:val="0"/>
      <w:marTop w:val="0"/>
      <w:marBottom w:val="0"/>
      <w:divBdr>
        <w:top w:val="none" w:sz="0" w:space="0" w:color="auto"/>
        <w:left w:val="none" w:sz="0" w:space="0" w:color="auto"/>
        <w:bottom w:val="none" w:sz="0" w:space="0" w:color="auto"/>
        <w:right w:val="none" w:sz="0" w:space="0" w:color="auto"/>
      </w:divBdr>
    </w:div>
    <w:div w:id="910038021">
      <w:bodyDiv w:val="1"/>
      <w:marLeft w:val="0"/>
      <w:marRight w:val="0"/>
      <w:marTop w:val="0"/>
      <w:marBottom w:val="0"/>
      <w:divBdr>
        <w:top w:val="none" w:sz="0" w:space="0" w:color="auto"/>
        <w:left w:val="none" w:sz="0" w:space="0" w:color="auto"/>
        <w:bottom w:val="none" w:sz="0" w:space="0" w:color="auto"/>
        <w:right w:val="none" w:sz="0" w:space="0" w:color="auto"/>
      </w:divBdr>
    </w:div>
    <w:div w:id="911548051">
      <w:bodyDiv w:val="1"/>
      <w:marLeft w:val="0"/>
      <w:marRight w:val="0"/>
      <w:marTop w:val="0"/>
      <w:marBottom w:val="0"/>
      <w:divBdr>
        <w:top w:val="none" w:sz="0" w:space="0" w:color="auto"/>
        <w:left w:val="none" w:sz="0" w:space="0" w:color="auto"/>
        <w:bottom w:val="none" w:sz="0" w:space="0" w:color="auto"/>
        <w:right w:val="none" w:sz="0" w:space="0" w:color="auto"/>
      </w:divBdr>
    </w:div>
    <w:div w:id="912349801">
      <w:bodyDiv w:val="1"/>
      <w:marLeft w:val="0"/>
      <w:marRight w:val="0"/>
      <w:marTop w:val="0"/>
      <w:marBottom w:val="0"/>
      <w:divBdr>
        <w:top w:val="none" w:sz="0" w:space="0" w:color="auto"/>
        <w:left w:val="none" w:sz="0" w:space="0" w:color="auto"/>
        <w:bottom w:val="none" w:sz="0" w:space="0" w:color="auto"/>
        <w:right w:val="none" w:sz="0" w:space="0" w:color="auto"/>
      </w:divBdr>
    </w:div>
    <w:div w:id="912664845">
      <w:bodyDiv w:val="1"/>
      <w:marLeft w:val="0"/>
      <w:marRight w:val="0"/>
      <w:marTop w:val="0"/>
      <w:marBottom w:val="0"/>
      <w:divBdr>
        <w:top w:val="none" w:sz="0" w:space="0" w:color="auto"/>
        <w:left w:val="none" w:sz="0" w:space="0" w:color="auto"/>
        <w:bottom w:val="none" w:sz="0" w:space="0" w:color="auto"/>
        <w:right w:val="none" w:sz="0" w:space="0" w:color="auto"/>
      </w:divBdr>
    </w:div>
    <w:div w:id="913205897">
      <w:bodyDiv w:val="1"/>
      <w:marLeft w:val="0"/>
      <w:marRight w:val="0"/>
      <w:marTop w:val="0"/>
      <w:marBottom w:val="0"/>
      <w:divBdr>
        <w:top w:val="none" w:sz="0" w:space="0" w:color="auto"/>
        <w:left w:val="none" w:sz="0" w:space="0" w:color="auto"/>
        <w:bottom w:val="none" w:sz="0" w:space="0" w:color="auto"/>
        <w:right w:val="none" w:sz="0" w:space="0" w:color="auto"/>
      </w:divBdr>
    </w:div>
    <w:div w:id="913315544">
      <w:bodyDiv w:val="1"/>
      <w:marLeft w:val="0"/>
      <w:marRight w:val="0"/>
      <w:marTop w:val="0"/>
      <w:marBottom w:val="0"/>
      <w:divBdr>
        <w:top w:val="none" w:sz="0" w:space="0" w:color="auto"/>
        <w:left w:val="none" w:sz="0" w:space="0" w:color="auto"/>
        <w:bottom w:val="none" w:sz="0" w:space="0" w:color="auto"/>
        <w:right w:val="none" w:sz="0" w:space="0" w:color="auto"/>
      </w:divBdr>
    </w:div>
    <w:div w:id="915095594">
      <w:bodyDiv w:val="1"/>
      <w:marLeft w:val="0"/>
      <w:marRight w:val="0"/>
      <w:marTop w:val="0"/>
      <w:marBottom w:val="0"/>
      <w:divBdr>
        <w:top w:val="none" w:sz="0" w:space="0" w:color="auto"/>
        <w:left w:val="none" w:sz="0" w:space="0" w:color="auto"/>
        <w:bottom w:val="none" w:sz="0" w:space="0" w:color="auto"/>
        <w:right w:val="none" w:sz="0" w:space="0" w:color="auto"/>
      </w:divBdr>
    </w:div>
    <w:div w:id="916011334">
      <w:bodyDiv w:val="1"/>
      <w:marLeft w:val="0"/>
      <w:marRight w:val="0"/>
      <w:marTop w:val="0"/>
      <w:marBottom w:val="0"/>
      <w:divBdr>
        <w:top w:val="none" w:sz="0" w:space="0" w:color="auto"/>
        <w:left w:val="none" w:sz="0" w:space="0" w:color="auto"/>
        <w:bottom w:val="none" w:sz="0" w:space="0" w:color="auto"/>
        <w:right w:val="none" w:sz="0" w:space="0" w:color="auto"/>
      </w:divBdr>
    </w:div>
    <w:div w:id="918251882">
      <w:bodyDiv w:val="1"/>
      <w:marLeft w:val="0"/>
      <w:marRight w:val="0"/>
      <w:marTop w:val="0"/>
      <w:marBottom w:val="0"/>
      <w:divBdr>
        <w:top w:val="none" w:sz="0" w:space="0" w:color="auto"/>
        <w:left w:val="none" w:sz="0" w:space="0" w:color="auto"/>
        <w:bottom w:val="none" w:sz="0" w:space="0" w:color="auto"/>
        <w:right w:val="none" w:sz="0" w:space="0" w:color="auto"/>
      </w:divBdr>
    </w:div>
    <w:div w:id="919144764">
      <w:bodyDiv w:val="1"/>
      <w:marLeft w:val="0"/>
      <w:marRight w:val="0"/>
      <w:marTop w:val="0"/>
      <w:marBottom w:val="0"/>
      <w:divBdr>
        <w:top w:val="none" w:sz="0" w:space="0" w:color="auto"/>
        <w:left w:val="none" w:sz="0" w:space="0" w:color="auto"/>
        <w:bottom w:val="none" w:sz="0" w:space="0" w:color="auto"/>
        <w:right w:val="none" w:sz="0" w:space="0" w:color="auto"/>
      </w:divBdr>
    </w:div>
    <w:div w:id="919950695">
      <w:bodyDiv w:val="1"/>
      <w:marLeft w:val="0"/>
      <w:marRight w:val="0"/>
      <w:marTop w:val="0"/>
      <w:marBottom w:val="0"/>
      <w:divBdr>
        <w:top w:val="none" w:sz="0" w:space="0" w:color="auto"/>
        <w:left w:val="none" w:sz="0" w:space="0" w:color="auto"/>
        <w:bottom w:val="none" w:sz="0" w:space="0" w:color="auto"/>
        <w:right w:val="none" w:sz="0" w:space="0" w:color="auto"/>
      </w:divBdr>
    </w:div>
    <w:div w:id="920020347">
      <w:bodyDiv w:val="1"/>
      <w:marLeft w:val="0"/>
      <w:marRight w:val="0"/>
      <w:marTop w:val="0"/>
      <w:marBottom w:val="0"/>
      <w:divBdr>
        <w:top w:val="none" w:sz="0" w:space="0" w:color="auto"/>
        <w:left w:val="none" w:sz="0" w:space="0" w:color="auto"/>
        <w:bottom w:val="none" w:sz="0" w:space="0" w:color="auto"/>
        <w:right w:val="none" w:sz="0" w:space="0" w:color="auto"/>
      </w:divBdr>
    </w:div>
    <w:div w:id="921987229">
      <w:bodyDiv w:val="1"/>
      <w:marLeft w:val="0"/>
      <w:marRight w:val="0"/>
      <w:marTop w:val="0"/>
      <w:marBottom w:val="0"/>
      <w:divBdr>
        <w:top w:val="none" w:sz="0" w:space="0" w:color="auto"/>
        <w:left w:val="none" w:sz="0" w:space="0" w:color="auto"/>
        <w:bottom w:val="none" w:sz="0" w:space="0" w:color="auto"/>
        <w:right w:val="none" w:sz="0" w:space="0" w:color="auto"/>
      </w:divBdr>
    </w:div>
    <w:div w:id="922647863">
      <w:bodyDiv w:val="1"/>
      <w:marLeft w:val="0"/>
      <w:marRight w:val="0"/>
      <w:marTop w:val="0"/>
      <w:marBottom w:val="0"/>
      <w:divBdr>
        <w:top w:val="none" w:sz="0" w:space="0" w:color="auto"/>
        <w:left w:val="none" w:sz="0" w:space="0" w:color="auto"/>
        <w:bottom w:val="none" w:sz="0" w:space="0" w:color="auto"/>
        <w:right w:val="none" w:sz="0" w:space="0" w:color="auto"/>
      </w:divBdr>
    </w:div>
    <w:div w:id="923297124">
      <w:bodyDiv w:val="1"/>
      <w:marLeft w:val="0"/>
      <w:marRight w:val="0"/>
      <w:marTop w:val="0"/>
      <w:marBottom w:val="0"/>
      <w:divBdr>
        <w:top w:val="none" w:sz="0" w:space="0" w:color="auto"/>
        <w:left w:val="none" w:sz="0" w:space="0" w:color="auto"/>
        <w:bottom w:val="none" w:sz="0" w:space="0" w:color="auto"/>
        <w:right w:val="none" w:sz="0" w:space="0" w:color="auto"/>
      </w:divBdr>
    </w:div>
    <w:div w:id="924342608">
      <w:bodyDiv w:val="1"/>
      <w:marLeft w:val="0"/>
      <w:marRight w:val="0"/>
      <w:marTop w:val="0"/>
      <w:marBottom w:val="0"/>
      <w:divBdr>
        <w:top w:val="none" w:sz="0" w:space="0" w:color="auto"/>
        <w:left w:val="none" w:sz="0" w:space="0" w:color="auto"/>
        <w:bottom w:val="none" w:sz="0" w:space="0" w:color="auto"/>
        <w:right w:val="none" w:sz="0" w:space="0" w:color="auto"/>
      </w:divBdr>
    </w:div>
    <w:div w:id="924537529">
      <w:bodyDiv w:val="1"/>
      <w:marLeft w:val="0"/>
      <w:marRight w:val="0"/>
      <w:marTop w:val="0"/>
      <w:marBottom w:val="0"/>
      <w:divBdr>
        <w:top w:val="none" w:sz="0" w:space="0" w:color="auto"/>
        <w:left w:val="none" w:sz="0" w:space="0" w:color="auto"/>
        <w:bottom w:val="none" w:sz="0" w:space="0" w:color="auto"/>
        <w:right w:val="none" w:sz="0" w:space="0" w:color="auto"/>
      </w:divBdr>
    </w:div>
    <w:div w:id="924613439">
      <w:bodyDiv w:val="1"/>
      <w:marLeft w:val="0"/>
      <w:marRight w:val="0"/>
      <w:marTop w:val="0"/>
      <w:marBottom w:val="0"/>
      <w:divBdr>
        <w:top w:val="none" w:sz="0" w:space="0" w:color="auto"/>
        <w:left w:val="none" w:sz="0" w:space="0" w:color="auto"/>
        <w:bottom w:val="none" w:sz="0" w:space="0" w:color="auto"/>
        <w:right w:val="none" w:sz="0" w:space="0" w:color="auto"/>
      </w:divBdr>
    </w:div>
    <w:div w:id="925187444">
      <w:bodyDiv w:val="1"/>
      <w:marLeft w:val="0"/>
      <w:marRight w:val="0"/>
      <w:marTop w:val="0"/>
      <w:marBottom w:val="0"/>
      <w:divBdr>
        <w:top w:val="none" w:sz="0" w:space="0" w:color="auto"/>
        <w:left w:val="none" w:sz="0" w:space="0" w:color="auto"/>
        <w:bottom w:val="none" w:sz="0" w:space="0" w:color="auto"/>
        <w:right w:val="none" w:sz="0" w:space="0" w:color="auto"/>
      </w:divBdr>
    </w:div>
    <w:div w:id="925261424">
      <w:bodyDiv w:val="1"/>
      <w:marLeft w:val="0"/>
      <w:marRight w:val="0"/>
      <w:marTop w:val="0"/>
      <w:marBottom w:val="0"/>
      <w:divBdr>
        <w:top w:val="none" w:sz="0" w:space="0" w:color="auto"/>
        <w:left w:val="none" w:sz="0" w:space="0" w:color="auto"/>
        <w:bottom w:val="none" w:sz="0" w:space="0" w:color="auto"/>
        <w:right w:val="none" w:sz="0" w:space="0" w:color="auto"/>
      </w:divBdr>
    </w:div>
    <w:div w:id="925769058">
      <w:bodyDiv w:val="1"/>
      <w:marLeft w:val="0"/>
      <w:marRight w:val="0"/>
      <w:marTop w:val="0"/>
      <w:marBottom w:val="0"/>
      <w:divBdr>
        <w:top w:val="none" w:sz="0" w:space="0" w:color="auto"/>
        <w:left w:val="none" w:sz="0" w:space="0" w:color="auto"/>
        <w:bottom w:val="none" w:sz="0" w:space="0" w:color="auto"/>
        <w:right w:val="none" w:sz="0" w:space="0" w:color="auto"/>
      </w:divBdr>
    </w:div>
    <w:div w:id="925769157">
      <w:bodyDiv w:val="1"/>
      <w:marLeft w:val="0"/>
      <w:marRight w:val="0"/>
      <w:marTop w:val="0"/>
      <w:marBottom w:val="0"/>
      <w:divBdr>
        <w:top w:val="none" w:sz="0" w:space="0" w:color="auto"/>
        <w:left w:val="none" w:sz="0" w:space="0" w:color="auto"/>
        <w:bottom w:val="none" w:sz="0" w:space="0" w:color="auto"/>
        <w:right w:val="none" w:sz="0" w:space="0" w:color="auto"/>
      </w:divBdr>
    </w:div>
    <w:div w:id="925966100">
      <w:bodyDiv w:val="1"/>
      <w:marLeft w:val="0"/>
      <w:marRight w:val="0"/>
      <w:marTop w:val="0"/>
      <w:marBottom w:val="0"/>
      <w:divBdr>
        <w:top w:val="none" w:sz="0" w:space="0" w:color="auto"/>
        <w:left w:val="none" w:sz="0" w:space="0" w:color="auto"/>
        <w:bottom w:val="none" w:sz="0" w:space="0" w:color="auto"/>
        <w:right w:val="none" w:sz="0" w:space="0" w:color="auto"/>
      </w:divBdr>
    </w:div>
    <w:div w:id="927814496">
      <w:bodyDiv w:val="1"/>
      <w:marLeft w:val="0"/>
      <w:marRight w:val="0"/>
      <w:marTop w:val="0"/>
      <w:marBottom w:val="0"/>
      <w:divBdr>
        <w:top w:val="none" w:sz="0" w:space="0" w:color="auto"/>
        <w:left w:val="none" w:sz="0" w:space="0" w:color="auto"/>
        <w:bottom w:val="none" w:sz="0" w:space="0" w:color="auto"/>
        <w:right w:val="none" w:sz="0" w:space="0" w:color="auto"/>
      </w:divBdr>
    </w:div>
    <w:div w:id="928200759">
      <w:bodyDiv w:val="1"/>
      <w:marLeft w:val="0"/>
      <w:marRight w:val="0"/>
      <w:marTop w:val="0"/>
      <w:marBottom w:val="0"/>
      <w:divBdr>
        <w:top w:val="none" w:sz="0" w:space="0" w:color="auto"/>
        <w:left w:val="none" w:sz="0" w:space="0" w:color="auto"/>
        <w:bottom w:val="none" w:sz="0" w:space="0" w:color="auto"/>
        <w:right w:val="none" w:sz="0" w:space="0" w:color="auto"/>
      </w:divBdr>
    </w:div>
    <w:div w:id="930237894">
      <w:bodyDiv w:val="1"/>
      <w:marLeft w:val="0"/>
      <w:marRight w:val="0"/>
      <w:marTop w:val="0"/>
      <w:marBottom w:val="0"/>
      <w:divBdr>
        <w:top w:val="none" w:sz="0" w:space="0" w:color="auto"/>
        <w:left w:val="none" w:sz="0" w:space="0" w:color="auto"/>
        <w:bottom w:val="none" w:sz="0" w:space="0" w:color="auto"/>
        <w:right w:val="none" w:sz="0" w:space="0" w:color="auto"/>
      </w:divBdr>
    </w:div>
    <w:div w:id="930284716">
      <w:bodyDiv w:val="1"/>
      <w:marLeft w:val="0"/>
      <w:marRight w:val="0"/>
      <w:marTop w:val="0"/>
      <w:marBottom w:val="0"/>
      <w:divBdr>
        <w:top w:val="none" w:sz="0" w:space="0" w:color="auto"/>
        <w:left w:val="none" w:sz="0" w:space="0" w:color="auto"/>
        <w:bottom w:val="none" w:sz="0" w:space="0" w:color="auto"/>
        <w:right w:val="none" w:sz="0" w:space="0" w:color="auto"/>
      </w:divBdr>
    </w:div>
    <w:div w:id="930628203">
      <w:bodyDiv w:val="1"/>
      <w:marLeft w:val="0"/>
      <w:marRight w:val="0"/>
      <w:marTop w:val="0"/>
      <w:marBottom w:val="0"/>
      <w:divBdr>
        <w:top w:val="none" w:sz="0" w:space="0" w:color="auto"/>
        <w:left w:val="none" w:sz="0" w:space="0" w:color="auto"/>
        <w:bottom w:val="none" w:sz="0" w:space="0" w:color="auto"/>
        <w:right w:val="none" w:sz="0" w:space="0" w:color="auto"/>
      </w:divBdr>
    </w:div>
    <w:div w:id="930813752">
      <w:bodyDiv w:val="1"/>
      <w:marLeft w:val="0"/>
      <w:marRight w:val="0"/>
      <w:marTop w:val="0"/>
      <w:marBottom w:val="0"/>
      <w:divBdr>
        <w:top w:val="none" w:sz="0" w:space="0" w:color="auto"/>
        <w:left w:val="none" w:sz="0" w:space="0" w:color="auto"/>
        <w:bottom w:val="none" w:sz="0" w:space="0" w:color="auto"/>
        <w:right w:val="none" w:sz="0" w:space="0" w:color="auto"/>
      </w:divBdr>
    </w:div>
    <w:div w:id="932593650">
      <w:bodyDiv w:val="1"/>
      <w:marLeft w:val="0"/>
      <w:marRight w:val="0"/>
      <w:marTop w:val="0"/>
      <w:marBottom w:val="0"/>
      <w:divBdr>
        <w:top w:val="none" w:sz="0" w:space="0" w:color="auto"/>
        <w:left w:val="none" w:sz="0" w:space="0" w:color="auto"/>
        <w:bottom w:val="none" w:sz="0" w:space="0" w:color="auto"/>
        <w:right w:val="none" w:sz="0" w:space="0" w:color="auto"/>
      </w:divBdr>
    </w:div>
    <w:div w:id="933897463">
      <w:bodyDiv w:val="1"/>
      <w:marLeft w:val="0"/>
      <w:marRight w:val="0"/>
      <w:marTop w:val="0"/>
      <w:marBottom w:val="0"/>
      <w:divBdr>
        <w:top w:val="none" w:sz="0" w:space="0" w:color="auto"/>
        <w:left w:val="none" w:sz="0" w:space="0" w:color="auto"/>
        <w:bottom w:val="none" w:sz="0" w:space="0" w:color="auto"/>
        <w:right w:val="none" w:sz="0" w:space="0" w:color="auto"/>
      </w:divBdr>
    </w:div>
    <w:div w:id="933975888">
      <w:bodyDiv w:val="1"/>
      <w:marLeft w:val="0"/>
      <w:marRight w:val="0"/>
      <w:marTop w:val="0"/>
      <w:marBottom w:val="0"/>
      <w:divBdr>
        <w:top w:val="none" w:sz="0" w:space="0" w:color="auto"/>
        <w:left w:val="none" w:sz="0" w:space="0" w:color="auto"/>
        <w:bottom w:val="none" w:sz="0" w:space="0" w:color="auto"/>
        <w:right w:val="none" w:sz="0" w:space="0" w:color="auto"/>
      </w:divBdr>
    </w:div>
    <w:div w:id="937908448">
      <w:bodyDiv w:val="1"/>
      <w:marLeft w:val="0"/>
      <w:marRight w:val="0"/>
      <w:marTop w:val="0"/>
      <w:marBottom w:val="0"/>
      <w:divBdr>
        <w:top w:val="none" w:sz="0" w:space="0" w:color="auto"/>
        <w:left w:val="none" w:sz="0" w:space="0" w:color="auto"/>
        <w:bottom w:val="none" w:sz="0" w:space="0" w:color="auto"/>
        <w:right w:val="none" w:sz="0" w:space="0" w:color="auto"/>
      </w:divBdr>
    </w:div>
    <w:div w:id="937982108">
      <w:bodyDiv w:val="1"/>
      <w:marLeft w:val="0"/>
      <w:marRight w:val="0"/>
      <w:marTop w:val="0"/>
      <w:marBottom w:val="0"/>
      <w:divBdr>
        <w:top w:val="none" w:sz="0" w:space="0" w:color="auto"/>
        <w:left w:val="none" w:sz="0" w:space="0" w:color="auto"/>
        <w:bottom w:val="none" w:sz="0" w:space="0" w:color="auto"/>
        <w:right w:val="none" w:sz="0" w:space="0" w:color="auto"/>
      </w:divBdr>
    </w:div>
    <w:div w:id="939415523">
      <w:bodyDiv w:val="1"/>
      <w:marLeft w:val="0"/>
      <w:marRight w:val="0"/>
      <w:marTop w:val="0"/>
      <w:marBottom w:val="0"/>
      <w:divBdr>
        <w:top w:val="none" w:sz="0" w:space="0" w:color="auto"/>
        <w:left w:val="none" w:sz="0" w:space="0" w:color="auto"/>
        <w:bottom w:val="none" w:sz="0" w:space="0" w:color="auto"/>
        <w:right w:val="none" w:sz="0" w:space="0" w:color="auto"/>
      </w:divBdr>
    </w:div>
    <w:div w:id="940337822">
      <w:bodyDiv w:val="1"/>
      <w:marLeft w:val="0"/>
      <w:marRight w:val="0"/>
      <w:marTop w:val="0"/>
      <w:marBottom w:val="0"/>
      <w:divBdr>
        <w:top w:val="none" w:sz="0" w:space="0" w:color="auto"/>
        <w:left w:val="none" w:sz="0" w:space="0" w:color="auto"/>
        <w:bottom w:val="none" w:sz="0" w:space="0" w:color="auto"/>
        <w:right w:val="none" w:sz="0" w:space="0" w:color="auto"/>
      </w:divBdr>
    </w:div>
    <w:div w:id="940378200">
      <w:bodyDiv w:val="1"/>
      <w:marLeft w:val="0"/>
      <w:marRight w:val="0"/>
      <w:marTop w:val="0"/>
      <w:marBottom w:val="0"/>
      <w:divBdr>
        <w:top w:val="none" w:sz="0" w:space="0" w:color="auto"/>
        <w:left w:val="none" w:sz="0" w:space="0" w:color="auto"/>
        <w:bottom w:val="none" w:sz="0" w:space="0" w:color="auto"/>
        <w:right w:val="none" w:sz="0" w:space="0" w:color="auto"/>
      </w:divBdr>
    </w:div>
    <w:div w:id="940380337">
      <w:bodyDiv w:val="1"/>
      <w:marLeft w:val="0"/>
      <w:marRight w:val="0"/>
      <w:marTop w:val="0"/>
      <w:marBottom w:val="0"/>
      <w:divBdr>
        <w:top w:val="none" w:sz="0" w:space="0" w:color="auto"/>
        <w:left w:val="none" w:sz="0" w:space="0" w:color="auto"/>
        <w:bottom w:val="none" w:sz="0" w:space="0" w:color="auto"/>
        <w:right w:val="none" w:sz="0" w:space="0" w:color="auto"/>
      </w:divBdr>
    </w:div>
    <w:div w:id="940915986">
      <w:bodyDiv w:val="1"/>
      <w:marLeft w:val="0"/>
      <w:marRight w:val="0"/>
      <w:marTop w:val="0"/>
      <w:marBottom w:val="0"/>
      <w:divBdr>
        <w:top w:val="none" w:sz="0" w:space="0" w:color="auto"/>
        <w:left w:val="none" w:sz="0" w:space="0" w:color="auto"/>
        <w:bottom w:val="none" w:sz="0" w:space="0" w:color="auto"/>
        <w:right w:val="none" w:sz="0" w:space="0" w:color="auto"/>
      </w:divBdr>
    </w:div>
    <w:div w:id="941496396">
      <w:bodyDiv w:val="1"/>
      <w:marLeft w:val="0"/>
      <w:marRight w:val="0"/>
      <w:marTop w:val="0"/>
      <w:marBottom w:val="0"/>
      <w:divBdr>
        <w:top w:val="none" w:sz="0" w:space="0" w:color="auto"/>
        <w:left w:val="none" w:sz="0" w:space="0" w:color="auto"/>
        <w:bottom w:val="none" w:sz="0" w:space="0" w:color="auto"/>
        <w:right w:val="none" w:sz="0" w:space="0" w:color="auto"/>
      </w:divBdr>
    </w:div>
    <w:div w:id="941568594">
      <w:bodyDiv w:val="1"/>
      <w:marLeft w:val="0"/>
      <w:marRight w:val="0"/>
      <w:marTop w:val="0"/>
      <w:marBottom w:val="0"/>
      <w:divBdr>
        <w:top w:val="none" w:sz="0" w:space="0" w:color="auto"/>
        <w:left w:val="none" w:sz="0" w:space="0" w:color="auto"/>
        <w:bottom w:val="none" w:sz="0" w:space="0" w:color="auto"/>
        <w:right w:val="none" w:sz="0" w:space="0" w:color="auto"/>
      </w:divBdr>
    </w:div>
    <w:div w:id="942103711">
      <w:bodyDiv w:val="1"/>
      <w:marLeft w:val="0"/>
      <w:marRight w:val="0"/>
      <w:marTop w:val="0"/>
      <w:marBottom w:val="0"/>
      <w:divBdr>
        <w:top w:val="none" w:sz="0" w:space="0" w:color="auto"/>
        <w:left w:val="none" w:sz="0" w:space="0" w:color="auto"/>
        <w:bottom w:val="none" w:sz="0" w:space="0" w:color="auto"/>
        <w:right w:val="none" w:sz="0" w:space="0" w:color="auto"/>
      </w:divBdr>
    </w:div>
    <w:div w:id="942344601">
      <w:bodyDiv w:val="1"/>
      <w:marLeft w:val="0"/>
      <w:marRight w:val="0"/>
      <w:marTop w:val="0"/>
      <w:marBottom w:val="0"/>
      <w:divBdr>
        <w:top w:val="none" w:sz="0" w:space="0" w:color="auto"/>
        <w:left w:val="none" w:sz="0" w:space="0" w:color="auto"/>
        <w:bottom w:val="none" w:sz="0" w:space="0" w:color="auto"/>
        <w:right w:val="none" w:sz="0" w:space="0" w:color="auto"/>
      </w:divBdr>
    </w:div>
    <w:div w:id="942764795">
      <w:bodyDiv w:val="1"/>
      <w:marLeft w:val="0"/>
      <w:marRight w:val="0"/>
      <w:marTop w:val="0"/>
      <w:marBottom w:val="0"/>
      <w:divBdr>
        <w:top w:val="none" w:sz="0" w:space="0" w:color="auto"/>
        <w:left w:val="none" w:sz="0" w:space="0" w:color="auto"/>
        <w:bottom w:val="none" w:sz="0" w:space="0" w:color="auto"/>
        <w:right w:val="none" w:sz="0" w:space="0" w:color="auto"/>
      </w:divBdr>
    </w:div>
    <w:div w:id="944272125">
      <w:bodyDiv w:val="1"/>
      <w:marLeft w:val="0"/>
      <w:marRight w:val="0"/>
      <w:marTop w:val="0"/>
      <w:marBottom w:val="0"/>
      <w:divBdr>
        <w:top w:val="none" w:sz="0" w:space="0" w:color="auto"/>
        <w:left w:val="none" w:sz="0" w:space="0" w:color="auto"/>
        <w:bottom w:val="none" w:sz="0" w:space="0" w:color="auto"/>
        <w:right w:val="none" w:sz="0" w:space="0" w:color="auto"/>
      </w:divBdr>
    </w:div>
    <w:div w:id="945306464">
      <w:bodyDiv w:val="1"/>
      <w:marLeft w:val="0"/>
      <w:marRight w:val="0"/>
      <w:marTop w:val="0"/>
      <w:marBottom w:val="0"/>
      <w:divBdr>
        <w:top w:val="none" w:sz="0" w:space="0" w:color="auto"/>
        <w:left w:val="none" w:sz="0" w:space="0" w:color="auto"/>
        <w:bottom w:val="none" w:sz="0" w:space="0" w:color="auto"/>
        <w:right w:val="none" w:sz="0" w:space="0" w:color="auto"/>
      </w:divBdr>
    </w:div>
    <w:div w:id="945386804">
      <w:bodyDiv w:val="1"/>
      <w:marLeft w:val="0"/>
      <w:marRight w:val="0"/>
      <w:marTop w:val="0"/>
      <w:marBottom w:val="0"/>
      <w:divBdr>
        <w:top w:val="none" w:sz="0" w:space="0" w:color="auto"/>
        <w:left w:val="none" w:sz="0" w:space="0" w:color="auto"/>
        <w:bottom w:val="none" w:sz="0" w:space="0" w:color="auto"/>
        <w:right w:val="none" w:sz="0" w:space="0" w:color="auto"/>
      </w:divBdr>
    </w:div>
    <w:div w:id="946429630">
      <w:bodyDiv w:val="1"/>
      <w:marLeft w:val="0"/>
      <w:marRight w:val="0"/>
      <w:marTop w:val="0"/>
      <w:marBottom w:val="0"/>
      <w:divBdr>
        <w:top w:val="none" w:sz="0" w:space="0" w:color="auto"/>
        <w:left w:val="none" w:sz="0" w:space="0" w:color="auto"/>
        <w:bottom w:val="none" w:sz="0" w:space="0" w:color="auto"/>
        <w:right w:val="none" w:sz="0" w:space="0" w:color="auto"/>
      </w:divBdr>
    </w:div>
    <w:div w:id="947809129">
      <w:bodyDiv w:val="1"/>
      <w:marLeft w:val="0"/>
      <w:marRight w:val="0"/>
      <w:marTop w:val="0"/>
      <w:marBottom w:val="0"/>
      <w:divBdr>
        <w:top w:val="none" w:sz="0" w:space="0" w:color="auto"/>
        <w:left w:val="none" w:sz="0" w:space="0" w:color="auto"/>
        <w:bottom w:val="none" w:sz="0" w:space="0" w:color="auto"/>
        <w:right w:val="none" w:sz="0" w:space="0" w:color="auto"/>
      </w:divBdr>
    </w:div>
    <w:div w:id="948774845">
      <w:bodyDiv w:val="1"/>
      <w:marLeft w:val="0"/>
      <w:marRight w:val="0"/>
      <w:marTop w:val="0"/>
      <w:marBottom w:val="0"/>
      <w:divBdr>
        <w:top w:val="none" w:sz="0" w:space="0" w:color="auto"/>
        <w:left w:val="none" w:sz="0" w:space="0" w:color="auto"/>
        <w:bottom w:val="none" w:sz="0" w:space="0" w:color="auto"/>
        <w:right w:val="none" w:sz="0" w:space="0" w:color="auto"/>
      </w:divBdr>
    </w:div>
    <w:div w:id="948926689">
      <w:bodyDiv w:val="1"/>
      <w:marLeft w:val="0"/>
      <w:marRight w:val="0"/>
      <w:marTop w:val="0"/>
      <w:marBottom w:val="0"/>
      <w:divBdr>
        <w:top w:val="none" w:sz="0" w:space="0" w:color="auto"/>
        <w:left w:val="none" w:sz="0" w:space="0" w:color="auto"/>
        <w:bottom w:val="none" w:sz="0" w:space="0" w:color="auto"/>
        <w:right w:val="none" w:sz="0" w:space="0" w:color="auto"/>
      </w:divBdr>
    </w:div>
    <w:div w:id="949699428">
      <w:bodyDiv w:val="1"/>
      <w:marLeft w:val="0"/>
      <w:marRight w:val="0"/>
      <w:marTop w:val="0"/>
      <w:marBottom w:val="0"/>
      <w:divBdr>
        <w:top w:val="none" w:sz="0" w:space="0" w:color="auto"/>
        <w:left w:val="none" w:sz="0" w:space="0" w:color="auto"/>
        <w:bottom w:val="none" w:sz="0" w:space="0" w:color="auto"/>
        <w:right w:val="none" w:sz="0" w:space="0" w:color="auto"/>
      </w:divBdr>
    </w:div>
    <w:div w:id="950210335">
      <w:bodyDiv w:val="1"/>
      <w:marLeft w:val="0"/>
      <w:marRight w:val="0"/>
      <w:marTop w:val="0"/>
      <w:marBottom w:val="0"/>
      <w:divBdr>
        <w:top w:val="none" w:sz="0" w:space="0" w:color="auto"/>
        <w:left w:val="none" w:sz="0" w:space="0" w:color="auto"/>
        <w:bottom w:val="none" w:sz="0" w:space="0" w:color="auto"/>
        <w:right w:val="none" w:sz="0" w:space="0" w:color="auto"/>
      </w:divBdr>
    </w:div>
    <w:div w:id="950477071">
      <w:bodyDiv w:val="1"/>
      <w:marLeft w:val="0"/>
      <w:marRight w:val="0"/>
      <w:marTop w:val="0"/>
      <w:marBottom w:val="0"/>
      <w:divBdr>
        <w:top w:val="none" w:sz="0" w:space="0" w:color="auto"/>
        <w:left w:val="none" w:sz="0" w:space="0" w:color="auto"/>
        <w:bottom w:val="none" w:sz="0" w:space="0" w:color="auto"/>
        <w:right w:val="none" w:sz="0" w:space="0" w:color="auto"/>
      </w:divBdr>
    </w:div>
    <w:div w:id="954023995">
      <w:bodyDiv w:val="1"/>
      <w:marLeft w:val="0"/>
      <w:marRight w:val="0"/>
      <w:marTop w:val="0"/>
      <w:marBottom w:val="0"/>
      <w:divBdr>
        <w:top w:val="none" w:sz="0" w:space="0" w:color="auto"/>
        <w:left w:val="none" w:sz="0" w:space="0" w:color="auto"/>
        <w:bottom w:val="none" w:sz="0" w:space="0" w:color="auto"/>
        <w:right w:val="none" w:sz="0" w:space="0" w:color="auto"/>
      </w:divBdr>
    </w:div>
    <w:div w:id="954873874">
      <w:bodyDiv w:val="1"/>
      <w:marLeft w:val="0"/>
      <w:marRight w:val="0"/>
      <w:marTop w:val="0"/>
      <w:marBottom w:val="0"/>
      <w:divBdr>
        <w:top w:val="none" w:sz="0" w:space="0" w:color="auto"/>
        <w:left w:val="none" w:sz="0" w:space="0" w:color="auto"/>
        <w:bottom w:val="none" w:sz="0" w:space="0" w:color="auto"/>
        <w:right w:val="none" w:sz="0" w:space="0" w:color="auto"/>
      </w:divBdr>
    </w:div>
    <w:div w:id="956378058">
      <w:bodyDiv w:val="1"/>
      <w:marLeft w:val="0"/>
      <w:marRight w:val="0"/>
      <w:marTop w:val="0"/>
      <w:marBottom w:val="0"/>
      <w:divBdr>
        <w:top w:val="none" w:sz="0" w:space="0" w:color="auto"/>
        <w:left w:val="none" w:sz="0" w:space="0" w:color="auto"/>
        <w:bottom w:val="none" w:sz="0" w:space="0" w:color="auto"/>
        <w:right w:val="none" w:sz="0" w:space="0" w:color="auto"/>
      </w:divBdr>
    </w:div>
    <w:div w:id="957486652">
      <w:bodyDiv w:val="1"/>
      <w:marLeft w:val="0"/>
      <w:marRight w:val="0"/>
      <w:marTop w:val="0"/>
      <w:marBottom w:val="0"/>
      <w:divBdr>
        <w:top w:val="none" w:sz="0" w:space="0" w:color="auto"/>
        <w:left w:val="none" w:sz="0" w:space="0" w:color="auto"/>
        <w:bottom w:val="none" w:sz="0" w:space="0" w:color="auto"/>
        <w:right w:val="none" w:sz="0" w:space="0" w:color="auto"/>
      </w:divBdr>
    </w:div>
    <w:div w:id="957564115">
      <w:bodyDiv w:val="1"/>
      <w:marLeft w:val="0"/>
      <w:marRight w:val="0"/>
      <w:marTop w:val="0"/>
      <w:marBottom w:val="0"/>
      <w:divBdr>
        <w:top w:val="none" w:sz="0" w:space="0" w:color="auto"/>
        <w:left w:val="none" w:sz="0" w:space="0" w:color="auto"/>
        <w:bottom w:val="none" w:sz="0" w:space="0" w:color="auto"/>
        <w:right w:val="none" w:sz="0" w:space="0" w:color="auto"/>
      </w:divBdr>
    </w:div>
    <w:div w:id="958267525">
      <w:bodyDiv w:val="1"/>
      <w:marLeft w:val="0"/>
      <w:marRight w:val="0"/>
      <w:marTop w:val="0"/>
      <w:marBottom w:val="0"/>
      <w:divBdr>
        <w:top w:val="none" w:sz="0" w:space="0" w:color="auto"/>
        <w:left w:val="none" w:sz="0" w:space="0" w:color="auto"/>
        <w:bottom w:val="none" w:sz="0" w:space="0" w:color="auto"/>
        <w:right w:val="none" w:sz="0" w:space="0" w:color="auto"/>
      </w:divBdr>
    </w:div>
    <w:div w:id="959916368">
      <w:bodyDiv w:val="1"/>
      <w:marLeft w:val="0"/>
      <w:marRight w:val="0"/>
      <w:marTop w:val="0"/>
      <w:marBottom w:val="0"/>
      <w:divBdr>
        <w:top w:val="none" w:sz="0" w:space="0" w:color="auto"/>
        <w:left w:val="none" w:sz="0" w:space="0" w:color="auto"/>
        <w:bottom w:val="none" w:sz="0" w:space="0" w:color="auto"/>
        <w:right w:val="none" w:sz="0" w:space="0" w:color="auto"/>
      </w:divBdr>
    </w:div>
    <w:div w:id="960302752">
      <w:bodyDiv w:val="1"/>
      <w:marLeft w:val="0"/>
      <w:marRight w:val="0"/>
      <w:marTop w:val="0"/>
      <w:marBottom w:val="0"/>
      <w:divBdr>
        <w:top w:val="none" w:sz="0" w:space="0" w:color="auto"/>
        <w:left w:val="none" w:sz="0" w:space="0" w:color="auto"/>
        <w:bottom w:val="none" w:sz="0" w:space="0" w:color="auto"/>
        <w:right w:val="none" w:sz="0" w:space="0" w:color="auto"/>
      </w:divBdr>
    </w:div>
    <w:div w:id="960453846">
      <w:bodyDiv w:val="1"/>
      <w:marLeft w:val="0"/>
      <w:marRight w:val="0"/>
      <w:marTop w:val="0"/>
      <w:marBottom w:val="0"/>
      <w:divBdr>
        <w:top w:val="none" w:sz="0" w:space="0" w:color="auto"/>
        <w:left w:val="none" w:sz="0" w:space="0" w:color="auto"/>
        <w:bottom w:val="none" w:sz="0" w:space="0" w:color="auto"/>
        <w:right w:val="none" w:sz="0" w:space="0" w:color="auto"/>
      </w:divBdr>
    </w:div>
    <w:div w:id="960962018">
      <w:bodyDiv w:val="1"/>
      <w:marLeft w:val="0"/>
      <w:marRight w:val="0"/>
      <w:marTop w:val="0"/>
      <w:marBottom w:val="0"/>
      <w:divBdr>
        <w:top w:val="none" w:sz="0" w:space="0" w:color="auto"/>
        <w:left w:val="none" w:sz="0" w:space="0" w:color="auto"/>
        <w:bottom w:val="none" w:sz="0" w:space="0" w:color="auto"/>
        <w:right w:val="none" w:sz="0" w:space="0" w:color="auto"/>
      </w:divBdr>
    </w:div>
    <w:div w:id="961152417">
      <w:bodyDiv w:val="1"/>
      <w:marLeft w:val="0"/>
      <w:marRight w:val="0"/>
      <w:marTop w:val="0"/>
      <w:marBottom w:val="0"/>
      <w:divBdr>
        <w:top w:val="none" w:sz="0" w:space="0" w:color="auto"/>
        <w:left w:val="none" w:sz="0" w:space="0" w:color="auto"/>
        <w:bottom w:val="none" w:sz="0" w:space="0" w:color="auto"/>
        <w:right w:val="none" w:sz="0" w:space="0" w:color="auto"/>
      </w:divBdr>
    </w:div>
    <w:div w:id="963004033">
      <w:bodyDiv w:val="1"/>
      <w:marLeft w:val="0"/>
      <w:marRight w:val="0"/>
      <w:marTop w:val="0"/>
      <w:marBottom w:val="0"/>
      <w:divBdr>
        <w:top w:val="none" w:sz="0" w:space="0" w:color="auto"/>
        <w:left w:val="none" w:sz="0" w:space="0" w:color="auto"/>
        <w:bottom w:val="none" w:sz="0" w:space="0" w:color="auto"/>
        <w:right w:val="none" w:sz="0" w:space="0" w:color="auto"/>
      </w:divBdr>
    </w:div>
    <w:div w:id="965235387">
      <w:bodyDiv w:val="1"/>
      <w:marLeft w:val="0"/>
      <w:marRight w:val="0"/>
      <w:marTop w:val="0"/>
      <w:marBottom w:val="0"/>
      <w:divBdr>
        <w:top w:val="none" w:sz="0" w:space="0" w:color="auto"/>
        <w:left w:val="none" w:sz="0" w:space="0" w:color="auto"/>
        <w:bottom w:val="none" w:sz="0" w:space="0" w:color="auto"/>
        <w:right w:val="none" w:sz="0" w:space="0" w:color="auto"/>
      </w:divBdr>
    </w:div>
    <w:div w:id="965351682">
      <w:bodyDiv w:val="1"/>
      <w:marLeft w:val="0"/>
      <w:marRight w:val="0"/>
      <w:marTop w:val="0"/>
      <w:marBottom w:val="0"/>
      <w:divBdr>
        <w:top w:val="none" w:sz="0" w:space="0" w:color="auto"/>
        <w:left w:val="none" w:sz="0" w:space="0" w:color="auto"/>
        <w:bottom w:val="none" w:sz="0" w:space="0" w:color="auto"/>
        <w:right w:val="none" w:sz="0" w:space="0" w:color="auto"/>
      </w:divBdr>
    </w:div>
    <w:div w:id="965768909">
      <w:bodyDiv w:val="1"/>
      <w:marLeft w:val="0"/>
      <w:marRight w:val="0"/>
      <w:marTop w:val="0"/>
      <w:marBottom w:val="0"/>
      <w:divBdr>
        <w:top w:val="none" w:sz="0" w:space="0" w:color="auto"/>
        <w:left w:val="none" w:sz="0" w:space="0" w:color="auto"/>
        <w:bottom w:val="none" w:sz="0" w:space="0" w:color="auto"/>
        <w:right w:val="none" w:sz="0" w:space="0" w:color="auto"/>
      </w:divBdr>
    </w:div>
    <w:div w:id="965966223">
      <w:bodyDiv w:val="1"/>
      <w:marLeft w:val="0"/>
      <w:marRight w:val="0"/>
      <w:marTop w:val="0"/>
      <w:marBottom w:val="0"/>
      <w:divBdr>
        <w:top w:val="none" w:sz="0" w:space="0" w:color="auto"/>
        <w:left w:val="none" w:sz="0" w:space="0" w:color="auto"/>
        <w:bottom w:val="none" w:sz="0" w:space="0" w:color="auto"/>
        <w:right w:val="none" w:sz="0" w:space="0" w:color="auto"/>
      </w:divBdr>
    </w:div>
    <w:div w:id="967008812">
      <w:bodyDiv w:val="1"/>
      <w:marLeft w:val="0"/>
      <w:marRight w:val="0"/>
      <w:marTop w:val="0"/>
      <w:marBottom w:val="0"/>
      <w:divBdr>
        <w:top w:val="none" w:sz="0" w:space="0" w:color="auto"/>
        <w:left w:val="none" w:sz="0" w:space="0" w:color="auto"/>
        <w:bottom w:val="none" w:sz="0" w:space="0" w:color="auto"/>
        <w:right w:val="none" w:sz="0" w:space="0" w:color="auto"/>
      </w:divBdr>
    </w:div>
    <w:div w:id="967129193">
      <w:bodyDiv w:val="1"/>
      <w:marLeft w:val="0"/>
      <w:marRight w:val="0"/>
      <w:marTop w:val="0"/>
      <w:marBottom w:val="0"/>
      <w:divBdr>
        <w:top w:val="none" w:sz="0" w:space="0" w:color="auto"/>
        <w:left w:val="none" w:sz="0" w:space="0" w:color="auto"/>
        <w:bottom w:val="none" w:sz="0" w:space="0" w:color="auto"/>
        <w:right w:val="none" w:sz="0" w:space="0" w:color="auto"/>
      </w:divBdr>
    </w:div>
    <w:div w:id="967323318">
      <w:bodyDiv w:val="1"/>
      <w:marLeft w:val="0"/>
      <w:marRight w:val="0"/>
      <w:marTop w:val="0"/>
      <w:marBottom w:val="0"/>
      <w:divBdr>
        <w:top w:val="none" w:sz="0" w:space="0" w:color="auto"/>
        <w:left w:val="none" w:sz="0" w:space="0" w:color="auto"/>
        <w:bottom w:val="none" w:sz="0" w:space="0" w:color="auto"/>
        <w:right w:val="none" w:sz="0" w:space="0" w:color="auto"/>
      </w:divBdr>
    </w:div>
    <w:div w:id="967667054">
      <w:bodyDiv w:val="1"/>
      <w:marLeft w:val="0"/>
      <w:marRight w:val="0"/>
      <w:marTop w:val="0"/>
      <w:marBottom w:val="0"/>
      <w:divBdr>
        <w:top w:val="none" w:sz="0" w:space="0" w:color="auto"/>
        <w:left w:val="none" w:sz="0" w:space="0" w:color="auto"/>
        <w:bottom w:val="none" w:sz="0" w:space="0" w:color="auto"/>
        <w:right w:val="none" w:sz="0" w:space="0" w:color="auto"/>
      </w:divBdr>
    </w:div>
    <w:div w:id="968556950">
      <w:bodyDiv w:val="1"/>
      <w:marLeft w:val="0"/>
      <w:marRight w:val="0"/>
      <w:marTop w:val="0"/>
      <w:marBottom w:val="0"/>
      <w:divBdr>
        <w:top w:val="none" w:sz="0" w:space="0" w:color="auto"/>
        <w:left w:val="none" w:sz="0" w:space="0" w:color="auto"/>
        <w:bottom w:val="none" w:sz="0" w:space="0" w:color="auto"/>
        <w:right w:val="none" w:sz="0" w:space="0" w:color="auto"/>
      </w:divBdr>
    </w:div>
    <w:div w:id="969285952">
      <w:bodyDiv w:val="1"/>
      <w:marLeft w:val="0"/>
      <w:marRight w:val="0"/>
      <w:marTop w:val="0"/>
      <w:marBottom w:val="0"/>
      <w:divBdr>
        <w:top w:val="none" w:sz="0" w:space="0" w:color="auto"/>
        <w:left w:val="none" w:sz="0" w:space="0" w:color="auto"/>
        <w:bottom w:val="none" w:sz="0" w:space="0" w:color="auto"/>
        <w:right w:val="none" w:sz="0" w:space="0" w:color="auto"/>
      </w:divBdr>
    </w:div>
    <w:div w:id="969435588">
      <w:bodyDiv w:val="1"/>
      <w:marLeft w:val="0"/>
      <w:marRight w:val="0"/>
      <w:marTop w:val="0"/>
      <w:marBottom w:val="0"/>
      <w:divBdr>
        <w:top w:val="none" w:sz="0" w:space="0" w:color="auto"/>
        <w:left w:val="none" w:sz="0" w:space="0" w:color="auto"/>
        <w:bottom w:val="none" w:sz="0" w:space="0" w:color="auto"/>
        <w:right w:val="none" w:sz="0" w:space="0" w:color="auto"/>
      </w:divBdr>
    </w:div>
    <w:div w:id="969897992">
      <w:bodyDiv w:val="1"/>
      <w:marLeft w:val="0"/>
      <w:marRight w:val="0"/>
      <w:marTop w:val="0"/>
      <w:marBottom w:val="0"/>
      <w:divBdr>
        <w:top w:val="none" w:sz="0" w:space="0" w:color="auto"/>
        <w:left w:val="none" w:sz="0" w:space="0" w:color="auto"/>
        <w:bottom w:val="none" w:sz="0" w:space="0" w:color="auto"/>
        <w:right w:val="none" w:sz="0" w:space="0" w:color="auto"/>
      </w:divBdr>
    </w:div>
    <w:div w:id="971713994">
      <w:bodyDiv w:val="1"/>
      <w:marLeft w:val="0"/>
      <w:marRight w:val="0"/>
      <w:marTop w:val="0"/>
      <w:marBottom w:val="0"/>
      <w:divBdr>
        <w:top w:val="none" w:sz="0" w:space="0" w:color="auto"/>
        <w:left w:val="none" w:sz="0" w:space="0" w:color="auto"/>
        <w:bottom w:val="none" w:sz="0" w:space="0" w:color="auto"/>
        <w:right w:val="none" w:sz="0" w:space="0" w:color="auto"/>
      </w:divBdr>
    </w:div>
    <w:div w:id="971716414">
      <w:bodyDiv w:val="1"/>
      <w:marLeft w:val="0"/>
      <w:marRight w:val="0"/>
      <w:marTop w:val="0"/>
      <w:marBottom w:val="0"/>
      <w:divBdr>
        <w:top w:val="none" w:sz="0" w:space="0" w:color="auto"/>
        <w:left w:val="none" w:sz="0" w:space="0" w:color="auto"/>
        <w:bottom w:val="none" w:sz="0" w:space="0" w:color="auto"/>
        <w:right w:val="none" w:sz="0" w:space="0" w:color="auto"/>
      </w:divBdr>
    </w:div>
    <w:div w:id="972756146">
      <w:bodyDiv w:val="1"/>
      <w:marLeft w:val="0"/>
      <w:marRight w:val="0"/>
      <w:marTop w:val="0"/>
      <w:marBottom w:val="0"/>
      <w:divBdr>
        <w:top w:val="none" w:sz="0" w:space="0" w:color="auto"/>
        <w:left w:val="none" w:sz="0" w:space="0" w:color="auto"/>
        <w:bottom w:val="none" w:sz="0" w:space="0" w:color="auto"/>
        <w:right w:val="none" w:sz="0" w:space="0" w:color="auto"/>
      </w:divBdr>
    </w:div>
    <w:div w:id="972977282">
      <w:bodyDiv w:val="1"/>
      <w:marLeft w:val="0"/>
      <w:marRight w:val="0"/>
      <w:marTop w:val="0"/>
      <w:marBottom w:val="0"/>
      <w:divBdr>
        <w:top w:val="none" w:sz="0" w:space="0" w:color="auto"/>
        <w:left w:val="none" w:sz="0" w:space="0" w:color="auto"/>
        <w:bottom w:val="none" w:sz="0" w:space="0" w:color="auto"/>
        <w:right w:val="none" w:sz="0" w:space="0" w:color="auto"/>
      </w:divBdr>
    </w:div>
    <w:div w:id="974137455">
      <w:bodyDiv w:val="1"/>
      <w:marLeft w:val="0"/>
      <w:marRight w:val="0"/>
      <w:marTop w:val="0"/>
      <w:marBottom w:val="0"/>
      <w:divBdr>
        <w:top w:val="none" w:sz="0" w:space="0" w:color="auto"/>
        <w:left w:val="none" w:sz="0" w:space="0" w:color="auto"/>
        <w:bottom w:val="none" w:sz="0" w:space="0" w:color="auto"/>
        <w:right w:val="none" w:sz="0" w:space="0" w:color="auto"/>
      </w:divBdr>
    </w:div>
    <w:div w:id="974145269">
      <w:bodyDiv w:val="1"/>
      <w:marLeft w:val="0"/>
      <w:marRight w:val="0"/>
      <w:marTop w:val="0"/>
      <w:marBottom w:val="0"/>
      <w:divBdr>
        <w:top w:val="none" w:sz="0" w:space="0" w:color="auto"/>
        <w:left w:val="none" w:sz="0" w:space="0" w:color="auto"/>
        <w:bottom w:val="none" w:sz="0" w:space="0" w:color="auto"/>
        <w:right w:val="none" w:sz="0" w:space="0" w:color="auto"/>
      </w:divBdr>
    </w:div>
    <w:div w:id="974599399">
      <w:bodyDiv w:val="1"/>
      <w:marLeft w:val="0"/>
      <w:marRight w:val="0"/>
      <w:marTop w:val="0"/>
      <w:marBottom w:val="0"/>
      <w:divBdr>
        <w:top w:val="none" w:sz="0" w:space="0" w:color="auto"/>
        <w:left w:val="none" w:sz="0" w:space="0" w:color="auto"/>
        <w:bottom w:val="none" w:sz="0" w:space="0" w:color="auto"/>
        <w:right w:val="none" w:sz="0" w:space="0" w:color="auto"/>
      </w:divBdr>
    </w:div>
    <w:div w:id="976111100">
      <w:bodyDiv w:val="1"/>
      <w:marLeft w:val="0"/>
      <w:marRight w:val="0"/>
      <w:marTop w:val="0"/>
      <w:marBottom w:val="0"/>
      <w:divBdr>
        <w:top w:val="none" w:sz="0" w:space="0" w:color="auto"/>
        <w:left w:val="none" w:sz="0" w:space="0" w:color="auto"/>
        <w:bottom w:val="none" w:sz="0" w:space="0" w:color="auto"/>
        <w:right w:val="none" w:sz="0" w:space="0" w:color="auto"/>
      </w:divBdr>
    </w:div>
    <w:div w:id="976684515">
      <w:bodyDiv w:val="1"/>
      <w:marLeft w:val="0"/>
      <w:marRight w:val="0"/>
      <w:marTop w:val="0"/>
      <w:marBottom w:val="0"/>
      <w:divBdr>
        <w:top w:val="none" w:sz="0" w:space="0" w:color="auto"/>
        <w:left w:val="none" w:sz="0" w:space="0" w:color="auto"/>
        <w:bottom w:val="none" w:sz="0" w:space="0" w:color="auto"/>
        <w:right w:val="none" w:sz="0" w:space="0" w:color="auto"/>
      </w:divBdr>
    </w:div>
    <w:div w:id="976880854">
      <w:bodyDiv w:val="1"/>
      <w:marLeft w:val="0"/>
      <w:marRight w:val="0"/>
      <w:marTop w:val="0"/>
      <w:marBottom w:val="0"/>
      <w:divBdr>
        <w:top w:val="none" w:sz="0" w:space="0" w:color="auto"/>
        <w:left w:val="none" w:sz="0" w:space="0" w:color="auto"/>
        <w:bottom w:val="none" w:sz="0" w:space="0" w:color="auto"/>
        <w:right w:val="none" w:sz="0" w:space="0" w:color="auto"/>
      </w:divBdr>
    </w:div>
    <w:div w:id="977538352">
      <w:bodyDiv w:val="1"/>
      <w:marLeft w:val="0"/>
      <w:marRight w:val="0"/>
      <w:marTop w:val="0"/>
      <w:marBottom w:val="0"/>
      <w:divBdr>
        <w:top w:val="none" w:sz="0" w:space="0" w:color="auto"/>
        <w:left w:val="none" w:sz="0" w:space="0" w:color="auto"/>
        <w:bottom w:val="none" w:sz="0" w:space="0" w:color="auto"/>
        <w:right w:val="none" w:sz="0" w:space="0" w:color="auto"/>
      </w:divBdr>
    </w:div>
    <w:div w:id="978194598">
      <w:bodyDiv w:val="1"/>
      <w:marLeft w:val="0"/>
      <w:marRight w:val="0"/>
      <w:marTop w:val="0"/>
      <w:marBottom w:val="0"/>
      <w:divBdr>
        <w:top w:val="none" w:sz="0" w:space="0" w:color="auto"/>
        <w:left w:val="none" w:sz="0" w:space="0" w:color="auto"/>
        <w:bottom w:val="none" w:sz="0" w:space="0" w:color="auto"/>
        <w:right w:val="none" w:sz="0" w:space="0" w:color="auto"/>
      </w:divBdr>
    </w:div>
    <w:div w:id="978802062">
      <w:bodyDiv w:val="1"/>
      <w:marLeft w:val="0"/>
      <w:marRight w:val="0"/>
      <w:marTop w:val="0"/>
      <w:marBottom w:val="0"/>
      <w:divBdr>
        <w:top w:val="none" w:sz="0" w:space="0" w:color="auto"/>
        <w:left w:val="none" w:sz="0" w:space="0" w:color="auto"/>
        <w:bottom w:val="none" w:sz="0" w:space="0" w:color="auto"/>
        <w:right w:val="none" w:sz="0" w:space="0" w:color="auto"/>
      </w:divBdr>
    </w:div>
    <w:div w:id="978875309">
      <w:bodyDiv w:val="1"/>
      <w:marLeft w:val="0"/>
      <w:marRight w:val="0"/>
      <w:marTop w:val="0"/>
      <w:marBottom w:val="0"/>
      <w:divBdr>
        <w:top w:val="none" w:sz="0" w:space="0" w:color="auto"/>
        <w:left w:val="none" w:sz="0" w:space="0" w:color="auto"/>
        <w:bottom w:val="none" w:sz="0" w:space="0" w:color="auto"/>
        <w:right w:val="none" w:sz="0" w:space="0" w:color="auto"/>
      </w:divBdr>
    </w:div>
    <w:div w:id="978917362">
      <w:bodyDiv w:val="1"/>
      <w:marLeft w:val="0"/>
      <w:marRight w:val="0"/>
      <w:marTop w:val="0"/>
      <w:marBottom w:val="0"/>
      <w:divBdr>
        <w:top w:val="none" w:sz="0" w:space="0" w:color="auto"/>
        <w:left w:val="none" w:sz="0" w:space="0" w:color="auto"/>
        <w:bottom w:val="none" w:sz="0" w:space="0" w:color="auto"/>
        <w:right w:val="none" w:sz="0" w:space="0" w:color="auto"/>
      </w:divBdr>
    </w:div>
    <w:div w:id="979191019">
      <w:bodyDiv w:val="1"/>
      <w:marLeft w:val="0"/>
      <w:marRight w:val="0"/>
      <w:marTop w:val="0"/>
      <w:marBottom w:val="0"/>
      <w:divBdr>
        <w:top w:val="none" w:sz="0" w:space="0" w:color="auto"/>
        <w:left w:val="none" w:sz="0" w:space="0" w:color="auto"/>
        <w:bottom w:val="none" w:sz="0" w:space="0" w:color="auto"/>
        <w:right w:val="none" w:sz="0" w:space="0" w:color="auto"/>
      </w:divBdr>
    </w:div>
    <w:div w:id="979961528">
      <w:bodyDiv w:val="1"/>
      <w:marLeft w:val="0"/>
      <w:marRight w:val="0"/>
      <w:marTop w:val="0"/>
      <w:marBottom w:val="0"/>
      <w:divBdr>
        <w:top w:val="none" w:sz="0" w:space="0" w:color="auto"/>
        <w:left w:val="none" w:sz="0" w:space="0" w:color="auto"/>
        <w:bottom w:val="none" w:sz="0" w:space="0" w:color="auto"/>
        <w:right w:val="none" w:sz="0" w:space="0" w:color="auto"/>
      </w:divBdr>
    </w:div>
    <w:div w:id="980034038">
      <w:bodyDiv w:val="1"/>
      <w:marLeft w:val="0"/>
      <w:marRight w:val="0"/>
      <w:marTop w:val="0"/>
      <w:marBottom w:val="0"/>
      <w:divBdr>
        <w:top w:val="none" w:sz="0" w:space="0" w:color="auto"/>
        <w:left w:val="none" w:sz="0" w:space="0" w:color="auto"/>
        <w:bottom w:val="none" w:sz="0" w:space="0" w:color="auto"/>
        <w:right w:val="none" w:sz="0" w:space="0" w:color="auto"/>
      </w:divBdr>
    </w:div>
    <w:div w:id="981806976">
      <w:bodyDiv w:val="1"/>
      <w:marLeft w:val="0"/>
      <w:marRight w:val="0"/>
      <w:marTop w:val="0"/>
      <w:marBottom w:val="0"/>
      <w:divBdr>
        <w:top w:val="none" w:sz="0" w:space="0" w:color="auto"/>
        <w:left w:val="none" w:sz="0" w:space="0" w:color="auto"/>
        <w:bottom w:val="none" w:sz="0" w:space="0" w:color="auto"/>
        <w:right w:val="none" w:sz="0" w:space="0" w:color="auto"/>
      </w:divBdr>
    </w:div>
    <w:div w:id="982393093">
      <w:bodyDiv w:val="1"/>
      <w:marLeft w:val="0"/>
      <w:marRight w:val="0"/>
      <w:marTop w:val="0"/>
      <w:marBottom w:val="0"/>
      <w:divBdr>
        <w:top w:val="none" w:sz="0" w:space="0" w:color="auto"/>
        <w:left w:val="none" w:sz="0" w:space="0" w:color="auto"/>
        <w:bottom w:val="none" w:sz="0" w:space="0" w:color="auto"/>
        <w:right w:val="none" w:sz="0" w:space="0" w:color="auto"/>
      </w:divBdr>
    </w:div>
    <w:div w:id="982462921">
      <w:bodyDiv w:val="1"/>
      <w:marLeft w:val="0"/>
      <w:marRight w:val="0"/>
      <w:marTop w:val="0"/>
      <w:marBottom w:val="0"/>
      <w:divBdr>
        <w:top w:val="none" w:sz="0" w:space="0" w:color="auto"/>
        <w:left w:val="none" w:sz="0" w:space="0" w:color="auto"/>
        <w:bottom w:val="none" w:sz="0" w:space="0" w:color="auto"/>
        <w:right w:val="none" w:sz="0" w:space="0" w:color="auto"/>
      </w:divBdr>
    </w:div>
    <w:div w:id="982848664">
      <w:bodyDiv w:val="1"/>
      <w:marLeft w:val="0"/>
      <w:marRight w:val="0"/>
      <w:marTop w:val="0"/>
      <w:marBottom w:val="0"/>
      <w:divBdr>
        <w:top w:val="none" w:sz="0" w:space="0" w:color="auto"/>
        <w:left w:val="none" w:sz="0" w:space="0" w:color="auto"/>
        <w:bottom w:val="none" w:sz="0" w:space="0" w:color="auto"/>
        <w:right w:val="none" w:sz="0" w:space="0" w:color="auto"/>
      </w:divBdr>
    </w:div>
    <w:div w:id="986786804">
      <w:bodyDiv w:val="1"/>
      <w:marLeft w:val="0"/>
      <w:marRight w:val="0"/>
      <w:marTop w:val="0"/>
      <w:marBottom w:val="0"/>
      <w:divBdr>
        <w:top w:val="none" w:sz="0" w:space="0" w:color="auto"/>
        <w:left w:val="none" w:sz="0" w:space="0" w:color="auto"/>
        <w:bottom w:val="none" w:sz="0" w:space="0" w:color="auto"/>
        <w:right w:val="none" w:sz="0" w:space="0" w:color="auto"/>
      </w:divBdr>
    </w:div>
    <w:div w:id="989408935">
      <w:bodyDiv w:val="1"/>
      <w:marLeft w:val="0"/>
      <w:marRight w:val="0"/>
      <w:marTop w:val="0"/>
      <w:marBottom w:val="0"/>
      <w:divBdr>
        <w:top w:val="none" w:sz="0" w:space="0" w:color="auto"/>
        <w:left w:val="none" w:sz="0" w:space="0" w:color="auto"/>
        <w:bottom w:val="none" w:sz="0" w:space="0" w:color="auto"/>
        <w:right w:val="none" w:sz="0" w:space="0" w:color="auto"/>
      </w:divBdr>
    </w:div>
    <w:div w:id="990133158">
      <w:bodyDiv w:val="1"/>
      <w:marLeft w:val="0"/>
      <w:marRight w:val="0"/>
      <w:marTop w:val="0"/>
      <w:marBottom w:val="0"/>
      <w:divBdr>
        <w:top w:val="none" w:sz="0" w:space="0" w:color="auto"/>
        <w:left w:val="none" w:sz="0" w:space="0" w:color="auto"/>
        <w:bottom w:val="none" w:sz="0" w:space="0" w:color="auto"/>
        <w:right w:val="none" w:sz="0" w:space="0" w:color="auto"/>
      </w:divBdr>
    </w:div>
    <w:div w:id="991254390">
      <w:bodyDiv w:val="1"/>
      <w:marLeft w:val="0"/>
      <w:marRight w:val="0"/>
      <w:marTop w:val="0"/>
      <w:marBottom w:val="0"/>
      <w:divBdr>
        <w:top w:val="none" w:sz="0" w:space="0" w:color="auto"/>
        <w:left w:val="none" w:sz="0" w:space="0" w:color="auto"/>
        <w:bottom w:val="none" w:sz="0" w:space="0" w:color="auto"/>
        <w:right w:val="none" w:sz="0" w:space="0" w:color="auto"/>
      </w:divBdr>
    </w:div>
    <w:div w:id="991714478">
      <w:bodyDiv w:val="1"/>
      <w:marLeft w:val="0"/>
      <w:marRight w:val="0"/>
      <w:marTop w:val="0"/>
      <w:marBottom w:val="0"/>
      <w:divBdr>
        <w:top w:val="none" w:sz="0" w:space="0" w:color="auto"/>
        <w:left w:val="none" w:sz="0" w:space="0" w:color="auto"/>
        <w:bottom w:val="none" w:sz="0" w:space="0" w:color="auto"/>
        <w:right w:val="none" w:sz="0" w:space="0" w:color="auto"/>
      </w:divBdr>
    </w:div>
    <w:div w:id="992678738">
      <w:bodyDiv w:val="1"/>
      <w:marLeft w:val="0"/>
      <w:marRight w:val="0"/>
      <w:marTop w:val="0"/>
      <w:marBottom w:val="0"/>
      <w:divBdr>
        <w:top w:val="none" w:sz="0" w:space="0" w:color="auto"/>
        <w:left w:val="none" w:sz="0" w:space="0" w:color="auto"/>
        <w:bottom w:val="none" w:sz="0" w:space="0" w:color="auto"/>
        <w:right w:val="none" w:sz="0" w:space="0" w:color="auto"/>
      </w:divBdr>
    </w:div>
    <w:div w:id="992872482">
      <w:bodyDiv w:val="1"/>
      <w:marLeft w:val="0"/>
      <w:marRight w:val="0"/>
      <w:marTop w:val="0"/>
      <w:marBottom w:val="0"/>
      <w:divBdr>
        <w:top w:val="none" w:sz="0" w:space="0" w:color="auto"/>
        <w:left w:val="none" w:sz="0" w:space="0" w:color="auto"/>
        <w:bottom w:val="none" w:sz="0" w:space="0" w:color="auto"/>
        <w:right w:val="none" w:sz="0" w:space="0" w:color="auto"/>
      </w:divBdr>
    </w:div>
    <w:div w:id="993682829">
      <w:bodyDiv w:val="1"/>
      <w:marLeft w:val="0"/>
      <w:marRight w:val="0"/>
      <w:marTop w:val="0"/>
      <w:marBottom w:val="0"/>
      <w:divBdr>
        <w:top w:val="none" w:sz="0" w:space="0" w:color="auto"/>
        <w:left w:val="none" w:sz="0" w:space="0" w:color="auto"/>
        <w:bottom w:val="none" w:sz="0" w:space="0" w:color="auto"/>
        <w:right w:val="none" w:sz="0" w:space="0" w:color="auto"/>
      </w:divBdr>
    </w:div>
    <w:div w:id="993796742">
      <w:bodyDiv w:val="1"/>
      <w:marLeft w:val="0"/>
      <w:marRight w:val="0"/>
      <w:marTop w:val="0"/>
      <w:marBottom w:val="0"/>
      <w:divBdr>
        <w:top w:val="none" w:sz="0" w:space="0" w:color="auto"/>
        <w:left w:val="none" w:sz="0" w:space="0" w:color="auto"/>
        <w:bottom w:val="none" w:sz="0" w:space="0" w:color="auto"/>
        <w:right w:val="none" w:sz="0" w:space="0" w:color="auto"/>
      </w:divBdr>
    </w:div>
    <w:div w:id="994837975">
      <w:bodyDiv w:val="1"/>
      <w:marLeft w:val="0"/>
      <w:marRight w:val="0"/>
      <w:marTop w:val="0"/>
      <w:marBottom w:val="0"/>
      <w:divBdr>
        <w:top w:val="none" w:sz="0" w:space="0" w:color="auto"/>
        <w:left w:val="none" w:sz="0" w:space="0" w:color="auto"/>
        <w:bottom w:val="none" w:sz="0" w:space="0" w:color="auto"/>
        <w:right w:val="none" w:sz="0" w:space="0" w:color="auto"/>
      </w:divBdr>
    </w:div>
    <w:div w:id="997224742">
      <w:bodyDiv w:val="1"/>
      <w:marLeft w:val="0"/>
      <w:marRight w:val="0"/>
      <w:marTop w:val="0"/>
      <w:marBottom w:val="0"/>
      <w:divBdr>
        <w:top w:val="none" w:sz="0" w:space="0" w:color="auto"/>
        <w:left w:val="none" w:sz="0" w:space="0" w:color="auto"/>
        <w:bottom w:val="none" w:sz="0" w:space="0" w:color="auto"/>
        <w:right w:val="none" w:sz="0" w:space="0" w:color="auto"/>
      </w:divBdr>
    </w:div>
    <w:div w:id="999117059">
      <w:bodyDiv w:val="1"/>
      <w:marLeft w:val="0"/>
      <w:marRight w:val="0"/>
      <w:marTop w:val="0"/>
      <w:marBottom w:val="0"/>
      <w:divBdr>
        <w:top w:val="none" w:sz="0" w:space="0" w:color="auto"/>
        <w:left w:val="none" w:sz="0" w:space="0" w:color="auto"/>
        <w:bottom w:val="none" w:sz="0" w:space="0" w:color="auto"/>
        <w:right w:val="none" w:sz="0" w:space="0" w:color="auto"/>
      </w:divBdr>
    </w:div>
    <w:div w:id="1000163378">
      <w:bodyDiv w:val="1"/>
      <w:marLeft w:val="0"/>
      <w:marRight w:val="0"/>
      <w:marTop w:val="0"/>
      <w:marBottom w:val="0"/>
      <w:divBdr>
        <w:top w:val="none" w:sz="0" w:space="0" w:color="auto"/>
        <w:left w:val="none" w:sz="0" w:space="0" w:color="auto"/>
        <w:bottom w:val="none" w:sz="0" w:space="0" w:color="auto"/>
        <w:right w:val="none" w:sz="0" w:space="0" w:color="auto"/>
      </w:divBdr>
    </w:div>
    <w:div w:id="1000735486">
      <w:bodyDiv w:val="1"/>
      <w:marLeft w:val="0"/>
      <w:marRight w:val="0"/>
      <w:marTop w:val="0"/>
      <w:marBottom w:val="0"/>
      <w:divBdr>
        <w:top w:val="none" w:sz="0" w:space="0" w:color="auto"/>
        <w:left w:val="none" w:sz="0" w:space="0" w:color="auto"/>
        <w:bottom w:val="none" w:sz="0" w:space="0" w:color="auto"/>
        <w:right w:val="none" w:sz="0" w:space="0" w:color="auto"/>
      </w:divBdr>
    </w:div>
    <w:div w:id="1002005920">
      <w:bodyDiv w:val="1"/>
      <w:marLeft w:val="0"/>
      <w:marRight w:val="0"/>
      <w:marTop w:val="0"/>
      <w:marBottom w:val="0"/>
      <w:divBdr>
        <w:top w:val="none" w:sz="0" w:space="0" w:color="auto"/>
        <w:left w:val="none" w:sz="0" w:space="0" w:color="auto"/>
        <w:bottom w:val="none" w:sz="0" w:space="0" w:color="auto"/>
        <w:right w:val="none" w:sz="0" w:space="0" w:color="auto"/>
      </w:divBdr>
    </w:div>
    <w:div w:id="1004167744">
      <w:bodyDiv w:val="1"/>
      <w:marLeft w:val="0"/>
      <w:marRight w:val="0"/>
      <w:marTop w:val="0"/>
      <w:marBottom w:val="0"/>
      <w:divBdr>
        <w:top w:val="none" w:sz="0" w:space="0" w:color="auto"/>
        <w:left w:val="none" w:sz="0" w:space="0" w:color="auto"/>
        <w:bottom w:val="none" w:sz="0" w:space="0" w:color="auto"/>
        <w:right w:val="none" w:sz="0" w:space="0" w:color="auto"/>
      </w:divBdr>
    </w:div>
    <w:div w:id="1004748080">
      <w:bodyDiv w:val="1"/>
      <w:marLeft w:val="0"/>
      <w:marRight w:val="0"/>
      <w:marTop w:val="0"/>
      <w:marBottom w:val="0"/>
      <w:divBdr>
        <w:top w:val="none" w:sz="0" w:space="0" w:color="auto"/>
        <w:left w:val="none" w:sz="0" w:space="0" w:color="auto"/>
        <w:bottom w:val="none" w:sz="0" w:space="0" w:color="auto"/>
        <w:right w:val="none" w:sz="0" w:space="0" w:color="auto"/>
      </w:divBdr>
    </w:div>
    <w:div w:id="1006400795">
      <w:bodyDiv w:val="1"/>
      <w:marLeft w:val="0"/>
      <w:marRight w:val="0"/>
      <w:marTop w:val="0"/>
      <w:marBottom w:val="0"/>
      <w:divBdr>
        <w:top w:val="none" w:sz="0" w:space="0" w:color="auto"/>
        <w:left w:val="none" w:sz="0" w:space="0" w:color="auto"/>
        <w:bottom w:val="none" w:sz="0" w:space="0" w:color="auto"/>
        <w:right w:val="none" w:sz="0" w:space="0" w:color="auto"/>
      </w:divBdr>
    </w:div>
    <w:div w:id="1007487505">
      <w:bodyDiv w:val="1"/>
      <w:marLeft w:val="0"/>
      <w:marRight w:val="0"/>
      <w:marTop w:val="0"/>
      <w:marBottom w:val="0"/>
      <w:divBdr>
        <w:top w:val="none" w:sz="0" w:space="0" w:color="auto"/>
        <w:left w:val="none" w:sz="0" w:space="0" w:color="auto"/>
        <w:bottom w:val="none" w:sz="0" w:space="0" w:color="auto"/>
        <w:right w:val="none" w:sz="0" w:space="0" w:color="auto"/>
      </w:divBdr>
    </w:div>
    <w:div w:id="1009872956">
      <w:bodyDiv w:val="1"/>
      <w:marLeft w:val="0"/>
      <w:marRight w:val="0"/>
      <w:marTop w:val="0"/>
      <w:marBottom w:val="0"/>
      <w:divBdr>
        <w:top w:val="none" w:sz="0" w:space="0" w:color="auto"/>
        <w:left w:val="none" w:sz="0" w:space="0" w:color="auto"/>
        <w:bottom w:val="none" w:sz="0" w:space="0" w:color="auto"/>
        <w:right w:val="none" w:sz="0" w:space="0" w:color="auto"/>
      </w:divBdr>
    </w:div>
    <w:div w:id="1011832724">
      <w:bodyDiv w:val="1"/>
      <w:marLeft w:val="0"/>
      <w:marRight w:val="0"/>
      <w:marTop w:val="0"/>
      <w:marBottom w:val="0"/>
      <w:divBdr>
        <w:top w:val="none" w:sz="0" w:space="0" w:color="auto"/>
        <w:left w:val="none" w:sz="0" w:space="0" w:color="auto"/>
        <w:bottom w:val="none" w:sz="0" w:space="0" w:color="auto"/>
        <w:right w:val="none" w:sz="0" w:space="0" w:color="auto"/>
      </w:divBdr>
    </w:div>
    <w:div w:id="1011948782">
      <w:bodyDiv w:val="1"/>
      <w:marLeft w:val="0"/>
      <w:marRight w:val="0"/>
      <w:marTop w:val="0"/>
      <w:marBottom w:val="0"/>
      <w:divBdr>
        <w:top w:val="none" w:sz="0" w:space="0" w:color="auto"/>
        <w:left w:val="none" w:sz="0" w:space="0" w:color="auto"/>
        <w:bottom w:val="none" w:sz="0" w:space="0" w:color="auto"/>
        <w:right w:val="none" w:sz="0" w:space="0" w:color="auto"/>
      </w:divBdr>
    </w:div>
    <w:div w:id="1012531552">
      <w:bodyDiv w:val="1"/>
      <w:marLeft w:val="0"/>
      <w:marRight w:val="0"/>
      <w:marTop w:val="0"/>
      <w:marBottom w:val="0"/>
      <w:divBdr>
        <w:top w:val="none" w:sz="0" w:space="0" w:color="auto"/>
        <w:left w:val="none" w:sz="0" w:space="0" w:color="auto"/>
        <w:bottom w:val="none" w:sz="0" w:space="0" w:color="auto"/>
        <w:right w:val="none" w:sz="0" w:space="0" w:color="auto"/>
      </w:divBdr>
    </w:div>
    <w:div w:id="1013142325">
      <w:bodyDiv w:val="1"/>
      <w:marLeft w:val="0"/>
      <w:marRight w:val="0"/>
      <w:marTop w:val="0"/>
      <w:marBottom w:val="0"/>
      <w:divBdr>
        <w:top w:val="none" w:sz="0" w:space="0" w:color="auto"/>
        <w:left w:val="none" w:sz="0" w:space="0" w:color="auto"/>
        <w:bottom w:val="none" w:sz="0" w:space="0" w:color="auto"/>
        <w:right w:val="none" w:sz="0" w:space="0" w:color="auto"/>
      </w:divBdr>
    </w:div>
    <w:div w:id="1013607737">
      <w:bodyDiv w:val="1"/>
      <w:marLeft w:val="0"/>
      <w:marRight w:val="0"/>
      <w:marTop w:val="0"/>
      <w:marBottom w:val="0"/>
      <w:divBdr>
        <w:top w:val="none" w:sz="0" w:space="0" w:color="auto"/>
        <w:left w:val="none" w:sz="0" w:space="0" w:color="auto"/>
        <w:bottom w:val="none" w:sz="0" w:space="0" w:color="auto"/>
        <w:right w:val="none" w:sz="0" w:space="0" w:color="auto"/>
      </w:divBdr>
    </w:div>
    <w:div w:id="1013647217">
      <w:bodyDiv w:val="1"/>
      <w:marLeft w:val="0"/>
      <w:marRight w:val="0"/>
      <w:marTop w:val="0"/>
      <w:marBottom w:val="0"/>
      <w:divBdr>
        <w:top w:val="none" w:sz="0" w:space="0" w:color="auto"/>
        <w:left w:val="none" w:sz="0" w:space="0" w:color="auto"/>
        <w:bottom w:val="none" w:sz="0" w:space="0" w:color="auto"/>
        <w:right w:val="none" w:sz="0" w:space="0" w:color="auto"/>
      </w:divBdr>
    </w:div>
    <w:div w:id="1014646477">
      <w:bodyDiv w:val="1"/>
      <w:marLeft w:val="0"/>
      <w:marRight w:val="0"/>
      <w:marTop w:val="0"/>
      <w:marBottom w:val="0"/>
      <w:divBdr>
        <w:top w:val="none" w:sz="0" w:space="0" w:color="auto"/>
        <w:left w:val="none" w:sz="0" w:space="0" w:color="auto"/>
        <w:bottom w:val="none" w:sz="0" w:space="0" w:color="auto"/>
        <w:right w:val="none" w:sz="0" w:space="0" w:color="auto"/>
      </w:divBdr>
    </w:div>
    <w:div w:id="1015615924">
      <w:bodyDiv w:val="1"/>
      <w:marLeft w:val="0"/>
      <w:marRight w:val="0"/>
      <w:marTop w:val="0"/>
      <w:marBottom w:val="0"/>
      <w:divBdr>
        <w:top w:val="none" w:sz="0" w:space="0" w:color="auto"/>
        <w:left w:val="none" w:sz="0" w:space="0" w:color="auto"/>
        <w:bottom w:val="none" w:sz="0" w:space="0" w:color="auto"/>
        <w:right w:val="none" w:sz="0" w:space="0" w:color="auto"/>
      </w:divBdr>
    </w:div>
    <w:div w:id="1016687143">
      <w:bodyDiv w:val="1"/>
      <w:marLeft w:val="0"/>
      <w:marRight w:val="0"/>
      <w:marTop w:val="0"/>
      <w:marBottom w:val="0"/>
      <w:divBdr>
        <w:top w:val="none" w:sz="0" w:space="0" w:color="auto"/>
        <w:left w:val="none" w:sz="0" w:space="0" w:color="auto"/>
        <w:bottom w:val="none" w:sz="0" w:space="0" w:color="auto"/>
        <w:right w:val="none" w:sz="0" w:space="0" w:color="auto"/>
      </w:divBdr>
    </w:div>
    <w:div w:id="1017779866">
      <w:bodyDiv w:val="1"/>
      <w:marLeft w:val="0"/>
      <w:marRight w:val="0"/>
      <w:marTop w:val="0"/>
      <w:marBottom w:val="0"/>
      <w:divBdr>
        <w:top w:val="none" w:sz="0" w:space="0" w:color="auto"/>
        <w:left w:val="none" w:sz="0" w:space="0" w:color="auto"/>
        <w:bottom w:val="none" w:sz="0" w:space="0" w:color="auto"/>
        <w:right w:val="none" w:sz="0" w:space="0" w:color="auto"/>
      </w:divBdr>
    </w:div>
    <w:div w:id="1018509396">
      <w:bodyDiv w:val="1"/>
      <w:marLeft w:val="0"/>
      <w:marRight w:val="0"/>
      <w:marTop w:val="0"/>
      <w:marBottom w:val="0"/>
      <w:divBdr>
        <w:top w:val="none" w:sz="0" w:space="0" w:color="auto"/>
        <w:left w:val="none" w:sz="0" w:space="0" w:color="auto"/>
        <w:bottom w:val="none" w:sz="0" w:space="0" w:color="auto"/>
        <w:right w:val="none" w:sz="0" w:space="0" w:color="auto"/>
      </w:divBdr>
    </w:div>
    <w:div w:id="1018772119">
      <w:bodyDiv w:val="1"/>
      <w:marLeft w:val="0"/>
      <w:marRight w:val="0"/>
      <w:marTop w:val="0"/>
      <w:marBottom w:val="0"/>
      <w:divBdr>
        <w:top w:val="none" w:sz="0" w:space="0" w:color="auto"/>
        <w:left w:val="none" w:sz="0" w:space="0" w:color="auto"/>
        <w:bottom w:val="none" w:sz="0" w:space="0" w:color="auto"/>
        <w:right w:val="none" w:sz="0" w:space="0" w:color="auto"/>
      </w:divBdr>
    </w:div>
    <w:div w:id="1020592369">
      <w:bodyDiv w:val="1"/>
      <w:marLeft w:val="0"/>
      <w:marRight w:val="0"/>
      <w:marTop w:val="0"/>
      <w:marBottom w:val="0"/>
      <w:divBdr>
        <w:top w:val="none" w:sz="0" w:space="0" w:color="auto"/>
        <w:left w:val="none" w:sz="0" w:space="0" w:color="auto"/>
        <w:bottom w:val="none" w:sz="0" w:space="0" w:color="auto"/>
        <w:right w:val="none" w:sz="0" w:space="0" w:color="auto"/>
      </w:divBdr>
    </w:div>
    <w:div w:id="1021779255">
      <w:bodyDiv w:val="1"/>
      <w:marLeft w:val="0"/>
      <w:marRight w:val="0"/>
      <w:marTop w:val="0"/>
      <w:marBottom w:val="0"/>
      <w:divBdr>
        <w:top w:val="none" w:sz="0" w:space="0" w:color="auto"/>
        <w:left w:val="none" w:sz="0" w:space="0" w:color="auto"/>
        <w:bottom w:val="none" w:sz="0" w:space="0" w:color="auto"/>
        <w:right w:val="none" w:sz="0" w:space="0" w:color="auto"/>
      </w:divBdr>
    </w:div>
    <w:div w:id="1023939430">
      <w:bodyDiv w:val="1"/>
      <w:marLeft w:val="0"/>
      <w:marRight w:val="0"/>
      <w:marTop w:val="0"/>
      <w:marBottom w:val="0"/>
      <w:divBdr>
        <w:top w:val="none" w:sz="0" w:space="0" w:color="auto"/>
        <w:left w:val="none" w:sz="0" w:space="0" w:color="auto"/>
        <w:bottom w:val="none" w:sz="0" w:space="0" w:color="auto"/>
        <w:right w:val="none" w:sz="0" w:space="0" w:color="auto"/>
      </w:divBdr>
    </w:div>
    <w:div w:id="1024403003">
      <w:bodyDiv w:val="1"/>
      <w:marLeft w:val="0"/>
      <w:marRight w:val="0"/>
      <w:marTop w:val="0"/>
      <w:marBottom w:val="0"/>
      <w:divBdr>
        <w:top w:val="none" w:sz="0" w:space="0" w:color="auto"/>
        <w:left w:val="none" w:sz="0" w:space="0" w:color="auto"/>
        <w:bottom w:val="none" w:sz="0" w:space="0" w:color="auto"/>
        <w:right w:val="none" w:sz="0" w:space="0" w:color="auto"/>
      </w:divBdr>
    </w:div>
    <w:div w:id="1025131758">
      <w:bodyDiv w:val="1"/>
      <w:marLeft w:val="0"/>
      <w:marRight w:val="0"/>
      <w:marTop w:val="0"/>
      <w:marBottom w:val="0"/>
      <w:divBdr>
        <w:top w:val="none" w:sz="0" w:space="0" w:color="auto"/>
        <w:left w:val="none" w:sz="0" w:space="0" w:color="auto"/>
        <w:bottom w:val="none" w:sz="0" w:space="0" w:color="auto"/>
        <w:right w:val="none" w:sz="0" w:space="0" w:color="auto"/>
      </w:divBdr>
    </w:div>
    <w:div w:id="1025595068">
      <w:bodyDiv w:val="1"/>
      <w:marLeft w:val="0"/>
      <w:marRight w:val="0"/>
      <w:marTop w:val="0"/>
      <w:marBottom w:val="0"/>
      <w:divBdr>
        <w:top w:val="none" w:sz="0" w:space="0" w:color="auto"/>
        <w:left w:val="none" w:sz="0" w:space="0" w:color="auto"/>
        <w:bottom w:val="none" w:sz="0" w:space="0" w:color="auto"/>
        <w:right w:val="none" w:sz="0" w:space="0" w:color="auto"/>
      </w:divBdr>
    </w:div>
    <w:div w:id="1026322339">
      <w:bodyDiv w:val="1"/>
      <w:marLeft w:val="0"/>
      <w:marRight w:val="0"/>
      <w:marTop w:val="0"/>
      <w:marBottom w:val="0"/>
      <w:divBdr>
        <w:top w:val="none" w:sz="0" w:space="0" w:color="auto"/>
        <w:left w:val="none" w:sz="0" w:space="0" w:color="auto"/>
        <w:bottom w:val="none" w:sz="0" w:space="0" w:color="auto"/>
        <w:right w:val="none" w:sz="0" w:space="0" w:color="auto"/>
      </w:divBdr>
    </w:div>
    <w:div w:id="1026520944">
      <w:bodyDiv w:val="1"/>
      <w:marLeft w:val="0"/>
      <w:marRight w:val="0"/>
      <w:marTop w:val="0"/>
      <w:marBottom w:val="0"/>
      <w:divBdr>
        <w:top w:val="none" w:sz="0" w:space="0" w:color="auto"/>
        <w:left w:val="none" w:sz="0" w:space="0" w:color="auto"/>
        <w:bottom w:val="none" w:sz="0" w:space="0" w:color="auto"/>
        <w:right w:val="none" w:sz="0" w:space="0" w:color="auto"/>
      </w:divBdr>
    </w:div>
    <w:div w:id="1027486247">
      <w:bodyDiv w:val="1"/>
      <w:marLeft w:val="0"/>
      <w:marRight w:val="0"/>
      <w:marTop w:val="0"/>
      <w:marBottom w:val="0"/>
      <w:divBdr>
        <w:top w:val="none" w:sz="0" w:space="0" w:color="auto"/>
        <w:left w:val="none" w:sz="0" w:space="0" w:color="auto"/>
        <w:bottom w:val="none" w:sz="0" w:space="0" w:color="auto"/>
        <w:right w:val="none" w:sz="0" w:space="0" w:color="auto"/>
      </w:divBdr>
    </w:div>
    <w:div w:id="1027679570">
      <w:bodyDiv w:val="1"/>
      <w:marLeft w:val="0"/>
      <w:marRight w:val="0"/>
      <w:marTop w:val="0"/>
      <w:marBottom w:val="0"/>
      <w:divBdr>
        <w:top w:val="none" w:sz="0" w:space="0" w:color="auto"/>
        <w:left w:val="none" w:sz="0" w:space="0" w:color="auto"/>
        <w:bottom w:val="none" w:sz="0" w:space="0" w:color="auto"/>
        <w:right w:val="none" w:sz="0" w:space="0" w:color="auto"/>
      </w:divBdr>
    </w:div>
    <w:div w:id="1027828016">
      <w:bodyDiv w:val="1"/>
      <w:marLeft w:val="0"/>
      <w:marRight w:val="0"/>
      <w:marTop w:val="0"/>
      <w:marBottom w:val="0"/>
      <w:divBdr>
        <w:top w:val="none" w:sz="0" w:space="0" w:color="auto"/>
        <w:left w:val="none" w:sz="0" w:space="0" w:color="auto"/>
        <w:bottom w:val="none" w:sz="0" w:space="0" w:color="auto"/>
        <w:right w:val="none" w:sz="0" w:space="0" w:color="auto"/>
      </w:divBdr>
    </w:div>
    <w:div w:id="1028219025">
      <w:bodyDiv w:val="1"/>
      <w:marLeft w:val="0"/>
      <w:marRight w:val="0"/>
      <w:marTop w:val="0"/>
      <w:marBottom w:val="0"/>
      <w:divBdr>
        <w:top w:val="none" w:sz="0" w:space="0" w:color="auto"/>
        <w:left w:val="none" w:sz="0" w:space="0" w:color="auto"/>
        <w:bottom w:val="none" w:sz="0" w:space="0" w:color="auto"/>
        <w:right w:val="none" w:sz="0" w:space="0" w:color="auto"/>
      </w:divBdr>
    </w:div>
    <w:div w:id="1028724653">
      <w:bodyDiv w:val="1"/>
      <w:marLeft w:val="0"/>
      <w:marRight w:val="0"/>
      <w:marTop w:val="0"/>
      <w:marBottom w:val="0"/>
      <w:divBdr>
        <w:top w:val="none" w:sz="0" w:space="0" w:color="auto"/>
        <w:left w:val="none" w:sz="0" w:space="0" w:color="auto"/>
        <w:bottom w:val="none" w:sz="0" w:space="0" w:color="auto"/>
        <w:right w:val="none" w:sz="0" w:space="0" w:color="auto"/>
      </w:divBdr>
    </w:div>
    <w:div w:id="1029917168">
      <w:bodyDiv w:val="1"/>
      <w:marLeft w:val="0"/>
      <w:marRight w:val="0"/>
      <w:marTop w:val="0"/>
      <w:marBottom w:val="0"/>
      <w:divBdr>
        <w:top w:val="none" w:sz="0" w:space="0" w:color="auto"/>
        <w:left w:val="none" w:sz="0" w:space="0" w:color="auto"/>
        <w:bottom w:val="none" w:sz="0" w:space="0" w:color="auto"/>
        <w:right w:val="none" w:sz="0" w:space="0" w:color="auto"/>
      </w:divBdr>
    </w:div>
    <w:div w:id="1030423029">
      <w:bodyDiv w:val="1"/>
      <w:marLeft w:val="0"/>
      <w:marRight w:val="0"/>
      <w:marTop w:val="0"/>
      <w:marBottom w:val="0"/>
      <w:divBdr>
        <w:top w:val="none" w:sz="0" w:space="0" w:color="auto"/>
        <w:left w:val="none" w:sz="0" w:space="0" w:color="auto"/>
        <w:bottom w:val="none" w:sz="0" w:space="0" w:color="auto"/>
        <w:right w:val="none" w:sz="0" w:space="0" w:color="auto"/>
      </w:divBdr>
    </w:div>
    <w:div w:id="1030767077">
      <w:bodyDiv w:val="1"/>
      <w:marLeft w:val="0"/>
      <w:marRight w:val="0"/>
      <w:marTop w:val="0"/>
      <w:marBottom w:val="0"/>
      <w:divBdr>
        <w:top w:val="none" w:sz="0" w:space="0" w:color="auto"/>
        <w:left w:val="none" w:sz="0" w:space="0" w:color="auto"/>
        <w:bottom w:val="none" w:sz="0" w:space="0" w:color="auto"/>
        <w:right w:val="none" w:sz="0" w:space="0" w:color="auto"/>
      </w:divBdr>
    </w:div>
    <w:div w:id="1031495595">
      <w:bodyDiv w:val="1"/>
      <w:marLeft w:val="0"/>
      <w:marRight w:val="0"/>
      <w:marTop w:val="0"/>
      <w:marBottom w:val="0"/>
      <w:divBdr>
        <w:top w:val="none" w:sz="0" w:space="0" w:color="auto"/>
        <w:left w:val="none" w:sz="0" w:space="0" w:color="auto"/>
        <w:bottom w:val="none" w:sz="0" w:space="0" w:color="auto"/>
        <w:right w:val="none" w:sz="0" w:space="0" w:color="auto"/>
      </w:divBdr>
    </w:div>
    <w:div w:id="1032338496">
      <w:bodyDiv w:val="1"/>
      <w:marLeft w:val="0"/>
      <w:marRight w:val="0"/>
      <w:marTop w:val="0"/>
      <w:marBottom w:val="0"/>
      <w:divBdr>
        <w:top w:val="none" w:sz="0" w:space="0" w:color="auto"/>
        <w:left w:val="none" w:sz="0" w:space="0" w:color="auto"/>
        <w:bottom w:val="none" w:sz="0" w:space="0" w:color="auto"/>
        <w:right w:val="none" w:sz="0" w:space="0" w:color="auto"/>
      </w:divBdr>
    </w:div>
    <w:div w:id="1032875132">
      <w:bodyDiv w:val="1"/>
      <w:marLeft w:val="0"/>
      <w:marRight w:val="0"/>
      <w:marTop w:val="0"/>
      <w:marBottom w:val="0"/>
      <w:divBdr>
        <w:top w:val="none" w:sz="0" w:space="0" w:color="auto"/>
        <w:left w:val="none" w:sz="0" w:space="0" w:color="auto"/>
        <w:bottom w:val="none" w:sz="0" w:space="0" w:color="auto"/>
        <w:right w:val="none" w:sz="0" w:space="0" w:color="auto"/>
      </w:divBdr>
    </w:div>
    <w:div w:id="1033190630">
      <w:bodyDiv w:val="1"/>
      <w:marLeft w:val="0"/>
      <w:marRight w:val="0"/>
      <w:marTop w:val="0"/>
      <w:marBottom w:val="0"/>
      <w:divBdr>
        <w:top w:val="none" w:sz="0" w:space="0" w:color="auto"/>
        <w:left w:val="none" w:sz="0" w:space="0" w:color="auto"/>
        <w:bottom w:val="none" w:sz="0" w:space="0" w:color="auto"/>
        <w:right w:val="none" w:sz="0" w:space="0" w:color="auto"/>
      </w:divBdr>
    </w:div>
    <w:div w:id="1033530868">
      <w:bodyDiv w:val="1"/>
      <w:marLeft w:val="0"/>
      <w:marRight w:val="0"/>
      <w:marTop w:val="0"/>
      <w:marBottom w:val="0"/>
      <w:divBdr>
        <w:top w:val="none" w:sz="0" w:space="0" w:color="auto"/>
        <w:left w:val="none" w:sz="0" w:space="0" w:color="auto"/>
        <w:bottom w:val="none" w:sz="0" w:space="0" w:color="auto"/>
        <w:right w:val="none" w:sz="0" w:space="0" w:color="auto"/>
      </w:divBdr>
    </w:div>
    <w:div w:id="1034427602">
      <w:bodyDiv w:val="1"/>
      <w:marLeft w:val="0"/>
      <w:marRight w:val="0"/>
      <w:marTop w:val="0"/>
      <w:marBottom w:val="0"/>
      <w:divBdr>
        <w:top w:val="none" w:sz="0" w:space="0" w:color="auto"/>
        <w:left w:val="none" w:sz="0" w:space="0" w:color="auto"/>
        <w:bottom w:val="none" w:sz="0" w:space="0" w:color="auto"/>
        <w:right w:val="none" w:sz="0" w:space="0" w:color="auto"/>
      </w:divBdr>
    </w:div>
    <w:div w:id="1035080776">
      <w:bodyDiv w:val="1"/>
      <w:marLeft w:val="0"/>
      <w:marRight w:val="0"/>
      <w:marTop w:val="0"/>
      <w:marBottom w:val="0"/>
      <w:divBdr>
        <w:top w:val="none" w:sz="0" w:space="0" w:color="auto"/>
        <w:left w:val="none" w:sz="0" w:space="0" w:color="auto"/>
        <w:bottom w:val="none" w:sz="0" w:space="0" w:color="auto"/>
        <w:right w:val="none" w:sz="0" w:space="0" w:color="auto"/>
      </w:divBdr>
    </w:div>
    <w:div w:id="1035152362">
      <w:bodyDiv w:val="1"/>
      <w:marLeft w:val="0"/>
      <w:marRight w:val="0"/>
      <w:marTop w:val="0"/>
      <w:marBottom w:val="0"/>
      <w:divBdr>
        <w:top w:val="none" w:sz="0" w:space="0" w:color="auto"/>
        <w:left w:val="none" w:sz="0" w:space="0" w:color="auto"/>
        <w:bottom w:val="none" w:sz="0" w:space="0" w:color="auto"/>
        <w:right w:val="none" w:sz="0" w:space="0" w:color="auto"/>
      </w:divBdr>
    </w:div>
    <w:div w:id="1037314536">
      <w:bodyDiv w:val="1"/>
      <w:marLeft w:val="0"/>
      <w:marRight w:val="0"/>
      <w:marTop w:val="0"/>
      <w:marBottom w:val="0"/>
      <w:divBdr>
        <w:top w:val="none" w:sz="0" w:space="0" w:color="auto"/>
        <w:left w:val="none" w:sz="0" w:space="0" w:color="auto"/>
        <w:bottom w:val="none" w:sz="0" w:space="0" w:color="auto"/>
        <w:right w:val="none" w:sz="0" w:space="0" w:color="auto"/>
      </w:divBdr>
    </w:div>
    <w:div w:id="1038621584">
      <w:bodyDiv w:val="1"/>
      <w:marLeft w:val="0"/>
      <w:marRight w:val="0"/>
      <w:marTop w:val="0"/>
      <w:marBottom w:val="0"/>
      <w:divBdr>
        <w:top w:val="none" w:sz="0" w:space="0" w:color="auto"/>
        <w:left w:val="none" w:sz="0" w:space="0" w:color="auto"/>
        <w:bottom w:val="none" w:sz="0" w:space="0" w:color="auto"/>
        <w:right w:val="none" w:sz="0" w:space="0" w:color="auto"/>
      </w:divBdr>
    </w:div>
    <w:div w:id="1038818413">
      <w:bodyDiv w:val="1"/>
      <w:marLeft w:val="0"/>
      <w:marRight w:val="0"/>
      <w:marTop w:val="0"/>
      <w:marBottom w:val="0"/>
      <w:divBdr>
        <w:top w:val="none" w:sz="0" w:space="0" w:color="auto"/>
        <w:left w:val="none" w:sz="0" w:space="0" w:color="auto"/>
        <w:bottom w:val="none" w:sz="0" w:space="0" w:color="auto"/>
        <w:right w:val="none" w:sz="0" w:space="0" w:color="auto"/>
      </w:divBdr>
    </w:div>
    <w:div w:id="1040285176">
      <w:bodyDiv w:val="1"/>
      <w:marLeft w:val="0"/>
      <w:marRight w:val="0"/>
      <w:marTop w:val="0"/>
      <w:marBottom w:val="0"/>
      <w:divBdr>
        <w:top w:val="none" w:sz="0" w:space="0" w:color="auto"/>
        <w:left w:val="none" w:sz="0" w:space="0" w:color="auto"/>
        <w:bottom w:val="none" w:sz="0" w:space="0" w:color="auto"/>
        <w:right w:val="none" w:sz="0" w:space="0" w:color="auto"/>
      </w:divBdr>
    </w:div>
    <w:div w:id="1040937576">
      <w:bodyDiv w:val="1"/>
      <w:marLeft w:val="0"/>
      <w:marRight w:val="0"/>
      <w:marTop w:val="0"/>
      <w:marBottom w:val="0"/>
      <w:divBdr>
        <w:top w:val="none" w:sz="0" w:space="0" w:color="auto"/>
        <w:left w:val="none" w:sz="0" w:space="0" w:color="auto"/>
        <w:bottom w:val="none" w:sz="0" w:space="0" w:color="auto"/>
        <w:right w:val="none" w:sz="0" w:space="0" w:color="auto"/>
      </w:divBdr>
    </w:div>
    <w:div w:id="1041051027">
      <w:bodyDiv w:val="1"/>
      <w:marLeft w:val="0"/>
      <w:marRight w:val="0"/>
      <w:marTop w:val="0"/>
      <w:marBottom w:val="0"/>
      <w:divBdr>
        <w:top w:val="none" w:sz="0" w:space="0" w:color="auto"/>
        <w:left w:val="none" w:sz="0" w:space="0" w:color="auto"/>
        <w:bottom w:val="none" w:sz="0" w:space="0" w:color="auto"/>
        <w:right w:val="none" w:sz="0" w:space="0" w:color="auto"/>
      </w:divBdr>
    </w:div>
    <w:div w:id="1041444520">
      <w:bodyDiv w:val="1"/>
      <w:marLeft w:val="0"/>
      <w:marRight w:val="0"/>
      <w:marTop w:val="0"/>
      <w:marBottom w:val="0"/>
      <w:divBdr>
        <w:top w:val="none" w:sz="0" w:space="0" w:color="auto"/>
        <w:left w:val="none" w:sz="0" w:space="0" w:color="auto"/>
        <w:bottom w:val="none" w:sz="0" w:space="0" w:color="auto"/>
        <w:right w:val="none" w:sz="0" w:space="0" w:color="auto"/>
      </w:divBdr>
    </w:div>
    <w:div w:id="1041592882">
      <w:bodyDiv w:val="1"/>
      <w:marLeft w:val="0"/>
      <w:marRight w:val="0"/>
      <w:marTop w:val="0"/>
      <w:marBottom w:val="0"/>
      <w:divBdr>
        <w:top w:val="none" w:sz="0" w:space="0" w:color="auto"/>
        <w:left w:val="none" w:sz="0" w:space="0" w:color="auto"/>
        <w:bottom w:val="none" w:sz="0" w:space="0" w:color="auto"/>
        <w:right w:val="none" w:sz="0" w:space="0" w:color="auto"/>
      </w:divBdr>
    </w:div>
    <w:div w:id="1043822903">
      <w:bodyDiv w:val="1"/>
      <w:marLeft w:val="0"/>
      <w:marRight w:val="0"/>
      <w:marTop w:val="0"/>
      <w:marBottom w:val="0"/>
      <w:divBdr>
        <w:top w:val="none" w:sz="0" w:space="0" w:color="auto"/>
        <w:left w:val="none" w:sz="0" w:space="0" w:color="auto"/>
        <w:bottom w:val="none" w:sz="0" w:space="0" w:color="auto"/>
        <w:right w:val="none" w:sz="0" w:space="0" w:color="auto"/>
      </w:divBdr>
    </w:div>
    <w:div w:id="1043989852">
      <w:bodyDiv w:val="1"/>
      <w:marLeft w:val="0"/>
      <w:marRight w:val="0"/>
      <w:marTop w:val="0"/>
      <w:marBottom w:val="0"/>
      <w:divBdr>
        <w:top w:val="none" w:sz="0" w:space="0" w:color="auto"/>
        <w:left w:val="none" w:sz="0" w:space="0" w:color="auto"/>
        <w:bottom w:val="none" w:sz="0" w:space="0" w:color="auto"/>
        <w:right w:val="none" w:sz="0" w:space="0" w:color="auto"/>
      </w:divBdr>
    </w:div>
    <w:div w:id="1044014558">
      <w:bodyDiv w:val="1"/>
      <w:marLeft w:val="0"/>
      <w:marRight w:val="0"/>
      <w:marTop w:val="0"/>
      <w:marBottom w:val="0"/>
      <w:divBdr>
        <w:top w:val="none" w:sz="0" w:space="0" w:color="auto"/>
        <w:left w:val="none" w:sz="0" w:space="0" w:color="auto"/>
        <w:bottom w:val="none" w:sz="0" w:space="0" w:color="auto"/>
        <w:right w:val="none" w:sz="0" w:space="0" w:color="auto"/>
      </w:divBdr>
    </w:div>
    <w:div w:id="1046025203">
      <w:bodyDiv w:val="1"/>
      <w:marLeft w:val="0"/>
      <w:marRight w:val="0"/>
      <w:marTop w:val="0"/>
      <w:marBottom w:val="0"/>
      <w:divBdr>
        <w:top w:val="none" w:sz="0" w:space="0" w:color="auto"/>
        <w:left w:val="none" w:sz="0" w:space="0" w:color="auto"/>
        <w:bottom w:val="none" w:sz="0" w:space="0" w:color="auto"/>
        <w:right w:val="none" w:sz="0" w:space="0" w:color="auto"/>
      </w:divBdr>
    </w:div>
    <w:div w:id="1046222871">
      <w:bodyDiv w:val="1"/>
      <w:marLeft w:val="0"/>
      <w:marRight w:val="0"/>
      <w:marTop w:val="0"/>
      <w:marBottom w:val="0"/>
      <w:divBdr>
        <w:top w:val="none" w:sz="0" w:space="0" w:color="auto"/>
        <w:left w:val="none" w:sz="0" w:space="0" w:color="auto"/>
        <w:bottom w:val="none" w:sz="0" w:space="0" w:color="auto"/>
        <w:right w:val="none" w:sz="0" w:space="0" w:color="auto"/>
      </w:divBdr>
    </w:div>
    <w:div w:id="1046874774">
      <w:bodyDiv w:val="1"/>
      <w:marLeft w:val="0"/>
      <w:marRight w:val="0"/>
      <w:marTop w:val="0"/>
      <w:marBottom w:val="0"/>
      <w:divBdr>
        <w:top w:val="none" w:sz="0" w:space="0" w:color="auto"/>
        <w:left w:val="none" w:sz="0" w:space="0" w:color="auto"/>
        <w:bottom w:val="none" w:sz="0" w:space="0" w:color="auto"/>
        <w:right w:val="none" w:sz="0" w:space="0" w:color="auto"/>
      </w:divBdr>
    </w:div>
    <w:div w:id="1049457359">
      <w:bodyDiv w:val="1"/>
      <w:marLeft w:val="0"/>
      <w:marRight w:val="0"/>
      <w:marTop w:val="0"/>
      <w:marBottom w:val="0"/>
      <w:divBdr>
        <w:top w:val="none" w:sz="0" w:space="0" w:color="auto"/>
        <w:left w:val="none" w:sz="0" w:space="0" w:color="auto"/>
        <w:bottom w:val="none" w:sz="0" w:space="0" w:color="auto"/>
        <w:right w:val="none" w:sz="0" w:space="0" w:color="auto"/>
      </w:divBdr>
    </w:div>
    <w:div w:id="1049494610">
      <w:bodyDiv w:val="1"/>
      <w:marLeft w:val="0"/>
      <w:marRight w:val="0"/>
      <w:marTop w:val="0"/>
      <w:marBottom w:val="0"/>
      <w:divBdr>
        <w:top w:val="none" w:sz="0" w:space="0" w:color="auto"/>
        <w:left w:val="none" w:sz="0" w:space="0" w:color="auto"/>
        <w:bottom w:val="none" w:sz="0" w:space="0" w:color="auto"/>
        <w:right w:val="none" w:sz="0" w:space="0" w:color="auto"/>
      </w:divBdr>
    </w:div>
    <w:div w:id="1051228390">
      <w:bodyDiv w:val="1"/>
      <w:marLeft w:val="0"/>
      <w:marRight w:val="0"/>
      <w:marTop w:val="0"/>
      <w:marBottom w:val="0"/>
      <w:divBdr>
        <w:top w:val="none" w:sz="0" w:space="0" w:color="auto"/>
        <w:left w:val="none" w:sz="0" w:space="0" w:color="auto"/>
        <w:bottom w:val="none" w:sz="0" w:space="0" w:color="auto"/>
        <w:right w:val="none" w:sz="0" w:space="0" w:color="auto"/>
      </w:divBdr>
    </w:div>
    <w:div w:id="1051422019">
      <w:bodyDiv w:val="1"/>
      <w:marLeft w:val="0"/>
      <w:marRight w:val="0"/>
      <w:marTop w:val="0"/>
      <w:marBottom w:val="0"/>
      <w:divBdr>
        <w:top w:val="none" w:sz="0" w:space="0" w:color="auto"/>
        <w:left w:val="none" w:sz="0" w:space="0" w:color="auto"/>
        <w:bottom w:val="none" w:sz="0" w:space="0" w:color="auto"/>
        <w:right w:val="none" w:sz="0" w:space="0" w:color="auto"/>
      </w:divBdr>
    </w:div>
    <w:div w:id="1052535998">
      <w:bodyDiv w:val="1"/>
      <w:marLeft w:val="0"/>
      <w:marRight w:val="0"/>
      <w:marTop w:val="0"/>
      <w:marBottom w:val="0"/>
      <w:divBdr>
        <w:top w:val="none" w:sz="0" w:space="0" w:color="auto"/>
        <w:left w:val="none" w:sz="0" w:space="0" w:color="auto"/>
        <w:bottom w:val="none" w:sz="0" w:space="0" w:color="auto"/>
        <w:right w:val="none" w:sz="0" w:space="0" w:color="auto"/>
      </w:divBdr>
    </w:div>
    <w:div w:id="1052579806">
      <w:bodyDiv w:val="1"/>
      <w:marLeft w:val="0"/>
      <w:marRight w:val="0"/>
      <w:marTop w:val="0"/>
      <w:marBottom w:val="0"/>
      <w:divBdr>
        <w:top w:val="none" w:sz="0" w:space="0" w:color="auto"/>
        <w:left w:val="none" w:sz="0" w:space="0" w:color="auto"/>
        <w:bottom w:val="none" w:sz="0" w:space="0" w:color="auto"/>
        <w:right w:val="none" w:sz="0" w:space="0" w:color="auto"/>
      </w:divBdr>
    </w:div>
    <w:div w:id="1053116171">
      <w:bodyDiv w:val="1"/>
      <w:marLeft w:val="0"/>
      <w:marRight w:val="0"/>
      <w:marTop w:val="0"/>
      <w:marBottom w:val="0"/>
      <w:divBdr>
        <w:top w:val="none" w:sz="0" w:space="0" w:color="auto"/>
        <w:left w:val="none" w:sz="0" w:space="0" w:color="auto"/>
        <w:bottom w:val="none" w:sz="0" w:space="0" w:color="auto"/>
        <w:right w:val="none" w:sz="0" w:space="0" w:color="auto"/>
      </w:divBdr>
    </w:div>
    <w:div w:id="1054811397">
      <w:bodyDiv w:val="1"/>
      <w:marLeft w:val="0"/>
      <w:marRight w:val="0"/>
      <w:marTop w:val="0"/>
      <w:marBottom w:val="0"/>
      <w:divBdr>
        <w:top w:val="none" w:sz="0" w:space="0" w:color="auto"/>
        <w:left w:val="none" w:sz="0" w:space="0" w:color="auto"/>
        <w:bottom w:val="none" w:sz="0" w:space="0" w:color="auto"/>
        <w:right w:val="none" w:sz="0" w:space="0" w:color="auto"/>
      </w:divBdr>
    </w:div>
    <w:div w:id="1055858988">
      <w:bodyDiv w:val="1"/>
      <w:marLeft w:val="0"/>
      <w:marRight w:val="0"/>
      <w:marTop w:val="0"/>
      <w:marBottom w:val="0"/>
      <w:divBdr>
        <w:top w:val="none" w:sz="0" w:space="0" w:color="auto"/>
        <w:left w:val="none" w:sz="0" w:space="0" w:color="auto"/>
        <w:bottom w:val="none" w:sz="0" w:space="0" w:color="auto"/>
        <w:right w:val="none" w:sz="0" w:space="0" w:color="auto"/>
      </w:divBdr>
    </w:div>
    <w:div w:id="1058363574">
      <w:bodyDiv w:val="1"/>
      <w:marLeft w:val="0"/>
      <w:marRight w:val="0"/>
      <w:marTop w:val="0"/>
      <w:marBottom w:val="0"/>
      <w:divBdr>
        <w:top w:val="none" w:sz="0" w:space="0" w:color="auto"/>
        <w:left w:val="none" w:sz="0" w:space="0" w:color="auto"/>
        <w:bottom w:val="none" w:sz="0" w:space="0" w:color="auto"/>
        <w:right w:val="none" w:sz="0" w:space="0" w:color="auto"/>
      </w:divBdr>
    </w:div>
    <w:div w:id="1059208746">
      <w:bodyDiv w:val="1"/>
      <w:marLeft w:val="0"/>
      <w:marRight w:val="0"/>
      <w:marTop w:val="0"/>
      <w:marBottom w:val="0"/>
      <w:divBdr>
        <w:top w:val="none" w:sz="0" w:space="0" w:color="auto"/>
        <w:left w:val="none" w:sz="0" w:space="0" w:color="auto"/>
        <w:bottom w:val="none" w:sz="0" w:space="0" w:color="auto"/>
        <w:right w:val="none" w:sz="0" w:space="0" w:color="auto"/>
      </w:divBdr>
    </w:div>
    <w:div w:id="1059286713">
      <w:bodyDiv w:val="1"/>
      <w:marLeft w:val="0"/>
      <w:marRight w:val="0"/>
      <w:marTop w:val="0"/>
      <w:marBottom w:val="0"/>
      <w:divBdr>
        <w:top w:val="none" w:sz="0" w:space="0" w:color="auto"/>
        <w:left w:val="none" w:sz="0" w:space="0" w:color="auto"/>
        <w:bottom w:val="none" w:sz="0" w:space="0" w:color="auto"/>
        <w:right w:val="none" w:sz="0" w:space="0" w:color="auto"/>
      </w:divBdr>
    </w:div>
    <w:div w:id="1060059877">
      <w:bodyDiv w:val="1"/>
      <w:marLeft w:val="0"/>
      <w:marRight w:val="0"/>
      <w:marTop w:val="0"/>
      <w:marBottom w:val="0"/>
      <w:divBdr>
        <w:top w:val="none" w:sz="0" w:space="0" w:color="auto"/>
        <w:left w:val="none" w:sz="0" w:space="0" w:color="auto"/>
        <w:bottom w:val="none" w:sz="0" w:space="0" w:color="auto"/>
        <w:right w:val="none" w:sz="0" w:space="0" w:color="auto"/>
      </w:divBdr>
    </w:div>
    <w:div w:id="1060397339">
      <w:bodyDiv w:val="1"/>
      <w:marLeft w:val="0"/>
      <w:marRight w:val="0"/>
      <w:marTop w:val="0"/>
      <w:marBottom w:val="0"/>
      <w:divBdr>
        <w:top w:val="none" w:sz="0" w:space="0" w:color="auto"/>
        <w:left w:val="none" w:sz="0" w:space="0" w:color="auto"/>
        <w:bottom w:val="none" w:sz="0" w:space="0" w:color="auto"/>
        <w:right w:val="none" w:sz="0" w:space="0" w:color="auto"/>
      </w:divBdr>
    </w:div>
    <w:div w:id="1060444435">
      <w:bodyDiv w:val="1"/>
      <w:marLeft w:val="0"/>
      <w:marRight w:val="0"/>
      <w:marTop w:val="0"/>
      <w:marBottom w:val="0"/>
      <w:divBdr>
        <w:top w:val="none" w:sz="0" w:space="0" w:color="auto"/>
        <w:left w:val="none" w:sz="0" w:space="0" w:color="auto"/>
        <w:bottom w:val="none" w:sz="0" w:space="0" w:color="auto"/>
        <w:right w:val="none" w:sz="0" w:space="0" w:color="auto"/>
      </w:divBdr>
    </w:div>
    <w:div w:id="1060791226">
      <w:bodyDiv w:val="1"/>
      <w:marLeft w:val="0"/>
      <w:marRight w:val="0"/>
      <w:marTop w:val="0"/>
      <w:marBottom w:val="0"/>
      <w:divBdr>
        <w:top w:val="none" w:sz="0" w:space="0" w:color="auto"/>
        <w:left w:val="none" w:sz="0" w:space="0" w:color="auto"/>
        <w:bottom w:val="none" w:sz="0" w:space="0" w:color="auto"/>
        <w:right w:val="none" w:sz="0" w:space="0" w:color="auto"/>
      </w:divBdr>
    </w:div>
    <w:div w:id="1061832142">
      <w:bodyDiv w:val="1"/>
      <w:marLeft w:val="0"/>
      <w:marRight w:val="0"/>
      <w:marTop w:val="0"/>
      <w:marBottom w:val="0"/>
      <w:divBdr>
        <w:top w:val="none" w:sz="0" w:space="0" w:color="auto"/>
        <w:left w:val="none" w:sz="0" w:space="0" w:color="auto"/>
        <w:bottom w:val="none" w:sz="0" w:space="0" w:color="auto"/>
        <w:right w:val="none" w:sz="0" w:space="0" w:color="auto"/>
      </w:divBdr>
    </w:div>
    <w:div w:id="1061947054">
      <w:bodyDiv w:val="1"/>
      <w:marLeft w:val="0"/>
      <w:marRight w:val="0"/>
      <w:marTop w:val="0"/>
      <w:marBottom w:val="0"/>
      <w:divBdr>
        <w:top w:val="none" w:sz="0" w:space="0" w:color="auto"/>
        <w:left w:val="none" w:sz="0" w:space="0" w:color="auto"/>
        <w:bottom w:val="none" w:sz="0" w:space="0" w:color="auto"/>
        <w:right w:val="none" w:sz="0" w:space="0" w:color="auto"/>
      </w:divBdr>
    </w:div>
    <w:div w:id="1062680597">
      <w:bodyDiv w:val="1"/>
      <w:marLeft w:val="0"/>
      <w:marRight w:val="0"/>
      <w:marTop w:val="0"/>
      <w:marBottom w:val="0"/>
      <w:divBdr>
        <w:top w:val="none" w:sz="0" w:space="0" w:color="auto"/>
        <w:left w:val="none" w:sz="0" w:space="0" w:color="auto"/>
        <w:bottom w:val="none" w:sz="0" w:space="0" w:color="auto"/>
        <w:right w:val="none" w:sz="0" w:space="0" w:color="auto"/>
      </w:divBdr>
    </w:div>
    <w:div w:id="1062942126">
      <w:bodyDiv w:val="1"/>
      <w:marLeft w:val="0"/>
      <w:marRight w:val="0"/>
      <w:marTop w:val="0"/>
      <w:marBottom w:val="0"/>
      <w:divBdr>
        <w:top w:val="none" w:sz="0" w:space="0" w:color="auto"/>
        <w:left w:val="none" w:sz="0" w:space="0" w:color="auto"/>
        <w:bottom w:val="none" w:sz="0" w:space="0" w:color="auto"/>
        <w:right w:val="none" w:sz="0" w:space="0" w:color="auto"/>
      </w:divBdr>
    </w:div>
    <w:div w:id="1063407371">
      <w:bodyDiv w:val="1"/>
      <w:marLeft w:val="0"/>
      <w:marRight w:val="0"/>
      <w:marTop w:val="0"/>
      <w:marBottom w:val="0"/>
      <w:divBdr>
        <w:top w:val="none" w:sz="0" w:space="0" w:color="auto"/>
        <w:left w:val="none" w:sz="0" w:space="0" w:color="auto"/>
        <w:bottom w:val="none" w:sz="0" w:space="0" w:color="auto"/>
        <w:right w:val="none" w:sz="0" w:space="0" w:color="auto"/>
      </w:divBdr>
    </w:div>
    <w:div w:id="1065110145">
      <w:bodyDiv w:val="1"/>
      <w:marLeft w:val="0"/>
      <w:marRight w:val="0"/>
      <w:marTop w:val="0"/>
      <w:marBottom w:val="0"/>
      <w:divBdr>
        <w:top w:val="none" w:sz="0" w:space="0" w:color="auto"/>
        <w:left w:val="none" w:sz="0" w:space="0" w:color="auto"/>
        <w:bottom w:val="none" w:sz="0" w:space="0" w:color="auto"/>
        <w:right w:val="none" w:sz="0" w:space="0" w:color="auto"/>
      </w:divBdr>
    </w:div>
    <w:div w:id="1065420908">
      <w:bodyDiv w:val="1"/>
      <w:marLeft w:val="0"/>
      <w:marRight w:val="0"/>
      <w:marTop w:val="0"/>
      <w:marBottom w:val="0"/>
      <w:divBdr>
        <w:top w:val="none" w:sz="0" w:space="0" w:color="auto"/>
        <w:left w:val="none" w:sz="0" w:space="0" w:color="auto"/>
        <w:bottom w:val="none" w:sz="0" w:space="0" w:color="auto"/>
        <w:right w:val="none" w:sz="0" w:space="0" w:color="auto"/>
      </w:divBdr>
    </w:div>
    <w:div w:id="1066033059">
      <w:bodyDiv w:val="1"/>
      <w:marLeft w:val="0"/>
      <w:marRight w:val="0"/>
      <w:marTop w:val="0"/>
      <w:marBottom w:val="0"/>
      <w:divBdr>
        <w:top w:val="none" w:sz="0" w:space="0" w:color="auto"/>
        <w:left w:val="none" w:sz="0" w:space="0" w:color="auto"/>
        <w:bottom w:val="none" w:sz="0" w:space="0" w:color="auto"/>
        <w:right w:val="none" w:sz="0" w:space="0" w:color="auto"/>
      </w:divBdr>
    </w:div>
    <w:div w:id="1067067364">
      <w:bodyDiv w:val="1"/>
      <w:marLeft w:val="0"/>
      <w:marRight w:val="0"/>
      <w:marTop w:val="0"/>
      <w:marBottom w:val="0"/>
      <w:divBdr>
        <w:top w:val="none" w:sz="0" w:space="0" w:color="auto"/>
        <w:left w:val="none" w:sz="0" w:space="0" w:color="auto"/>
        <w:bottom w:val="none" w:sz="0" w:space="0" w:color="auto"/>
        <w:right w:val="none" w:sz="0" w:space="0" w:color="auto"/>
      </w:divBdr>
    </w:div>
    <w:div w:id="1067798560">
      <w:bodyDiv w:val="1"/>
      <w:marLeft w:val="0"/>
      <w:marRight w:val="0"/>
      <w:marTop w:val="0"/>
      <w:marBottom w:val="0"/>
      <w:divBdr>
        <w:top w:val="none" w:sz="0" w:space="0" w:color="auto"/>
        <w:left w:val="none" w:sz="0" w:space="0" w:color="auto"/>
        <w:bottom w:val="none" w:sz="0" w:space="0" w:color="auto"/>
        <w:right w:val="none" w:sz="0" w:space="0" w:color="auto"/>
      </w:divBdr>
    </w:div>
    <w:div w:id="1068958946">
      <w:bodyDiv w:val="1"/>
      <w:marLeft w:val="0"/>
      <w:marRight w:val="0"/>
      <w:marTop w:val="0"/>
      <w:marBottom w:val="0"/>
      <w:divBdr>
        <w:top w:val="none" w:sz="0" w:space="0" w:color="auto"/>
        <w:left w:val="none" w:sz="0" w:space="0" w:color="auto"/>
        <w:bottom w:val="none" w:sz="0" w:space="0" w:color="auto"/>
        <w:right w:val="none" w:sz="0" w:space="0" w:color="auto"/>
      </w:divBdr>
    </w:div>
    <w:div w:id="1070884863">
      <w:bodyDiv w:val="1"/>
      <w:marLeft w:val="0"/>
      <w:marRight w:val="0"/>
      <w:marTop w:val="0"/>
      <w:marBottom w:val="0"/>
      <w:divBdr>
        <w:top w:val="none" w:sz="0" w:space="0" w:color="auto"/>
        <w:left w:val="none" w:sz="0" w:space="0" w:color="auto"/>
        <w:bottom w:val="none" w:sz="0" w:space="0" w:color="auto"/>
        <w:right w:val="none" w:sz="0" w:space="0" w:color="auto"/>
      </w:divBdr>
    </w:div>
    <w:div w:id="1071121262">
      <w:bodyDiv w:val="1"/>
      <w:marLeft w:val="0"/>
      <w:marRight w:val="0"/>
      <w:marTop w:val="0"/>
      <w:marBottom w:val="0"/>
      <w:divBdr>
        <w:top w:val="none" w:sz="0" w:space="0" w:color="auto"/>
        <w:left w:val="none" w:sz="0" w:space="0" w:color="auto"/>
        <w:bottom w:val="none" w:sz="0" w:space="0" w:color="auto"/>
        <w:right w:val="none" w:sz="0" w:space="0" w:color="auto"/>
      </w:divBdr>
    </w:div>
    <w:div w:id="1071585108">
      <w:bodyDiv w:val="1"/>
      <w:marLeft w:val="0"/>
      <w:marRight w:val="0"/>
      <w:marTop w:val="0"/>
      <w:marBottom w:val="0"/>
      <w:divBdr>
        <w:top w:val="none" w:sz="0" w:space="0" w:color="auto"/>
        <w:left w:val="none" w:sz="0" w:space="0" w:color="auto"/>
        <w:bottom w:val="none" w:sz="0" w:space="0" w:color="auto"/>
        <w:right w:val="none" w:sz="0" w:space="0" w:color="auto"/>
      </w:divBdr>
    </w:div>
    <w:div w:id="1072890055">
      <w:bodyDiv w:val="1"/>
      <w:marLeft w:val="0"/>
      <w:marRight w:val="0"/>
      <w:marTop w:val="0"/>
      <w:marBottom w:val="0"/>
      <w:divBdr>
        <w:top w:val="none" w:sz="0" w:space="0" w:color="auto"/>
        <w:left w:val="none" w:sz="0" w:space="0" w:color="auto"/>
        <w:bottom w:val="none" w:sz="0" w:space="0" w:color="auto"/>
        <w:right w:val="none" w:sz="0" w:space="0" w:color="auto"/>
      </w:divBdr>
    </w:div>
    <w:div w:id="1073546762">
      <w:bodyDiv w:val="1"/>
      <w:marLeft w:val="0"/>
      <w:marRight w:val="0"/>
      <w:marTop w:val="0"/>
      <w:marBottom w:val="0"/>
      <w:divBdr>
        <w:top w:val="none" w:sz="0" w:space="0" w:color="auto"/>
        <w:left w:val="none" w:sz="0" w:space="0" w:color="auto"/>
        <w:bottom w:val="none" w:sz="0" w:space="0" w:color="auto"/>
        <w:right w:val="none" w:sz="0" w:space="0" w:color="auto"/>
      </w:divBdr>
    </w:div>
    <w:div w:id="1078676321">
      <w:bodyDiv w:val="1"/>
      <w:marLeft w:val="0"/>
      <w:marRight w:val="0"/>
      <w:marTop w:val="0"/>
      <w:marBottom w:val="0"/>
      <w:divBdr>
        <w:top w:val="none" w:sz="0" w:space="0" w:color="auto"/>
        <w:left w:val="none" w:sz="0" w:space="0" w:color="auto"/>
        <w:bottom w:val="none" w:sz="0" w:space="0" w:color="auto"/>
        <w:right w:val="none" w:sz="0" w:space="0" w:color="auto"/>
      </w:divBdr>
    </w:div>
    <w:div w:id="1079213514">
      <w:bodyDiv w:val="1"/>
      <w:marLeft w:val="0"/>
      <w:marRight w:val="0"/>
      <w:marTop w:val="0"/>
      <w:marBottom w:val="0"/>
      <w:divBdr>
        <w:top w:val="none" w:sz="0" w:space="0" w:color="auto"/>
        <w:left w:val="none" w:sz="0" w:space="0" w:color="auto"/>
        <w:bottom w:val="none" w:sz="0" w:space="0" w:color="auto"/>
        <w:right w:val="none" w:sz="0" w:space="0" w:color="auto"/>
      </w:divBdr>
    </w:div>
    <w:div w:id="1080298017">
      <w:bodyDiv w:val="1"/>
      <w:marLeft w:val="0"/>
      <w:marRight w:val="0"/>
      <w:marTop w:val="0"/>
      <w:marBottom w:val="0"/>
      <w:divBdr>
        <w:top w:val="none" w:sz="0" w:space="0" w:color="auto"/>
        <w:left w:val="none" w:sz="0" w:space="0" w:color="auto"/>
        <w:bottom w:val="none" w:sz="0" w:space="0" w:color="auto"/>
        <w:right w:val="none" w:sz="0" w:space="0" w:color="auto"/>
      </w:divBdr>
    </w:div>
    <w:div w:id="1081370213">
      <w:bodyDiv w:val="1"/>
      <w:marLeft w:val="0"/>
      <w:marRight w:val="0"/>
      <w:marTop w:val="0"/>
      <w:marBottom w:val="0"/>
      <w:divBdr>
        <w:top w:val="none" w:sz="0" w:space="0" w:color="auto"/>
        <w:left w:val="none" w:sz="0" w:space="0" w:color="auto"/>
        <w:bottom w:val="none" w:sz="0" w:space="0" w:color="auto"/>
        <w:right w:val="none" w:sz="0" w:space="0" w:color="auto"/>
      </w:divBdr>
    </w:div>
    <w:div w:id="1083258463">
      <w:bodyDiv w:val="1"/>
      <w:marLeft w:val="0"/>
      <w:marRight w:val="0"/>
      <w:marTop w:val="0"/>
      <w:marBottom w:val="0"/>
      <w:divBdr>
        <w:top w:val="none" w:sz="0" w:space="0" w:color="auto"/>
        <w:left w:val="none" w:sz="0" w:space="0" w:color="auto"/>
        <w:bottom w:val="none" w:sz="0" w:space="0" w:color="auto"/>
        <w:right w:val="none" w:sz="0" w:space="0" w:color="auto"/>
      </w:divBdr>
    </w:div>
    <w:div w:id="1084180429">
      <w:bodyDiv w:val="1"/>
      <w:marLeft w:val="0"/>
      <w:marRight w:val="0"/>
      <w:marTop w:val="0"/>
      <w:marBottom w:val="0"/>
      <w:divBdr>
        <w:top w:val="none" w:sz="0" w:space="0" w:color="auto"/>
        <w:left w:val="none" w:sz="0" w:space="0" w:color="auto"/>
        <w:bottom w:val="none" w:sz="0" w:space="0" w:color="auto"/>
        <w:right w:val="none" w:sz="0" w:space="0" w:color="auto"/>
      </w:divBdr>
    </w:div>
    <w:div w:id="1084764634">
      <w:bodyDiv w:val="1"/>
      <w:marLeft w:val="0"/>
      <w:marRight w:val="0"/>
      <w:marTop w:val="0"/>
      <w:marBottom w:val="0"/>
      <w:divBdr>
        <w:top w:val="none" w:sz="0" w:space="0" w:color="auto"/>
        <w:left w:val="none" w:sz="0" w:space="0" w:color="auto"/>
        <w:bottom w:val="none" w:sz="0" w:space="0" w:color="auto"/>
        <w:right w:val="none" w:sz="0" w:space="0" w:color="auto"/>
      </w:divBdr>
    </w:div>
    <w:div w:id="1084885973">
      <w:bodyDiv w:val="1"/>
      <w:marLeft w:val="0"/>
      <w:marRight w:val="0"/>
      <w:marTop w:val="0"/>
      <w:marBottom w:val="0"/>
      <w:divBdr>
        <w:top w:val="none" w:sz="0" w:space="0" w:color="auto"/>
        <w:left w:val="none" w:sz="0" w:space="0" w:color="auto"/>
        <w:bottom w:val="none" w:sz="0" w:space="0" w:color="auto"/>
        <w:right w:val="none" w:sz="0" w:space="0" w:color="auto"/>
      </w:divBdr>
    </w:div>
    <w:div w:id="1085418623">
      <w:bodyDiv w:val="1"/>
      <w:marLeft w:val="0"/>
      <w:marRight w:val="0"/>
      <w:marTop w:val="0"/>
      <w:marBottom w:val="0"/>
      <w:divBdr>
        <w:top w:val="none" w:sz="0" w:space="0" w:color="auto"/>
        <w:left w:val="none" w:sz="0" w:space="0" w:color="auto"/>
        <w:bottom w:val="none" w:sz="0" w:space="0" w:color="auto"/>
        <w:right w:val="none" w:sz="0" w:space="0" w:color="auto"/>
      </w:divBdr>
    </w:div>
    <w:div w:id="1085491230">
      <w:bodyDiv w:val="1"/>
      <w:marLeft w:val="0"/>
      <w:marRight w:val="0"/>
      <w:marTop w:val="0"/>
      <w:marBottom w:val="0"/>
      <w:divBdr>
        <w:top w:val="none" w:sz="0" w:space="0" w:color="auto"/>
        <w:left w:val="none" w:sz="0" w:space="0" w:color="auto"/>
        <w:bottom w:val="none" w:sz="0" w:space="0" w:color="auto"/>
        <w:right w:val="none" w:sz="0" w:space="0" w:color="auto"/>
      </w:divBdr>
    </w:div>
    <w:div w:id="1086000619">
      <w:bodyDiv w:val="1"/>
      <w:marLeft w:val="0"/>
      <w:marRight w:val="0"/>
      <w:marTop w:val="0"/>
      <w:marBottom w:val="0"/>
      <w:divBdr>
        <w:top w:val="none" w:sz="0" w:space="0" w:color="auto"/>
        <w:left w:val="none" w:sz="0" w:space="0" w:color="auto"/>
        <w:bottom w:val="none" w:sz="0" w:space="0" w:color="auto"/>
        <w:right w:val="none" w:sz="0" w:space="0" w:color="auto"/>
      </w:divBdr>
    </w:div>
    <w:div w:id="1087269152">
      <w:bodyDiv w:val="1"/>
      <w:marLeft w:val="0"/>
      <w:marRight w:val="0"/>
      <w:marTop w:val="0"/>
      <w:marBottom w:val="0"/>
      <w:divBdr>
        <w:top w:val="none" w:sz="0" w:space="0" w:color="auto"/>
        <w:left w:val="none" w:sz="0" w:space="0" w:color="auto"/>
        <w:bottom w:val="none" w:sz="0" w:space="0" w:color="auto"/>
        <w:right w:val="none" w:sz="0" w:space="0" w:color="auto"/>
      </w:divBdr>
    </w:div>
    <w:div w:id="1088160021">
      <w:bodyDiv w:val="1"/>
      <w:marLeft w:val="0"/>
      <w:marRight w:val="0"/>
      <w:marTop w:val="0"/>
      <w:marBottom w:val="0"/>
      <w:divBdr>
        <w:top w:val="none" w:sz="0" w:space="0" w:color="auto"/>
        <w:left w:val="none" w:sz="0" w:space="0" w:color="auto"/>
        <w:bottom w:val="none" w:sz="0" w:space="0" w:color="auto"/>
        <w:right w:val="none" w:sz="0" w:space="0" w:color="auto"/>
      </w:divBdr>
    </w:div>
    <w:div w:id="1088312249">
      <w:bodyDiv w:val="1"/>
      <w:marLeft w:val="0"/>
      <w:marRight w:val="0"/>
      <w:marTop w:val="0"/>
      <w:marBottom w:val="0"/>
      <w:divBdr>
        <w:top w:val="none" w:sz="0" w:space="0" w:color="auto"/>
        <w:left w:val="none" w:sz="0" w:space="0" w:color="auto"/>
        <w:bottom w:val="none" w:sz="0" w:space="0" w:color="auto"/>
        <w:right w:val="none" w:sz="0" w:space="0" w:color="auto"/>
      </w:divBdr>
    </w:div>
    <w:div w:id="1088425909">
      <w:bodyDiv w:val="1"/>
      <w:marLeft w:val="0"/>
      <w:marRight w:val="0"/>
      <w:marTop w:val="0"/>
      <w:marBottom w:val="0"/>
      <w:divBdr>
        <w:top w:val="none" w:sz="0" w:space="0" w:color="auto"/>
        <w:left w:val="none" w:sz="0" w:space="0" w:color="auto"/>
        <w:bottom w:val="none" w:sz="0" w:space="0" w:color="auto"/>
        <w:right w:val="none" w:sz="0" w:space="0" w:color="auto"/>
      </w:divBdr>
    </w:div>
    <w:div w:id="1088624582">
      <w:bodyDiv w:val="1"/>
      <w:marLeft w:val="0"/>
      <w:marRight w:val="0"/>
      <w:marTop w:val="0"/>
      <w:marBottom w:val="0"/>
      <w:divBdr>
        <w:top w:val="none" w:sz="0" w:space="0" w:color="auto"/>
        <w:left w:val="none" w:sz="0" w:space="0" w:color="auto"/>
        <w:bottom w:val="none" w:sz="0" w:space="0" w:color="auto"/>
        <w:right w:val="none" w:sz="0" w:space="0" w:color="auto"/>
      </w:divBdr>
    </w:div>
    <w:div w:id="1089279470">
      <w:bodyDiv w:val="1"/>
      <w:marLeft w:val="0"/>
      <w:marRight w:val="0"/>
      <w:marTop w:val="0"/>
      <w:marBottom w:val="0"/>
      <w:divBdr>
        <w:top w:val="none" w:sz="0" w:space="0" w:color="auto"/>
        <w:left w:val="none" w:sz="0" w:space="0" w:color="auto"/>
        <w:bottom w:val="none" w:sz="0" w:space="0" w:color="auto"/>
        <w:right w:val="none" w:sz="0" w:space="0" w:color="auto"/>
      </w:divBdr>
    </w:div>
    <w:div w:id="1089348452">
      <w:bodyDiv w:val="1"/>
      <w:marLeft w:val="0"/>
      <w:marRight w:val="0"/>
      <w:marTop w:val="0"/>
      <w:marBottom w:val="0"/>
      <w:divBdr>
        <w:top w:val="none" w:sz="0" w:space="0" w:color="auto"/>
        <w:left w:val="none" w:sz="0" w:space="0" w:color="auto"/>
        <w:bottom w:val="none" w:sz="0" w:space="0" w:color="auto"/>
        <w:right w:val="none" w:sz="0" w:space="0" w:color="auto"/>
      </w:divBdr>
    </w:div>
    <w:div w:id="1089349789">
      <w:bodyDiv w:val="1"/>
      <w:marLeft w:val="0"/>
      <w:marRight w:val="0"/>
      <w:marTop w:val="0"/>
      <w:marBottom w:val="0"/>
      <w:divBdr>
        <w:top w:val="none" w:sz="0" w:space="0" w:color="auto"/>
        <w:left w:val="none" w:sz="0" w:space="0" w:color="auto"/>
        <w:bottom w:val="none" w:sz="0" w:space="0" w:color="auto"/>
        <w:right w:val="none" w:sz="0" w:space="0" w:color="auto"/>
      </w:divBdr>
    </w:div>
    <w:div w:id="1091662956">
      <w:bodyDiv w:val="1"/>
      <w:marLeft w:val="0"/>
      <w:marRight w:val="0"/>
      <w:marTop w:val="0"/>
      <w:marBottom w:val="0"/>
      <w:divBdr>
        <w:top w:val="none" w:sz="0" w:space="0" w:color="auto"/>
        <w:left w:val="none" w:sz="0" w:space="0" w:color="auto"/>
        <w:bottom w:val="none" w:sz="0" w:space="0" w:color="auto"/>
        <w:right w:val="none" w:sz="0" w:space="0" w:color="auto"/>
      </w:divBdr>
    </w:div>
    <w:div w:id="1092239285">
      <w:bodyDiv w:val="1"/>
      <w:marLeft w:val="0"/>
      <w:marRight w:val="0"/>
      <w:marTop w:val="0"/>
      <w:marBottom w:val="0"/>
      <w:divBdr>
        <w:top w:val="none" w:sz="0" w:space="0" w:color="auto"/>
        <w:left w:val="none" w:sz="0" w:space="0" w:color="auto"/>
        <w:bottom w:val="none" w:sz="0" w:space="0" w:color="auto"/>
        <w:right w:val="none" w:sz="0" w:space="0" w:color="auto"/>
      </w:divBdr>
    </w:div>
    <w:div w:id="1092894497">
      <w:bodyDiv w:val="1"/>
      <w:marLeft w:val="0"/>
      <w:marRight w:val="0"/>
      <w:marTop w:val="0"/>
      <w:marBottom w:val="0"/>
      <w:divBdr>
        <w:top w:val="none" w:sz="0" w:space="0" w:color="auto"/>
        <w:left w:val="none" w:sz="0" w:space="0" w:color="auto"/>
        <w:bottom w:val="none" w:sz="0" w:space="0" w:color="auto"/>
        <w:right w:val="none" w:sz="0" w:space="0" w:color="auto"/>
      </w:divBdr>
    </w:div>
    <w:div w:id="1092898222">
      <w:bodyDiv w:val="1"/>
      <w:marLeft w:val="0"/>
      <w:marRight w:val="0"/>
      <w:marTop w:val="0"/>
      <w:marBottom w:val="0"/>
      <w:divBdr>
        <w:top w:val="none" w:sz="0" w:space="0" w:color="auto"/>
        <w:left w:val="none" w:sz="0" w:space="0" w:color="auto"/>
        <w:bottom w:val="none" w:sz="0" w:space="0" w:color="auto"/>
        <w:right w:val="none" w:sz="0" w:space="0" w:color="auto"/>
      </w:divBdr>
    </w:div>
    <w:div w:id="1094402982">
      <w:bodyDiv w:val="1"/>
      <w:marLeft w:val="0"/>
      <w:marRight w:val="0"/>
      <w:marTop w:val="0"/>
      <w:marBottom w:val="0"/>
      <w:divBdr>
        <w:top w:val="none" w:sz="0" w:space="0" w:color="auto"/>
        <w:left w:val="none" w:sz="0" w:space="0" w:color="auto"/>
        <w:bottom w:val="none" w:sz="0" w:space="0" w:color="auto"/>
        <w:right w:val="none" w:sz="0" w:space="0" w:color="auto"/>
      </w:divBdr>
    </w:div>
    <w:div w:id="1095977619">
      <w:bodyDiv w:val="1"/>
      <w:marLeft w:val="0"/>
      <w:marRight w:val="0"/>
      <w:marTop w:val="0"/>
      <w:marBottom w:val="0"/>
      <w:divBdr>
        <w:top w:val="none" w:sz="0" w:space="0" w:color="auto"/>
        <w:left w:val="none" w:sz="0" w:space="0" w:color="auto"/>
        <w:bottom w:val="none" w:sz="0" w:space="0" w:color="auto"/>
        <w:right w:val="none" w:sz="0" w:space="0" w:color="auto"/>
      </w:divBdr>
    </w:div>
    <w:div w:id="1096293431">
      <w:bodyDiv w:val="1"/>
      <w:marLeft w:val="0"/>
      <w:marRight w:val="0"/>
      <w:marTop w:val="0"/>
      <w:marBottom w:val="0"/>
      <w:divBdr>
        <w:top w:val="none" w:sz="0" w:space="0" w:color="auto"/>
        <w:left w:val="none" w:sz="0" w:space="0" w:color="auto"/>
        <w:bottom w:val="none" w:sz="0" w:space="0" w:color="auto"/>
        <w:right w:val="none" w:sz="0" w:space="0" w:color="auto"/>
      </w:divBdr>
    </w:div>
    <w:div w:id="1096711371">
      <w:bodyDiv w:val="1"/>
      <w:marLeft w:val="0"/>
      <w:marRight w:val="0"/>
      <w:marTop w:val="0"/>
      <w:marBottom w:val="0"/>
      <w:divBdr>
        <w:top w:val="none" w:sz="0" w:space="0" w:color="auto"/>
        <w:left w:val="none" w:sz="0" w:space="0" w:color="auto"/>
        <w:bottom w:val="none" w:sz="0" w:space="0" w:color="auto"/>
        <w:right w:val="none" w:sz="0" w:space="0" w:color="auto"/>
      </w:divBdr>
    </w:div>
    <w:div w:id="1099369275">
      <w:bodyDiv w:val="1"/>
      <w:marLeft w:val="0"/>
      <w:marRight w:val="0"/>
      <w:marTop w:val="0"/>
      <w:marBottom w:val="0"/>
      <w:divBdr>
        <w:top w:val="none" w:sz="0" w:space="0" w:color="auto"/>
        <w:left w:val="none" w:sz="0" w:space="0" w:color="auto"/>
        <w:bottom w:val="none" w:sz="0" w:space="0" w:color="auto"/>
        <w:right w:val="none" w:sz="0" w:space="0" w:color="auto"/>
      </w:divBdr>
    </w:div>
    <w:div w:id="1100562783">
      <w:bodyDiv w:val="1"/>
      <w:marLeft w:val="0"/>
      <w:marRight w:val="0"/>
      <w:marTop w:val="0"/>
      <w:marBottom w:val="0"/>
      <w:divBdr>
        <w:top w:val="none" w:sz="0" w:space="0" w:color="auto"/>
        <w:left w:val="none" w:sz="0" w:space="0" w:color="auto"/>
        <w:bottom w:val="none" w:sz="0" w:space="0" w:color="auto"/>
        <w:right w:val="none" w:sz="0" w:space="0" w:color="auto"/>
      </w:divBdr>
    </w:div>
    <w:div w:id="1101952206">
      <w:bodyDiv w:val="1"/>
      <w:marLeft w:val="0"/>
      <w:marRight w:val="0"/>
      <w:marTop w:val="0"/>
      <w:marBottom w:val="0"/>
      <w:divBdr>
        <w:top w:val="none" w:sz="0" w:space="0" w:color="auto"/>
        <w:left w:val="none" w:sz="0" w:space="0" w:color="auto"/>
        <w:bottom w:val="none" w:sz="0" w:space="0" w:color="auto"/>
        <w:right w:val="none" w:sz="0" w:space="0" w:color="auto"/>
      </w:divBdr>
    </w:div>
    <w:div w:id="1102339961">
      <w:bodyDiv w:val="1"/>
      <w:marLeft w:val="0"/>
      <w:marRight w:val="0"/>
      <w:marTop w:val="0"/>
      <w:marBottom w:val="0"/>
      <w:divBdr>
        <w:top w:val="none" w:sz="0" w:space="0" w:color="auto"/>
        <w:left w:val="none" w:sz="0" w:space="0" w:color="auto"/>
        <w:bottom w:val="none" w:sz="0" w:space="0" w:color="auto"/>
        <w:right w:val="none" w:sz="0" w:space="0" w:color="auto"/>
      </w:divBdr>
    </w:div>
    <w:div w:id="1104766492">
      <w:bodyDiv w:val="1"/>
      <w:marLeft w:val="0"/>
      <w:marRight w:val="0"/>
      <w:marTop w:val="0"/>
      <w:marBottom w:val="0"/>
      <w:divBdr>
        <w:top w:val="none" w:sz="0" w:space="0" w:color="auto"/>
        <w:left w:val="none" w:sz="0" w:space="0" w:color="auto"/>
        <w:bottom w:val="none" w:sz="0" w:space="0" w:color="auto"/>
        <w:right w:val="none" w:sz="0" w:space="0" w:color="auto"/>
      </w:divBdr>
    </w:div>
    <w:div w:id="1106119001">
      <w:bodyDiv w:val="1"/>
      <w:marLeft w:val="0"/>
      <w:marRight w:val="0"/>
      <w:marTop w:val="0"/>
      <w:marBottom w:val="0"/>
      <w:divBdr>
        <w:top w:val="none" w:sz="0" w:space="0" w:color="auto"/>
        <w:left w:val="none" w:sz="0" w:space="0" w:color="auto"/>
        <w:bottom w:val="none" w:sz="0" w:space="0" w:color="auto"/>
        <w:right w:val="none" w:sz="0" w:space="0" w:color="auto"/>
      </w:divBdr>
    </w:div>
    <w:div w:id="1106121162">
      <w:bodyDiv w:val="1"/>
      <w:marLeft w:val="0"/>
      <w:marRight w:val="0"/>
      <w:marTop w:val="0"/>
      <w:marBottom w:val="0"/>
      <w:divBdr>
        <w:top w:val="none" w:sz="0" w:space="0" w:color="auto"/>
        <w:left w:val="none" w:sz="0" w:space="0" w:color="auto"/>
        <w:bottom w:val="none" w:sz="0" w:space="0" w:color="auto"/>
        <w:right w:val="none" w:sz="0" w:space="0" w:color="auto"/>
      </w:divBdr>
    </w:div>
    <w:div w:id="1108043309">
      <w:bodyDiv w:val="1"/>
      <w:marLeft w:val="0"/>
      <w:marRight w:val="0"/>
      <w:marTop w:val="0"/>
      <w:marBottom w:val="0"/>
      <w:divBdr>
        <w:top w:val="none" w:sz="0" w:space="0" w:color="auto"/>
        <w:left w:val="none" w:sz="0" w:space="0" w:color="auto"/>
        <w:bottom w:val="none" w:sz="0" w:space="0" w:color="auto"/>
        <w:right w:val="none" w:sz="0" w:space="0" w:color="auto"/>
      </w:divBdr>
    </w:div>
    <w:div w:id="1108741809">
      <w:bodyDiv w:val="1"/>
      <w:marLeft w:val="0"/>
      <w:marRight w:val="0"/>
      <w:marTop w:val="0"/>
      <w:marBottom w:val="0"/>
      <w:divBdr>
        <w:top w:val="none" w:sz="0" w:space="0" w:color="auto"/>
        <w:left w:val="none" w:sz="0" w:space="0" w:color="auto"/>
        <w:bottom w:val="none" w:sz="0" w:space="0" w:color="auto"/>
        <w:right w:val="none" w:sz="0" w:space="0" w:color="auto"/>
      </w:divBdr>
    </w:div>
    <w:div w:id="1109348412">
      <w:bodyDiv w:val="1"/>
      <w:marLeft w:val="0"/>
      <w:marRight w:val="0"/>
      <w:marTop w:val="0"/>
      <w:marBottom w:val="0"/>
      <w:divBdr>
        <w:top w:val="none" w:sz="0" w:space="0" w:color="auto"/>
        <w:left w:val="none" w:sz="0" w:space="0" w:color="auto"/>
        <w:bottom w:val="none" w:sz="0" w:space="0" w:color="auto"/>
        <w:right w:val="none" w:sz="0" w:space="0" w:color="auto"/>
      </w:divBdr>
    </w:div>
    <w:div w:id="1114179737">
      <w:bodyDiv w:val="1"/>
      <w:marLeft w:val="0"/>
      <w:marRight w:val="0"/>
      <w:marTop w:val="0"/>
      <w:marBottom w:val="0"/>
      <w:divBdr>
        <w:top w:val="none" w:sz="0" w:space="0" w:color="auto"/>
        <w:left w:val="none" w:sz="0" w:space="0" w:color="auto"/>
        <w:bottom w:val="none" w:sz="0" w:space="0" w:color="auto"/>
        <w:right w:val="none" w:sz="0" w:space="0" w:color="auto"/>
      </w:divBdr>
    </w:div>
    <w:div w:id="1114642371">
      <w:bodyDiv w:val="1"/>
      <w:marLeft w:val="0"/>
      <w:marRight w:val="0"/>
      <w:marTop w:val="0"/>
      <w:marBottom w:val="0"/>
      <w:divBdr>
        <w:top w:val="none" w:sz="0" w:space="0" w:color="auto"/>
        <w:left w:val="none" w:sz="0" w:space="0" w:color="auto"/>
        <w:bottom w:val="none" w:sz="0" w:space="0" w:color="auto"/>
        <w:right w:val="none" w:sz="0" w:space="0" w:color="auto"/>
      </w:divBdr>
    </w:div>
    <w:div w:id="1115321651">
      <w:bodyDiv w:val="1"/>
      <w:marLeft w:val="0"/>
      <w:marRight w:val="0"/>
      <w:marTop w:val="0"/>
      <w:marBottom w:val="0"/>
      <w:divBdr>
        <w:top w:val="none" w:sz="0" w:space="0" w:color="auto"/>
        <w:left w:val="none" w:sz="0" w:space="0" w:color="auto"/>
        <w:bottom w:val="none" w:sz="0" w:space="0" w:color="auto"/>
        <w:right w:val="none" w:sz="0" w:space="0" w:color="auto"/>
      </w:divBdr>
    </w:div>
    <w:div w:id="1115909289">
      <w:bodyDiv w:val="1"/>
      <w:marLeft w:val="0"/>
      <w:marRight w:val="0"/>
      <w:marTop w:val="0"/>
      <w:marBottom w:val="0"/>
      <w:divBdr>
        <w:top w:val="none" w:sz="0" w:space="0" w:color="auto"/>
        <w:left w:val="none" w:sz="0" w:space="0" w:color="auto"/>
        <w:bottom w:val="none" w:sz="0" w:space="0" w:color="auto"/>
        <w:right w:val="none" w:sz="0" w:space="0" w:color="auto"/>
      </w:divBdr>
    </w:div>
    <w:div w:id="1117875161">
      <w:bodyDiv w:val="1"/>
      <w:marLeft w:val="0"/>
      <w:marRight w:val="0"/>
      <w:marTop w:val="0"/>
      <w:marBottom w:val="0"/>
      <w:divBdr>
        <w:top w:val="none" w:sz="0" w:space="0" w:color="auto"/>
        <w:left w:val="none" w:sz="0" w:space="0" w:color="auto"/>
        <w:bottom w:val="none" w:sz="0" w:space="0" w:color="auto"/>
        <w:right w:val="none" w:sz="0" w:space="0" w:color="auto"/>
      </w:divBdr>
    </w:div>
    <w:div w:id="1120032138">
      <w:bodyDiv w:val="1"/>
      <w:marLeft w:val="0"/>
      <w:marRight w:val="0"/>
      <w:marTop w:val="0"/>
      <w:marBottom w:val="0"/>
      <w:divBdr>
        <w:top w:val="none" w:sz="0" w:space="0" w:color="auto"/>
        <w:left w:val="none" w:sz="0" w:space="0" w:color="auto"/>
        <w:bottom w:val="none" w:sz="0" w:space="0" w:color="auto"/>
        <w:right w:val="none" w:sz="0" w:space="0" w:color="auto"/>
      </w:divBdr>
    </w:div>
    <w:div w:id="1120419899">
      <w:bodyDiv w:val="1"/>
      <w:marLeft w:val="0"/>
      <w:marRight w:val="0"/>
      <w:marTop w:val="0"/>
      <w:marBottom w:val="0"/>
      <w:divBdr>
        <w:top w:val="none" w:sz="0" w:space="0" w:color="auto"/>
        <w:left w:val="none" w:sz="0" w:space="0" w:color="auto"/>
        <w:bottom w:val="none" w:sz="0" w:space="0" w:color="auto"/>
        <w:right w:val="none" w:sz="0" w:space="0" w:color="auto"/>
      </w:divBdr>
    </w:div>
    <w:div w:id="1120612302">
      <w:bodyDiv w:val="1"/>
      <w:marLeft w:val="0"/>
      <w:marRight w:val="0"/>
      <w:marTop w:val="0"/>
      <w:marBottom w:val="0"/>
      <w:divBdr>
        <w:top w:val="none" w:sz="0" w:space="0" w:color="auto"/>
        <w:left w:val="none" w:sz="0" w:space="0" w:color="auto"/>
        <w:bottom w:val="none" w:sz="0" w:space="0" w:color="auto"/>
        <w:right w:val="none" w:sz="0" w:space="0" w:color="auto"/>
      </w:divBdr>
    </w:div>
    <w:div w:id="1120957353">
      <w:bodyDiv w:val="1"/>
      <w:marLeft w:val="0"/>
      <w:marRight w:val="0"/>
      <w:marTop w:val="0"/>
      <w:marBottom w:val="0"/>
      <w:divBdr>
        <w:top w:val="none" w:sz="0" w:space="0" w:color="auto"/>
        <w:left w:val="none" w:sz="0" w:space="0" w:color="auto"/>
        <w:bottom w:val="none" w:sz="0" w:space="0" w:color="auto"/>
        <w:right w:val="none" w:sz="0" w:space="0" w:color="auto"/>
      </w:divBdr>
    </w:div>
    <w:div w:id="1122845608">
      <w:bodyDiv w:val="1"/>
      <w:marLeft w:val="0"/>
      <w:marRight w:val="0"/>
      <w:marTop w:val="0"/>
      <w:marBottom w:val="0"/>
      <w:divBdr>
        <w:top w:val="none" w:sz="0" w:space="0" w:color="auto"/>
        <w:left w:val="none" w:sz="0" w:space="0" w:color="auto"/>
        <w:bottom w:val="none" w:sz="0" w:space="0" w:color="auto"/>
        <w:right w:val="none" w:sz="0" w:space="0" w:color="auto"/>
      </w:divBdr>
    </w:div>
    <w:div w:id="1123235046">
      <w:bodyDiv w:val="1"/>
      <w:marLeft w:val="0"/>
      <w:marRight w:val="0"/>
      <w:marTop w:val="0"/>
      <w:marBottom w:val="0"/>
      <w:divBdr>
        <w:top w:val="none" w:sz="0" w:space="0" w:color="auto"/>
        <w:left w:val="none" w:sz="0" w:space="0" w:color="auto"/>
        <w:bottom w:val="none" w:sz="0" w:space="0" w:color="auto"/>
        <w:right w:val="none" w:sz="0" w:space="0" w:color="auto"/>
      </w:divBdr>
    </w:div>
    <w:div w:id="1123495644">
      <w:bodyDiv w:val="1"/>
      <w:marLeft w:val="0"/>
      <w:marRight w:val="0"/>
      <w:marTop w:val="0"/>
      <w:marBottom w:val="0"/>
      <w:divBdr>
        <w:top w:val="none" w:sz="0" w:space="0" w:color="auto"/>
        <w:left w:val="none" w:sz="0" w:space="0" w:color="auto"/>
        <w:bottom w:val="none" w:sz="0" w:space="0" w:color="auto"/>
        <w:right w:val="none" w:sz="0" w:space="0" w:color="auto"/>
      </w:divBdr>
    </w:div>
    <w:div w:id="1125781551">
      <w:bodyDiv w:val="1"/>
      <w:marLeft w:val="0"/>
      <w:marRight w:val="0"/>
      <w:marTop w:val="0"/>
      <w:marBottom w:val="0"/>
      <w:divBdr>
        <w:top w:val="none" w:sz="0" w:space="0" w:color="auto"/>
        <w:left w:val="none" w:sz="0" w:space="0" w:color="auto"/>
        <w:bottom w:val="none" w:sz="0" w:space="0" w:color="auto"/>
        <w:right w:val="none" w:sz="0" w:space="0" w:color="auto"/>
      </w:divBdr>
    </w:div>
    <w:div w:id="1127815338">
      <w:bodyDiv w:val="1"/>
      <w:marLeft w:val="0"/>
      <w:marRight w:val="0"/>
      <w:marTop w:val="0"/>
      <w:marBottom w:val="0"/>
      <w:divBdr>
        <w:top w:val="none" w:sz="0" w:space="0" w:color="auto"/>
        <w:left w:val="none" w:sz="0" w:space="0" w:color="auto"/>
        <w:bottom w:val="none" w:sz="0" w:space="0" w:color="auto"/>
        <w:right w:val="none" w:sz="0" w:space="0" w:color="auto"/>
      </w:divBdr>
    </w:div>
    <w:div w:id="1127966609">
      <w:bodyDiv w:val="1"/>
      <w:marLeft w:val="0"/>
      <w:marRight w:val="0"/>
      <w:marTop w:val="0"/>
      <w:marBottom w:val="0"/>
      <w:divBdr>
        <w:top w:val="none" w:sz="0" w:space="0" w:color="auto"/>
        <w:left w:val="none" w:sz="0" w:space="0" w:color="auto"/>
        <w:bottom w:val="none" w:sz="0" w:space="0" w:color="auto"/>
        <w:right w:val="none" w:sz="0" w:space="0" w:color="auto"/>
      </w:divBdr>
    </w:div>
    <w:div w:id="1128357829">
      <w:bodyDiv w:val="1"/>
      <w:marLeft w:val="0"/>
      <w:marRight w:val="0"/>
      <w:marTop w:val="0"/>
      <w:marBottom w:val="0"/>
      <w:divBdr>
        <w:top w:val="none" w:sz="0" w:space="0" w:color="auto"/>
        <w:left w:val="none" w:sz="0" w:space="0" w:color="auto"/>
        <w:bottom w:val="none" w:sz="0" w:space="0" w:color="auto"/>
        <w:right w:val="none" w:sz="0" w:space="0" w:color="auto"/>
      </w:divBdr>
    </w:div>
    <w:div w:id="1128859693">
      <w:bodyDiv w:val="1"/>
      <w:marLeft w:val="0"/>
      <w:marRight w:val="0"/>
      <w:marTop w:val="0"/>
      <w:marBottom w:val="0"/>
      <w:divBdr>
        <w:top w:val="none" w:sz="0" w:space="0" w:color="auto"/>
        <w:left w:val="none" w:sz="0" w:space="0" w:color="auto"/>
        <w:bottom w:val="none" w:sz="0" w:space="0" w:color="auto"/>
        <w:right w:val="none" w:sz="0" w:space="0" w:color="auto"/>
      </w:divBdr>
    </w:div>
    <w:div w:id="1129054801">
      <w:bodyDiv w:val="1"/>
      <w:marLeft w:val="0"/>
      <w:marRight w:val="0"/>
      <w:marTop w:val="0"/>
      <w:marBottom w:val="0"/>
      <w:divBdr>
        <w:top w:val="none" w:sz="0" w:space="0" w:color="auto"/>
        <w:left w:val="none" w:sz="0" w:space="0" w:color="auto"/>
        <w:bottom w:val="none" w:sz="0" w:space="0" w:color="auto"/>
        <w:right w:val="none" w:sz="0" w:space="0" w:color="auto"/>
      </w:divBdr>
    </w:div>
    <w:div w:id="1129127260">
      <w:bodyDiv w:val="1"/>
      <w:marLeft w:val="0"/>
      <w:marRight w:val="0"/>
      <w:marTop w:val="0"/>
      <w:marBottom w:val="0"/>
      <w:divBdr>
        <w:top w:val="none" w:sz="0" w:space="0" w:color="auto"/>
        <w:left w:val="none" w:sz="0" w:space="0" w:color="auto"/>
        <w:bottom w:val="none" w:sz="0" w:space="0" w:color="auto"/>
        <w:right w:val="none" w:sz="0" w:space="0" w:color="auto"/>
      </w:divBdr>
    </w:div>
    <w:div w:id="1129975166">
      <w:bodyDiv w:val="1"/>
      <w:marLeft w:val="0"/>
      <w:marRight w:val="0"/>
      <w:marTop w:val="0"/>
      <w:marBottom w:val="0"/>
      <w:divBdr>
        <w:top w:val="none" w:sz="0" w:space="0" w:color="auto"/>
        <w:left w:val="none" w:sz="0" w:space="0" w:color="auto"/>
        <w:bottom w:val="none" w:sz="0" w:space="0" w:color="auto"/>
        <w:right w:val="none" w:sz="0" w:space="0" w:color="auto"/>
      </w:divBdr>
    </w:div>
    <w:div w:id="1130051899">
      <w:bodyDiv w:val="1"/>
      <w:marLeft w:val="0"/>
      <w:marRight w:val="0"/>
      <w:marTop w:val="0"/>
      <w:marBottom w:val="0"/>
      <w:divBdr>
        <w:top w:val="none" w:sz="0" w:space="0" w:color="auto"/>
        <w:left w:val="none" w:sz="0" w:space="0" w:color="auto"/>
        <w:bottom w:val="none" w:sz="0" w:space="0" w:color="auto"/>
        <w:right w:val="none" w:sz="0" w:space="0" w:color="auto"/>
      </w:divBdr>
    </w:div>
    <w:div w:id="1130708247">
      <w:bodyDiv w:val="1"/>
      <w:marLeft w:val="0"/>
      <w:marRight w:val="0"/>
      <w:marTop w:val="0"/>
      <w:marBottom w:val="0"/>
      <w:divBdr>
        <w:top w:val="none" w:sz="0" w:space="0" w:color="auto"/>
        <w:left w:val="none" w:sz="0" w:space="0" w:color="auto"/>
        <w:bottom w:val="none" w:sz="0" w:space="0" w:color="auto"/>
        <w:right w:val="none" w:sz="0" w:space="0" w:color="auto"/>
      </w:divBdr>
    </w:div>
    <w:div w:id="1131097470">
      <w:bodyDiv w:val="1"/>
      <w:marLeft w:val="0"/>
      <w:marRight w:val="0"/>
      <w:marTop w:val="0"/>
      <w:marBottom w:val="0"/>
      <w:divBdr>
        <w:top w:val="none" w:sz="0" w:space="0" w:color="auto"/>
        <w:left w:val="none" w:sz="0" w:space="0" w:color="auto"/>
        <w:bottom w:val="none" w:sz="0" w:space="0" w:color="auto"/>
        <w:right w:val="none" w:sz="0" w:space="0" w:color="auto"/>
      </w:divBdr>
    </w:div>
    <w:div w:id="1132023306">
      <w:bodyDiv w:val="1"/>
      <w:marLeft w:val="0"/>
      <w:marRight w:val="0"/>
      <w:marTop w:val="0"/>
      <w:marBottom w:val="0"/>
      <w:divBdr>
        <w:top w:val="none" w:sz="0" w:space="0" w:color="auto"/>
        <w:left w:val="none" w:sz="0" w:space="0" w:color="auto"/>
        <w:bottom w:val="none" w:sz="0" w:space="0" w:color="auto"/>
        <w:right w:val="none" w:sz="0" w:space="0" w:color="auto"/>
      </w:divBdr>
    </w:div>
    <w:div w:id="1132671227">
      <w:bodyDiv w:val="1"/>
      <w:marLeft w:val="0"/>
      <w:marRight w:val="0"/>
      <w:marTop w:val="0"/>
      <w:marBottom w:val="0"/>
      <w:divBdr>
        <w:top w:val="none" w:sz="0" w:space="0" w:color="auto"/>
        <w:left w:val="none" w:sz="0" w:space="0" w:color="auto"/>
        <w:bottom w:val="none" w:sz="0" w:space="0" w:color="auto"/>
        <w:right w:val="none" w:sz="0" w:space="0" w:color="auto"/>
      </w:divBdr>
    </w:div>
    <w:div w:id="1134447959">
      <w:bodyDiv w:val="1"/>
      <w:marLeft w:val="0"/>
      <w:marRight w:val="0"/>
      <w:marTop w:val="0"/>
      <w:marBottom w:val="0"/>
      <w:divBdr>
        <w:top w:val="none" w:sz="0" w:space="0" w:color="auto"/>
        <w:left w:val="none" w:sz="0" w:space="0" w:color="auto"/>
        <w:bottom w:val="none" w:sz="0" w:space="0" w:color="auto"/>
        <w:right w:val="none" w:sz="0" w:space="0" w:color="auto"/>
      </w:divBdr>
    </w:div>
    <w:div w:id="1134449359">
      <w:bodyDiv w:val="1"/>
      <w:marLeft w:val="0"/>
      <w:marRight w:val="0"/>
      <w:marTop w:val="0"/>
      <w:marBottom w:val="0"/>
      <w:divBdr>
        <w:top w:val="none" w:sz="0" w:space="0" w:color="auto"/>
        <w:left w:val="none" w:sz="0" w:space="0" w:color="auto"/>
        <w:bottom w:val="none" w:sz="0" w:space="0" w:color="auto"/>
        <w:right w:val="none" w:sz="0" w:space="0" w:color="auto"/>
      </w:divBdr>
    </w:div>
    <w:div w:id="1135215793">
      <w:bodyDiv w:val="1"/>
      <w:marLeft w:val="0"/>
      <w:marRight w:val="0"/>
      <w:marTop w:val="0"/>
      <w:marBottom w:val="0"/>
      <w:divBdr>
        <w:top w:val="none" w:sz="0" w:space="0" w:color="auto"/>
        <w:left w:val="none" w:sz="0" w:space="0" w:color="auto"/>
        <w:bottom w:val="none" w:sz="0" w:space="0" w:color="auto"/>
        <w:right w:val="none" w:sz="0" w:space="0" w:color="auto"/>
      </w:divBdr>
    </w:div>
    <w:div w:id="1136604916">
      <w:bodyDiv w:val="1"/>
      <w:marLeft w:val="0"/>
      <w:marRight w:val="0"/>
      <w:marTop w:val="0"/>
      <w:marBottom w:val="0"/>
      <w:divBdr>
        <w:top w:val="none" w:sz="0" w:space="0" w:color="auto"/>
        <w:left w:val="none" w:sz="0" w:space="0" w:color="auto"/>
        <w:bottom w:val="none" w:sz="0" w:space="0" w:color="auto"/>
        <w:right w:val="none" w:sz="0" w:space="0" w:color="auto"/>
      </w:divBdr>
    </w:div>
    <w:div w:id="1137062544">
      <w:bodyDiv w:val="1"/>
      <w:marLeft w:val="0"/>
      <w:marRight w:val="0"/>
      <w:marTop w:val="0"/>
      <w:marBottom w:val="0"/>
      <w:divBdr>
        <w:top w:val="none" w:sz="0" w:space="0" w:color="auto"/>
        <w:left w:val="none" w:sz="0" w:space="0" w:color="auto"/>
        <w:bottom w:val="none" w:sz="0" w:space="0" w:color="auto"/>
        <w:right w:val="none" w:sz="0" w:space="0" w:color="auto"/>
      </w:divBdr>
    </w:div>
    <w:div w:id="1138181589">
      <w:bodyDiv w:val="1"/>
      <w:marLeft w:val="0"/>
      <w:marRight w:val="0"/>
      <w:marTop w:val="0"/>
      <w:marBottom w:val="0"/>
      <w:divBdr>
        <w:top w:val="none" w:sz="0" w:space="0" w:color="auto"/>
        <w:left w:val="none" w:sz="0" w:space="0" w:color="auto"/>
        <w:bottom w:val="none" w:sz="0" w:space="0" w:color="auto"/>
        <w:right w:val="none" w:sz="0" w:space="0" w:color="auto"/>
      </w:divBdr>
    </w:div>
    <w:div w:id="1138300576">
      <w:bodyDiv w:val="1"/>
      <w:marLeft w:val="0"/>
      <w:marRight w:val="0"/>
      <w:marTop w:val="0"/>
      <w:marBottom w:val="0"/>
      <w:divBdr>
        <w:top w:val="none" w:sz="0" w:space="0" w:color="auto"/>
        <w:left w:val="none" w:sz="0" w:space="0" w:color="auto"/>
        <w:bottom w:val="none" w:sz="0" w:space="0" w:color="auto"/>
        <w:right w:val="none" w:sz="0" w:space="0" w:color="auto"/>
      </w:divBdr>
    </w:div>
    <w:div w:id="1138841615">
      <w:bodyDiv w:val="1"/>
      <w:marLeft w:val="0"/>
      <w:marRight w:val="0"/>
      <w:marTop w:val="0"/>
      <w:marBottom w:val="0"/>
      <w:divBdr>
        <w:top w:val="none" w:sz="0" w:space="0" w:color="auto"/>
        <w:left w:val="none" w:sz="0" w:space="0" w:color="auto"/>
        <w:bottom w:val="none" w:sz="0" w:space="0" w:color="auto"/>
        <w:right w:val="none" w:sz="0" w:space="0" w:color="auto"/>
      </w:divBdr>
    </w:div>
    <w:div w:id="1139765080">
      <w:bodyDiv w:val="1"/>
      <w:marLeft w:val="0"/>
      <w:marRight w:val="0"/>
      <w:marTop w:val="0"/>
      <w:marBottom w:val="0"/>
      <w:divBdr>
        <w:top w:val="none" w:sz="0" w:space="0" w:color="auto"/>
        <w:left w:val="none" w:sz="0" w:space="0" w:color="auto"/>
        <w:bottom w:val="none" w:sz="0" w:space="0" w:color="auto"/>
        <w:right w:val="none" w:sz="0" w:space="0" w:color="auto"/>
      </w:divBdr>
    </w:div>
    <w:div w:id="1140536063">
      <w:bodyDiv w:val="1"/>
      <w:marLeft w:val="0"/>
      <w:marRight w:val="0"/>
      <w:marTop w:val="0"/>
      <w:marBottom w:val="0"/>
      <w:divBdr>
        <w:top w:val="none" w:sz="0" w:space="0" w:color="auto"/>
        <w:left w:val="none" w:sz="0" w:space="0" w:color="auto"/>
        <w:bottom w:val="none" w:sz="0" w:space="0" w:color="auto"/>
        <w:right w:val="none" w:sz="0" w:space="0" w:color="auto"/>
      </w:divBdr>
    </w:div>
    <w:div w:id="1141194154">
      <w:bodyDiv w:val="1"/>
      <w:marLeft w:val="0"/>
      <w:marRight w:val="0"/>
      <w:marTop w:val="0"/>
      <w:marBottom w:val="0"/>
      <w:divBdr>
        <w:top w:val="none" w:sz="0" w:space="0" w:color="auto"/>
        <w:left w:val="none" w:sz="0" w:space="0" w:color="auto"/>
        <w:bottom w:val="none" w:sz="0" w:space="0" w:color="auto"/>
        <w:right w:val="none" w:sz="0" w:space="0" w:color="auto"/>
      </w:divBdr>
    </w:div>
    <w:div w:id="1141578638">
      <w:bodyDiv w:val="1"/>
      <w:marLeft w:val="0"/>
      <w:marRight w:val="0"/>
      <w:marTop w:val="0"/>
      <w:marBottom w:val="0"/>
      <w:divBdr>
        <w:top w:val="none" w:sz="0" w:space="0" w:color="auto"/>
        <w:left w:val="none" w:sz="0" w:space="0" w:color="auto"/>
        <w:bottom w:val="none" w:sz="0" w:space="0" w:color="auto"/>
        <w:right w:val="none" w:sz="0" w:space="0" w:color="auto"/>
      </w:divBdr>
    </w:div>
    <w:div w:id="1141655533">
      <w:bodyDiv w:val="1"/>
      <w:marLeft w:val="0"/>
      <w:marRight w:val="0"/>
      <w:marTop w:val="0"/>
      <w:marBottom w:val="0"/>
      <w:divBdr>
        <w:top w:val="none" w:sz="0" w:space="0" w:color="auto"/>
        <w:left w:val="none" w:sz="0" w:space="0" w:color="auto"/>
        <w:bottom w:val="none" w:sz="0" w:space="0" w:color="auto"/>
        <w:right w:val="none" w:sz="0" w:space="0" w:color="auto"/>
      </w:divBdr>
    </w:div>
    <w:div w:id="1142578121">
      <w:bodyDiv w:val="1"/>
      <w:marLeft w:val="0"/>
      <w:marRight w:val="0"/>
      <w:marTop w:val="0"/>
      <w:marBottom w:val="0"/>
      <w:divBdr>
        <w:top w:val="none" w:sz="0" w:space="0" w:color="auto"/>
        <w:left w:val="none" w:sz="0" w:space="0" w:color="auto"/>
        <w:bottom w:val="none" w:sz="0" w:space="0" w:color="auto"/>
        <w:right w:val="none" w:sz="0" w:space="0" w:color="auto"/>
      </w:divBdr>
    </w:div>
    <w:div w:id="1142772443">
      <w:bodyDiv w:val="1"/>
      <w:marLeft w:val="0"/>
      <w:marRight w:val="0"/>
      <w:marTop w:val="0"/>
      <w:marBottom w:val="0"/>
      <w:divBdr>
        <w:top w:val="none" w:sz="0" w:space="0" w:color="auto"/>
        <w:left w:val="none" w:sz="0" w:space="0" w:color="auto"/>
        <w:bottom w:val="none" w:sz="0" w:space="0" w:color="auto"/>
        <w:right w:val="none" w:sz="0" w:space="0" w:color="auto"/>
      </w:divBdr>
    </w:div>
    <w:div w:id="1143813793">
      <w:bodyDiv w:val="1"/>
      <w:marLeft w:val="0"/>
      <w:marRight w:val="0"/>
      <w:marTop w:val="0"/>
      <w:marBottom w:val="0"/>
      <w:divBdr>
        <w:top w:val="none" w:sz="0" w:space="0" w:color="auto"/>
        <w:left w:val="none" w:sz="0" w:space="0" w:color="auto"/>
        <w:bottom w:val="none" w:sz="0" w:space="0" w:color="auto"/>
        <w:right w:val="none" w:sz="0" w:space="0" w:color="auto"/>
      </w:divBdr>
    </w:div>
    <w:div w:id="1144463871">
      <w:bodyDiv w:val="1"/>
      <w:marLeft w:val="0"/>
      <w:marRight w:val="0"/>
      <w:marTop w:val="0"/>
      <w:marBottom w:val="0"/>
      <w:divBdr>
        <w:top w:val="none" w:sz="0" w:space="0" w:color="auto"/>
        <w:left w:val="none" w:sz="0" w:space="0" w:color="auto"/>
        <w:bottom w:val="none" w:sz="0" w:space="0" w:color="auto"/>
        <w:right w:val="none" w:sz="0" w:space="0" w:color="auto"/>
      </w:divBdr>
    </w:div>
    <w:div w:id="1144615817">
      <w:bodyDiv w:val="1"/>
      <w:marLeft w:val="0"/>
      <w:marRight w:val="0"/>
      <w:marTop w:val="0"/>
      <w:marBottom w:val="0"/>
      <w:divBdr>
        <w:top w:val="none" w:sz="0" w:space="0" w:color="auto"/>
        <w:left w:val="none" w:sz="0" w:space="0" w:color="auto"/>
        <w:bottom w:val="none" w:sz="0" w:space="0" w:color="auto"/>
        <w:right w:val="none" w:sz="0" w:space="0" w:color="auto"/>
      </w:divBdr>
    </w:div>
    <w:div w:id="1144810771">
      <w:bodyDiv w:val="1"/>
      <w:marLeft w:val="0"/>
      <w:marRight w:val="0"/>
      <w:marTop w:val="0"/>
      <w:marBottom w:val="0"/>
      <w:divBdr>
        <w:top w:val="none" w:sz="0" w:space="0" w:color="auto"/>
        <w:left w:val="none" w:sz="0" w:space="0" w:color="auto"/>
        <w:bottom w:val="none" w:sz="0" w:space="0" w:color="auto"/>
        <w:right w:val="none" w:sz="0" w:space="0" w:color="auto"/>
      </w:divBdr>
    </w:div>
    <w:div w:id="1145195194">
      <w:bodyDiv w:val="1"/>
      <w:marLeft w:val="0"/>
      <w:marRight w:val="0"/>
      <w:marTop w:val="0"/>
      <w:marBottom w:val="0"/>
      <w:divBdr>
        <w:top w:val="none" w:sz="0" w:space="0" w:color="auto"/>
        <w:left w:val="none" w:sz="0" w:space="0" w:color="auto"/>
        <w:bottom w:val="none" w:sz="0" w:space="0" w:color="auto"/>
        <w:right w:val="none" w:sz="0" w:space="0" w:color="auto"/>
      </w:divBdr>
    </w:div>
    <w:div w:id="1145662346">
      <w:bodyDiv w:val="1"/>
      <w:marLeft w:val="0"/>
      <w:marRight w:val="0"/>
      <w:marTop w:val="0"/>
      <w:marBottom w:val="0"/>
      <w:divBdr>
        <w:top w:val="none" w:sz="0" w:space="0" w:color="auto"/>
        <w:left w:val="none" w:sz="0" w:space="0" w:color="auto"/>
        <w:bottom w:val="none" w:sz="0" w:space="0" w:color="auto"/>
        <w:right w:val="none" w:sz="0" w:space="0" w:color="auto"/>
      </w:divBdr>
    </w:div>
    <w:div w:id="1145706171">
      <w:bodyDiv w:val="1"/>
      <w:marLeft w:val="0"/>
      <w:marRight w:val="0"/>
      <w:marTop w:val="0"/>
      <w:marBottom w:val="0"/>
      <w:divBdr>
        <w:top w:val="none" w:sz="0" w:space="0" w:color="auto"/>
        <w:left w:val="none" w:sz="0" w:space="0" w:color="auto"/>
        <w:bottom w:val="none" w:sz="0" w:space="0" w:color="auto"/>
        <w:right w:val="none" w:sz="0" w:space="0" w:color="auto"/>
      </w:divBdr>
    </w:div>
    <w:div w:id="1145927731">
      <w:bodyDiv w:val="1"/>
      <w:marLeft w:val="0"/>
      <w:marRight w:val="0"/>
      <w:marTop w:val="0"/>
      <w:marBottom w:val="0"/>
      <w:divBdr>
        <w:top w:val="none" w:sz="0" w:space="0" w:color="auto"/>
        <w:left w:val="none" w:sz="0" w:space="0" w:color="auto"/>
        <w:bottom w:val="none" w:sz="0" w:space="0" w:color="auto"/>
        <w:right w:val="none" w:sz="0" w:space="0" w:color="auto"/>
      </w:divBdr>
    </w:div>
    <w:div w:id="1146319188">
      <w:bodyDiv w:val="1"/>
      <w:marLeft w:val="0"/>
      <w:marRight w:val="0"/>
      <w:marTop w:val="0"/>
      <w:marBottom w:val="0"/>
      <w:divBdr>
        <w:top w:val="none" w:sz="0" w:space="0" w:color="auto"/>
        <w:left w:val="none" w:sz="0" w:space="0" w:color="auto"/>
        <w:bottom w:val="none" w:sz="0" w:space="0" w:color="auto"/>
        <w:right w:val="none" w:sz="0" w:space="0" w:color="auto"/>
      </w:divBdr>
    </w:div>
    <w:div w:id="1146509908">
      <w:bodyDiv w:val="1"/>
      <w:marLeft w:val="0"/>
      <w:marRight w:val="0"/>
      <w:marTop w:val="0"/>
      <w:marBottom w:val="0"/>
      <w:divBdr>
        <w:top w:val="none" w:sz="0" w:space="0" w:color="auto"/>
        <w:left w:val="none" w:sz="0" w:space="0" w:color="auto"/>
        <w:bottom w:val="none" w:sz="0" w:space="0" w:color="auto"/>
        <w:right w:val="none" w:sz="0" w:space="0" w:color="auto"/>
      </w:divBdr>
    </w:div>
    <w:div w:id="1147284645">
      <w:bodyDiv w:val="1"/>
      <w:marLeft w:val="0"/>
      <w:marRight w:val="0"/>
      <w:marTop w:val="0"/>
      <w:marBottom w:val="0"/>
      <w:divBdr>
        <w:top w:val="none" w:sz="0" w:space="0" w:color="auto"/>
        <w:left w:val="none" w:sz="0" w:space="0" w:color="auto"/>
        <w:bottom w:val="none" w:sz="0" w:space="0" w:color="auto"/>
        <w:right w:val="none" w:sz="0" w:space="0" w:color="auto"/>
      </w:divBdr>
    </w:div>
    <w:div w:id="1147358684">
      <w:bodyDiv w:val="1"/>
      <w:marLeft w:val="0"/>
      <w:marRight w:val="0"/>
      <w:marTop w:val="0"/>
      <w:marBottom w:val="0"/>
      <w:divBdr>
        <w:top w:val="none" w:sz="0" w:space="0" w:color="auto"/>
        <w:left w:val="none" w:sz="0" w:space="0" w:color="auto"/>
        <w:bottom w:val="none" w:sz="0" w:space="0" w:color="auto"/>
        <w:right w:val="none" w:sz="0" w:space="0" w:color="auto"/>
      </w:divBdr>
    </w:div>
    <w:div w:id="1147892011">
      <w:bodyDiv w:val="1"/>
      <w:marLeft w:val="0"/>
      <w:marRight w:val="0"/>
      <w:marTop w:val="0"/>
      <w:marBottom w:val="0"/>
      <w:divBdr>
        <w:top w:val="none" w:sz="0" w:space="0" w:color="auto"/>
        <w:left w:val="none" w:sz="0" w:space="0" w:color="auto"/>
        <w:bottom w:val="none" w:sz="0" w:space="0" w:color="auto"/>
        <w:right w:val="none" w:sz="0" w:space="0" w:color="auto"/>
      </w:divBdr>
    </w:div>
    <w:div w:id="1148400447">
      <w:bodyDiv w:val="1"/>
      <w:marLeft w:val="0"/>
      <w:marRight w:val="0"/>
      <w:marTop w:val="0"/>
      <w:marBottom w:val="0"/>
      <w:divBdr>
        <w:top w:val="none" w:sz="0" w:space="0" w:color="auto"/>
        <w:left w:val="none" w:sz="0" w:space="0" w:color="auto"/>
        <w:bottom w:val="none" w:sz="0" w:space="0" w:color="auto"/>
        <w:right w:val="none" w:sz="0" w:space="0" w:color="auto"/>
      </w:divBdr>
    </w:div>
    <w:div w:id="1148519575">
      <w:bodyDiv w:val="1"/>
      <w:marLeft w:val="0"/>
      <w:marRight w:val="0"/>
      <w:marTop w:val="0"/>
      <w:marBottom w:val="0"/>
      <w:divBdr>
        <w:top w:val="none" w:sz="0" w:space="0" w:color="auto"/>
        <w:left w:val="none" w:sz="0" w:space="0" w:color="auto"/>
        <w:bottom w:val="none" w:sz="0" w:space="0" w:color="auto"/>
        <w:right w:val="none" w:sz="0" w:space="0" w:color="auto"/>
      </w:divBdr>
    </w:div>
    <w:div w:id="1148673410">
      <w:bodyDiv w:val="1"/>
      <w:marLeft w:val="0"/>
      <w:marRight w:val="0"/>
      <w:marTop w:val="0"/>
      <w:marBottom w:val="0"/>
      <w:divBdr>
        <w:top w:val="none" w:sz="0" w:space="0" w:color="auto"/>
        <w:left w:val="none" w:sz="0" w:space="0" w:color="auto"/>
        <w:bottom w:val="none" w:sz="0" w:space="0" w:color="auto"/>
        <w:right w:val="none" w:sz="0" w:space="0" w:color="auto"/>
      </w:divBdr>
    </w:div>
    <w:div w:id="1149178065">
      <w:bodyDiv w:val="1"/>
      <w:marLeft w:val="0"/>
      <w:marRight w:val="0"/>
      <w:marTop w:val="0"/>
      <w:marBottom w:val="0"/>
      <w:divBdr>
        <w:top w:val="none" w:sz="0" w:space="0" w:color="auto"/>
        <w:left w:val="none" w:sz="0" w:space="0" w:color="auto"/>
        <w:bottom w:val="none" w:sz="0" w:space="0" w:color="auto"/>
        <w:right w:val="none" w:sz="0" w:space="0" w:color="auto"/>
      </w:divBdr>
    </w:div>
    <w:div w:id="1149446359">
      <w:bodyDiv w:val="1"/>
      <w:marLeft w:val="0"/>
      <w:marRight w:val="0"/>
      <w:marTop w:val="0"/>
      <w:marBottom w:val="0"/>
      <w:divBdr>
        <w:top w:val="none" w:sz="0" w:space="0" w:color="auto"/>
        <w:left w:val="none" w:sz="0" w:space="0" w:color="auto"/>
        <w:bottom w:val="none" w:sz="0" w:space="0" w:color="auto"/>
        <w:right w:val="none" w:sz="0" w:space="0" w:color="auto"/>
      </w:divBdr>
    </w:div>
    <w:div w:id="1150756633">
      <w:bodyDiv w:val="1"/>
      <w:marLeft w:val="0"/>
      <w:marRight w:val="0"/>
      <w:marTop w:val="0"/>
      <w:marBottom w:val="0"/>
      <w:divBdr>
        <w:top w:val="none" w:sz="0" w:space="0" w:color="auto"/>
        <w:left w:val="none" w:sz="0" w:space="0" w:color="auto"/>
        <w:bottom w:val="none" w:sz="0" w:space="0" w:color="auto"/>
        <w:right w:val="none" w:sz="0" w:space="0" w:color="auto"/>
      </w:divBdr>
    </w:div>
    <w:div w:id="1152328219">
      <w:bodyDiv w:val="1"/>
      <w:marLeft w:val="0"/>
      <w:marRight w:val="0"/>
      <w:marTop w:val="0"/>
      <w:marBottom w:val="0"/>
      <w:divBdr>
        <w:top w:val="none" w:sz="0" w:space="0" w:color="auto"/>
        <w:left w:val="none" w:sz="0" w:space="0" w:color="auto"/>
        <w:bottom w:val="none" w:sz="0" w:space="0" w:color="auto"/>
        <w:right w:val="none" w:sz="0" w:space="0" w:color="auto"/>
      </w:divBdr>
    </w:div>
    <w:div w:id="1152479423">
      <w:bodyDiv w:val="1"/>
      <w:marLeft w:val="0"/>
      <w:marRight w:val="0"/>
      <w:marTop w:val="0"/>
      <w:marBottom w:val="0"/>
      <w:divBdr>
        <w:top w:val="none" w:sz="0" w:space="0" w:color="auto"/>
        <w:left w:val="none" w:sz="0" w:space="0" w:color="auto"/>
        <w:bottom w:val="none" w:sz="0" w:space="0" w:color="auto"/>
        <w:right w:val="none" w:sz="0" w:space="0" w:color="auto"/>
      </w:divBdr>
    </w:div>
    <w:div w:id="1153713794">
      <w:bodyDiv w:val="1"/>
      <w:marLeft w:val="0"/>
      <w:marRight w:val="0"/>
      <w:marTop w:val="0"/>
      <w:marBottom w:val="0"/>
      <w:divBdr>
        <w:top w:val="none" w:sz="0" w:space="0" w:color="auto"/>
        <w:left w:val="none" w:sz="0" w:space="0" w:color="auto"/>
        <w:bottom w:val="none" w:sz="0" w:space="0" w:color="auto"/>
        <w:right w:val="none" w:sz="0" w:space="0" w:color="auto"/>
      </w:divBdr>
    </w:div>
    <w:div w:id="1154372380">
      <w:bodyDiv w:val="1"/>
      <w:marLeft w:val="0"/>
      <w:marRight w:val="0"/>
      <w:marTop w:val="0"/>
      <w:marBottom w:val="0"/>
      <w:divBdr>
        <w:top w:val="none" w:sz="0" w:space="0" w:color="auto"/>
        <w:left w:val="none" w:sz="0" w:space="0" w:color="auto"/>
        <w:bottom w:val="none" w:sz="0" w:space="0" w:color="auto"/>
        <w:right w:val="none" w:sz="0" w:space="0" w:color="auto"/>
      </w:divBdr>
    </w:div>
    <w:div w:id="1154758505">
      <w:bodyDiv w:val="1"/>
      <w:marLeft w:val="0"/>
      <w:marRight w:val="0"/>
      <w:marTop w:val="0"/>
      <w:marBottom w:val="0"/>
      <w:divBdr>
        <w:top w:val="none" w:sz="0" w:space="0" w:color="auto"/>
        <w:left w:val="none" w:sz="0" w:space="0" w:color="auto"/>
        <w:bottom w:val="none" w:sz="0" w:space="0" w:color="auto"/>
        <w:right w:val="none" w:sz="0" w:space="0" w:color="auto"/>
      </w:divBdr>
    </w:div>
    <w:div w:id="1156218674">
      <w:bodyDiv w:val="1"/>
      <w:marLeft w:val="0"/>
      <w:marRight w:val="0"/>
      <w:marTop w:val="0"/>
      <w:marBottom w:val="0"/>
      <w:divBdr>
        <w:top w:val="none" w:sz="0" w:space="0" w:color="auto"/>
        <w:left w:val="none" w:sz="0" w:space="0" w:color="auto"/>
        <w:bottom w:val="none" w:sz="0" w:space="0" w:color="auto"/>
        <w:right w:val="none" w:sz="0" w:space="0" w:color="auto"/>
      </w:divBdr>
    </w:div>
    <w:div w:id="1157378136">
      <w:bodyDiv w:val="1"/>
      <w:marLeft w:val="0"/>
      <w:marRight w:val="0"/>
      <w:marTop w:val="0"/>
      <w:marBottom w:val="0"/>
      <w:divBdr>
        <w:top w:val="none" w:sz="0" w:space="0" w:color="auto"/>
        <w:left w:val="none" w:sz="0" w:space="0" w:color="auto"/>
        <w:bottom w:val="none" w:sz="0" w:space="0" w:color="auto"/>
        <w:right w:val="none" w:sz="0" w:space="0" w:color="auto"/>
      </w:divBdr>
    </w:div>
    <w:div w:id="1157721050">
      <w:bodyDiv w:val="1"/>
      <w:marLeft w:val="0"/>
      <w:marRight w:val="0"/>
      <w:marTop w:val="0"/>
      <w:marBottom w:val="0"/>
      <w:divBdr>
        <w:top w:val="none" w:sz="0" w:space="0" w:color="auto"/>
        <w:left w:val="none" w:sz="0" w:space="0" w:color="auto"/>
        <w:bottom w:val="none" w:sz="0" w:space="0" w:color="auto"/>
        <w:right w:val="none" w:sz="0" w:space="0" w:color="auto"/>
      </w:divBdr>
    </w:div>
    <w:div w:id="1159619039">
      <w:bodyDiv w:val="1"/>
      <w:marLeft w:val="0"/>
      <w:marRight w:val="0"/>
      <w:marTop w:val="0"/>
      <w:marBottom w:val="0"/>
      <w:divBdr>
        <w:top w:val="none" w:sz="0" w:space="0" w:color="auto"/>
        <w:left w:val="none" w:sz="0" w:space="0" w:color="auto"/>
        <w:bottom w:val="none" w:sz="0" w:space="0" w:color="auto"/>
        <w:right w:val="none" w:sz="0" w:space="0" w:color="auto"/>
      </w:divBdr>
    </w:div>
    <w:div w:id="1160343035">
      <w:bodyDiv w:val="1"/>
      <w:marLeft w:val="0"/>
      <w:marRight w:val="0"/>
      <w:marTop w:val="0"/>
      <w:marBottom w:val="0"/>
      <w:divBdr>
        <w:top w:val="none" w:sz="0" w:space="0" w:color="auto"/>
        <w:left w:val="none" w:sz="0" w:space="0" w:color="auto"/>
        <w:bottom w:val="none" w:sz="0" w:space="0" w:color="auto"/>
        <w:right w:val="none" w:sz="0" w:space="0" w:color="auto"/>
      </w:divBdr>
    </w:div>
    <w:div w:id="1161390814">
      <w:bodyDiv w:val="1"/>
      <w:marLeft w:val="0"/>
      <w:marRight w:val="0"/>
      <w:marTop w:val="0"/>
      <w:marBottom w:val="0"/>
      <w:divBdr>
        <w:top w:val="none" w:sz="0" w:space="0" w:color="auto"/>
        <w:left w:val="none" w:sz="0" w:space="0" w:color="auto"/>
        <w:bottom w:val="none" w:sz="0" w:space="0" w:color="auto"/>
        <w:right w:val="none" w:sz="0" w:space="0" w:color="auto"/>
      </w:divBdr>
    </w:div>
    <w:div w:id="1162357353">
      <w:bodyDiv w:val="1"/>
      <w:marLeft w:val="0"/>
      <w:marRight w:val="0"/>
      <w:marTop w:val="0"/>
      <w:marBottom w:val="0"/>
      <w:divBdr>
        <w:top w:val="none" w:sz="0" w:space="0" w:color="auto"/>
        <w:left w:val="none" w:sz="0" w:space="0" w:color="auto"/>
        <w:bottom w:val="none" w:sz="0" w:space="0" w:color="auto"/>
        <w:right w:val="none" w:sz="0" w:space="0" w:color="auto"/>
      </w:divBdr>
    </w:div>
    <w:div w:id="1163818510">
      <w:bodyDiv w:val="1"/>
      <w:marLeft w:val="0"/>
      <w:marRight w:val="0"/>
      <w:marTop w:val="0"/>
      <w:marBottom w:val="0"/>
      <w:divBdr>
        <w:top w:val="none" w:sz="0" w:space="0" w:color="auto"/>
        <w:left w:val="none" w:sz="0" w:space="0" w:color="auto"/>
        <w:bottom w:val="none" w:sz="0" w:space="0" w:color="auto"/>
        <w:right w:val="none" w:sz="0" w:space="0" w:color="auto"/>
      </w:divBdr>
    </w:div>
    <w:div w:id="1163856431">
      <w:bodyDiv w:val="1"/>
      <w:marLeft w:val="0"/>
      <w:marRight w:val="0"/>
      <w:marTop w:val="0"/>
      <w:marBottom w:val="0"/>
      <w:divBdr>
        <w:top w:val="none" w:sz="0" w:space="0" w:color="auto"/>
        <w:left w:val="none" w:sz="0" w:space="0" w:color="auto"/>
        <w:bottom w:val="none" w:sz="0" w:space="0" w:color="auto"/>
        <w:right w:val="none" w:sz="0" w:space="0" w:color="auto"/>
      </w:divBdr>
    </w:div>
    <w:div w:id="1164317318">
      <w:bodyDiv w:val="1"/>
      <w:marLeft w:val="0"/>
      <w:marRight w:val="0"/>
      <w:marTop w:val="0"/>
      <w:marBottom w:val="0"/>
      <w:divBdr>
        <w:top w:val="none" w:sz="0" w:space="0" w:color="auto"/>
        <w:left w:val="none" w:sz="0" w:space="0" w:color="auto"/>
        <w:bottom w:val="none" w:sz="0" w:space="0" w:color="auto"/>
        <w:right w:val="none" w:sz="0" w:space="0" w:color="auto"/>
      </w:divBdr>
    </w:div>
    <w:div w:id="1164934210">
      <w:bodyDiv w:val="1"/>
      <w:marLeft w:val="0"/>
      <w:marRight w:val="0"/>
      <w:marTop w:val="0"/>
      <w:marBottom w:val="0"/>
      <w:divBdr>
        <w:top w:val="none" w:sz="0" w:space="0" w:color="auto"/>
        <w:left w:val="none" w:sz="0" w:space="0" w:color="auto"/>
        <w:bottom w:val="none" w:sz="0" w:space="0" w:color="auto"/>
        <w:right w:val="none" w:sz="0" w:space="0" w:color="auto"/>
      </w:divBdr>
    </w:div>
    <w:div w:id="1165052808">
      <w:bodyDiv w:val="1"/>
      <w:marLeft w:val="0"/>
      <w:marRight w:val="0"/>
      <w:marTop w:val="0"/>
      <w:marBottom w:val="0"/>
      <w:divBdr>
        <w:top w:val="none" w:sz="0" w:space="0" w:color="auto"/>
        <w:left w:val="none" w:sz="0" w:space="0" w:color="auto"/>
        <w:bottom w:val="none" w:sz="0" w:space="0" w:color="auto"/>
        <w:right w:val="none" w:sz="0" w:space="0" w:color="auto"/>
      </w:divBdr>
    </w:div>
    <w:div w:id="1165130745">
      <w:bodyDiv w:val="1"/>
      <w:marLeft w:val="0"/>
      <w:marRight w:val="0"/>
      <w:marTop w:val="0"/>
      <w:marBottom w:val="0"/>
      <w:divBdr>
        <w:top w:val="none" w:sz="0" w:space="0" w:color="auto"/>
        <w:left w:val="none" w:sz="0" w:space="0" w:color="auto"/>
        <w:bottom w:val="none" w:sz="0" w:space="0" w:color="auto"/>
        <w:right w:val="none" w:sz="0" w:space="0" w:color="auto"/>
      </w:divBdr>
    </w:div>
    <w:div w:id="1166551450">
      <w:bodyDiv w:val="1"/>
      <w:marLeft w:val="0"/>
      <w:marRight w:val="0"/>
      <w:marTop w:val="0"/>
      <w:marBottom w:val="0"/>
      <w:divBdr>
        <w:top w:val="none" w:sz="0" w:space="0" w:color="auto"/>
        <w:left w:val="none" w:sz="0" w:space="0" w:color="auto"/>
        <w:bottom w:val="none" w:sz="0" w:space="0" w:color="auto"/>
        <w:right w:val="none" w:sz="0" w:space="0" w:color="auto"/>
      </w:divBdr>
    </w:div>
    <w:div w:id="1167481117">
      <w:bodyDiv w:val="1"/>
      <w:marLeft w:val="0"/>
      <w:marRight w:val="0"/>
      <w:marTop w:val="0"/>
      <w:marBottom w:val="0"/>
      <w:divBdr>
        <w:top w:val="none" w:sz="0" w:space="0" w:color="auto"/>
        <w:left w:val="none" w:sz="0" w:space="0" w:color="auto"/>
        <w:bottom w:val="none" w:sz="0" w:space="0" w:color="auto"/>
        <w:right w:val="none" w:sz="0" w:space="0" w:color="auto"/>
      </w:divBdr>
    </w:div>
    <w:div w:id="1168057211">
      <w:bodyDiv w:val="1"/>
      <w:marLeft w:val="0"/>
      <w:marRight w:val="0"/>
      <w:marTop w:val="0"/>
      <w:marBottom w:val="0"/>
      <w:divBdr>
        <w:top w:val="none" w:sz="0" w:space="0" w:color="auto"/>
        <w:left w:val="none" w:sz="0" w:space="0" w:color="auto"/>
        <w:bottom w:val="none" w:sz="0" w:space="0" w:color="auto"/>
        <w:right w:val="none" w:sz="0" w:space="0" w:color="auto"/>
      </w:divBdr>
    </w:div>
    <w:div w:id="1171334668">
      <w:bodyDiv w:val="1"/>
      <w:marLeft w:val="0"/>
      <w:marRight w:val="0"/>
      <w:marTop w:val="0"/>
      <w:marBottom w:val="0"/>
      <w:divBdr>
        <w:top w:val="none" w:sz="0" w:space="0" w:color="auto"/>
        <w:left w:val="none" w:sz="0" w:space="0" w:color="auto"/>
        <w:bottom w:val="none" w:sz="0" w:space="0" w:color="auto"/>
        <w:right w:val="none" w:sz="0" w:space="0" w:color="auto"/>
      </w:divBdr>
    </w:div>
    <w:div w:id="1171481092">
      <w:bodyDiv w:val="1"/>
      <w:marLeft w:val="0"/>
      <w:marRight w:val="0"/>
      <w:marTop w:val="0"/>
      <w:marBottom w:val="0"/>
      <w:divBdr>
        <w:top w:val="none" w:sz="0" w:space="0" w:color="auto"/>
        <w:left w:val="none" w:sz="0" w:space="0" w:color="auto"/>
        <w:bottom w:val="none" w:sz="0" w:space="0" w:color="auto"/>
        <w:right w:val="none" w:sz="0" w:space="0" w:color="auto"/>
      </w:divBdr>
    </w:div>
    <w:div w:id="1171989281">
      <w:bodyDiv w:val="1"/>
      <w:marLeft w:val="0"/>
      <w:marRight w:val="0"/>
      <w:marTop w:val="0"/>
      <w:marBottom w:val="0"/>
      <w:divBdr>
        <w:top w:val="none" w:sz="0" w:space="0" w:color="auto"/>
        <w:left w:val="none" w:sz="0" w:space="0" w:color="auto"/>
        <w:bottom w:val="none" w:sz="0" w:space="0" w:color="auto"/>
        <w:right w:val="none" w:sz="0" w:space="0" w:color="auto"/>
      </w:divBdr>
    </w:div>
    <w:div w:id="1172140666">
      <w:bodyDiv w:val="1"/>
      <w:marLeft w:val="0"/>
      <w:marRight w:val="0"/>
      <w:marTop w:val="0"/>
      <w:marBottom w:val="0"/>
      <w:divBdr>
        <w:top w:val="none" w:sz="0" w:space="0" w:color="auto"/>
        <w:left w:val="none" w:sz="0" w:space="0" w:color="auto"/>
        <w:bottom w:val="none" w:sz="0" w:space="0" w:color="auto"/>
        <w:right w:val="none" w:sz="0" w:space="0" w:color="auto"/>
      </w:divBdr>
    </w:div>
    <w:div w:id="1172836330">
      <w:bodyDiv w:val="1"/>
      <w:marLeft w:val="0"/>
      <w:marRight w:val="0"/>
      <w:marTop w:val="0"/>
      <w:marBottom w:val="0"/>
      <w:divBdr>
        <w:top w:val="none" w:sz="0" w:space="0" w:color="auto"/>
        <w:left w:val="none" w:sz="0" w:space="0" w:color="auto"/>
        <w:bottom w:val="none" w:sz="0" w:space="0" w:color="auto"/>
        <w:right w:val="none" w:sz="0" w:space="0" w:color="auto"/>
      </w:divBdr>
    </w:div>
    <w:div w:id="1172994085">
      <w:bodyDiv w:val="1"/>
      <w:marLeft w:val="0"/>
      <w:marRight w:val="0"/>
      <w:marTop w:val="0"/>
      <w:marBottom w:val="0"/>
      <w:divBdr>
        <w:top w:val="none" w:sz="0" w:space="0" w:color="auto"/>
        <w:left w:val="none" w:sz="0" w:space="0" w:color="auto"/>
        <w:bottom w:val="none" w:sz="0" w:space="0" w:color="auto"/>
        <w:right w:val="none" w:sz="0" w:space="0" w:color="auto"/>
      </w:divBdr>
    </w:div>
    <w:div w:id="1173109498">
      <w:bodyDiv w:val="1"/>
      <w:marLeft w:val="0"/>
      <w:marRight w:val="0"/>
      <w:marTop w:val="0"/>
      <w:marBottom w:val="0"/>
      <w:divBdr>
        <w:top w:val="none" w:sz="0" w:space="0" w:color="auto"/>
        <w:left w:val="none" w:sz="0" w:space="0" w:color="auto"/>
        <w:bottom w:val="none" w:sz="0" w:space="0" w:color="auto"/>
        <w:right w:val="none" w:sz="0" w:space="0" w:color="auto"/>
      </w:divBdr>
    </w:div>
    <w:div w:id="1175462019">
      <w:bodyDiv w:val="1"/>
      <w:marLeft w:val="0"/>
      <w:marRight w:val="0"/>
      <w:marTop w:val="0"/>
      <w:marBottom w:val="0"/>
      <w:divBdr>
        <w:top w:val="none" w:sz="0" w:space="0" w:color="auto"/>
        <w:left w:val="none" w:sz="0" w:space="0" w:color="auto"/>
        <w:bottom w:val="none" w:sz="0" w:space="0" w:color="auto"/>
        <w:right w:val="none" w:sz="0" w:space="0" w:color="auto"/>
      </w:divBdr>
    </w:div>
    <w:div w:id="1175611128">
      <w:bodyDiv w:val="1"/>
      <w:marLeft w:val="0"/>
      <w:marRight w:val="0"/>
      <w:marTop w:val="0"/>
      <w:marBottom w:val="0"/>
      <w:divBdr>
        <w:top w:val="none" w:sz="0" w:space="0" w:color="auto"/>
        <w:left w:val="none" w:sz="0" w:space="0" w:color="auto"/>
        <w:bottom w:val="none" w:sz="0" w:space="0" w:color="auto"/>
        <w:right w:val="none" w:sz="0" w:space="0" w:color="auto"/>
      </w:divBdr>
    </w:div>
    <w:div w:id="1176191470">
      <w:bodyDiv w:val="1"/>
      <w:marLeft w:val="0"/>
      <w:marRight w:val="0"/>
      <w:marTop w:val="0"/>
      <w:marBottom w:val="0"/>
      <w:divBdr>
        <w:top w:val="none" w:sz="0" w:space="0" w:color="auto"/>
        <w:left w:val="none" w:sz="0" w:space="0" w:color="auto"/>
        <w:bottom w:val="none" w:sz="0" w:space="0" w:color="auto"/>
        <w:right w:val="none" w:sz="0" w:space="0" w:color="auto"/>
      </w:divBdr>
    </w:div>
    <w:div w:id="1178614728">
      <w:bodyDiv w:val="1"/>
      <w:marLeft w:val="0"/>
      <w:marRight w:val="0"/>
      <w:marTop w:val="0"/>
      <w:marBottom w:val="0"/>
      <w:divBdr>
        <w:top w:val="none" w:sz="0" w:space="0" w:color="auto"/>
        <w:left w:val="none" w:sz="0" w:space="0" w:color="auto"/>
        <w:bottom w:val="none" w:sz="0" w:space="0" w:color="auto"/>
        <w:right w:val="none" w:sz="0" w:space="0" w:color="auto"/>
      </w:divBdr>
    </w:div>
    <w:div w:id="1181551024">
      <w:bodyDiv w:val="1"/>
      <w:marLeft w:val="0"/>
      <w:marRight w:val="0"/>
      <w:marTop w:val="0"/>
      <w:marBottom w:val="0"/>
      <w:divBdr>
        <w:top w:val="none" w:sz="0" w:space="0" w:color="auto"/>
        <w:left w:val="none" w:sz="0" w:space="0" w:color="auto"/>
        <w:bottom w:val="none" w:sz="0" w:space="0" w:color="auto"/>
        <w:right w:val="none" w:sz="0" w:space="0" w:color="auto"/>
      </w:divBdr>
    </w:div>
    <w:div w:id="1182623298">
      <w:bodyDiv w:val="1"/>
      <w:marLeft w:val="0"/>
      <w:marRight w:val="0"/>
      <w:marTop w:val="0"/>
      <w:marBottom w:val="0"/>
      <w:divBdr>
        <w:top w:val="none" w:sz="0" w:space="0" w:color="auto"/>
        <w:left w:val="none" w:sz="0" w:space="0" w:color="auto"/>
        <w:bottom w:val="none" w:sz="0" w:space="0" w:color="auto"/>
        <w:right w:val="none" w:sz="0" w:space="0" w:color="auto"/>
      </w:divBdr>
    </w:div>
    <w:div w:id="1183738993">
      <w:bodyDiv w:val="1"/>
      <w:marLeft w:val="0"/>
      <w:marRight w:val="0"/>
      <w:marTop w:val="0"/>
      <w:marBottom w:val="0"/>
      <w:divBdr>
        <w:top w:val="none" w:sz="0" w:space="0" w:color="auto"/>
        <w:left w:val="none" w:sz="0" w:space="0" w:color="auto"/>
        <w:bottom w:val="none" w:sz="0" w:space="0" w:color="auto"/>
        <w:right w:val="none" w:sz="0" w:space="0" w:color="auto"/>
      </w:divBdr>
    </w:div>
    <w:div w:id="1183857220">
      <w:bodyDiv w:val="1"/>
      <w:marLeft w:val="0"/>
      <w:marRight w:val="0"/>
      <w:marTop w:val="0"/>
      <w:marBottom w:val="0"/>
      <w:divBdr>
        <w:top w:val="none" w:sz="0" w:space="0" w:color="auto"/>
        <w:left w:val="none" w:sz="0" w:space="0" w:color="auto"/>
        <w:bottom w:val="none" w:sz="0" w:space="0" w:color="auto"/>
        <w:right w:val="none" w:sz="0" w:space="0" w:color="auto"/>
      </w:divBdr>
    </w:div>
    <w:div w:id="1184124859">
      <w:bodyDiv w:val="1"/>
      <w:marLeft w:val="0"/>
      <w:marRight w:val="0"/>
      <w:marTop w:val="0"/>
      <w:marBottom w:val="0"/>
      <w:divBdr>
        <w:top w:val="none" w:sz="0" w:space="0" w:color="auto"/>
        <w:left w:val="none" w:sz="0" w:space="0" w:color="auto"/>
        <w:bottom w:val="none" w:sz="0" w:space="0" w:color="auto"/>
        <w:right w:val="none" w:sz="0" w:space="0" w:color="auto"/>
      </w:divBdr>
    </w:div>
    <w:div w:id="1184435688">
      <w:bodyDiv w:val="1"/>
      <w:marLeft w:val="0"/>
      <w:marRight w:val="0"/>
      <w:marTop w:val="0"/>
      <w:marBottom w:val="0"/>
      <w:divBdr>
        <w:top w:val="none" w:sz="0" w:space="0" w:color="auto"/>
        <w:left w:val="none" w:sz="0" w:space="0" w:color="auto"/>
        <w:bottom w:val="none" w:sz="0" w:space="0" w:color="auto"/>
        <w:right w:val="none" w:sz="0" w:space="0" w:color="auto"/>
      </w:divBdr>
    </w:div>
    <w:div w:id="1184515979">
      <w:bodyDiv w:val="1"/>
      <w:marLeft w:val="0"/>
      <w:marRight w:val="0"/>
      <w:marTop w:val="0"/>
      <w:marBottom w:val="0"/>
      <w:divBdr>
        <w:top w:val="none" w:sz="0" w:space="0" w:color="auto"/>
        <w:left w:val="none" w:sz="0" w:space="0" w:color="auto"/>
        <w:bottom w:val="none" w:sz="0" w:space="0" w:color="auto"/>
        <w:right w:val="none" w:sz="0" w:space="0" w:color="auto"/>
      </w:divBdr>
    </w:div>
    <w:div w:id="1184826783">
      <w:bodyDiv w:val="1"/>
      <w:marLeft w:val="0"/>
      <w:marRight w:val="0"/>
      <w:marTop w:val="0"/>
      <w:marBottom w:val="0"/>
      <w:divBdr>
        <w:top w:val="none" w:sz="0" w:space="0" w:color="auto"/>
        <w:left w:val="none" w:sz="0" w:space="0" w:color="auto"/>
        <w:bottom w:val="none" w:sz="0" w:space="0" w:color="auto"/>
        <w:right w:val="none" w:sz="0" w:space="0" w:color="auto"/>
      </w:divBdr>
    </w:div>
    <w:div w:id="1185023650">
      <w:bodyDiv w:val="1"/>
      <w:marLeft w:val="0"/>
      <w:marRight w:val="0"/>
      <w:marTop w:val="0"/>
      <w:marBottom w:val="0"/>
      <w:divBdr>
        <w:top w:val="none" w:sz="0" w:space="0" w:color="auto"/>
        <w:left w:val="none" w:sz="0" w:space="0" w:color="auto"/>
        <w:bottom w:val="none" w:sz="0" w:space="0" w:color="auto"/>
        <w:right w:val="none" w:sz="0" w:space="0" w:color="auto"/>
      </w:divBdr>
    </w:div>
    <w:div w:id="1185438957">
      <w:bodyDiv w:val="1"/>
      <w:marLeft w:val="0"/>
      <w:marRight w:val="0"/>
      <w:marTop w:val="0"/>
      <w:marBottom w:val="0"/>
      <w:divBdr>
        <w:top w:val="none" w:sz="0" w:space="0" w:color="auto"/>
        <w:left w:val="none" w:sz="0" w:space="0" w:color="auto"/>
        <w:bottom w:val="none" w:sz="0" w:space="0" w:color="auto"/>
        <w:right w:val="none" w:sz="0" w:space="0" w:color="auto"/>
      </w:divBdr>
    </w:div>
    <w:div w:id="1187521498">
      <w:bodyDiv w:val="1"/>
      <w:marLeft w:val="0"/>
      <w:marRight w:val="0"/>
      <w:marTop w:val="0"/>
      <w:marBottom w:val="0"/>
      <w:divBdr>
        <w:top w:val="none" w:sz="0" w:space="0" w:color="auto"/>
        <w:left w:val="none" w:sz="0" w:space="0" w:color="auto"/>
        <w:bottom w:val="none" w:sz="0" w:space="0" w:color="auto"/>
        <w:right w:val="none" w:sz="0" w:space="0" w:color="auto"/>
      </w:divBdr>
    </w:div>
    <w:div w:id="1188518121">
      <w:bodyDiv w:val="1"/>
      <w:marLeft w:val="0"/>
      <w:marRight w:val="0"/>
      <w:marTop w:val="0"/>
      <w:marBottom w:val="0"/>
      <w:divBdr>
        <w:top w:val="none" w:sz="0" w:space="0" w:color="auto"/>
        <w:left w:val="none" w:sz="0" w:space="0" w:color="auto"/>
        <w:bottom w:val="none" w:sz="0" w:space="0" w:color="auto"/>
        <w:right w:val="none" w:sz="0" w:space="0" w:color="auto"/>
      </w:divBdr>
    </w:div>
    <w:div w:id="1188829718">
      <w:bodyDiv w:val="1"/>
      <w:marLeft w:val="0"/>
      <w:marRight w:val="0"/>
      <w:marTop w:val="0"/>
      <w:marBottom w:val="0"/>
      <w:divBdr>
        <w:top w:val="none" w:sz="0" w:space="0" w:color="auto"/>
        <w:left w:val="none" w:sz="0" w:space="0" w:color="auto"/>
        <w:bottom w:val="none" w:sz="0" w:space="0" w:color="auto"/>
        <w:right w:val="none" w:sz="0" w:space="0" w:color="auto"/>
      </w:divBdr>
    </w:div>
    <w:div w:id="1190297356">
      <w:bodyDiv w:val="1"/>
      <w:marLeft w:val="0"/>
      <w:marRight w:val="0"/>
      <w:marTop w:val="0"/>
      <w:marBottom w:val="0"/>
      <w:divBdr>
        <w:top w:val="none" w:sz="0" w:space="0" w:color="auto"/>
        <w:left w:val="none" w:sz="0" w:space="0" w:color="auto"/>
        <w:bottom w:val="none" w:sz="0" w:space="0" w:color="auto"/>
        <w:right w:val="none" w:sz="0" w:space="0" w:color="auto"/>
      </w:divBdr>
    </w:div>
    <w:div w:id="1191602381">
      <w:bodyDiv w:val="1"/>
      <w:marLeft w:val="0"/>
      <w:marRight w:val="0"/>
      <w:marTop w:val="0"/>
      <w:marBottom w:val="0"/>
      <w:divBdr>
        <w:top w:val="none" w:sz="0" w:space="0" w:color="auto"/>
        <w:left w:val="none" w:sz="0" w:space="0" w:color="auto"/>
        <w:bottom w:val="none" w:sz="0" w:space="0" w:color="auto"/>
        <w:right w:val="none" w:sz="0" w:space="0" w:color="auto"/>
      </w:divBdr>
    </w:div>
    <w:div w:id="1192568672">
      <w:bodyDiv w:val="1"/>
      <w:marLeft w:val="0"/>
      <w:marRight w:val="0"/>
      <w:marTop w:val="0"/>
      <w:marBottom w:val="0"/>
      <w:divBdr>
        <w:top w:val="none" w:sz="0" w:space="0" w:color="auto"/>
        <w:left w:val="none" w:sz="0" w:space="0" w:color="auto"/>
        <w:bottom w:val="none" w:sz="0" w:space="0" w:color="auto"/>
        <w:right w:val="none" w:sz="0" w:space="0" w:color="auto"/>
      </w:divBdr>
    </w:div>
    <w:div w:id="1192914994">
      <w:bodyDiv w:val="1"/>
      <w:marLeft w:val="0"/>
      <w:marRight w:val="0"/>
      <w:marTop w:val="0"/>
      <w:marBottom w:val="0"/>
      <w:divBdr>
        <w:top w:val="none" w:sz="0" w:space="0" w:color="auto"/>
        <w:left w:val="none" w:sz="0" w:space="0" w:color="auto"/>
        <w:bottom w:val="none" w:sz="0" w:space="0" w:color="auto"/>
        <w:right w:val="none" w:sz="0" w:space="0" w:color="auto"/>
      </w:divBdr>
    </w:div>
    <w:div w:id="1193035489">
      <w:bodyDiv w:val="1"/>
      <w:marLeft w:val="0"/>
      <w:marRight w:val="0"/>
      <w:marTop w:val="0"/>
      <w:marBottom w:val="0"/>
      <w:divBdr>
        <w:top w:val="none" w:sz="0" w:space="0" w:color="auto"/>
        <w:left w:val="none" w:sz="0" w:space="0" w:color="auto"/>
        <w:bottom w:val="none" w:sz="0" w:space="0" w:color="auto"/>
        <w:right w:val="none" w:sz="0" w:space="0" w:color="auto"/>
      </w:divBdr>
    </w:div>
    <w:div w:id="1194423444">
      <w:bodyDiv w:val="1"/>
      <w:marLeft w:val="0"/>
      <w:marRight w:val="0"/>
      <w:marTop w:val="0"/>
      <w:marBottom w:val="0"/>
      <w:divBdr>
        <w:top w:val="none" w:sz="0" w:space="0" w:color="auto"/>
        <w:left w:val="none" w:sz="0" w:space="0" w:color="auto"/>
        <w:bottom w:val="none" w:sz="0" w:space="0" w:color="auto"/>
        <w:right w:val="none" w:sz="0" w:space="0" w:color="auto"/>
      </w:divBdr>
    </w:div>
    <w:div w:id="1196889765">
      <w:bodyDiv w:val="1"/>
      <w:marLeft w:val="0"/>
      <w:marRight w:val="0"/>
      <w:marTop w:val="0"/>
      <w:marBottom w:val="0"/>
      <w:divBdr>
        <w:top w:val="none" w:sz="0" w:space="0" w:color="auto"/>
        <w:left w:val="none" w:sz="0" w:space="0" w:color="auto"/>
        <w:bottom w:val="none" w:sz="0" w:space="0" w:color="auto"/>
        <w:right w:val="none" w:sz="0" w:space="0" w:color="auto"/>
      </w:divBdr>
    </w:div>
    <w:div w:id="1197236089">
      <w:bodyDiv w:val="1"/>
      <w:marLeft w:val="0"/>
      <w:marRight w:val="0"/>
      <w:marTop w:val="0"/>
      <w:marBottom w:val="0"/>
      <w:divBdr>
        <w:top w:val="none" w:sz="0" w:space="0" w:color="auto"/>
        <w:left w:val="none" w:sz="0" w:space="0" w:color="auto"/>
        <w:bottom w:val="none" w:sz="0" w:space="0" w:color="auto"/>
        <w:right w:val="none" w:sz="0" w:space="0" w:color="auto"/>
      </w:divBdr>
    </w:div>
    <w:div w:id="1198469398">
      <w:bodyDiv w:val="1"/>
      <w:marLeft w:val="0"/>
      <w:marRight w:val="0"/>
      <w:marTop w:val="0"/>
      <w:marBottom w:val="0"/>
      <w:divBdr>
        <w:top w:val="none" w:sz="0" w:space="0" w:color="auto"/>
        <w:left w:val="none" w:sz="0" w:space="0" w:color="auto"/>
        <w:bottom w:val="none" w:sz="0" w:space="0" w:color="auto"/>
        <w:right w:val="none" w:sz="0" w:space="0" w:color="auto"/>
      </w:divBdr>
    </w:div>
    <w:div w:id="1201357441">
      <w:bodyDiv w:val="1"/>
      <w:marLeft w:val="0"/>
      <w:marRight w:val="0"/>
      <w:marTop w:val="0"/>
      <w:marBottom w:val="0"/>
      <w:divBdr>
        <w:top w:val="none" w:sz="0" w:space="0" w:color="auto"/>
        <w:left w:val="none" w:sz="0" w:space="0" w:color="auto"/>
        <w:bottom w:val="none" w:sz="0" w:space="0" w:color="auto"/>
        <w:right w:val="none" w:sz="0" w:space="0" w:color="auto"/>
      </w:divBdr>
    </w:div>
    <w:div w:id="1201623264">
      <w:bodyDiv w:val="1"/>
      <w:marLeft w:val="0"/>
      <w:marRight w:val="0"/>
      <w:marTop w:val="0"/>
      <w:marBottom w:val="0"/>
      <w:divBdr>
        <w:top w:val="none" w:sz="0" w:space="0" w:color="auto"/>
        <w:left w:val="none" w:sz="0" w:space="0" w:color="auto"/>
        <w:bottom w:val="none" w:sz="0" w:space="0" w:color="auto"/>
        <w:right w:val="none" w:sz="0" w:space="0" w:color="auto"/>
      </w:divBdr>
    </w:div>
    <w:div w:id="1202788528">
      <w:bodyDiv w:val="1"/>
      <w:marLeft w:val="0"/>
      <w:marRight w:val="0"/>
      <w:marTop w:val="0"/>
      <w:marBottom w:val="0"/>
      <w:divBdr>
        <w:top w:val="none" w:sz="0" w:space="0" w:color="auto"/>
        <w:left w:val="none" w:sz="0" w:space="0" w:color="auto"/>
        <w:bottom w:val="none" w:sz="0" w:space="0" w:color="auto"/>
        <w:right w:val="none" w:sz="0" w:space="0" w:color="auto"/>
      </w:divBdr>
    </w:div>
    <w:div w:id="1203326688">
      <w:bodyDiv w:val="1"/>
      <w:marLeft w:val="0"/>
      <w:marRight w:val="0"/>
      <w:marTop w:val="0"/>
      <w:marBottom w:val="0"/>
      <w:divBdr>
        <w:top w:val="none" w:sz="0" w:space="0" w:color="auto"/>
        <w:left w:val="none" w:sz="0" w:space="0" w:color="auto"/>
        <w:bottom w:val="none" w:sz="0" w:space="0" w:color="auto"/>
        <w:right w:val="none" w:sz="0" w:space="0" w:color="auto"/>
      </w:divBdr>
    </w:div>
    <w:div w:id="1205630624">
      <w:bodyDiv w:val="1"/>
      <w:marLeft w:val="0"/>
      <w:marRight w:val="0"/>
      <w:marTop w:val="0"/>
      <w:marBottom w:val="0"/>
      <w:divBdr>
        <w:top w:val="none" w:sz="0" w:space="0" w:color="auto"/>
        <w:left w:val="none" w:sz="0" w:space="0" w:color="auto"/>
        <w:bottom w:val="none" w:sz="0" w:space="0" w:color="auto"/>
        <w:right w:val="none" w:sz="0" w:space="0" w:color="auto"/>
      </w:divBdr>
    </w:div>
    <w:div w:id="1205826092">
      <w:bodyDiv w:val="1"/>
      <w:marLeft w:val="0"/>
      <w:marRight w:val="0"/>
      <w:marTop w:val="0"/>
      <w:marBottom w:val="0"/>
      <w:divBdr>
        <w:top w:val="none" w:sz="0" w:space="0" w:color="auto"/>
        <w:left w:val="none" w:sz="0" w:space="0" w:color="auto"/>
        <w:bottom w:val="none" w:sz="0" w:space="0" w:color="auto"/>
        <w:right w:val="none" w:sz="0" w:space="0" w:color="auto"/>
      </w:divBdr>
    </w:div>
    <w:div w:id="1205827919">
      <w:bodyDiv w:val="1"/>
      <w:marLeft w:val="0"/>
      <w:marRight w:val="0"/>
      <w:marTop w:val="0"/>
      <w:marBottom w:val="0"/>
      <w:divBdr>
        <w:top w:val="none" w:sz="0" w:space="0" w:color="auto"/>
        <w:left w:val="none" w:sz="0" w:space="0" w:color="auto"/>
        <w:bottom w:val="none" w:sz="0" w:space="0" w:color="auto"/>
        <w:right w:val="none" w:sz="0" w:space="0" w:color="auto"/>
      </w:divBdr>
    </w:div>
    <w:div w:id="1208031154">
      <w:bodyDiv w:val="1"/>
      <w:marLeft w:val="0"/>
      <w:marRight w:val="0"/>
      <w:marTop w:val="0"/>
      <w:marBottom w:val="0"/>
      <w:divBdr>
        <w:top w:val="none" w:sz="0" w:space="0" w:color="auto"/>
        <w:left w:val="none" w:sz="0" w:space="0" w:color="auto"/>
        <w:bottom w:val="none" w:sz="0" w:space="0" w:color="auto"/>
        <w:right w:val="none" w:sz="0" w:space="0" w:color="auto"/>
      </w:divBdr>
    </w:div>
    <w:div w:id="1208494724">
      <w:bodyDiv w:val="1"/>
      <w:marLeft w:val="0"/>
      <w:marRight w:val="0"/>
      <w:marTop w:val="0"/>
      <w:marBottom w:val="0"/>
      <w:divBdr>
        <w:top w:val="none" w:sz="0" w:space="0" w:color="auto"/>
        <w:left w:val="none" w:sz="0" w:space="0" w:color="auto"/>
        <w:bottom w:val="none" w:sz="0" w:space="0" w:color="auto"/>
        <w:right w:val="none" w:sz="0" w:space="0" w:color="auto"/>
      </w:divBdr>
    </w:div>
    <w:div w:id="1210385873">
      <w:bodyDiv w:val="1"/>
      <w:marLeft w:val="0"/>
      <w:marRight w:val="0"/>
      <w:marTop w:val="0"/>
      <w:marBottom w:val="0"/>
      <w:divBdr>
        <w:top w:val="none" w:sz="0" w:space="0" w:color="auto"/>
        <w:left w:val="none" w:sz="0" w:space="0" w:color="auto"/>
        <w:bottom w:val="none" w:sz="0" w:space="0" w:color="auto"/>
        <w:right w:val="none" w:sz="0" w:space="0" w:color="auto"/>
      </w:divBdr>
    </w:div>
    <w:div w:id="1210729797">
      <w:bodyDiv w:val="1"/>
      <w:marLeft w:val="0"/>
      <w:marRight w:val="0"/>
      <w:marTop w:val="0"/>
      <w:marBottom w:val="0"/>
      <w:divBdr>
        <w:top w:val="none" w:sz="0" w:space="0" w:color="auto"/>
        <w:left w:val="none" w:sz="0" w:space="0" w:color="auto"/>
        <w:bottom w:val="none" w:sz="0" w:space="0" w:color="auto"/>
        <w:right w:val="none" w:sz="0" w:space="0" w:color="auto"/>
      </w:divBdr>
    </w:div>
    <w:div w:id="1211066317">
      <w:bodyDiv w:val="1"/>
      <w:marLeft w:val="0"/>
      <w:marRight w:val="0"/>
      <w:marTop w:val="0"/>
      <w:marBottom w:val="0"/>
      <w:divBdr>
        <w:top w:val="none" w:sz="0" w:space="0" w:color="auto"/>
        <w:left w:val="none" w:sz="0" w:space="0" w:color="auto"/>
        <w:bottom w:val="none" w:sz="0" w:space="0" w:color="auto"/>
        <w:right w:val="none" w:sz="0" w:space="0" w:color="auto"/>
      </w:divBdr>
    </w:div>
    <w:div w:id="1211183854">
      <w:bodyDiv w:val="1"/>
      <w:marLeft w:val="0"/>
      <w:marRight w:val="0"/>
      <w:marTop w:val="0"/>
      <w:marBottom w:val="0"/>
      <w:divBdr>
        <w:top w:val="none" w:sz="0" w:space="0" w:color="auto"/>
        <w:left w:val="none" w:sz="0" w:space="0" w:color="auto"/>
        <w:bottom w:val="none" w:sz="0" w:space="0" w:color="auto"/>
        <w:right w:val="none" w:sz="0" w:space="0" w:color="auto"/>
      </w:divBdr>
    </w:div>
    <w:div w:id="1211647871">
      <w:bodyDiv w:val="1"/>
      <w:marLeft w:val="0"/>
      <w:marRight w:val="0"/>
      <w:marTop w:val="0"/>
      <w:marBottom w:val="0"/>
      <w:divBdr>
        <w:top w:val="none" w:sz="0" w:space="0" w:color="auto"/>
        <w:left w:val="none" w:sz="0" w:space="0" w:color="auto"/>
        <w:bottom w:val="none" w:sz="0" w:space="0" w:color="auto"/>
        <w:right w:val="none" w:sz="0" w:space="0" w:color="auto"/>
      </w:divBdr>
    </w:div>
    <w:div w:id="1211649754">
      <w:bodyDiv w:val="1"/>
      <w:marLeft w:val="0"/>
      <w:marRight w:val="0"/>
      <w:marTop w:val="0"/>
      <w:marBottom w:val="0"/>
      <w:divBdr>
        <w:top w:val="none" w:sz="0" w:space="0" w:color="auto"/>
        <w:left w:val="none" w:sz="0" w:space="0" w:color="auto"/>
        <w:bottom w:val="none" w:sz="0" w:space="0" w:color="auto"/>
        <w:right w:val="none" w:sz="0" w:space="0" w:color="auto"/>
      </w:divBdr>
    </w:div>
    <w:div w:id="1211695618">
      <w:bodyDiv w:val="1"/>
      <w:marLeft w:val="0"/>
      <w:marRight w:val="0"/>
      <w:marTop w:val="0"/>
      <w:marBottom w:val="0"/>
      <w:divBdr>
        <w:top w:val="none" w:sz="0" w:space="0" w:color="auto"/>
        <w:left w:val="none" w:sz="0" w:space="0" w:color="auto"/>
        <w:bottom w:val="none" w:sz="0" w:space="0" w:color="auto"/>
        <w:right w:val="none" w:sz="0" w:space="0" w:color="auto"/>
      </w:divBdr>
    </w:div>
    <w:div w:id="1211965840">
      <w:bodyDiv w:val="1"/>
      <w:marLeft w:val="0"/>
      <w:marRight w:val="0"/>
      <w:marTop w:val="0"/>
      <w:marBottom w:val="0"/>
      <w:divBdr>
        <w:top w:val="none" w:sz="0" w:space="0" w:color="auto"/>
        <w:left w:val="none" w:sz="0" w:space="0" w:color="auto"/>
        <w:bottom w:val="none" w:sz="0" w:space="0" w:color="auto"/>
        <w:right w:val="none" w:sz="0" w:space="0" w:color="auto"/>
      </w:divBdr>
    </w:div>
    <w:div w:id="1212232250">
      <w:bodyDiv w:val="1"/>
      <w:marLeft w:val="0"/>
      <w:marRight w:val="0"/>
      <w:marTop w:val="0"/>
      <w:marBottom w:val="0"/>
      <w:divBdr>
        <w:top w:val="none" w:sz="0" w:space="0" w:color="auto"/>
        <w:left w:val="none" w:sz="0" w:space="0" w:color="auto"/>
        <w:bottom w:val="none" w:sz="0" w:space="0" w:color="auto"/>
        <w:right w:val="none" w:sz="0" w:space="0" w:color="auto"/>
      </w:divBdr>
    </w:div>
    <w:div w:id="1212573627">
      <w:bodyDiv w:val="1"/>
      <w:marLeft w:val="0"/>
      <w:marRight w:val="0"/>
      <w:marTop w:val="0"/>
      <w:marBottom w:val="0"/>
      <w:divBdr>
        <w:top w:val="none" w:sz="0" w:space="0" w:color="auto"/>
        <w:left w:val="none" w:sz="0" w:space="0" w:color="auto"/>
        <w:bottom w:val="none" w:sz="0" w:space="0" w:color="auto"/>
        <w:right w:val="none" w:sz="0" w:space="0" w:color="auto"/>
      </w:divBdr>
    </w:div>
    <w:div w:id="1212612838">
      <w:bodyDiv w:val="1"/>
      <w:marLeft w:val="0"/>
      <w:marRight w:val="0"/>
      <w:marTop w:val="0"/>
      <w:marBottom w:val="0"/>
      <w:divBdr>
        <w:top w:val="none" w:sz="0" w:space="0" w:color="auto"/>
        <w:left w:val="none" w:sz="0" w:space="0" w:color="auto"/>
        <w:bottom w:val="none" w:sz="0" w:space="0" w:color="auto"/>
        <w:right w:val="none" w:sz="0" w:space="0" w:color="auto"/>
      </w:divBdr>
    </w:div>
    <w:div w:id="1213493510">
      <w:bodyDiv w:val="1"/>
      <w:marLeft w:val="0"/>
      <w:marRight w:val="0"/>
      <w:marTop w:val="0"/>
      <w:marBottom w:val="0"/>
      <w:divBdr>
        <w:top w:val="none" w:sz="0" w:space="0" w:color="auto"/>
        <w:left w:val="none" w:sz="0" w:space="0" w:color="auto"/>
        <w:bottom w:val="none" w:sz="0" w:space="0" w:color="auto"/>
        <w:right w:val="none" w:sz="0" w:space="0" w:color="auto"/>
      </w:divBdr>
    </w:div>
    <w:div w:id="1215116625">
      <w:bodyDiv w:val="1"/>
      <w:marLeft w:val="0"/>
      <w:marRight w:val="0"/>
      <w:marTop w:val="0"/>
      <w:marBottom w:val="0"/>
      <w:divBdr>
        <w:top w:val="none" w:sz="0" w:space="0" w:color="auto"/>
        <w:left w:val="none" w:sz="0" w:space="0" w:color="auto"/>
        <w:bottom w:val="none" w:sz="0" w:space="0" w:color="auto"/>
        <w:right w:val="none" w:sz="0" w:space="0" w:color="auto"/>
      </w:divBdr>
    </w:div>
    <w:div w:id="1215700762">
      <w:bodyDiv w:val="1"/>
      <w:marLeft w:val="0"/>
      <w:marRight w:val="0"/>
      <w:marTop w:val="0"/>
      <w:marBottom w:val="0"/>
      <w:divBdr>
        <w:top w:val="none" w:sz="0" w:space="0" w:color="auto"/>
        <w:left w:val="none" w:sz="0" w:space="0" w:color="auto"/>
        <w:bottom w:val="none" w:sz="0" w:space="0" w:color="auto"/>
        <w:right w:val="none" w:sz="0" w:space="0" w:color="auto"/>
      </w:divBdr>
    </w:div>
    <w:div w:id="1216235962">
      <w:bodyDiv w:val="1"/>
      <w:marLeft w:val="0"/>
      <w:marRight w:val="0"/>
      <w:marTop w:val="0"/>
      <w:marBottom w:val="0"/>
      <w:divBdr>
        <w:top w:val="none" w:sz="0" w:space="0" w:color="auto"/>
        <w:left w:val="none" w:sz="0" w:space="0" w:color="auto"/>
        <w:bottom w:val="none" w:sz="0" w:space="0" w:color="auto"/>
        <w:right w:val="none" w:sz="0" w:space="0" w:color="auto"/>
      </w:divBdr>
    </w:div>
    <w:div w:id="1216311699">
      <w:bodyDiv w:val="1"/>
      <w:marLeft w:val="0"/>
      <w:marRight w:val="0"/>
      <w:marTop w:val="0"/>
      <w:marBottom w:val="0"/>
      <w:divBdr>
        <w:top w:val="none" w:sz="0" w:space="0" w:color="auto"/>
        <w:left w:val="none" w:sz="0" w:space="0" w:color="auto"/>
        <w:bottom w:val="none" w:sz="0" w:space="0" w:color="auto"/>
        <w:right w:val="none" w:sz="0" w:space="0" w:color="auto"/>
      </w:divBdr>
    </w:div>
    <w:div w:id="1216696506">
      <w:bodyDiv w:val="1"/>
      <w:marLeft w:val="0"/>
      <w:marRight w:val="0"/>
      <w:marTop w:val="0"/>
      <w:marBottom w:val="0"/>
      <w:divBdr>
        <w:top w:val="none" w:sz="0" w:space="0" w:color="auto"/>
        <w:left w:val="none" w:sz="0" w:space="0" w:color="auto"/>
        <w:bottom w:val="none" w:sz="0" w:space="0" w:color="auto"/>
        <w:right w:val="none" w:sz="0" w:space="0" w:color="auto"/>
      </w:divBdr>
    </w:div>
    <w:div w:id="1217087064">
      <w:bodyDiv w:val="1"/>
      <w:marLeft w:val="0"/>
      <w:marRight w:val="0"/>
      <w:marTop w:val="0"/>
      <w:marBottom w:val="0"/>
      <w:divBdr>
        <w:top w:val="none" w:sz="0" w:space="0" w:color="auto"/>
        <w:left w:val="none" w:sz="0" w:space="0" w:color="auto"/>
        <w:bottom w:val="none" w:sz="0" w:space="0" w:color="auto"/>
        <w:right w:val="none" w:sz="0" w:space="0" w:color="auto"/>
      </w:divBdr>
    </w:div>
    <w:div w:id="1217428325">
      <w:bodyDiv w:val="1"/>
      <w:marLeft w:val="0"/>
      <w:marRight w:val="0"/>
      <w:marTop w:val="0"/>
      <w:marBottom w:val="0"/>
      <w:divBdr>
        <w:top w:val="none" w:sz="0" w:space="0" w:color="auto"/>
        <w:left w:val="none" w:sz="0" w:space="0" w:color="auto"/>
        <w:bottom w:val="none" w:sz="0" w:space="0" w:color="auto"/>
        <w:right w:val="none" w:sz="0" w:space="0" w:color="auto"/>
      </w:divBdr>
    </w:div>
    <w:div w:id="1217467396">
      <w:bodyDiv w:val="1"/>
      <w:marLeft w:val="0"/>
      <w:marRight w:val="0"/>
      <w:marTop w:val="0"/>
      <w:marBottom w:val="0"/>
      <w:divBdr>
        <w:top w:val="none" w:sz="0" w:space="0" w:color="auto"/>
        <w:left w:val="none" w:sz="0" w:space="0" w:color="auto"/>
        <w:bottom w:val="none" w:sz="0" w:space="0" w:color="auto"/>
        <w:right w:val="none" w:sz="0" w:space="0" w:color="auto"/>
      </w:divBdr>
    </w:div>
    <w:div w:id="1217820494">
      <w:bodyDiv w:val="1"/>
      <w:marLeft w:val="0"/>
      <w:marRight w:val="0"/>
      <w:marTop w:val="0"/>
      <w:marBottom w:val="0"/>
      <w:divBdr>
        <w:top w:val="none" w:sz="0" w:space="0" w:color="auto"/>
        <w:left w:val="none" w:sz="0" w:space="0" w:color="auto"/>
        <w:bottom w:val="none" w:sz="0" w:space="0" w:color="auto"/>
        <w:right w:val="none" w:sz="0" w:space="0" w:color="auto"/>
      </w:divBdr>
    </w:div>
    <w:div w:id="1218855090">
      <w:bodyDiv w:val="1"/>
      <w:marLeft w:val="0"/>
      <w:marRight w:val="0"/>
      <w:marTop w:val="0"/>
      <w:marBottom w:val="0"/>
      <w:divBdr>
        <w:top w:val="none" w:sz="0" w:space="0" w:color="auto"/>
        <w:left w:val="none" w:sz="0" w:space="0" w:color="auto"/>
        <w:bottom w:val="none" w:sz="0" w:space="0" w:color="auto"/>
        <w:right w:val="none" w:sz="0" w:space="0" w:color="auto"/>
      </w:divBdr>
    </w:div>
    <w:div w:id="1219321926">
      <w:bodyDiv w:val="1"/>
      <w:marLeft w:val="0"/>
      <w:marRight w:val="0"/>
      <w:marTop w:val="0"/>
      <w:marBottom w:val="0"/>
      <w:divBdr>
        <w:top w:val="none" w:sz="0" w:space="0" w:color="auto"/>
        <w:left w:val="none" w:sz="0" w:space="0" w:color="auto"/>
        <w:bottom w:val="none" w:sz="0" w:space="0" w:color="auto"/>
        <w:right w:val="none" w:sz="0" w:space="0" w:color="auto"/>
      </w:divBdr>
    </w:div>
    <w:div w:id="1219709089">
      <w:bodyDiv w:val="1"/>
      <w:marLeft w:val="0"/>
      <w:marRight w:val="0"/>
      <w:marTop w:val="0"/>
      <w:marBottom w:val="0"/>
      <w:divBdr>
        <w:top w:val="none" w:sz="0" w:space="0" w:color="auto"/>
        <w:left w:val="none" w:sz="0" w:space="0" w:color="auto"/>
        <w:bottom w:val="none" w:sz="0" w:space="0" w:color="auto"/>
        <w:right w:val="none" w:sz="0" w:space="0" w:color="auto"/>
      </w:divBdr>
    </w:div>
    <w:div w:id="1220047737">
      <w:bodyDiv w:val="1"/>
      <w:marLeft w:val="0"/>
      <w:marRight w:val="0"/>
      <w:marTop w:val="0"/>
      <w:marBottom w:val="0"/>
      <w:divBdr>
        <w:top w:val="none" w:sz="0" w:space="0" w:color="auto"/>
        <w:left w:val="none" w:sz="0" w:space="0" w:color="auto"/>
        <w:bottom w:val="none" w:sz="0" w:space="0" w:color="auto"/>
        <w:right w:val="none" w:sz="0" w:space="0" w:color="auto"/>
      </w:divBdr>
    </w:div>
    <w:div w:id="1220049314">
      <w:bodyDiv w:val="1"/>
      <w:marLeft w:val="0"/>
      <w:marRight w:val="0"/>
      <w:marTop w:val="0"/>
      <w:marBottom w:val="0"/>
      <w:divBdr>
        <w:top w:val="none" w:sz="0" w:space="0" w:color="auto"/>
        <w:left w:val="none" w:sz="0" w:space="0" w:color="auto"/>
        <w:bottom w:val="none" w:sz="0" w:space="0" w:color="auto"/>
        <w:right w:val="none" w:sz="0" w:space="0" w:color="auto"/>
      </w:divBdr>
    </w:div>
    <w:div w:id="1224095545">
      <w:bodyDiv w:val="1"/>
      <w:marLeft w:val="0"/>
      <w:marRight w:val="0"/>
      <w:marTop w:val="0"/>
      <w:marBottom w:val="0"/>
      <w:divBdr>
        <w:top w:val="none" w:sz="0" w:space="0" w:color="auto"/>
        <w:left w:val="none" w:sz="0" w:space="0" w:color="auto"/>
        <w:bottom w:val="none" w:sz="0" w:space="0" w:color="auto"/>
        <w:right w:val="none" w:sz="0" w:space="0" w:color="auto"/>
      </w:divBdr>
    </w:div>
    <w:div w:id="1225489415">
      <w:bodyDiv w:val="1"/>
      <w:marLeft w:val="0"/>
      <w:marRight w:val="0"/>
      <w:marTop w:val="0"/>
      <w:marBottom w:val="0"/>
      <w:divBdr>
        <w:top w:val="none" w:sz="0" w:space="0" w:color="auto"/>
        <w:left w:val="none" w:sz="0" w:space="0" w:color="auto"/>
        <w:bottom w:val="none" w:sz="0" w:space="0" w:color="auto"/>
        <w:right w:val="none" w:sz="0" w:space="0" w:color="auto"/>
      </w:divBdr>
    </w:div>
    <w:div w:id="1225599536">
      <w:bodyDiv w:val="1"/>
      <w:marLeft w:val="0"/>
      <w:marRight w:val="0"/>
      <w:marTop w:val="0"/>
      <w:marBottom w:val="0"/>
      <w:divBdr>
        <w:top w:val="none" w:sz="0" w:space="0" w:color="auto"/>
        <w:left w:val="none" w:sz="0" w:space="0" w:color="auto"/>
        <w:bottom w:val="none" w:sz="0" w:space="0" w:color="auto"/>
        <w:right w:val="none" w:sz="0" w:space="0" w:color="auto"/>
      </w:divBdr>
    </w:div>
    <w:div w:id="1225684131">
      <w:bodyDiv w:val="1"/>
      <w:marLeft w:val="0"/>
      <w:marRight w:val="0"/>
      <w:marTop w:val="0"/>
      <w:marBottom w:val="0"/>
      <w:divBdr>
        <w:top w:val="none" w:sz="0" w:space="0" w:color="auto"/>
        <w:left w:val="none" w:sz="0" w:space="0" w:color="auto"/>
        <w:bottom w:val="none" w:sz="0" w:space="0" w:color="auto"/>
        <w:right w:val="none" w:sz="0" w:space="0" w:color="auto"/>
      </w:divBdr>
    </w:div>
    <w:div w:id="1226330229">
      <w:bodyDiv w:val="1"/>
      <w:marLeft w:val="0"/>
      <w:marRight w:val="0"/>
      <w:marTop w:val="0"/>
      <w:marBottom w:val="0"/>
      <w:divBdr>
        <w:top w:val="none" w:sz="0" w:space="0" w:color="auto"/>
        <w:left w:val="none" w:sz="0" w:space="0" w:color="auto"/>
        <w:bottom w:val="none" w:sz="0" w:space="0" w:color="auto"/>
        <w:right w:val="none" w:sz="0" w:space="0" w:color="auto"/>
      </w:divBdr>
    </w:div>
    <w:div w:id="1227104172">
      <w:bodyDiv w:val="1"/>
      <w:marLeft w:val="0"/>
      <w:marRight w:val="0"/>
      <w:marTop w:val="0"/>
      <w:marBottom w:val="0"/>
      <w:divBdr>
        <w:top w:val="none" w:sz="0" w:space="0" w:color="auto"/>
        <w:left w:val="none" w:sz="0" w:space="0" w:color="auto"/>
        <w:bottom w:val="none" w:sz="0" w:space="0" w:color="auto"/>
        <w:right w:val="none" w:sz="0" w:space="0" w:color="auto"/>
      </w:divBdr>
    </w:div>
    <w:div w:id="1227259110">
      <w:bodyDiv w:val="1"/>
      <w:marLeft w:val="0"/>
      <w:marRight w:val="0"/>
      <w:marTop w:val="0"/>
      <w:marBottom w:val="0"/>
      <w:divBdr>
        <w:top w:val="none" w:sz="0" w:space="0" w:color="auto"/>
        <w:left w:val="none" w:sz="0" w:space="0" w:color="auto"/>
        <w:bottom w:val="none" w:sz="0" w:space="0" w:color="auto"/>
        <w:right w:val="none" w:sz="0" w:space="0" w:color="auto"/>
      </w:divBdr>
    </w:div>
    <w:div w:id="1228998688">
      <w:bodyDiv w:val="1"/>
      <w:marLeft w:val="0"/>
      <w:marRight w:val="0"/>
      <w:marTop w:val="0"/>
      <w:marBottom w:val="0"/>
      <w:divBdr>
        <w:top w:val="none" w:sz="0" w:space="0" w:color="auto"/>
        <w:left w:val="none" w:sz="0" w:space="0" w:color="auto"/>
        <w:bottom w:val="none" w:sz="0" w:space="0" w:color="auto"/>
        <w:right w:val="none" w:sz="0" w:space="0" w:color="auto"/>
      </w:divBdr>
    </w:div>
    <w:div w:id="1229220453">
      <w:bodyDiv w:val="1"/>
      <w:marLeft w:val="0"/>
      <w:marRight w:val="0"/>
      <w:marTop w:val="0"/>
      <w:marBottom w:val="0"/>
      <w:divBdr>
        <w:top w:val="none" w:sz="0" w:space="0" w:color="auto"/>
        <w:left w:val="none" w:sz="0" w:space="0" w:color="auto"/>
        <w:bottom w:val="none" w:sz="0" w:space="0" w:color="auto"/>
        <w:right w:val="none" w:sz="0" w:space="0" w:color="auto"/>
      </w:divBdr>
    </w:div>
    <w:div w:id="1229924173">
      <w:bodyDiv w:val="1"/>
      <w:marLeft w:val="0"/>
      <w:marRight w:val="0"/>
      <w:marTop w:val="0"/>
      <w:marBottom w:val="0"/>
      <w:divBdr>
        <w:top w:val="none" w:sz="0" w:space="0" w:color="auto"/>
        <w:left w:val="none" w:sz="0" w:space="0" w:color="auto"/>
        <w:bottom w:val="none" w:sz="0" w:space="0" w:color="auto"/>
        <w:right w:val="none" w:sz="0" w:space="0" w:color="auto"/>
      </w:divBdr>
    </w:div>
    <w:div w:id="1230311669">
      <w:bodyDiv w:val="1"/>
      <w:marLeft w:val="0"/>
      <w:marRight w:val="0"/>
      <w:marTop w:val="0"/>
      <w:marBottom w:val="0"/>
      <w:divBdr>
        <w:top w:val="none" w:sz="0" w:space="0" w:color="auto"/>
        <w:left w:val="none" w:sz="0" w:space="0" w:color="auto"/>
        <w:bottom w:val="none" w:sz="0" w:space="0" w:color="auto"/>
        <w:right w:val="none" w:sz="0" w:space="0" w:color="auto"/>
      </w:divBdr>
    </w:div>
    <w:div w:id="1230338907">
      <w:bodyDiv w:val="1"/>
      <w:marLeft w:val="0"/>
      <w:marRight w:val="0"/>
      <w:marTop w:val="0"/>
      <w:marBottom w:val="0"/>
      <w:divBdr>
        <w:top w:val="none" w:sz="0" w:space="0" w:color="auto"/>
        <w:left w:val="none" w:sz="0" w:space="0" w:color="auto"/>
        <w:bottom w:val="none" w:sz="0" w:space="0" w:color="auto"/>
        <w:right w:val="none" w:sz="0" w:space="0" w:color="auto"/>
      </w:divBdr>
    </w:div>
    <w:div w:id="1230727336">
      <w:bodyDiv w:val="1"/>
      <w:marLeft w:val="0"/>
      <w:marRight w:val="0"/>
      <w:marTop w:val="0"/>
      <w:marBottom w:val="0"/>
      <w:divBdr>
        <w:top w:val="none" w:sz="0" w:space="0" w:color="auto"/>
        <w:left w:val="none" w:sz="0" w:space="0" w:color="auto"/>
        <w:bottom w:val="none" w:sz="0" w:space="0" w:color="auto"/>
        <w:right w:val="none" w:sz="0" w:space="0" w:color="auto"/>
      </w:divBdr>
    </w:div>
    <w:div w:id="1231160284">
      <w:bodyDiv w:val="1"/>
      <w:marLeft w:val="0"/>
      <w:marRight w:val="0"/>
      <w:marTop w:val="0"/>
      <w:marBottom w:val="0"/>
      <w:divBdr>
        <w:top w:val="none" w:sz="0" w:space="0" w:color="auto"/>
        <w:left w:val="none" w:sz="0" w:space="0" w:color="auto"/>
        <w:bottom w:val="none" w:sz="0" w:space="0" w:color="auto"/>
        <w:right w:val="none" w:sz="0" w:space="0" w:color="auto"/>
      </w:divBdr>
    </w:div>
    <w:div w:id="1232691448">
      <w:bodyDiv w:val="1"/>
      <w:marLeft w:val="0"/>
      <w:marRight w:val="0"/>
      <w:marTop w:val="0"/>
      <w:marBottom w:val="0"/>
      <w:divBdr>
        <w:top w:val="none" w:sz="0" w:space="0" w:color="auto"/>
        <w:left w:val="none" w:sz="0" w:space="0" w:color="auto"/>
        <w:bottom w:val="none" w:sz="0" w:space="0" w:color="auto"/>
        <w:right w:val="none" w:sz="0" w:space="0" w:color="auto"/>
      </w:divBdr>
    </w:div>
    <w:div w:id="1233657491">
      <w:bodyDiv w:val="1"/>
      <w:marLeft w:val="0"/>
      <w:marRight w:val="0"/>
      <w:marTop w:val="0"/>
      <w:marBottom w:val="0"/>
      <w:divBdr>
        <w:top w:val="none" w:sz="0" w:space="0" w:color="auto"/>
        <w:left w:val="none" w:sz="0" w:space="0" w:color="auto"/>
        <w:bottom w:val="none" w:sz="0" w:space="0" w:color="auto"/>
        <w:right w:val="none" w:sz="0" w:space="0" w:color="auto"/>
      </w:divBdr>
    </w:div>
    <w:div w:id="1234780567">
      <w:bodyDiv w:val="1"/>
      <w:marLeft w:val="0"/>
      <w:marRight w:val="0"/>
      <w:marTop w:val="0"/>
      <w:marBottom w:val="0"/>
      <w:divBdr>
        <w:top w:val="none" w:sz="0" w:space="0" w:color="auto"/>
        <w:left w:val="none" w:sz="0" w:space="0" w:color="auto"/>
        <w:bottom w:val="none" w:sz="0" w:space="0" w:color="auto"/>
        <w:right w:val="none" w:sz="0" w:space="0" w:color="auto"/>
      </w:divBdr>
    </w:div>
    <w:div w:id="1235354781">
      <w:bodyDiv w:val="1"/>
      <w:marLeft w:val="0"/>
      <w:marRight w:val="0"/>
      <w:marTop w:val="0"/>
      <w:marBottom w:val="0"/>
      <w:divBdr>
        <w:top w:val="none" w:sz="0" w:space="0" w:color="auto"/>
        <w:left w:val="none" w:sz="0" w:space="0" w:color="auto"/>
        <w:bottom w:val="none" w:sz="0" w:space="0" w:color="auto"/>
        <w:right w:val="none" w:sz="0" w:space="0" w:color="auto"/>
      </w:divBdr>
    </w:div>
    <w:div w:id="1235504522">
      <w:bodyDiv w:val="1"/>
      <w:marLeft w:val="0"/>
      <w:marRight w:val="0"/>
      <w:marTop w:val="0"/>
      <w:marBottom w:val="0"/>
      <w:divBdr>
        <w:top w:val="none" w:sz="0" w:space="0" w:color="auto"/>
        <w:left w:val="none" w:sz="0" w:space="0" w:color="auto"/>
        <w:bottom w:val="none" w:sz="0" w:space="0" w:color="auto"/>
        <w:right w:val="none" w:sz="0" w:space="0" w:color="auto"/>
      </w:divBdr>
    </w:div>
    <w:div w:id="1235508871">
      <w:bodyDiv w:val="1"/>
      <w:marLeft w:val="0"/>
      <w:marRight w:val="0"/>
      <w:marTop w:val="0"/>
      <w:marBottom w:val="0"/>
      <w:divBdr>
        <w:top w:val="none" w:sz="0" w:space="0" w:color="auto"/>
        <w:left w:val="none" w:sz="0" w:space="0" w:color="auto"/>
        <w:bottom w:val="none" w:sz="0" w:space="0" w:color="auto"/>
        <w:right w:val="none" w:sz="0" w:space="0" w:color="auto"/>
      </w:divBdr>
    </w:div>
    <w:div w:id="1235510515">
      <w:bodyDiv w:val="1"/>
      <w:marLeft w:val="0"/>
      <w:marRight w:val="0"/>
      <w:marTop w:val="0"/>
      <w:marBottom w:val="0"/>
      <w:divBdr>
        <w:top w:val="none" w:sz="0" w:space="0" w:color="auto"/>
        <w:left w:val="none" w:sz="0" w:space="0" w:color="auto"/>
        <w:bottom w:val="none" w:sz="0" w:space="0" w:color="auto"/>
        <w:right w:val="none" w:sz="0" w:space="0" w:color="auto"/>
      </w:divBdr>
    </w:div>
    <w:div w:id="1236428054">
      <w:bodyDiv w:val="1"/>
      <w:marLeft w:val="0"/>
      <w:marRight w:val="0"/>
      <w:marTop w:val="0"/>
      <w:marBottom w:val="0"/>
      <w:divBdr>
        <w:top w:val="none" w:sz="0" w:space="0" w:color="auto"/>
        <w:left w:val="none" w:sz="0" w:space="0" w:color="auto"/>
        <w:bottom w:val="none" w:sz="0" w:space="0" w:color="auto"/>
        <w:right w:val="none" w:sz="0" w:space="0" w:color="auto"/>
      </w:divBdr>
    </w:div>
    <w:div w:id="1237058421">
      <w:bodyDiv w:val="1"/>
      <w:marLeft w:val="0"/>
      <w:marRight w:val="0"/>
      <w:marTop w:val="0"/>
      <w:marBottom w:val="0"/>
      <w:divBdr>
        <w:top w:val="none" w:sz="0" w:space="0" w:color="auto"/>
        <w:left w:val="none" w:sz="0" w:space="0" w:color="auto"/>
        <w:bottom w:val="none" w:sz="0" w:space="0" w:color="auto"/>
        <w:right w:val="none" w:sz="0" w:space="0" w:color="auto"/>
      </w:divBdr>
    </w:div>
    <w:div w:id="1237328215">
      <w:bodyDiv w:val="1"/>
      <w:marLeft w:val="0"/>
      <w:marRight w:val="0"/>
      <w:marTop w:val="0"/>
      <w:marBottom w:val="0"/>
      <w:divBdr>
        <w:top w:val="none" w:sz="0" w:space="0" w:color="auto"/>
        <w:left w:val="none" w:sz="0" w:space="0" w:color="auto"/>
        <w:bottom w:val="none" w:sz="0" w:space="0" w:color="auto"/>
        <w:right w:val="none" w:sz="0" w:space="0" w:color="auto"/>
      </w:divBdr>
    </w:div>
    <w:div w:id="1237668394">
      <w:bodyDiv w:val="1"/>
      <w:marLeft w:val="0"/>
      <w:marRight w:val="0"/>
      <w:marTop w:val="0"/>
      <w:marBottom w:val="0"/>
      <w:divBdr>
        <w:top w:val="none" w:sz="0" w:space="0" w:color="auto"/>
        <w:left w:val="none" w:sz="0" w:space="0" w:color="auto"/>
        <w:bottom w:val="none" w:sz="0" w:space="0" w:color="auto"/>
        <w:right w:val="none" w:sz="0" w:space="0" w:color="auto"/>
      </w:divBdr>
    </w:div>
    <w:div w:id="1237934063">
      <w:bodyDiv w:val="1"/>
      <w:marLeft w:val="0"/>
      <w:marRight w:val="0"/>
      <w:marTop w:val="0"/>
      <w:marBottom w:val="0"/>
      <w:divBdr>
        <w:top w:val="none" w:sz="0" w:space="0" w:color="auto"/>
        <w:left w:val="none" w:sz="0" w:space="0" w:color="auto"/>
        <w:bottom w:val="none" w:sz="0" w:space="0" w:color="auto"/>
        <w:right w:val="none" w:sz="0" w:space="0" w:color="auto"/>
      </w:divBdr>
    </w:div>
    <w:div w:id="1238125629">
      <w:bodyDiv w:val="1"/>
      <w:marLeft w:val="0"/>
      <w:marRight w:val="0"/>
      <w:marTop w:val="0"/>
      <w:marBottom w:val="0"/>
      <w:divBdr>
        <w:top w:val="none" w:sz="0" w:space="0" w:color="auto"/>
        <w:left w:val="none" w:sz="0" w:space="0" w:color="auto"/>
        <w:bottom w:val="none" w:sz="0" w:space="0" w:color="auto"/>
        <w:right w:val="none" w:sz="0" w:space="0" w:color="auto"/>
      </w:divBdr>
    </w:div>
    <w:div w:id="1239174268">
      <w:bodyDiv w:val="1"/>
      <w:marLeft w:val="0"/>
      <w:marRight w:val="0"/>
      <w:marTop w:val="0"/>
      <w:marBottom w:val="0"/>
      <w:divBdr>
        <w:top w:val="none" w:sz="0" w:space="0" w:color="auto"/>
        <w:left w:val="none" w:sz="0" w:space="0" w:color="auto"/>
        <w:bottom w:val="none" w:sz="0" w:space="0" w:color="auto"/>
        <w:right w:val="none" w:sz="0" w:space="0" w:color="auto"/>
      </w:divBdr>
    </w:div>
    <w:div w:id="1242367695">
      <w:bodyDiv w:val="1"/>
      <w:marLeft w:val="0"/>
      <w:marRight w:val="0"/>
      <w:marTop w:val="0"/>
      <w:marBottom w:val="0"/>
      <w:divBdr>
        <w:top w:val="none" w:sz="0" w:space="0" w:color="auto"/>
        <w:left w:val="none" w:sz="0" w:space="0" w:color="auto"/>
        <w:bottom w:val="none" w:sz="0" w:space="0" w:color="auto"/>
        <w:right w:val="none" w:sz="0" w:space="0" w:color="auto"/>
      </w:divBdr>
    </w:div>
    <w:div w:id="1242568906">
      <w:bodyDiv w:val="1"/>
      <w:marLeft w:val="0"/>
      <w:marRight w:val="0"/>
      <w:marTop w:val="0"/>
      <w:marBottom w:val="0"/>
      <w:divBdr>
        <w:top w:val="none" w:sz="0" w:space="0" w:color="auto"/>
        <w:left w:val="none" w:sz="0" w:space="0" w:color="auto"/>
        <w:bottom w:val="none" w:sz="0" w:space="0" w:color="auto"/>
        <w:right w:val="none" w:sz="0" w:space="0" w:color="auto"/>
      </w:divBdr>
    </w:div>
    <w:div w:id="1242985046">
      <w:bodyDiv w:val="1"/>
      <w:marLeft w:val="0"/>
      <w:marRight w:val="0"/>
      <w:marTop w:val="0"/>
      <w:marBottom w:val="0"/>
      <w:divBdr>
        <w:top w:val="none" w:sz="0" w:space="0" w:color="auto"/>
        <w:left w:val="none" w:sz="0" w:space="0" w:color="auto"/>
        <w:bottom w:val="none" w:sz="0" w:space="0" w:color="auto"/>
        <w:right w:val="none" w:sz="0" w:space="0" w:color="auto"/>
      </w:divBdr>
    </w:div>
    <w:div w:id="1243299555">
      <w:bodyDiv w:val="1"/>
      <w:marLeft w:val="0"/>
      <w:marRight w:val="0"/>
      <w:marTop w:val="0"/>
      <w:marBottom w:val="0"/>
      <w:divBdr>
        <w:top w:val="none" w:sz="0" w:space="0" w:color="auto"/>
        <w:left w:val="none" w:sz="0" w:space="0" w:color="auto"/>
        <w:bottom w:val="none" w:sz="0" w:space="0" w:color="auto"/>
        <w:right w:val="none" w:sz="0" w:space="0" w:color="auto"/>
      </w:divBdr>
    </w:div>
    <w:div w:id="1243444910">
      <w:bodyDiv w:val="1"/>
      <w:marLeft w:val="0"/>
      <w:marRight w:val="0"/>
      <w:marTop w:val="0"/>
      <w:marBottom w:val="0"/>
      <w:divBdr>
        <w:top w:val="none" w:sz="0" w:space="0" w:color="auto"/>
        <w:left w:val="none" w:sz="0" w:space="0" w:color="auto"/>
        <w:bottom w:val="none" w:sz="0" w:space="0" w:color="auto"/>
        <w:right w:val="none" w:sz="0" w:space="0" w:color="auto"/>
      </w:divBdr>
    </w:div>
    <w:div w:id="1243445986">
      <w:bodyDiv w:val="1"/>
      <w:marLeft w:val="0"/>
      <w:marRight w:val="0"/>
      <w:marTop w:val="0"/>
      <w:marBottom w:val="0"/>
      <w:divBdr>
        <w:top w:val="none" w:sz="0" w:space="0" w:color="auto"/>
        <w:left w:val="none" w:sz="0" w:space="0" w:color="auto"/>
        <w:bottom w:val="none" w:sz="0" w:space="0" w:color="auto"/>
        <w:right w:val="none" w:sz="0" w:space="0" w:color="auto"/>
      </w:divBdr>
    </w:div>
    <w:div w:id="1244099033">
      <w:bodyDiv w:val="1"/>
      <w:marLeft w:val="0"/>
      <w:marRight w:val="0"/>
      <w:marTop w:val="0"/>
      <w:marBottom w:val="0"/>
      <w:divBdr>
        <w:top w:val="none" w:sz="0" w:space="0" w:color="auto"/>
        <w:left w:val="none" w:sz="0" w:space="0" w:color="auto"/>
        <w:bottom w:val="none" w:sz="0" w:space="0" w:color="auto"/>
        <w:right w:val="none" w:sz="0" w:space="0" w:color="auto"/>
      </w:divBdr>
    </w:div>
    <w:div w:id="1244753322">
      <w:bodyDiv w:val="1"/>
      <w:marLeft w:val="0"/>
      <w:marRight w:val="0"/>
      <w:marTop w:val="0"/>
      <w:marBottom w:val="0"/>
      <w:divBdr>
        <w:top w:val="none" w:sz="0" w:space="0" w:color="auto"/>
        <w:left w:val="none" w:sz="0" w:space="0" w:color="auto"/>
        <w:bottom w:val="none" w:sz="0" w:space="0" w:color="auto"/>
        <w:right w:val="none" w:sz="0" w:space="0" w:color="auto"/>
      </w:divBdr>
    </w:div>
    <w:div w:id="1244795429">
      <w:bodyDiv w:val="1"/>
      <w:marLeft w:val="0"/>
      <w:marRight w:val="0"/>
      <w:marTop w:val="0"/>
      <w:marBottom w:val="0"/>
      <w:divBdr>
        <w:top w:val="none" w:sz="0" w:space="0" w:color="auto"/>
        <w:left w:val="none" w:sz="0" w:space="0" w:color="auto"/>
        <w:bottom w:val="none" w:sz="0" w:space="0" w:color="auto"/>
        <w:right w:val="none" w:sz="0" w:space="0" w:color="auto"/>
      </w:divBdr>
    </w:div>
    <w:div w:id="1245412195">
      <w:bodyDiv w:val="1"/>
      <w:marLeft w:val="0"/>
      <w:marRight w:val="0"/>
      <w:marTop w:val="0"/>
      <w:marBottom w:val="0"/>
      <w:divBdr>
        <w:top w:val="none" w:sz="0" w:space="0" w:color="auto"/>
        <w:left w:val="none" w:sz="0" w:space="0" w:color="auto"/>
        <w:bottom w:val="none" w:sz="0" w:space="0" w:color="auto"/>
        <w:right w:val="none" w:sz="0" w:space="0" w:color="auto"/>
      </w:divBdr>
    </w:div>
    <w:div w:id="1246570554">
      <w:bodyDiv w:val="1"/>
      <w:marLeft w:val="0"/>
      <w:marRight w:val="0"/>
      <w:marTop w:val="0"/>
      <w:marBottom w:val="0"/>
      <w:divBdr>
        <w:top w:val="none" w:sz="0" w:space="0" w:color="auto"/>
        <w:left w:val="none" w:sz="0" w:space="0" w:color="auto"/>
        <w:bottom w:val="none" w:sz="0" w:space="0" w:color="auto"/>
        <w:right w:val="none" w:sz="0" w:space="0" w:color="auto"/>
      </w:divBdr>
    </w:div>
    <w:div w:id="1246761947">
      <w:bodyDiv w:val="1"/>
      <w:marLeft w:val="0"/>
      <w:marRight w:val="0"/>
      <w:marTop w:val="0"/>
      <w:marBottom w:val="0"/>
      <w:divBdr>
        <w:top w:val="none" w:sz="0" w:space="0" w:color="auto"/>
        <w:left w:val="none" w:sz="0" w:space="0" w:color="auto"/>
        <w:bottom w:val="none" w:sz="0" w:space="0" w:color="auto"/>
        <w:right w:val="none" w:sz="0" w:space="0" w:color="auto"/>
      </w:divBdr>
    </w:div>
    <w:div w:id="1246919069">
      <w:bodyDiv w:val="1"/>
      <w:marLeft w:val="0"/>
      <w:marRight w:val="0"/>
      <w:marTop w:val="0"/>
      <w:marBottom w:val="0"/>
      <w:divBdr>
        <w:top w:val="none" w:sz="0" w:space="0" w:color="auto"/>
        <w:left w:val="none" w:sz="0" w:space="0" w:color="auto"/>
        <w:bottom w:val="none" w:sz="0" w:space="0" w:color="auto"/>
        <w:right w:val="none" w:sz="0" w:space="0" w:color="auto"/>
      </w:divBdr>
    </w:div>
    <w:div w:id="1249075030">
      <w:bodyDiv w:val="1"/>
      <w:marLeft w:val="0"/>
      <w:marRight w:val="0"/>
      <w:marTop w:val="0"/>
      <w:marBottom w:val="0"/>
      <w:divBdr>
        <w:top w:val="none" w:sz="0" w:space="0" w:color="auto"/>
        <w:left w:val="none" w:sz="0" w:space="0" w:color="auto"/>
        <w:bottom w:val="none" w:sz="0" w:space="0" w:color="auto"/>
        <w:right w:val="none" w:sz="0" w:space="0" w:color="auto"/>
      </w:divBdr>
    </w:div>
    <w:div w:id="1249848572">
      <w:bodyDiv w:val="1"/>
      <w:marLeft w:val="0"/>
      <w:marRight w:val="0"/>
      <w:marTop w:val="0"/>
      <w:marBottom w:val="0"/>
      <w:divBdr>
        <w:top w:val="none" w:sz="0" w:space="0" w:color="auto"/>
        <w:left w:val="none" w:sz="0" w:space="0" w:color="auto"/>
        <w:bottom w:val="none" w:sz="0" w:space="0" w:color="auto"/>
        <w:right w:val="none" w:sz="0" w:space="0" w:color="auto"/>
      </w:divBdr>
    </w:div>
    <w:div w:id="1250504865">
      <w:bodyDiv w:val="1"/>
      <w:marLeft w:val="0"/>
      <w:marRight w:val="0"/>
      <w:marTop w:val="0"/>
      <w:marBottom w:val="0"/>
      <w:divBdr>
        <w:top w:val="none" w:sz="0" w:space="0" w:color="auto"/>
        <w:left w:val="none" w:sz="0" w:space="0" w:color="auto"/>
        <w:bottom w:val="none" w:sz="0" w:space="0" w:color="auto"/>
        <w:right w:val="none" w:sz="0" w:space="0" w:color="auto"/>
      </w:divBdr>
    </w:div>
    <w:div w:id="1250851118">
      <w:bodyDiv w:val="1"/>
      <w:marLeft w:val="0"/>
      <w:marRight w:val="0"/>
      <w:marTop w:val="0"/>
      <w:marBottom w:val="0"/>
      <w:divBdr>
        <w:top w:val="none" w:sz="0" w:space="0" w:color="auto"/>
        <w:left w:val="none" w:sz="0" w:space="0" w:color="auto"/>
        <w:bottom w:val="none" w:sz="0" w:space="0" w:color="auto"/>
        <w:right w:val="none" w:sz="0" w:space="0" w:color="auto"/>
      </w:divBdr>
    </w:div>
    <w:div w:id="1251620722">
      <w:bodyDiv w:val="1"/>
      <w:marLeft w:val="0"/>
      <w:marRight w:val="0"/>
      <w:marTop w:val="0"/>
      <w:marBottom w:val="0"/>
      <w:divBdr>
        <w:top w:val="none" w:sz="0" w:space="0" w:color="auto"/>
        <w:left w:val="none" w:sz="0" w:space="0" w:color="auto"/>
        <w:bottom w:val="none" w:sz="0" w:space="0" w:color="auto"/>
        <w:right w:val="none" w:sz="0" w:space="0" w:color="auto"/>
      </w:divBdr>
    </w:div>
    <w:div w:id="1254050877">
      <w:bodyDiv w:val="1"/>
      <w:marLeft w:val="0"/>
      <w:marRight w:val="0"/>
      <w:marTop w:val="0"/>
      <w:marBottom w:val="0"/>
      <w:divBdr>
        <w:top w:val="none" w:sz="0" w:space="0" w:color="auto"/>
        <w:left w:val="none" w:sz="0" w:space="0" w:color="auto"/>
        <w:bottom w:val="none" w:sz="0" w:space="0" w:color="auto"/>
        <w:right w:val="none" w:sz="0" w:space="0" w:color="auto"/>
      </w:divBdr>
    </w:div>
    <w:div w:id="1254125065">
      <w:bodyDiv w:val="1"/>
      <w:marLeft w:val="0"/>
      <w:marRight w:val="0"/>
      <w:marTop w:val="0"/>
      <w:marBottom w:val="0"/>
      <w:divBdr>
        <w:top w:val="none" w:sz="0" w:space="0" w:color="auto"/>
        <w:left w:val="none" w:sz="0" w:space="0" w:color="auto"/>
        <w:bottom w:val="none" w:sz="0" w:space="0" w:color="auto"/>
        <w:right w:val="none" w:sz="0" w:space="0" w:color="auto"/>
      </w:divBdr>
    </w:div>
    <w:div w:id="1257982739">
      <w:bodyDiv w:val="1"/>
      <w:marLeft w:val="0"/>
      <w:marRight w:val="0"/>
      <w:marTop w:val="0"/>
      <w:marBottom w:val="0"/>
      <w:divBdr>
        <w:top w:val="none" w:sz="0" w:space="0" w:color="auto"/>
        <w:left w:val="none" w:sz="0" w:space="0" w:color="auto"/>
        <w:bottom w:val="none" w:sz="0" w:space="0" w:color="auto"/>
        <w:right w:val="none" w:sz="0" w:space="0" w:color="auto"/>
      </w:divBdr>
    </w:div>
    <w:div w:id="1258909427">
      <w:bodyDiv w:val="1"/>
      <w:marLeft w:val="0"/>
      <w:marRight w:val="0"/>
      <w:marTop w:val="0"/>
      <w:marBottom w:val="0"/>
      <w:divBdr>
        <w:top w:val="none" w:sz="0" w:space="0" w:color="auto"/>
        <w:left w:val="none" w:sz="0" w:space="0" w:color="auto"/>
        <w:bottom w:val="none" w:sz="0" w:space="0" w:color="auto"/>
        <w:right w:val="none" w:sz="0" w:space="0" w:color="auto"/>
      </w:divBdr>
    </w:div>
    <w:div w:id="1260143748">
      <w:bodyDiv w:val="1"/>
      <w:marLeft w:val="0"/>
      <w:marRight w:val="0"/>
      <w:marTop w:val="0"/>
      <w:marBottom w:val="0"/>
      <w:divBdr>
        <w:top w:val="none" w:sz="0" w:space="0" w:color="auto"/>
        <w:left w:val="none" w:sz="0" w:space="0" w:color="auto"/>
        <w:bottom w:val="none" w:sz="0" w:space="0" w:color="auto"/>
        <w:right w:val="none" w:sz="0" w:space="0" w:color="auto"/>
      </w:divBdr>
    </w:div>
    <w:div w:id="1262644599">
      <w:bodyDiv w:val="1"/>
      <w:marLeft w:val="0"/>
      <w:marRight w:val="0"/>
      <w:marTop w:val="0"/>
      <w:marBottom w:val="0"/>
      <w:divBdr>
        <w:top w:val="none" w:sz="0" w:space="0" w:color="auto"/>
        <w:left w:val="none" w:sz="0" w:space="0" w:color="auto"/>
        <w:bottom w:val="none" w:sz="0" w:space="0" w:color="auto"/>
        <w:right w:val="none" w:sz="0" w:space="0" w:color="auto"/>
      </w:divBdr>
    </w:div>
    <w:div w:id="1262882879">
      <w:bodyDiv w:val="1"/>
      <w:marLeft w:val="0"/>
      <w:marRight w:val="0"/>
      <w:marTop w:val="0"/>
      <w:marBottom w:val="0"/>
      <w:divBdr>
        <w:top w:val="none" w:sz="0" w:space="0" w:color="auto"/>
        <w:left w:val="none" w:sz="0" w:space="0" w:color="auto"/>
        <w:bottom w:val="none" w:sz="0" w:space="0" w:color="auto"/>
        <w:right w:val="none" w:sz="0" w:space="0" w:color="auto"/>
      </w:divBdr>
    </w:div>
    <w:div w:id="1263762598">
      <w:bodyDiv w:val="1"/>
      <w:marLeft w:val="0"/>
      <w:marRight w:val="0"/>
      <w:marTop w:val="0"/>
      <w:marBottom w:val="0"/>
      <w:divBdr>
        <w:top w:val="none" w:sz="0" w:space="0" w:color="auto"/>
        <w:left w:val="none" w:sz="0" w:space="0" w:color="auto"/>
        <w:bottom w:val="none" w:sz="0" w:space="0" w:color="auto"/>
        <w:right w:val="none" w:sz="0" w:space="0" w:color="auto"/>
      </w:divBdr>
    </w:div>
    <w:div w:id="1263876196">
      <w:bodyDiv w:val="1"/>
      <w:marLeft w:val="0"/>
      <w:marRight w:val="0"/>
      <w:marTop w:val="0"/>
      <w:marBottom w:val="0"/>
      <w:divBdr>
        <w:top w:val="none" w:sz="0" w:space="0" w:color="auto"/>
        <w:left w:val="none" w:sz="0" w:space="0" w:color="auto"/>
        <w:bottom w:val="none" w:sz="0" w:space="0" w:color="auto"/>
        <w:right w:val="none" w:sz="0" w:space="0" w:color="auto"/>
      </w:divBdr>
    </w:div>
    <w:div w:id="1264267950">
      <w:bodyDiv w:val="1"/>
      <w:marLeft w:val="0"/>
      <w:marRight w:val="0"/>
      <w:marTop w:val="0"/>
      <w:marBottom w:val="0"/>
      <w:divBdr>
        <w:top w:val="none" w:sz="0" w:space="0" w:color="auto"/>
        <w:left w:val="none" w:sz="0" w:space="0" w:color="auto"/>
        <w:bottom w:val="none" w:sz="0" w:space="0" w:color="auto"/>
        <w:right w:val="none" w:sz="0" w:space="0" w:color="auto"/>
      </w:divBdr>
    </w:div>
    <w:div w:id="1264607140">
      <w:bodyDiv w:val="1"/>
      <w:marLeft w:val="0"/>
      <w:marRight w:val="0"/>
      <w:marTop w:val="0"/>
      <w:marBottom w:val="0"/>
      <w:divBdr>
        <w:top w:val="none" w:sz="0" w:space="0" w:color="auto"/>
        <w:left w:val="none" w:sz="0" w:space="0" w:color="auto"/>
        <w:bottom w:val="none" w:sz="0" w:space="0" w:color="auto"/>
        <w:right w:val="none" w:sz="0" w:space="0" w:color="auto"/>
      </w:divBdr>
    </w:div>
    <w:div w:id="1267153602">
      <w:bodyDiv w:val="1"/>
      <w:marLeft w:val="0"/>
      <w:marRight w:val="0"/>
      <w:marTop w:val="0"/>
      <w:marBottom w:val="0"/>
      <w:divBdr>
        <w:top w:val="none" w:sz="0" w:space="0" w:color="auto"/>
        <w:left w:val="none" w:sz="0" w:space="0" w:color="auto"/>
        <w:bottom w:val="none" w:sz="0" w:space="0" w:color="auto"/>
        <w:right w:val="none" w:sz="0" w:space="0" w:color="auto"/>
      </w:divBdr>
    </w:div>
    <w:div w:id="1269041617">
      <w:bodyDiv w:val="1"/>
      <w:marLeft w:val="0"/>
      <w:marRight w:val="0"/>
      <w:marTop w:val="0"/>
      <w:marBottom w:val="0"/>
      <w:divBdr>
        <w:top w:val="none" w:sz="0" w:space="0" w:color="auto"/>
        <w:left w:val="none" w:sz="0" w:space="0" w:color="auto"/>
        <w:bottom w:val="none" w:sz="0" w:space="0" w:color="auto"/>
        <w:right w:val="none" w:sz="0" w:space="0" w:color="auto"/>
      </w:divBdr>
    </w:div>
    <w:div w:id="1269655376">
      <w:bodyDiv w:val="1"/>
      <w:marLeft w:val="0"/>
      <w:marRight w:val="0"/>
      <w:marTop w:val="0"/>
      <w:marBottom w:val="0"/>
      <w:divBdr>
        <w:top w:val="none" w:sz="0" w:space="0" w:color="auto"/>
        <w:left w:val="none" w:sz="0" w:space="0" w:color="auto"/>
        <w:bottom w:val="none" w:sz="0" w:space="0" w:color="auto"/>
        <w:right w:val="none" w:sz="0" w:space="0" w:color="auto"/>
      </w:divBdr>
    </w:div>
    <w:div w:id="1271400691">
      <w:bodyDiv w:val="1"/>
      <w:marLeft w:val="0"/>
      <w:marRight w:val="0"/>
      <w:marTop w:val="0"/>
      <w:marBottom w:val="0"/>
      <w:divBdr>
        <w:top w:val="none" w:sz="0" w:space="0" w:color="auto"/>
        <w:left w:val="none" w:sz="0" w:space="0" w:color="auto"/>
        <w:bottom w:val="none" w:sz="0" w:space="0" w:color="auto"/>
        <w:right w:val="none" w:sz="0" w:space="0" w:color="auto"/>
      </w:divBdr>
    </w:div>
    <w:div w:id="1272475068">
      <w:bodyDiv w:val="1"/>
      <w:marLeft w:val="0"/>
      <w:marRight w:val="0"/>
      <w:marTop w:val="0"/>
      <w:marBottom w:val="0"/>
      <w:divBdr>
        <w:top w:val="none" w:sz="0" w:space="0" w:color="auto"/>
        <w:left w:val="none" w:sz="0" w:space="0" w:color="auto"/>
        <w:bottom w:val="none" w:sz="0" w:space="0" w:color="auto"/>
        <w:right w:val="none" w:sz="0" w:space="0" w:color="auto"/>
      </w:divBdr>
    </w:div>
    <w:div w:id="1273633325">
      <w:bodyDiv w:val="1"/>
      <w:marLeft w:val="0"/>
      <w:marRight w:val="0"/>
      <w:marTop w:val="0"/>
      <w:marBottom w:val="0"/>
      <w:divBdr>
        <w:top w:val="none" w:sz="0" w:space="0" w:color="auto"/>
        <w:left w:val="none" w:sz="0" w:space="0" w:color="auto"/>
        <w:bottom w:val="none" w:sz="0" w:space="0" w:color="auto"/>
        <w:right w:val="none" w:sz="0" w:space="0" w:color="auto"/>
      </w:divBdr>
    </w:div>
    <w:div w:id="1275210267">
      <w:bodyDiv w:val="1"/>
      <w:marLeft w:val="0"/>
      <w:marRight w:val="0"/>
      <w:marTop w:val="0"/>
      <w:marBottom w:val="0"/>
      <w:divBdr>
        <w:top w:val="none" w:sz="0" w:space="0" w:color="auto"/>
        <w:left w:val="none" w:sz="0" w:space="0" w:color="auto"/>
        <w:bottom w:val="none" w:sz="0" w:space="0" w:color="auto"/>
        <w:right w:val="none" w:sz="0" w:space="0" w:color="auto"/>
      </w:divBdr>
    </w:div>
    <w:div w:id="1275481685">
      <w:bodyDiv w:val="1"/>
      <w:marLeft w:val="0"/>
      <w:marRight w:val="0"/>
      <w:marTop w:val="0"/>
      <w:marBottom w:val="0"/>
      <w:divBdr>
        <w:top w:val="none" w:sz="0" w:space="0" w:color="auto"/>
        <w:left w:val="none" w:sz="0" w:space="0" w:color="auto"/>
        <w:bottom w:val="none" w:sz="0" w:space="0" w:color="auto"/>
        <w:right w:val="none" w:sz="0" w:space="0" w:color="auto"/>
      </w:divBdr>
    </w:div>
    <w:div w:id="1275554116">
      <w:bodyDiv w:val="1"/>
      <w:marLeft w:val="0"/>
      <w:marRight w:val="0"/>
      <w:marTop w:val="0"/>
      <w:marBottom w:val="0"/>
      <w:divBdr>
        <w:top w:val="none" w:sz="0" w:space="0" w:color="auto"/>
        <w:left w:val="none" w:sz="0" w:space="0" w:color="auto"/>
        <w:bottom w:val="none" w:sz="0" w:space="0" w:color="auto"/>
        <w:right w:val="none" w:sz="0" w:space="0" w:color="auto"/>
      </w:divBdr>
    </w:div>
    <w:div w:id="1276978913">
      <w:bodyDiv w:val="1"/>
      <w:marLeft w:val="0"/>
      <w:marRight w:val="0"/>
      <w:marTop w:val="0"/>
      <w:marBottom w:val="0"/>
      <w:divBdr>
        <w:top w:val="none" w:sz="0" w:space="0" w:color="auto"/>
        <w:left w:val="none" w:sz="0" w:space="0" w:color="auto"/>
        <w:bottom w:val="none" w:sz="0" w:space="0" w:color="auto"/>
        <w:right w:val="none" w:sz="0" w:space="0" w:color="auto"/>
      </w:divBdr>
    </w:div>
    <w:div w:id="1278755665">
      <w:bodyDiv w:val="1"/>
      <w:marLeft w:val="0"/>
      <w:marRight w:val="0"/>
      <w:marTop w:val="0"/>
      <w:marBottom w:val="0"/>
      <w:divBdr>
        <w:top w:val="none" w:sz="0" w:space="0" w:color="auto"/>
        <w:left w:val="none" w:sz="0" w:space="0" w:color="auto"/>
        <w:bottom w:val="none" w:sz="0" w:space="0" w:color="auto"/>
        <w:right w:val="none" w:sz="0" w:space="0" w:color="auto"/>
      </w:divBdr>
    </w:div>
    <w:div w:id="1279724943">
      <w:bodyDiv w:val="1"/>
      <w:marLeft w:val="0"/>
      <w:marRight w:val="0"/>
      <w:marTop w:val="0"/>
      <w:marBottom w:val="0"/>
      <w:divBdr>
        <w:top w:val="none" w:sz="0" w:space="0" w:color="auto"/>
        <w:left w:val="none" w:sz="0" w:space="0" w:color="auto"/>
        <w:bottom w:val="none" w:sz="0" w:space="0" w:color="auto"/>
        <w:right w:val="none" w:sz="0" w:space="0" w:color="auto"/>
      </w:divBdr>
    </w:div>
    <w:div w:id="1280650946">
      <w:bodyDiv w:val="1"/>
      <w:marLeft w:val="0"/>
      <w:marRight w:val="0"/>
      <w:marTop w:val="0"/>
      <w:marBottom w:val="0"/>
      <w:divBdr>
        <w:top w:val="none" w:sz="0" w:space="0" w:color="auto"/>
        <w:left w:val="none" w:sz="0" w:space="0" w:color="auto"/>
        <w:bottom w:val="none" w:sz="0" w:space="0" w:color="auto"/>
        <w:right w:val="none" w:sz="0" w:space="0" w:color="auto"/>
      </w:divBdr>
    </w:div>
    <w:div w:id="1282027971">
      <w:bodyDiv w:val="1"/>
      <w:marLeft w:val="0"/>
      <w:marRight w:val="0"/>
      <w:marTop w:val="0"/>
      <w:marBottom w:val="0"/>
      <w:divBdr>
        <w:top w:val="none" w:sz="0" w:space="0" w:color="auto"/>
        <w:left w:val="none" w:sz="0" w:space="0" w:color="auto"/>
        <w:bottom w:val="none" w:sz="0" w:space="0" w:color="auto"/>
        <w:right w:val="none" w:sz="0" w:space="0" w:color="auto"/>
      </w:divBdr>
    </w:div>
    <w:div w:id="1282767760">
      <w:bodyDiv w:val="1"/>
      <w:marLeft w:val="0"/>
      <w:marRight w:val="0"/>
      <w:marTop w:val="0"/>
      <w:marBottom w:val="0"/>
      <w:divBdr>
        <w:top w:val="none" w:sz="0" w:space="0" w:color="auto"/>
        <w:left w:val="none" w:sz="0" w:space="0" w:color="auto"/>
        <w:bottom w:val="none" w:sz="0" w:space="0" w:color="auto"/>
        <w:right w:val="none" w:sz="0" w:space="0" w:color="auto"/>
      </w:divBdr>
    </w:div>
    <w:div w:id="1282956698">
      <w:bodyDiv w:val="1"/>
      <w:marLeft w:val="0"/>
      <w:marRight w:val="0"/>
      <w:marTop w:val="0"/>
      <w:marBottom w:val="0"/>
      <w:divBdr>
        <w:top w:val="none" w:sz="0" w:space="0" w:color="auto"/>
        <w:left w:val="none" w:sz="0" w:space="0" w:color="auto"/>
        <w:bottom w:val="none" w:sz="0" w:space="0" w:color="auto"/>
        <w:right w:val="none" w:sz="0" w:space="0" w:color="auto"/>
      </w:divBdr>
    </w:div>
    <w:div w:id="1283459536">
      <w:bodyDiv w:val="1"/>
      <w:marLeft w:val="0"/>
      <w:marRight w:val="0"/>
      <w:marTop w:val="0"/>
      <w:marBottom w:val="0"/>
      <w:divBdr>
        <w:top w:val="none" w:sz="0" w:space="0" w:color="auto"/>
        <w:left w:val="none" w:sz="0" w:space="0" w:color="auto"/>
        <w:bottom w:val="none" w:sz="0" w:space="0" w:color="auto"/>
        <w:right w:val="none" w:sz="0" w:space="0" w:color="auto"/>
      </w:divBdr>
    </w:div>
    <w:div w:id="1283918958">
      <w:bodyDiv w:val="1"/>
      <w:marLeft w:val="0"/>
      <w:marRight w:val="0"/>
      <w:marTop w:val="0"/>
      <w:marBottom w:val="0"/>
      <w:divBdr>
        <w:top w:val="none" w:sz="0" w:space="0" w:color="auto"/>
        <w:left w:val="none" w:sz="0" w:space="0" w:color="auto"/>
        <w:bottom w:val="none" w:sz="0" w:space="0" w:color="auto"/>
        <w:right w:val="none" w:sz="0" w:space="0" w:color="auto"/>
      </w:divBdr>
    </w:div>
    <w:div w:id="1284120991">
      <w:bodyDiv w:val="1"/>
      <w:marLeft w:val="0"/>
      <w:marRight w:val="0"/>
      <w:marTop w:val="0"/>
      <w:marBottom w:val="0"/>
      <w:divBdr>
        <w:top w:val="none" w:sz="0" w:space="0" w:color="auto"/>
        <w:left w:val="none" w:sz="0" w:space="0" w:color="auto"/>
        <w:bottom w:val="none" w:sz="0" w:space="0" w:color="auto"/>
        <w:right w:val="none" w:sz="0" w:space="0" w:color="auto"/>
      </w:divBdr>
    </w:div>
    <w:div w:id="1285693141">
      <w:bodyDiv w:val="1"/>
      <w:marLeft w:val="0"/>
      <w:marRight w:val="0"/>
      <w:marTop w:val="0"/>
      <w:marBottom w:val="0"/>
      <w:divBdr>
        <w:top w:val="none" w:sz="0" w:space="0" w:color="auto"/>
        <w:left w:val="none" w:sz="0" w:space="0" w:color="auto"/>
        <w:bottom w:val="none" w:sz="0" w:space="0" w:color="auto"/>
        <w:right w:val="none" w:sz="0" w:space="0" w:color="auto"/>
      </w:divBdr>
    </w:div>
    <w:div w:id="1286038217">
      <w:bodyDiv w:val="1"/>
      <w:marLeft w:val="0"/>
      <w:marRight w:val="0"/>
      <w:marTop w:val="0"/>
      <w:marBottom w:val="0"/>
      <w:divBdr>
        <w:top w:val="none" w:sz="0" w:space="0" w:color="auto"/>
        <w:left w:val="none" w:sz="0" w:space="0" w:color="auto"/>
        <w:bottom w:val="none" w:sz="0" w:space="0" w:color="auto"/>
        <w:right w:val="none" w:sz="0" w:space="0" w:color="auto"/>
      </w:divBdr>
    </w:div>
    <w:div w:id="1286086524">
      <w:bodyDiv w:val="1"/>
      <w:marLeft w:val="0"/>
      <w:marRight w:val="0"/>
      <w:marTop w:val="0"/>
      <w:marBottom w:val="0"/>
      <w:divBdr>
        <w:top w:val="none" w:sz="0" w:space="0" w:color="auto"/>
        <w:left w:val="none" w:sz="0" w:space="0" w:color="auto"/>
        <w:bottom w:val="none" w:sz="0" w:space="0" w:color="auto"/>
        <w:right w:val="none" w:sz="0" w:space="0" w:color="auto"/>
      </w:divBdr>
    </w:div>
    <w:div w:id="1286808827">
      <w:bodyDiv w:val="1"/>
      <w:marLeft w:val="0"/>
      <w:marRight w:val="0"/>
      <w:marTop w:val="0"/>
      <w:marBottom w:val="0"/>
      <w:divBdr>
        <w:top w:val="none" w:sz="0" w:space="0" w:color="auto"/>
        <w:left w:val="none" w:sz="0" w:space="0" w:color="auto"/>
        <w:bottom w:val="none" w:sz="0" w:space="0" w:color="auto"/>
        <w:right w:val="none" w:sz="0" w:space="0" w:color="auto"/>
      </w:divBdr>
    </w:div>
    <w:div w:id="1287468476">
      <w:bodyDiv w:val="1"/>
      <w:marLeft w:val="0"/>
      <w:marRight w:val="0"/>
      <w:marTop w:val="0"/>
      <w:marBottom w:val="0"/>
      <w:divBdr>
        <w:top w:val="none" w:sz="0" w:space="0" w:color="auto"/>
        <w:left w:val="none" w:sz="0" w:space="0" w:color="auto"/>
        <w:bottom w:val="none" w:sz="0" w:space="0" w:color="auto"/>
        <w:right w:val="none" w:sz="0" w:space="0" w:color="auto"/>
      </w:divBdr>
    </w:div>
    <w:div w:id="1289555379">
      <w:bodyDiv w:val="1"/>
      <w:marLeft w:val="0"/>
      <w:marRight w:val="0"/>
      <w:marTop w:val="0"/>
      <w:marBottom w:val="0"/>
      <w:divBdr>
        <w:top w:val="none" w:sz="0" w:space="0" w:color="auto"/>
        <w:left w:val="none" w:sz="0" w:space="0" w:color="auto"/>
        <w:bottom w:val="none" w:sz="0" w:space="0" w:color="auto"/>
        <w:right w:val="none" w:sz="0" w:space="0" w:color="auto"/>
      </w:divBdr>
    </w:div>
    <w:div w:id="1289701921">
      <w:bodyDiv w:val="1"/>
      <w:marLeft w:val="0"/>
      <w:marRight w:val="0"/>
      <w:marTop w:val="0"/>
      <w:marBottom w:val="0"/>
      <w:divBdr>
        <w:top w:val="none" w:sz="0" w:space="0" w:color="auto"/>
        <w:left w:val="none" w:sz="0" w:space="0" w:color="auto"/>
        <w:bottom w:val="none" w:sz="0" w:space="0" w:color="auto"/>
        <w:right w:val="none" w:sz="0" w:space="0" w:color="auto"/>
      </w:divBdr>
    </w:div>
    <w:div w:id="1290623204">
      <w:bodyDiv w:val="1"/>
      <w:marLeft w:val="0"/>
      <w:marRight w:val="0"/>
      <w:marTop w:val="0"/>
      <w:marBottom w:val="0"/>
      <w:divBdr>
        <w:top w:val="none" w:sz="0" w:space="0" w:color="auto"/>
        <w:left w:val="none" w:sz="0" w:space="0" w:color="auto"/>
        <w:bottom w:val="none" w:sz="0" w:space="0" w:color="auto"/>
        <w:right w:val="none" w:sz="0" w:space="0" w:color="auto"/>
      </w:divBdr>
    </w:div>
    <w:div w:id="1291594501">
      <w:bodyDiv w:val="1"/>
      <w:marLeft w:val="0"/>
      <w:marRight w:val="0"/>
      <w:marTop w:val="0"/>
      <w:marBottom w:val="0"/>
      <w:divBdr>
        <w:top w:val="none" w:sz="0" w:space="0" w:color="auto"/>
        <w:left w:val="none" w:sz="0" w:space="0" w:color="auto"/>
        <w:bottom w:val="none" w:sz="0" w:space="0" w:color="auto"/>
        <w:right w:val="none" w:sz="0" w:space="0" w:color="auto"/>
      </w:divBdr>
    </w:div>
    <w:div w:id="1292981999">
      <w:bodyDiv w:val="1"/>
      <w:marLeft w:val="0"/>
      <w:marRight w:val="0"/>
      <w:marTop w:val="0"/>
      <w:marBottom w:val="0"/>
      <w:divBdr>
        <w:top w:val="none" w:sz="0" w:space="0" w:color="auto"/>
        <w:left w:val="none" w:sz="0" w:space="0" w:color="auto"/>
        <w:bottom w:val="none" w:sz="0" w:space="0" w:color="auto"/>
        <w:right w:val="none" w:sz="0" w:space="0" w:color="auto"/>
      </w:divBdr>
    </w:div>
    <w:div w:id="1294094076">
      <w:bodyDiv w:val="1"/>
      <w:marLeft w:val="0"/>
      <w:marRight w:val="0"/>
      <w:marTop w:val="0"/>
      <w:marBottom w:val="0"/>
      <w:divBdr>
        <w:top w:val="none" w:sz="0" w:space="0" w:color="auto"/>
        <w:left w:val="none" w:sz="0" w:space="0" w:color="auto"/>
        <w:bottom w:val="none" w:sz="0" w:space="0" w:color="auto"/>
        <w:right w:val="none" w:sz="0" w:space="0" w:color="auto"/>
      </w:divBdr>
    </w:div>
    <w:div w:id="1294600502">
      <w:bodyDiv w:val="1"/>
      <w:marLeft w:val="0"/>
      <w:marRight w:val="0"/>
      <w:marTop w:val="0"/>
      <w:marBottom w:val="0"/>
      <w:divBdr>
        <w:top w:val="none" w:sz="0" w:space="0" w:color="auto"/>
        <w:left w:val="none" w:sz="0" w:space="0" w:color="auto"/>
        <w:bottom w:val="none" w:sz="0" w:space="0" w:color="auto"/>
        <w:right w:val="none" w:sz="0" w:space="0" w:color="auto"/>
      </w:divBdr>
    </w:div>
    <w:div w:id="1295990512">
      <w:bodyDiv w:val="1"/>
      <w:marLeft w:val="0"/>
      <w:marRight w:val="0"/>
      <w:marTop w:val="0"/>
      <w:marBottom w:val="0"/>
      <w:divBdr>
        <w:top w:val="none" w:sz="0" w:space="0" w:color="auto"/>
        <w:left w:val="none" w:sz="0" w:space="0" w:color="auto"/>
        <w:bottom w:val="none" w:sz="0" w:space="0" w:color="auto"/>
        <w:right w:val="none" w:sz="0" w:space="0" w:color="auto"/>
      </w:divBdr>
    </w:div>
    <w:div w:id="1296063949">
      <w:bodyDiv w:val="1"/>
      <w:marLeft w:val="0"/>
      <w:marRight w:val="0"/>
      <w:marTop w:val="0"/>
      <w:marBottom w:val="0"/>
      <w:divBdr>
        <w:top w:val="none" w:sz="0" w:space="0" w:color="auto"/>
        <w:left w:val="none" w:sz="0" w:space="0" w:color="auto"/>
        <w:bottom w:val="none" w:sz="0" w:space="0" w:color="auto"/>
        <w:right w:val="none" w:sz="0" w:space="0" w:color="auto"/>
      </w:divBdr>
    </w:div>
    <w:div w:id="1296374643">
      <w:bodyDiv w:val="1"/>
      <w:marLeft w:val="0"/>
      <w:marRight w:val="0"/>
      <w:marTop w:val="0"/>
      <w:marBottom w:val="0"/>
      <w:divBdr>
        <w:top w:val="none" w:sz="0" w:space="0" w:color="auto"/>
        <w:left w:val="none" w:sz="0" w:space="0" w:color="auto"/>
        <w:bottom w:val="none" w:sz="0" w:space="0" w:color="auto"/>
        <w:right w:val="none" w:sz="0" w:space="0" w:color="auto"/>
      </w:divBdr>
    </w:div>
    <w:div w:id="1297641611">
      <w:bodyDiv w:val="1"/>
      <w:marLeft w:val="0"/>
      <w:marRight w:val="0"/>
      <w:marTop w:val="0"/>
      <w:marBottom w:val="0"/>
      <w:divBdr>
        <w:top w:val="none" w:sz="0" w:space="0" w:color="auto"/>
        <w:left w:val="none" w:sz="0" w:space="0" w:color="auto"/>
        <w:bottom w:val="none" w:sz="0" w:space="0" w:color="auto"/>
        <w:right w:val="none" w:sz="0" w:space="0" w:color="auto"/>
      </w:divBdr>
    </w:div>
    <w:div w:id="1298268378">
      <w:bodyDiv w:val="1"/>
      <w:marLeft w:val="0"/>
      <w:marRight w:val="0"/>
      <w:marTop w:val="0"/>
      <w:marBottom w:val="0"/>
      <w:divBdr>
        <w:top w:val="none" w:sz="0" w:space="0" w:color="auto"/>
        <w:left w:val="none" w:sz="0" w:space="0" w:color="auto"/>
        <w:bottom w:val="none" w:sz="0" w:space="0" w:color="auto"/>
        <w:right w:val="none" w:sz="0" w:space="0" w:color="auto"/>
      </w:divBdr>
    </w:div>
    <w:div w:id="1298611837">
      <w:bodyDiv w:val="1"/>
      <w:marLeft w:val="0"/>
      <w:marRight w:val="0"/>
      <w:marTop w:val="0"/>
      <w:marBottom w:val="0"/>
      <w:divBdr>
        <w:top w:val="none" w:sz="0" w:space="0" w:color="auto"/>
        <w:left w:val="none" w:sz="0" w:space="0" w:color="auto"/>
        <w:bottom w:val="none" w:sz="0" w:space="0" w:color="auto"/>
        <w:right w:val="none" w:sz="0" w:space="0" w:color="auto"/>
      </w:divBdr>
    </w:div>
    <w:div w:id="1298800821">
      <w:bodyDiv w:val="1"/>
      <w:marLeft w:val="0"/>
      <w:marRight w:val="0"/>
      <w:marTop w:val="0"/>
      <w:marBottom w:val="0"/>
      <w:divBdr>
        <w:top w:val="none" w:sz="0" w:space="0" w:color="auto"/>
        <w:left w:val="none" w:sz="0" w:space="0" w:color="auto"/>
        <w:bottom w:val="none" w:sz="0" w:space="0" w:color="auto"/>
        <w:right w:val="none" w:sz="0" w:space="0" w:color="auto"/>
      </w:divBdr>
    </w:div>
    <w:div w:id="1299800467">
      <w:bodyDiv w:val="1"/>
      <w:marLeft w:val="0"/>
      <w:marRight w:val="0"/>
      <w:marTop w:val="0"/>
      <w:marBottom w:val="0"/>
      <w:divBdr>
        <w:top w:val="none" w:sz="0" w:space="0" w:color="auto"/>
        <w:left w:val="none" w:sz="0" w:space="0" w:color="auto"/>
        <w:bottom w:val="none" w:sz="0" w:space="0" w:color="auto"/>
        <w:right w:val="none" w:sz="0" w:space="0" w:color="auto"/>
      </w:divBdr>
    </w:div>
    <w:div w:id="1299844736">
      <w:bodyDiv w:val="1"/>
      <w:marLeft w:val="0"/>
      <w:marRight w:val="0"/>
      <w:marTop w:val="0"/>
      <w:marBottom w:val="0"/>
      <w:divBdr>
        <w:top w:val="none" w:sz="0" w:space="0" w:color="auto"/>
        <w:left w:val="none" w:sz="0" w:space="0" w:color="auto"/>
        <w:bottom w:val="none" w:sz="0" w:space="0" w:color="auto"/>
        <w:right w:val="none" w:sz="0" w:space="0" w:color="auto"/>
      </w:divBdr>
    </w:div>
    <w:div w:id="1302928190">
      <w:bodyDiv w:val="1"/>
      <w:marLeft w:val="0"/>
      <w:marRight w:val="0"/>
      <w:marTop w:val="0"/>
      <w:marBottom w:val="0"/>
      <w:divBdr>
        <w:top w:val="none" w:sz="0" w:space="0" w:color="auto"/>
        <w:left w:val="none" w:sz="0" w:space="0" w:color="auto"/>
        <w:bottom w:val="none" w:sz="0" w:space="0" w:color="auto"/>
        <w:right w:val="none" w:sz="0" w:space="0" w:color="auto"/>
      </w:divBdr>
    </w:div>
    <w:div w:id="1303581934">
      <w:bodyDiv w:val="1"/>
      <w:marLeft w:val="0"/>
      <w:marRight w:val="0"/>
      <w:marTop w:val="0"/>
      <w:marBottom w:val="0"/>
      <w:divBdr>
        <w:top w:val="none" w:sz="0" w:space="0" w:color="auto"/>
        <w:left w:val="none" w:sz="0" w:space="0" w:color="auto"/>
        <w:bottom w:val="none" w:sz="0" w:space="0" w:color="auto"/>
        <w:right w:val="none" w:sz="0" w:space="0" w:color="auto"/>
      </w:divBdr>
    </w:div>
    <w:div w:id="1303582907">
      <w:bodyDiv w:val="1"/>
      <w:marLeft w:val="0"/>
      <w:marRight w:val="0"/>
      <w:marTop w:val="0"/>
      <w:marBottom w:val="0"/>
      <w:divBdr>
        <w:top w:val="none" w:sz="0" w:space="0" w:color="auto"/>
        <w:left w:val="none" w:sz="0" w:space="0" w:color="auto"/>
        <w:bottom w:val="none" w:sz="0" w:space="0" w:color="auto"/>
        <w:right w:val="none" w:sz="0" w:space="0" w:color="auto"/>
      </w:divBdr>
    </w:div>
    <w:div w:id="1304044461">
      <w:bodyDiv w:val="1"/>
      <w:marLeft w:val="0"/>
      <w:marRight w:val="0"/>
      <w:marTop w:val="0"/>
      <w:marBottom w:val="0"/>
      <w:divBdr>
        <w:top w:val="none" w:sz="0" w:space="0" w:color="auto"/>
        <w:left w:val="none" w:sz="0" w:space="0" w:color="auto"/>
        <w:bottom w:val="none" w:sz="0" w:space="0" w:color="auto"/>
        <w:right w:val="none" w:sz="0" w:space="0" w:color="auto"/>
      </w:divBdr>
    </w:div>
    <w:div w:id="1304769501">
      <w:bodyDiv w:val="1"/>
      <w:marLeft w:val="0"/>
      <w:marRight w:val="0"/>
      <w:marTop w:val="0"/>
      <w:marBottom w:val="0"/>
      <w:divBdr>
        <w:top w:val="none" w:sz="0" w:space="0" w:color="auto"/>
        <w:left w:val="none" w:sz="0" w:space="0" w:color="auto"/>
        <w:bottom w:val="none" w:sz="0" w:space="0" w:color="auto"/>
        <w:right w:val="none" w:sz="0" w:space="0" w:color="auto"/>
      </w:divBdr>
    </w:div>
    <w:div w:id="1305038576">
      <w:bodyDiv w:val="1"/>
      <w:marLeft w:val="0"/>
      <w:marRight w:val="0"/>
      <w:marTop w:val="0"/>
      <w:marBottom w:val="0"/>
      <w:divBdr>
        <w:top w:val="none" w:sz="0" w:space="0" w:color="auto"/>
        <w:left w:val="none" w:sz="0" w:space="0" w:color="auto"/>
        <w:bottom w:val="none" w:sz="0" w:space="0" w:color="auto"/>
        <w:right w:val="none" w:sz="0" w:space="0" w:color="auto"/>
      </w:divBdr>
    </w:div>
    <w:div w:id="1305306764">
      <w:bodyDiv w:val="1"/>
      <w:marLeft w:val="0"/>
      <w:marRight w:val="0"/>
      <w:marTop w:val="0"/>
      <w:marBottom w:val="0"/>
      <w:divBdr>
        <w:top w:val="none" w:sz="0" w:space="0" w:color="auto"/>
        <w:left w:val="none" w:sz="0" w:space="0" w:color="auto"/>
        <w:bottom w:val="none" w:sz="0" w:space="0" w:color="auto"/>
        <w:right w:val="none" w:sz="0" w:space="0" w:color="auto"/>
      </w:divBdr>
    </w:div>
    <w:div w:id="1305550494">
      <w:bodyDiv w:val="1"/>
      <w:marLeft w:val="0"/>
      <w:marRight w:val="0"/>
      <w:marTop w:val="0"/>
      <w:marBottom w:val="0"/>
      <w:divBdr>
        <w:top w:val="none" w:sz="0" w:space="0" w:color="auto"/>
        <w:left w:val="none" w:sz="0" w:space="0" w:color="auto"/>
        <w:bottom w:val="none" w:sz="0" w:space="0" w:color="auto"/>
        <w:right w:val="none" w:sz="0" w:space="0" w:color="auto"/>
      </w:divBdr>
    </w:div>
    <w:div w:id="1306013445">
      <w:bodyDiv w:val="1"/>
      <w:marLeft w:val="0"/>
      <w:marRight w:val="0"/>
      <w:marTop w:val="0"/>
      <w:marBottom w:val="0"/>
      <w:divBdr>
        <w:top w:val="none" w:sz="0" w:space="0" w:color="auto"/>
        <w:left w:val="none" w:sz="0" w:space="0" w:color="auto"/>
        <w:bottom w:val="none" w:sz="0" w:space="0" w:color="auto"/>
        <w:right w:val="none" w:sz="0" w:space="0" w:color="auto"/>
      </w:divBdr>
    </w:div>
    <w:div w:id="1306737167">
      <w:bodyDiv w:val="1"/>
      <w:marLeft w:val="0"/>
      <w:marRight w:val="0"/>
      <w:marTop w:val="0"/>
      <w:marBottom w:val="0"/>
      <w:divBdr>
        <w:top w:val="none" w:sz="0" w:space="0" w:color="auto"/>
        <w:left w:val="none" w:sz="0" w:space="0" w:color="auto"/>
        <w:bottom w:val="none" w:sz="0" w:space="0" w:color="auto"/>
        <w:right w:val="none" w:sz="0" w:space="0" w:color="auto"/>
      </w:divBdr>
    </w:div>
    <w:div w:id="1306929562">
      <w:bodyDiv w:val="1"/>
      <w:marLeft w:val="0"/>
      <w:marRight w:val="0"/>
      <w:marTop w:val="0"/>
      <w:marBottom w:val="0"/>
      <w:divBdr>
        <w:top w:val="none" w:sz="0" w:space="0" w:color="auto"/>
        <w:left w:val="none" w:sz="0" w:space="0" w:color="auto"/>
        <w:bottom w:val="none" w:sz="0" w:space="0" w:color="auto"/>
        <w:right w:val="none" w:sz="0" w:space="0" w:color="auto"/>
      </w:divBdr>
    </w:div>
    <w:div w:id="1308167146">
      <w:bodyDiv w:val="1"/>
      <w:marLeft w:val="0"/>
      <w:marRight w:val="0"/>
      <w:marTop w:val="0"/>
      <w:marBottom w:val="0"/>
      <w:divBdr>
        <w:top w:val="none" w:sz="0" w:space="0" w:color="auto"/>
        <w:left w:val="none" w:sz="0" w:space="0" w:color="auto"/>
        <w:bottom w:val="none" w:sz="0" w:space="0" w:color="auto"/>
        <w:right w:val="none" w:sz="0" w:space="0" w:color="auto"/>
      </w:divBdr>
    </w:div>
    <w:div w:id="1308625712">
      <w:bodyDiv w:val="1"/>
      <w:marLeft w:val="0"/>
      <w:marRight w:val="0"/>
      <w:marTop w:val="0"/>
      <w:marBottom w:val="0"/>
      <w:divBdr>
        <w:top w:val="none" w:sz="0" w:space="0" w:color="auto"/>
        <w:left w:val="none" w:sz="0" w:space="0" w:color="auto"/>
        <w:bottom w:val="none" w:sz="0" w:space="0" w:color="auto"/>
        <w:right w:val="none" w:sz="0" w:space="0" w:color="auto"/>
      </w:divBdr>
    </w:div>
    <w:div w:id="1309363663">
      <w:bodyDiv w:val="1"/>
      <w:marLeft w:val="0"/>
      <w:marRight w:val="0"/>
      <w:marTop w:val="0"/>
      <w:marBottom w:val="0"/>
      <w:divBdr>
        <w:top w:val="none" w:sz="0" w:space="0" w:color="auto"/>
        <w:left w:val="none" w:sz="0" w:space="0" w:color="auto"/>
        <w:bottom w:val="none" w:sz="0" w:space="0" w:color="auto"/>
        <w:right w:val="none" w:sz="0" w:space="0" w:color="auto"/>
      </w:divBdr>
    </w:div>
    <w:div w:id="1310286000">
      <w:bodyDiv w:val="1"/>
      <w:marLeft w:val="0"/>
      <w:marRight w:val="0"/>
      <w:marTop w:val="0"/>
      <w:marBottom w:val="0"/>
      <w:divBdr>
        <w:top w:val="none" w:sz="0" w:space="0" w:color="auto"/>
        <w:left w:val="none" w:sz="0" w:space="0" w:color="auto"/>
        <w:bottom w:val="none" w:sz="0" w:space="0" w:color="auto"/>
        <w:right w:val="none" w:sz="0" w:space="0" w:color="auto"/>
      </w:divBdr>
    </w:div>
    <w:div w:id="1310668646">
      <w:bodyDiv w:val="1"/>
      <w:marLeft w:val="0"/>
      <w:marRight w:val="0"/>
      <w:marTop w:val="0"/>
      <w:marBottom w:val="0"/>
      <w:divBdr>
        <w:top w:val="none" w:sz="0" w:space="0" w:color="auto"/>
        <w:left w:val="none" w:sz="0" w:space="0" w:color="auto"/>
        <w:bottom w:val="none" w:sz="0" w:space="0" w:color="auto"/>
        <w:right w:val="none" w:sz="0" w:space="0" w:color="auto"/>
      </w:divBdr>
    </w:div>
    <w:div w:id="1310940274">
      <w:bodyDiv w:val="1"/>
      <w:marLeft w:val="0"/>
      <w:marRight w:val="0"/>
      <w:marTop w:val="0"/>
      <w:marBottom w:val="0"/>
      <w:divBdr>
        <w:top w:val="none" w:sz="0" w:space="0" w:color="auto"/>
        <w:left w:val="none" w:sz="0" w:space="0" w:color="auto"/>
        <w:bottom w:val="none" w:sz="0" w:space="0" w:color="auto"/>
        <w:right w:val="none" w:sz="0" w:space="0" w:color="auto"/>
      </w:divBdr>
    </w:div>
    <w:div w:id="1310941198">
      <w:bodyDiv w:val="1"/>
      <w:marLeft w:val="0"/>
      <w:marRight w:val="0"/>
      <w:marTop w:val="0"/>
      <w:marBottom w:val="0"/>
      <w:divBdr>
        <w:top w:val="none" w:sz="0" w:space="0" w:color="auto"/>
        <w:left w:val="none" w:sz="0" w:space="0" w:color="auto"/>
        <w:bottom w:val="none" w:sz="0" w:space="0" w:color="auto"/>
        <w:right w:val="none" w:sz="0" w:space="0" w:color="auto"/>
      </w:divBdr>
    </w:div>
    <w:div w:id="1311205659">
      <w:bodyDiv w:val="1"/>
      <w:marLeft w:val="0"/>
      <w:marRight w:val="0"/>
      <w:marTop w:val="0"/>
      <w:marBottom w:val="0"/>
      <w:divBdr>
        <w:top w:val="none" w:sz="0" w:space="0" w:color="auto"/>
        <w:left w:val="none" w:sz="0" w:space="0" w:color="auto"/>
        <w:bottom w:val="none" w:sz="0" w:space="0" w:color="auto"/>
        <w:right w:val="none" w:sz="0" w:space="0" w:color="auto"/>
      </w:divBdr>
    </w:div>
    <w:div w:id="1312172013">
      <w:bodyDiv w:val="1"/>
      <w:marLeft w:val="0"/>
      <w:marRight w:val="0"/>
      <w:marTop w:val="0"/>
      <w:marBottom w:val="0"/>
      <w:divBdr>
        <w:top w:val="none" w:sz="0" w:space="0" w:color="auto"/>
        <w:left w:val="none" w:sz="0" w:space="0" w:color="auto"/>
        <w:bottom w:val="none" w:sz="0" w:space="0" w:color="auto"/>
        <w:right w:val="none" w:sz="0" w:space="0" w:color="auto"/>
      </w:divBdr>
    </w:div>
    <w:div w:id="1312322888">
      <w:bodyDiv w:val="1"/>
      <w:marLeft w:val="0"/>
      <w:marRight w:val="0"/>
      <w:marTop w:val="0"/>
      <w:marBottom w:val="0"/>
      <w:divBdr>
        <w:top w:val="none" w:sz="0" w:space="0" w:color="auto"/>
        <w:left w:val="none" w:sz="0" w:space="0" w:color="auto"/>
        <w:bottom w:val="none" w:sz="0" w:space="0" w:color="auto"/>
        <w:right w:val="none" w:sz="0" w:space="0" w:color="auto"/>
      </w:divBdr>
    </w:div>
    <w:div w:id="1312948451">
      <w:bodyDiv w:val="1"/>
      <w:marLeft w:val="0"/>
      <w:marRight w:val="0"/>
      <w:marTop w:val="0"/>
      <w:marBottom w:val="0"/>
      <w:divBdr>
        <w:top w:val="none" w:sz="0" w:space="0" w:color="auto"/>
        <w:left w:val="none" w:sz="0" w:space="0" w:color="auto"/>
        <w:bottom w:val="none" w:sz="0" w:space="0" w:color="auto"/>
        <w:right w:val="none" w:sz="0" w:space="0" w:color="auto"/>
      </w:divBdr>
    </w:div>
    <w:div w:id="1313022431">
      <w:bodyDiv w:val="1"/>
      <w:marLeft w:val="0"/>
      <w:marRight w:val="0"/>
      <w:marTop w:val="0"/>
      <w:marBottom w:val="0"/>
      <w:divBdr>
        <w:top w:val="none" w:sz="0" w:space="0" w:color="auto"/>
        <w:left w:val="none" w:sz="0" w:space="0" w:color="auto"/>
        <w:bottom w:val="none" w:sz="0" w:space="0" w:color="auto"/>
        <w:right w:val="none" w:sz="0" w:space="0" w:color="auto"/>
      </w:divBdr>
    </w:div>
    <w:div w:id="1313219090">
      <w:bodyDiv w:val="1"/>
      <w:marLeft w:val="0"/>
      <w:marRight w:val="0"/>
      <w:marTop w:val="0"/>
      <w:marBottom w:val="0"/>
      <w:divBdr>
        <w:top w:val="none" w:sz="0" w:space="0" w:color="auto"/>
        <w:left w:val="none" w:sz="0" w:space="0" w:color="auto"/>
        <w:bottom w:val="none" w:sz="0" w:space="0" w:color="auto"/>
        <w:right w:val="none" w:sz="0" w:space="0" w:color="auto"/>
      </w:divBdr>
    </w:div>
    <w:div w:id="1313944006">
      <w:bodyDiv w:val="1"/>
      <w:marLeft w:val="0"/>
      <w:marRight w:val="0"/>
      <w:marTop w:val="0"/>
      <w:marBottom w:val="0"/>
      <w:divBdr>
        <w:top w:val="none" w:sz="0" w:space="0" w:color="auto"/>
        <w:left w:val="none" w:sz="0" w:space="0" w:color="auto"/>
        <w:bottom w:val="none" w:sz="0" w:space="0" w:color="auto"/>
        <w:right w:val="none" w:sz="0" w:space="0" w:color="auto"/>
      </w:divBdr>
    </w:div>
    <w:div w:id="1314211547">
      <w:bodyDiv w:val="1"/>
      <w:marLeft w:val="0"/>
      <w:marRight w:val="0"/>
      <w:marTop w:val="0"/>
      <w:marBottom w:val="0"/>
      <w:divBdr>
        <w:top w:val="none" w:sz="0" w:space="0" w:color="auto"/>
        <w:left w:val="none" w:sz="0" w:space="0" w:color="auto"/>
        <w:bottom w:val="none" w:sz="0" w:space="0" w:color="auto"/>
        <w:right w:val="none" w:sz="0" w:space="0" w:color="auto"/>
      </w:divBdr>
    </w:div>
    <w:div w:id="1314337039">
      <w:bodyDiv w:val="1"/>
      <w:marLeft w:val="0"/>
      <w:marRight w:val="0"/>
      <w:marTop w:val="0"/>
      <w:marBottom w:val="0"/>
      <w:divBdr>
        <w:top w:val="none" w:sz="0" w:space="0" w:color="auto"/>
        <w:left w:val="none" w:sz="0" w:space="0" w:color="auto"/>
        <w:bottom w:val="none" w:sz="0" w:space="0" w:color="auto"/>
        <w:right w:val="none" w:sz="0" w:space="0" w:color="auto"/>
      </w:divBdr>
    </w:div>
    <w:div w:id="1314797857">
      <w:bodyDiv w:val="1"/>
      <w:marLeft w:val="0"/>
      <w:marRight w:val="0"/>
      <w:marTop w:val="0"/>
      <w:marBottom w:val="0"/>
      <w:divBdr>
        <w:top w:val="none" w:sz="0" w:space="0" w:color="auto"/>
        <w:left w:val="none" w:sz="0" w:space="0" w:color="auto"/>
        <w:bottom w:val="none" w:sz="0" w:space="0" w:color="auto"/>
        <w:right w:val="none" w:sz="0" w:space="0" w:color="auto"/>
      </w:divBdr>
    </w:div>
    <w:div w:id="1316573317">
      <w:bodyDiv w:val="1"/>
      <w:marLeft w:val="0"/>
      <w:marRight w:val="0"/>
      <w:marTop w:val="0"/>
      <w:marBottom w:val="0"/>
      <w:divBdr>
        <w:top w:val="none" w:sz="0" w:space="0" w:color="auto"/>
        <w:left w:val="none" w:sz="0" w:space="0" w:color="auto"/>
        <w:bottom w:val="none" w:sz="0" w:space="0" w:color="auto"/>
        <w:right w:val="none" w:sz="0" w:space="0" w:color="auto"/>
      </w:divBdr>
    </w:div>
    <w:div w:id="1317952953">
      <w:bodyDiv w:val="1"/>
      <w:marLeft w:val="0"/>
      <w:marRight w:val="0"/>
      <w:marTop w:val="0"/>
      <w:marBottom w:val="0"/>
      <w:divBdr>
        <w:top w:val="none" w:sz="0" w:space="0" w:color="auto"/>
        <w:left w:val="none" w:sz="0" w:space="0" w:color="auto"/>
        <w:bottom w:val="none" w:sz="0" w:space="0" w:color="auto"/>
        <w:right w:val="none" w:sz="0" w:space="0" w:color="auto"/>
      </w:divBdr>
    </w:div>
    <w:div w:id="1318343813">
      <w:bodyDiv w:val="1"/>
      <w:marLeft w:val="0"/>
      <w:marRight w:val="0"/>
      <w:marTop w:val="0"/>
      <w:marBottom w:val="0"/>
      <w:divBdr>
        <w:top w:val="none" w:sz="0" w:space="0" w:color="auto"/>
        <w:left w:val="none" w:sz="0" w:space="0" w:color="auto"/>
        <w:bottom w:val="none" w:sz="0" w:space="0" w:color="auto"/>
        <w:right w:val="none" w:sz="0" w:space="0" w:color="auto"/>
      </w:divBdr>
    </w:div>
    <w:div w:id="1318726332">
      <w:bodyDiv w:val="1"/>
      <w:marLeft w:val="0"/>
      <w:marRight w:val="0"/>
      <w:marTop w:val="0"/>
      <w:marBottom w:val="0"/>
      <w:divBdr>
        <w:top w:val="none" w:sz="0" w:space="0" w:color="auto"/>
        <w:left w:val="none" w:sz="0" w:space="0" w:color="auto"/>
        <w:bottom w:val="none" w:sz="0" w:space="0" w:color="auto"/>
        <w:right w:val="none" w:sz="0" w:space="0" w:color="auto"/>
      </w:divBdr>
    </w:div>
    <w:div w:id="1319075269">
      <w:bodyDiv w:val="1"/>
      <w:marLeft w:val="0"/>
      <w:marRight w:val="0"/>
      <w:marTop w:val="0"/>
      <w:marBottom w:val="0"/>
      <w:divBdr>
        <w:top w:val="none" w:sz="0" w:space="0" w:color="auto"/>
        <w:left w:val="none" w:sz="0" w:space="0" w:color="auto"/>
        <w:bottom w:val="none" w:sz="0" w:space="0" w:color="auto"/>
        <w:right w:val="none" w:sz="0" w:space="0" w:color="auto"/>
      </w:divBdr>
    </w:div>
    <w:div w:id="1319769649">
      <w:bodyDiv w:val="1"/>
      <w:marLeft w:val="0"/>
      <w:marRight w:val="0"/>
      <w:marTop w:val="0"/>
      <w:marBottom w:val="0"/>
      <w:divBdr>
        <w:top w:val="none" w:sz="0" w:space="0" w:color="auto"/>
        <w:left w:val="none" w:sz="0" w:space="0" w:color="auto"/>
        <w:bottom w:val="none" w:sz="0" w:space="0" w:color="auto"/>
        <w:right w:val="none" w:sz="0" w:space="0" w:color="auto"/>
      </w:divBdr>
    </w:div>
    <w:div w:id="1320619251">
      <w:bodyDiv w:val="1"/>
      <w:marLeft w:val="0"/>
      <w:marRight w:val="0"/>
      <w:marTop w:val="0"/>
      <w:marBottom w:val="0"/>
      <w:divBdr>
        <w:top w:val="none" w:sz="0" w:space="0" w:color="auto"/>
        <w:left w:val="none" w:sz="0" w:space="0" w:color="auto"/>
        <w:bottom w:val="none" w:sz="0" w:space="0" w:color="auto"/>
        <w:right w:val="none" w:sz="0" w:space="0" w:color="auto"/>
      </w:divBdr>
    </w:div>
    <w:div w:id="1321159736">
      <w:bodyDiv w:val="1"/>
      <w:marLeft w:val="0"/>
      <w:marRight w:val="0"/>
      <w:marTop w:val="0"/>
      <w:marBottom w:val="0"/>
      <w:divBdr>
        <w:top w:val="none" w:sz="0" w:space="0" w:color="auto"/>
        <w:left w:val="none" w:sz="0" w:space="0" w:color="auto"/>
        <w:bottom w:val="none" w:sz="0" w:space="0" w:color="auto"/>
        <w:right w:val="none" w:sz="0" w:space="0" w:color="auto"/>
      </w:divBdr>
    </w:div>
    <w:div w:id="1323006329">
      <w:bodyDiv w:val="1"/>
      <w:marLeft w:val="0"/>
      <w:marRight w:val="0"/>
      <w:marTop w:val="0"/>
      <w:marBottom w:val="0"/>
      <w:divBdr>
        <w:top w:val="none" w:sz="0" w:space="0" w:color="auto"/>
        <w:left w:val="none" w:sz="0" w:space="0" w:color="auto"/>
        <w:bottom w:val="none" w:sz="0" w:space="0" w:color="auto"/>
        <w:right w:val="none" w:sz="0" w:space="0" w:color="auto"/>
      </w:divBdr>
    </w:div>
    <w:div w:id="1323856604">
      <w:bodyDiv w:val="1"/>
      <w:marLeft w:val="0"/>
      <w:marRight w:val="0"/>
      <w:marTop w:val="0"/>
      <w:marBottom w:val="0"/>
      <w:divBdr>
        <w:top w:val="none" w:sz="0" w:space="0" w:color="auto"/>
        <w:left w:val="none" w:sz="0" w:space="0" w:color="auto"/>
        <w:bottom w:val="none" w:sz="0" w:space="0" w:color="auto"/>
        <w:right w:val="none" w:sz="0" w:space="0" w:color="auto"/>
      </w:divBdr>
    </w:div>
    <w:div w:id="1326474806">
      <w:bodyDiv w:val="1"/>
      <w:marLeft w:val="0"/>
      <w:marRight w:val="0"/>
      <w:marTop w:val="0"/>
      <w:marBottom w:val="0"/>
      <w:divBdr>
        <w:top w:val="none" w:sz="0" w:space="0" w:color="auto"/>
        <w:left w:val="none" w:sz="0" w:space="0" w:color="auto"/>
        <w:bottom w:val="none" w:sz="0" w:space="0" w:color="auto"/>
        <w:right w:val="none" w:sz="0" w:space="0" w:color="auto"/>
      </w:divBdr>
    </w:div>
    <w:div w:id="1327825937">
      <w:bodyDiv w:val="1"/>
      <w:marLeft w:val="0"/>
      <w:marRight w:val="0"/>
      <w:marTop w:val="0"/>
      <w:marBottom w:val="0"/>
      <w:divBdr>
        <w:top w:val="none" w:sz="0" w:space="0" w:color="auto"/>
        <w:left w:val="none" w:sz="0" w:space="0" w:color="auto"/>
        <w:bottom w:val="none" w:sz="0" w:space="0" w:color="auto"/>
        <w:right w:val="none" w:sz="0" w:space="0" w:color="auto"/>
      </w:divBdr>
    </w:div>
    <w:div w:id="1329138375">
      <w:bodyDiv w:val="1"/>
      <w:marLeft w:val="0"/>
      <w:marRight w:val="0"/>
      <w:marTop w:val="0"/>
      <w:marBottom w:val="0"/>
      <w:divBdr>
        <w:top w:val="none" w:sz="0" w:space="0" w:color="auto"/>
        <w:left w:val="none" w:sz="0" w:space="0" w:color="auto"/>
        <w:bottom w:val="none" w:sz="0" w:space="0" w:color="auto"/>
        <w:right w:val="none" w:sz="0" w:space="0" w:color="auto"/>
      </w:divBdr>
    </w:div>
    <w:div w:id="1329404074">
      <w:bodyDiv w:val="1"/>
      <w:marLeft w:val="0"/>
      <w:marRight w:val="0"/>
      <w:marTop w:val="0"/>
      <w:marBottom w:val="0"/>
      <w:divBdr>
        <w:top w:val="none" w:sz="0" w:space="0" w:color="auto"/>
        <w:left w:val="none" w:sz="0" w:space="0" w:color="auto"/>
        <w:bottom w:val="none" w:sz="0" w:space="0" w:color="auto"/>
        <w:right w:val="none" w:sz="0" w:space="0" w:color="auto"/>
      </w:divBdr>
    </w:div>
    <w:div w:id="1329404708">
      <w:bodyDiv w:val="1"/>
      <w:marLeft w:val="0"/>
      <w:marRight w:val="0"/>
      <w:marTop w:val="0"/>
      <w:marBottom w:val="0"/>
      <w:divBdr>
        <w:top w:val="none" w:sz="0" w:space="0" w:color="auto"/>
        <w:left w:val="none" w:sz="0" w:space="0" w:color="auto"/>
        <w:bottom w:val="none" w:sz="0" w:space="0" w:color="auto"/>
        <w:right w:val="none" w:sz="0" w:space="0" w:color="auto"/>
      </w:divBdr>
    </w:div>
    <w:div w:id="1330208866">
      <w:bodyDiv w:val="1"/>
      <w:marLeft w:val="0"/>
      <w:marRight w:val="0"/>
      <w:marTop w:val="0"/>
      <w:marBottom w:val="0"/>
      <w:divBdr>
        <w:top w:val="none" w:sz="0" w:space="0" w:color="auto"/>
        <w:left w:val="none" w:sz="0" w:space="0" w:color="auto"/>
        <w:bottom w:val="none" w:sz="0" w:space="0" w:color="auto"/>
        <w:right w:val="none" w:sz="0" w:space="0" w:color="auto"/>
      </w:divBdr>
    </w:div>
    <w:div w:id="1330447856">
      <w:bodyDiv w:val="1"/>
      <w:marLeft w:val="0"/>
      <w:marRight w:val="0"/>
      <w:marTop w:val="0"/>
      <w:marBottom w:val="0"/>
      <w:divBdr>
        <w:top w:val="none" w:sz="0" w:space="0" w:color="auto"/>
        <w:left w:val="none" w:sz="0" w:space="0" w:color="auto"/>
        <w:bottom w:val="none" w:sz="0" w:space="0" w:color="auto"/>
        <w:right w:val="none" w:sz="0" w:space="0" w:color="auto"/>
      </w:divBdr>
    </w:div>
    <w:div w:id="1331325566">
      <w:bodyDiv w:val="1"/>
      <w:marLeft w:val="0"/>
      <w:marRight w:val="0"/>
      <w:marTop w:val="0"/>
      <w:marBottom w:val="0"/>
      <w:divBdr>
        <w:top w:val="none" w:sz="0" w:space="0" w:color="auto"/>
        <w:left w:val="none" w:sz="0" w:space="0" w:color="auto"/>
        <w:bottom w:val="none" w:sz="0" w:space="0" w:color="auto"/>
        <w:right w:val="none" w:sz="0" w:space="0" w:color="auto"/>
      </w:divBdr>
    </w:div>
    <w:div w:id="1331521819">
      <w:bodyDiv w:val="1"/>
      <w:marLeft w:val="0"/>
      <w:marRight w:val="0"/>
      <w:marTop w:val="0"/>
      <w:marBottom w:val="0"/>
      <w:divBdr>
        <w:top w:val="none" w:sz="0" w:space="0" w:color="auto"/>
        <w:left w:val="none" w:sz="0" w:space="0" w:color="auto"/>
        <w:bottom w:val="none" w:sz="0" w:space="0" w:color="auto"/>
        <w:right w:val="none" w:sz="0" w:space="0" w:color="auto"/>
      </w:divBdr>
    </w:div>
    <w:div w:id="1332102566">
      <w:bodyDiv w:val="1"/>
      <w:marLeft w:val="0"/>
      <w:marRight w:val="0"/>
      <w:marTop w:val="0"/>
      <w:marBottom w:val="0"/>
      <w:divBdr>
        <w:top w:val="none" w:sz="0" w:space="0" w:color="auto"/>
        <w:left w:val="none" w:sz="0" w:space="0" w:color="auto"/>
        <w:bottom w:val="none" w:sz="0" w:space="0" w:color="auto"/>
        <w:right w:val="none" w:sz="0" w:space="0" w:color="auto"/>
      </w:divBdr>
    </w:div>
    <w:div w:id="1334141464">
      <w:bodyDiv w:val="1"/>
      <w:marLeft w:val="0"/>
      <w:marRight w:val="0"/>
      <w:marTop w:val="0"/>
      <w:marBottom w:val="0"/>
      <w:divBdr>
        <w:top w:val="none" w:sz="0" w:space="0" w:color="auto"/>
        <w:left w:val="none" w:sz="0" w:space="0" w:color="auto"/>
        <w:bottom w:val="none" w:sz="0" w:space="0" w:color="auto"/>
        <w:right w:val="none" w:sz="0" w:space="0" w:color="auto"/>
      </w:divBdr>
    </w:div>
    <w:div w:id="1334183567">
      <w:bodyDiv w:val="1"/>
      <w:marLeft w:val="0"/>
      <w:marRight w:val="0"/>
      <w:marTop w:val="0"/>
      <w:marBottom w:val="0"/>
      <w:divBdr>
        <w:top w:val="none" w:sz="0" w:space="0" w:color="auto"/>
        <w:left w:val="none" w:sz="0" w:space="0" w:color="auto"/>
        <w:bottom w:val="none" w:sz="0" w:space="0" w:color="auto"/>
        <w:right w:val="none" w:sz="0" w:space="0" w:color="auto"/>
      </w:divBdr>
    </w:div>
    <w:div w:id="1335500119">
      <w:bodyDiv w:val="1"/>
      <w:marLeft w:val="0"/>
      <w:marRight w:val="0"/>
      <w:marTop w:val="0"/>
      <w:marBottom w:val="0"/>
      <w:divBdr>
        <w:top w:val="none" w:sz="0" w:space="0" w:color="auto"/>
        <w:left w:val="none" w:sz="0" w:space="0" w:color="auto"/>
        <w:bottom w:val="none" w:sz="0" w:space="0" w:color="auto"/>
        <w:right w:val="none" w:sz="0" w:space="0" w:color="auto"/>
      </w:divBdr>
    </w:div>
    <w:div w:id="1335836630">
      <w:bodyDiv w:val="1"/>
      <w:marLeft w:val="0"/>
      <w:marRight w:val="0"/>
      <w:marTop w:val="0"/>
      <w:marBottom w:val="0"/>
      <w:divBdr>
        <w:top w:val="none" w:sz="0" w:space="0" w:color="auto"/>
        <w:left w:val="none" w:sz="0" w:space="0" w:color="auto"/>
        <w:bottom w:val="none" w:sz="0" w:space="0" w:color="auto"/>
        <w:right w:val="none" w:sz="0" w:space="0" w:color="auto"/>
      </w:divBdr>
    </w:div>
    <w:div w:id="1337422662">
      <w:bodyDiv w:val="1"/>
      <w:marLeft w:val="0"/>
      <w:marRight w:val="0"/>
      <w:marTop w:val="0"/>
      <w:marBottom w:val="0"/>
      <w:divBdr>
        <w:top w:val="none" w:sz="0" w:space="0" w:color="auto"/>
        <w:left w:val="none" w:sz="0" w:space="0" w:color="auto"/>
        <w:bottom w:val="none" w:sz="0" w:space="0" w:color="auto"/>
        <w:right w:val="none" w:sz="0" w:space="0" w:color="auto"/>
      </w:divBdr>
    </w:div>
    <w:div w:id="1339232457">
      <w:bodyDiv w:val="1"/>
      <w:marLeft w:val="0"/>
      <w:marRight w:val="0"/>
      <w:marTop w:val="0"/>
      <w:marBottom w:val="0"/>
      <w:divBdr>
        <w:top w:val="none" w:sz="0" w:space="0" w:color="auto"/>
        <w:left w:val="none" w:sz="0" w:space="0" w:color="auto"/>
        <w:bottom w:val="none" w:sz="0" w:space="0" w:color="auto"/>
        <w:right w:val="none" w:sz="0" w:space="0" w:color="auto"/>
      </w:divBdr>
    </w:div>
    <w:div w:id="1339692373">
      <w:bodyDiv w:val="1"/>
      <w:marLeft w:val="0"/>
      <w:marRight w:val="0"/>
      <w:marTop w:val="0"/>
      <w:marBottom w:val="0"/>
      <w:divBdr>
        <w:top w:val="none" w:sz="0" w:space="0" w:color="auto"/>
        <w:left w:val="none" w:sz="0" w:space="0" w:color="auto"/>
        <w:bottom w:val="none" w:sz="0" w:space="0" w:color="auto"/>
        <w:right w:val="none" w:sz="0" w:space="0" w:color="auto"/>
      </w:divBdr>
    </w:div>
    <w:div w:id="1340963739">
      <w:bodyDiv w:val="1"/>
      <w:marLeft w:val="0"/>
      <w:marRight w:val="0"/>
      <w:marTop w:val="0"/>
      <w:marBottom w:val="0"/>
      <w:divBdr>
        <w:top w:val="none" w:sz="0" w:space="0" w:color="auto"/>
        <w:left w:val="none" w:sz="0" w:space="0" w:color="auto"/>
        <w:bottom w:val="none" w:sz="0" w:space="0" w:color="auto"/>
        <w:right w:val="none" w:sz="0" w:space="0" w:color="auto"/>
      </w:divBdr>
    </w:div>
    <w:div w:id="1341934250">
      <w:bodyDiv w:val="1"/>
      <w:marLeft w:val="0"/>
      <w:marRight w:val="0"/>
      <w:marTop w:val="0"/>
      <w:marBottom w:val="0"/>
      <w:divBdr>
        <w:top w:val="none" w:sz="0" w:space="0" w:color="auto"/>
        <w:left w:val="none" w:sz="0" w:space="0" w:color="auto"/>
        <w:bottom w:val="none" w:sz="0" w:space="0" w:color="auto"/>
        <w:right w:val="none" w:sz="0" w:space="0" w:color="auto"/>
      </w:divBdr>
    </w:div>
    <w:div w:id="1342732310">
      <w:bodyDiv w:val="1"/>
      <w:marLeft w:val="0"/>
      <w:marRight w:val="0"/>
      <w:marTop w:val="0"/>
      <w:marBottom w:val="0"/>
      <w:divBdr>
        <w:top w:val="none" w:sz="0" w:space="0" w:color="auto"/>
        <w:left w:val="none" w:sz="0" w:space="0" w:color="auto"/>
        <w:bottom w:val="none" w:sz="0" w:space="0" w:color="auto"/>
        <w:right w:val="none" w:sz="0" w:space="0" w:color="auto"/>
      </w:divBdr>
    </w:div>
    <w:div w:id="1342779407">
      <w:bodyDiv w:val="1"/>
      <w:marLeft w:val="0"/>
      <w:marRight w:val="0"/>
      <w:marTop w:val="0"/>
      <w:marBottom w:val="0"/>
      <w:divBdr>
        <w:top w:val="none" w:sz="0" w:space="0" w:color="auto"/>
        <w:left w:val="none" w:sz="0" w:space="0" w:color="auto"/>
        <w:bottom w:val="none" w:sz="0" w:space="0" w:color="auto"/>
        <w:right w:val="none" w:sz="0" w:space="0" w:color="auto"/>
      </w:divBdr>
    </w:div>
    <w:div w:id="1342973108">
      <w:bodyDiv w:val="1"/>
      <w:marLeft w:val="0"/>
      <w:marRight w:val="0"/>
      <w:marTop w:val="0"/>
      <w:marBottom w:val="0"/>
      <w:divBdr>
        <w:top w:val="none" w:sz="0" w:space="0" w:color="auto"/>
        <w:left w:val="none" w:sz="0" w:space="0" w:color="auto"/>
        <w:bottom w:val="none" w:sz="0" w:space="0" w:color="auto"/>
        <w:right w:val="none" w:sz="0" w:space="0" w:color="auto"/>
      </w:divBdr>
    </w:div>
    <w:div w:id="1343236784">
      <w:bodyDiv w:val="1"/>
      <w:marLeft w:val="0"/>
      <w:marRight w:val="0"/>
      <w:marTop w:val="0"/>
      <w:marBottom w:val="0"/>
      <w:divBdr>
        <w:top w:val="none" w:sz="0" w:space="0" w:color="auto"/>
        <w:left w:val="none" w:sz="0" w:space="0" w:color="auto"/>
        <w:bottom w:val="none" w:sz="0" w:space="0" w:color="auto"/>
        <w:right w:val="none" w:sz="0" w:space="0" w:color="auto"/>
      </w:divBdr>
    </w:div>
    <w:div w:id="1345552227">
      <w:bodyDiv w:val="1"/>
      <w:marLeft w:val="0"/>
      <w:marRight w:val="0"/>
      <w:marTop w:val="0"/>
      <w:marBottom w:val="0"/>
      <w:divBdr>
        <w:top w:val="none" w:sz="0" w:space="0" w:color="auto"/>
        <w:left w:val="none" w:sz="0" w:space="0" w:color="auto"/>
        <w:bottom w:val="none" w:sz="0" w:space="0" w:color="auto"/>
        <w:right w:val="none" w:sz="0" w:space="0" w:color="auto"/>
      </w:divBdr>
    </w:div>
    <w:div w:id="1345984983">
      <w:bodyDiv w:val="1"/>
      <w:marLeft w:val="0"/>
      <w:marRight w:val="0"/>
      <w:marTop w:val="0"/>
      <w:marBottom w:val="0"/>
      <w:divBdr>
        <w:top w:val="none" w:sz="0" w:space="0" w:color="auto"/>
        <w:left w:val="none" w:sz="0" w:space="0" w:color="auto"/>
        <w:bottom w:val="none" w:sz="0" w:space="0" w:color="auto"/>
        <w:right w:val="none" w:sz="0" w:space="0" w:color="auto"/>
      </w:divBdr>
    </w:div>
    <w:div w:id="1346635482">
      <w:bodyDiv w:val="1"/>
      <w:marLeft w:val="0"/>
      <w:marRight w:val="0"/>
      <w:marTop w:val="0"/>
      <w:marBottom w:val="0"/>
      <w:divBdr>
        <w:top w:val="none" w:sz="0" w:space="0" w:color="auto"/>
        <w:left w:val="none" w:sz="0" w:space="0" w:color="auto"/>
        <w:bottom w:val="none" w:sz="0" w:space="0" w:color="auto"/>
        <w:right w:val="none" w:sz="0" w:space="0" w:color="auto"/>
      </w:divBdr>
    </w:div>
    <w:div w:id="1347053989">
      <w:bodyDiv w:val="1"/>
      <w:marLeft w:val="0"/>
      <w:marRight w:val="0"/>
      <w:marTop w:val="0"/>
      <w:marBottom w:val="0"/>
      <w:divBdr>
        <w:top w:val="none" w:sz="0" w:space="0" w:color="auto"/>
        <w:left w:val="none" w:sz="0" w:space="0" w:color="auto"/>
        <w:bottom w:val="none" w:sz="0" w:space="0" w:color="auto"/>
        <w:right w:val="none" w:sz="0" w:space="0" w:color="auto"/>
      </w:divBdr>
    </w:div>
    <w:div w:id="1347247363">
      <w:bodyDiv w:val="1"/>
      <w:marLeft w:val="0"/>
      <w:marRight w:val="0"/>
      <w:marTop w:val="0"/>
      <w:marBottom w:val="0"/>
      <w:divBdr>
        <w:top w:val="none" w:sz="0" w:space="0" w:color="auto"/>
        <w:left w:val="none" w:sz="0" w:space="0" w:color="auto"/>
        <w:bottom w:val="none" w:sz="0" w:space="0" w:color="auto"/>
        <w:right w:val="none" w:sz="0" w:space="0" w:color="auto"/>
      </w:divBdr>
    </w:div>
    <w:div w:id="1347559664">
      <w:bodyDiv w:val="1"/>
      <w:marLeft w:val="0"/>
      <w:marRight w:val="0"/>
      <w:marTop w:val="0"/>
      <w:marBottom w:val="0"/>
      <w:divBdr>
        <w:top w:val="none" w:sz="0" w:space="0" w:color="auto"/>
        <w:left w:val="none" w:sz="0" w:space="0" w:color="auto"/>
        <w:bottom w:val="none" w:sz="0" w:space="0" w:color="auto"/>
        <w:right w:val="none" w:sz="0" w:space="0" w:color="auto"/>
      </w:divBdr>
    </w:div>
    <w:div w:id="1348411851">
      <w:bodyDiv w:val="1"/>
      <w:marLeft w:val="0"/>
      <w:marRight w:val="0"/>
      <w:marTop w:val="0"/>
      <w:marBottom w:val="0"/>
      <w:divBdr>
        <w:top w:val="none" w:sz="0" w:space="0" w:color="auto"/>
        <w:left w:val="none" w:sz="0" w:space="0" w:color="auto"/>
        <w:bottom w:val="none" w:sz="0" w:space="0" w:color="auto"/>
        <w:right w:val="none" w:sz="0" w:space="0" w:color="auto"/>
      </w:divBdr>
    </w:div>
    <w:div w:id="1349060243">
      <w:bodyDiv w:val="1"/>
      <w:marLeft w:val="0"/>
      <w:marRight w:val="0"/>
      <w:marTop w:val="0"/>
      <w:marBottom w:val="0"/>
      <w:divBdr>
        <w:top w:val="none" w:sz="0" w:space="0" w:color="auto"/>
        <w:left w:val="none" w:sz="0" w:space="0" w:color="auto"/>
        <w:bottom w:val="none" w:sz="0" w:space="0" w:color="auto"/>
        <w:right w:val="none" w:sz="0" w:space="0" w:color="auto"/>
      </w:divBdr>
    </w:div>
    <w:div w:id="1349603109">
      <w:bodyDiv w:val="1"/>
      <w:marLeft w:val="0"/>
      <w:marRight w:val="0"/>
      <w:marTop w:val="0"/>
      <w:marBottom w:val="0"/>
      <w:divBdr>
        <w:top w:val="none" w:sz="0" w:space="0" w:color="auto"/>
        <w:left w:val="none" w:sz="0" w:space="0" w:color="auto"/>
        <w:bottom w:val="none" w:sz="0" w:space="0" w:color="auto"/>
        <w:right w:val="none" w:sz="0" w:space="0" w:color="auto"/>
      </w:divBdr>
    </w:div>
    <w:div w:id="1349677117">
      <w:bodyDiv w:val="1"/>
      <w:marLeft w:val="0"/>
      <w:marRight w:val="0"/>
      <w:marTop w:val="0"/>
      <w:marBottom w:val="0"/>
      <w:divBdr>
        <w:top w:val="none" w:sz="0" w:space="0" w:color="auto"/>
        <w:left w:val="none" w:sz="0" w:space="0" w:color="auto"/>
        <w:bottom w:val="none" w:sz="0" w:space="0" w:color="auto"/>
        <w:right w:val="none" w:sz="0" w:space="0" w:color="auto"/>
      </w:divBdr>
    </w:div>
    <w:div w:id="1349915993">
      <w:bodyDiv w:val="1"/>
      <w:marLeft w:val="0"/>
      <w:marRight w:val="0"/>
      <w:marTop w:val="0"/>
      <w:marBottom w:val="0"/>
      <w:divBdr>
        <w:top w:val="none" w:sz="0" w:space="0" w:color="auto"/>
        <w:left w:val="none" w:sz="0" w:space="0" w:color="auto"/>
        <w:bottom w:val="none" w:sz="0" w:space="0" w:color="auto"/>
        <w:right w:val="none" w:sz="0" w:space="0" w:color="auto"/>
      </w:divBdr>
    </w:div>
    <w:div w:id="1351955492">
      <w:bodyDiv w:val="1"/>
      <w:marLeft w:val="0"/>
      <w:marRight w:val="0"/>
      <w:marTop w:val="0"/>
      <w:marBottom w:val="0"/>
      <w:divBdr>
        <w:top w:val="none" w:sz="0" w:space="0" w:color="auto"/>
        <w:left w:val="none" w:sz="0" w:space="0" w:color="auto"/>
        <w:bottom w:val="none" w:sz="0" w:space="0" w:color="auto"/>
        <w:right w:val="none" w:sz="0" w:space="0" w:color="auto"/>
      </w:divBdr>
    </w:div>
    <w:div w:id="1354720864">
      <w:bodyDiv w:val="1"/>
      <w:marLeft w:val="0"/>
      <w:marRight w:val="0"/>
      <w:marTop w:val="0"/>
      <w:marBottom w:val="0"/>
      <w:divBdr>
        <w:top w:val="none" w:sz="0" w:space="0" w:color="auto"/>
        <w:left w:val="none" w:sz="0" w:space="0" w:color="auto"/>
        <w:bottom w:val="none" w:sz="0" w:space="0" w:color="auto"/>
        <w:right w:val="none" w:sz="0" w:space="0" w:color="auto"/>
      </w:divBdr>
    </w:div>
    <w:div w:id="1354846138">
      <w:bodyDiv w:val="1"/>
      <w:marLeft w:val="0"/>
      <w:marRight w:val="0"/>
      <w:marTop w:val="0"/>
      <w:marBottom w:val="0"/>
      <w:divBdr>
        <w:top w:val="none" w:sz="0" w:space="0" w:color="auto"/>
        <w:left w:val="none" w:sz="0" w:space="0" w:color="auto"/>
        <w:bottom w:val="none" w:sz="0" w:space="0" w:color="auto"/>
        <w:right w:val="none" w:sz="0" w:space="0" w:color="auto"/>
      </w:divBdr>
    </w:div>
    <w:div w:id="1355035519">
      <w:bodyDiv w:val="1"/>
      <w:marLeft w:val="0"/>
      <w:marRight w:val="0"/>
      <w:marTop w:val="0"/>
      <w:marBottom w:val="0"/>
      <w:divBdr>
        <w:top w:val="none" w:sz="0" w:space="0" w:color="auto"/>
        <w:left w:val="none" w:sz="0" w:space="0" w:color="auto"/>
        <w:bottom w:val="none" w:sz="0" w:space="0" w:color="auto"/>
        <w:right w:val="none" w:sz="0" w:space="0" w:color="auto"/>
      </w:divBdr>
    </w:div>
    <w:div w:id="1355232834">
      <w:bodyDiv w:val="1"/>
      <w:marLeft w:val="0"/>
      <w:marRight w:val="0"/>
      <w:marTop w:val="0"/>
      <w:marBottom w:val="0"/>
      <w:divBdr>
        <w:top w:val="none" w:sz="0" w:space="0" w:color="auto"/>
        <w:left w:val="none" w:sz="0" w:space="0" w:color="auto"/>
        <w:bottom w:val="none" w:sz="0" w:space="0" w:color="auto"/>
        <w:right w:val="none" w:sz="0" w:space="0" w:color="auto"/>
      </w:divBdr>
    </w:div>
    <w:div w:id="1359282528">
      <w:bodyDiv w:val="1"/>
      <w:marLeft w:val="0"/>
      <w:marRight w:val="0"/>
      <w:marTop w:val="0"/>
      <w:marBottom w:val="0"/>
      <w:divBdr>
        <w:top w:val="none" w:sz="0" w:space="0" w:color="auto"/>
        <w:left w:val="none" w:sz="0" w:space="0" w:color="auto"/>
        <w:bottom w:val="none" w:sz="0" w:space="0" w:color="auto"/>
        <w:right w:val="none" w:sz="0" w:space="0" w:color="auto"/>
      </w:divBdr>
    </w:div>
    <w:div w:id="1360744034">
      <w:bodyDiv w:val="1"/>
      <w:marLeft w:val="0"/>
      <w:marRight w:val="0"/>
      <w:marTop w:val="0"/>
      <w:marBottom w:val="0"/>
      <w:divBdr>
        <w:top w:val="none" w:sz="0" w:space="0" w:color="auto"/>
        <w:left w:val="none" w:sz="0" w:space="0" w:color="auto"/>
        <w:bottom w:val="none" w:sz="0" w:space="0" w:color="auto"/>
        <w:right w:val="none" w:sz="0" w:space="0" w:color="auto"/>
      </w:divBdr>
    </w:div>
    <w:div w:id="1362366284">
      <w:bodyDiv w:val="1"/>
      <w:marLeft w:val="0"/>
      <w:marRight w:val="0"/>
      <w:marTop w:val="0"/>
      <w:marBottom w:val="0"/>
      <w:divBdr>
        <w:top w:val="none" w:sz="0" w:space="0" w:color="auto"/>
        <w:left w:val="none" w:sz="0" w:space="0" w:color="auto"/>
        <w:bottom w:val="none" w:sz="0" w:space="0" w:color="auto"/>
        <w:right w:val="none" w:sz="0" w:space="0" w:color="auto"/>
      </w:divBdr>
    </w:div>
    <w:div w:id="1362974148">
      <w:bodyDiv w:val="1"/>
      <w:marLeft w:val="0"/>
      <w:marRight w:val="0"/>
      <w:marTop w:val="0"/>
      <w:marBottom w:val="0"/>
      <w:divBdr>
        <w:top w:val="none" w:sz="0" w:space="0" w:color="auto"/>
        <w:left w:val="none" w:sz="0" w:space="0" w:color="auto"/>
        <w:bottom w:val="none" w:sz="0" w:space="0" w:color="auto"/>
        <w:right w:val="none" w:sz="0" w:space="0" w:color="auto"/>
      </w:divBdr>
    </w:div>
    <w:div w:id="1363480046">
      <w:bodyDiv w:val="1"/>
      <w:marLeft w:val="0"/>
      <w:marRight w:val="0"/>
      <w:marTop w:val="0"/>
      <w:marBottom w:val="0"/>
      <w:divBdr>
        <w:top w:val="none" w:sz="0" w:space="0" w:color="auto"/>
        <w:left w:val="none" w:sz="0" w:space="0" w:color="auto"/>
        <w:bottom w:val="none" w:sz="0" w:space="0" w:color="auto"/>
        <w:right w:val="none" w:sz="0" w:space="0" w:color="auto"/>
      </w:divBdr>
    </w:div>
    <w:div w:id="1363902260">
      <w:bodyDiv w:val="1"/>
      <w:marLeft w:val="0"/>
      <w:marRight w:val="0"/>
      <w:marTop w:val="0"/>
      <w:marBottom w:val="0"/>
      <w:divBdr>
        <w:top w:val="none" w:sz="0" w:space="0" w:color="auto"/>
        <w:left w:val="none" w:sz="0" w:space="0" w:color="auto"/>
        <w:bottom w:val="none" w:sz="0" w:space="0" w:color="auto"/>
        <w:right w:val="none" w:sz="0" w:space="0" w:color="auto"/>
      </w:divBdr>
    </w:div>
    <w:div w:id="1364287137">
      <w:bodyDiv w:val="1"/>
      <w:marLeft w:val="0"/>
      <w:marRight w:val="0"/>
      <w:marTop w:val="0"/>
      <w:marBottom w:val="0"/>
      <w:divBdr>
        <w:top w:val="none" w:sz="0" w:space="0" w:color="auto"/>
        <w:left w:val="none" w:sz="0" w:space="0" w:color="auto"/>
        <w:bottom w:val="none" w:sz="0" w:space="0" w:color="auto"/>
        <w:right w:val="none" w:sz="0" w:space="0" w:color="auto"/>
      </w:divBdr>
    </w:div>
    <w:div w:id="1364867525">
      <w:bodyDiv w:val="1"/>
      <w:marLeft w:val="0"/>
      <w:marRight w:val="0"/>
      <w:marTop w:val="0"/>
      <w:marBottom w:val="0"/>
      <w:divBdr>
        <w:top w:val="none" w:sz="0" w:space="0" w:color="auto"/>
        <w:left w:val="none" w:sz="0" w:space="0" w:color="auto"/>
        <w:bottom w:val="none" w:sz="0" w:space="0" w:color="auto"/>
        <w:right w:val="none" w:sz="0" w:space="0" w:color="auto"/>
      </w:divBdr>
    </w:div>
    <w:div w:id="1365978984">
      <w:bodyDiv w:val="1"/>
      <w:marLeft w:val="0"/>
      <w:marRight w:val="0"/>
      <w:marTop w:val="0"/>
      <w:marBottom w:val="0"/>
      <w:divBdr>
        <w:top w:val="none" w:sz="0" w:space="0" w:color="auto"/>
        <w:left w:val="none" w:sz="0" w:space="0" w:color="auto"/>
        <w:bottom w:val="none" w:sz="0" w:space="0" w:color="auto"/>
        <w:right w:val="none" w:sz="0" w:space="0" w:color="auto"/>
      </w:divBdr>
    </w:div>
    <w:div w:id="1366296974">
      <w:bodyDiv w:val="1"/>
      <w:marLeft w:val="0"/>
      <w:marRight w:val="0"/>
      <w:marTop w:val="0"/>
      <w:marBottom w:val="0"/>
      <w:divBdr>
        <w:top w:val="none" w:sz="0" w:space="0" w:color="auto"/>
        <w:left w:val="none" w:sz="0" w:space="0" w:color="auto"/>
        <w:bottom w:val="none" w:sz="0" w:space="0" w:color="auto"/>
        <w:right w:val="none" w:sz="0" w:space="0" w:color="auto"/>
      </w:divBdr>
    </w:div>
    <w:div w:id="1366443562">
      <w:bodyDiv w:val="1"/>
      <w:marLeft w:val="0"/>
      <w:marRight w:val="0"/>
      <w:marTop w:val="0"/>
      <w:marBottom w:val="0"/>
      <w:divBdr>
        <w:top w:val="none" w:sz="0" w:space="0" w:color="auto"/>
        <w:left w:val="none" w:sz="0" w:space="0" w:color="auto"/>
        <w:bottom w:val="none" w:sz="0" w:space="0" w:color="auto"/>
        <w:right w:val="none" w:sz="0" w:space="0" w:color="auto"/>
      </w:divBdr>
    </w:div>
    <w:div w:id="1366559213">
      <w:bodyDiv w:val="1"/>
      <w:marLeft w:val="0"/>
      <w:marRight w:val="0"/>
      <w:marTop w:val="0"/>
      <w:marBottom w:val="0"/>
      <w:divBdr>
        <w:top w:val="none" w:sz="0" w:space="0" w:color="auto"/>
        <w:left w:val="none" w:sz="0" w:space="0" w:color="auto"/>
        <w:bottom w:val="none" w:sz="0" w:space="0" w:color="auto"/>
        <w:right w:val="none" w:sz="0" w:space="0" w:color="auto"/>
      </w:divBdr>
    </w:div>
    <w:div w:id="1366829943">
      <w:bodyDiv w:val="1"/>
      <w:marLeft w:val="0"/>
      <w:marRight w:val="0"/>
      <w:marTop w:val="0"/>
      <w:marBottom w:val="0"/>
      <w:divBdr>
        <w:top w:val="none" w:sz="0" w:space="0" w:color="auto"/>
        <w:left w:val="none" w:sz="0" w:space="0" w:color="auto"/>
        <w:bottom w:val="none" w:sz="0" w:space="0" w:color="auto"/>
        <w:right w:val="none" w:sz="0" w:space="0" w:color="auto"/>
      </w:divBdr>
    </w:div>
    <w:div w:id="1367175531">
      <w:bodyDiv w:val="1"/>
      <w:marLeft w:val="0"/>
      <w:marRight w:val="0"/>
      <w:marTop w:val="0"/>
      <w:marBottom w:val="0"/>
      <w:divBdr>
        <w:top w:val="none" w:sz="0" w:space="0" w:color="auto"/>
        <w:left w:val="none" w:sz="0" w:space="0" w:color="auto"/>
        <w:bottom w:val="none" w:sz="0" w:space="0" w:color="auto"/>
        <w:right w:val="none" w:sz="0" w:space="0" w:color="auto"/>
      </w:divBdr>
    </w:div>
    <w:div w:id="1367632577">
      <w:bodyDiv w:val="1"/>
      <w:marLeft w:val="0"/>
      <w:marRight w:val="0"/>
      <w:marTop w:val="0"/>
      <w:marBottom w:val="0"/>
      <w:divBdr>
        <w:top w:val="none" w:sz="0" w:space="0" w:color="auto"/>
        <w:left w:val="none" w:sz="0" w:space="0" w:color="auto"/>
        <w:bottom w:val="none" w:sz="0" w:space="0" w:color="auto"/>
        <w:right w:val="none" w:sz="0" w:space="0" w:color="auto"/>
      </w:divBdr>
    </w:div>
    <w:div w:id="1369603829">
      <w:bodyDiv w:val="1"/>
      <w:marLeft w:val="0"/>
      <w:marRight w:val="0"/>
      <w:marTop w:val="0"/>
      <w:marBottom w:val="0"/>
      <w:divBdr>
        <w:top w:val="none" w:sz="0" w:space="0" w:color="auto"/>
        <w:left w:val="none" w:sz="0" w:space="0" w:color="auto"/>
        <w:bottom w:val="none" w:sz="0" w:space="0" w:color="auto"/>
        <w:right w:val="none" w:sz="0" w:space="0" w:color="auto"/>
      </w:divBdr>
    </w:div>
    <w:div w:id="1370952343">
      <w:bodyDiv w:val="1"/>
      <w:marLeft w:val="0"/>
      <w:marRight w:val="0"/>
      <w:marTop w:val="0"/>
      <w:marBottom w:val="0"/>
      <w:divBdr>
        <w:top w:val="none" w:sz="0" w:space="0" w:color="auto"/>
        <w:left w:val="none" w:sz="0" w:space="0" w:color="auto"/>
        <w:bottom w:val="none" w:sz="0" w:space="0" w:color="auto"/>
        <w:right w:val="none" w:sz="0" w:space="0" w:color="auto"/>
      </w:divBdr>
    </w:div>
    <w:div w:id="1371028923">
      <w:bodyDiv w:val="1"/>
      <w:marLeft w:val="0"/>
      <w:marRight w:val="0"/>
      <w:marTop w:val="0"/>
      <w:marBottom w:val="0"/>
      <w:divBdr>
        <w:top w:val="none" w:sz="0" w:space="0" w:color="auto"/>
        <w:left w:val="none" w:sz="0" w:space="0" w:color="auto"/>
        <w:bottom w:val="none" w:sz="0" w:space="0" w:color="auto"/>
        <w:right w:val="none" w:sz="0" w:space="0" w:color="auto"/>
      </w:divBdr>
    </w:div>
    <w:div w:id="1371685840">
      <w:bodyDiv w:val="1"/>
      <w:marLeft w:val="0"/>
      <w:marRight w:val="0"/>
      <w:marTop w:val="0"/>
      <w:marBottom w:val="0"/>
      <w:divBdr>
        <w:top w:val="none" w:sz="0" w:space="0" w:color="auto"/>
        <w:left w:val="none" w:sz="0" w:space="0" w:color="auto"/>
        <w:bottom w:val="none" w:sz="0" w:space="0" w:color="auto"/>
        <w:right w:val="none" w:sz="0" w:space="0" w:color="auto"/>
      </w:divBdr>
    </w:div>
    <w:div w:id="1372802556">
      <w:bodyDiv w:val="1"/>
      <w:marLeft w:val="0"/>
      <w:marRight w:val="0"/>
      <w:marTop w:val="0"/>
      <w:marBottom w:val="0"/>
      <w:divBdr>
        <w:top w:val="none" w:sz="0" w:space="0" w:color="auto"/>
        <w:left w:val="none" w:sz="0" w:space="0" w:color="auto"/>
        <w:bottom w:val="none" w:sz="0" w:space="0" w:color="auto"/>
        <w:right w:val="none" w:sz="0" w:space="0" w:color="auto"/>
      </w:divBdr>
    </w:div>
    <w:div w:id="1374117270">
      <w:bodyDiv w:val="1"/>
      <w:marLeft w:val="0"/>
      <w:marRight w:val="0"/>
      <w:marTop w:val="0"/>
      <w:marBottom w:val="0"/>
      <w:divBdr>
        <w:top w:val="none" w:sz="0" w:space="0" w:color="auto"/>
        <w:left w:val="none" w:sz="0" w:space="0" w:color="auto"/>
        <w:bottom w:val="none" w:sz="0" w:space="0" w:color="auto"/>
        <w:right w:val="none" w:sz="0" w:space="0" w:color="auto"/>
      </w:divBdr>
    </w:div>
    <w:div w:id="1374308348">
      <w:bodyDiv w:val="1"/>
      <w:marLeft w:val="0"/>
      <w:marRight w:val="0"/>
      <w:marTop w:val="0"/>
      <w:marBottom w:val="0"/>
      <w:divBdr>
        <w:top w:val="none" w:sz="0" w:space="0" w:color="auto"/>
        <w:left w:val="none" w:sz="0" w:space="0" w:color="auto"/>
        <w:bottom w:val="none" w:sz="0" w:space="0" w:color="auto"/>
        <w:right w:val="none" w:sz="0" w:space="0" w:color="auto"/>
      </w:divBdr>
    </w:div>
    <w:div w:id="1374965177">
      <w:bodyDiv w:val="1"/>
      <w:marLeft w:val="0"/>
      <w:marRight w:val="0"/>
      <w:marTop w:val="0"/>
      <w:marBottom w:val="0"/>
      <w:divBdr>
        <w:top w:val="none" w:sz="0" w:space="0" w:color="auto"/>
        <w:left w:val="none" w:sz="0" w:space="0" w:color="auto"/>
        <w:bottom w:val="none" w:sz="0" w:space="0" w:color="auto"/>
        <w:right w:val="none" w:sz="0" w:space="0" w:color="auto"/>
      </w:divBdr>
    </w:div>
    <w:div w:id="1375034776">
      <w:bodyDiv w:val="1"/>
      <w:marLeft w:val="0"/>
      <w:marRight w:val="0"/>
      <w:marTop w:val="0"/>
      <w:marBottom w:val="0"/>
      <w:divBdr>
        <w:top w:val="none" w:sz="0" w:space="0" w:color="auto"/>
        <w:left w:val="none" w:sz="0" w:space="0" w:color="auto"/>
        <w:bottom w:val="none" w:sz="0" w:space="0" w:color="auto"/>
        <w:right w:val="none" w:sz="0" w:space="0" w:color="auto"/>
      </w:divBdr>
    </w:div>
    <w:div w:id="1375040265">
      <w:bodyDiv w:val="1"/>
      <w:marLeft w:val="0"/>
      <w:marRight w:val="0"/>
      <w:marTop w:val="0"/>
      <w:marBottom w:val="0"/>
      <w:divBdr>
        <w:top w:val="none" w:sz="0" w:space="0" w:color="auto"/>
        <w:left w:val="none" w:sz="0" w:space="0" w:color="auto"/>
        <w:bottom w:val="none" w:sz="0" w:space="0" w:color="auto"/>
        <w:right w:val="none" w:sz="0" w:space="0" w:color="auto"/>
      </w:divBdr>
    </w:div>
    <w:div w:id="1375155413">
      <w:bodyDiv w:val="1"/>
      <w:marLeft w:val="0"/>
      <w:marRight w:val="0"/>
      <w:marTop w:val="0"/>
      <w:marBottom w:val="0"/>
      <w:divBdr>
        <w:top w:val="none" w:sz="0" w:space="0" w:color="auto"/>
        <w:left w:val="none" w:sz="0" w:space="0" w:color="auto"/>
        <w:bottom w:val="none" w:sz="0" w:space="0" w:color="auto"/>
        <w:right w:val="none" w:sz="0" w:space="0" w:color="auto"/>
      </w:divBdr>
    </w:div>
    <w:div w:id="1377192399">
      <w:bodyDiv w:val="1"/>
      <w:marLeft w:val="0"/>
      <w:marRight w:val="0"/>
      <w:marTop w:val="0"/>
      <w:marBottom w:val="0"/>
      <w:divBdr>
        <w:top w:val="none" w:sz="0" w:space="0" w:color="auto"/>
        <w:left w:val="none" w:sz="0" w:space="0" w:color="auto"/>
        <w:bottom w:val="none" w:sz="0" w:space="0" w:color="auto"/>
        <w:right w:val="none" w:sz="0" w:space="0" w:color="auto"/>
      </w:divBdr>
    </w:div>
    <w:div w:id="1377393649">
      <w:bodyDiv w:val="1"/>
      <w:marLeft w:val="0"/>
      <w:marRight w:val="0"/>
      <w:marTop w:val="0"/>
      <w:marBottom w:val="0"/>
      <w:divBdr>
        <w:top w:val="none" w:sz="0" w:space="0" w:color="auto"/>
        <w:left w:val="none" w:sz="0" w:space="0" w:color="auto"/>
        <w:bottom w:val="none" w:sz="0" w:space="0" w:color="auto"/>
        <w:right w:val="none" w:sz="0" w:space="0" w:color="auto"/>
      </w:divBdr>
    </w:div>
    <w:div w:id="1377580084">
      <w:bodyDiv w:val="1"/>
      <w:marLeft w:val="0"/>
      <w:marRight w:val="0"/>
      <w:marTop w:val="0"/>
      <w:marBottom w:val="0"/>
      <w:divBdr>
        <w:top w:val="none" w:sz="0" w:space="0" w:color="auto"/>
        <w:left w:val="none" w:sz="0" w:space="0" w:color="auto"/>
        <w:bottom w:val="none" w:sz="0" w:space="0" w:color="auto"/>
        <w:right w:val="none" w:sz="0" w:space="0" w:color="auto"/>
      </w:divBdr>
    </w:div>
    <w:div w:id="1378120503">
      <w:bodyDiv w:val="1"/>
      <w:marLeft w:val="0"/>
      <w:marRight w:val="0"/>
      <w:marTop w:val="0"/>
      <w:marBottom w:val="0"/>
      <w:divBdr>
        <w:top w:val="none" w:sz="0" w:space="0" w:color="auto"/>
        <w:left w:val="none" w:sz="0" w:space="0" w:color="auto"/>
        <w:bottom w:val="none" w:sz="0" w:space="0" w:color="auto"/>
        <w:right w:val="none" w:sz="0" w:space="0" w:color="auto"/>
      </w:divBdr>
    </w:div>
    <w:div w:id="1378897166">
      <w:bodyDiv w:val="1"/>
      <w:marLeft w:val="0"/>
      <w:marRight w:val="0"/>
      <w:marTop w:val="0"/>
      <w:marBottom w:val="0"/>
      <w:divBdr>
        <w:top w:val="none" w:sz="0" w:space="0" w:color="auto"/>
        <w:left w:val="none" w:sz="0" w:space="0" w:color="auto"/>
        <w:bottom w:val="none" w:sz="0" w:space="0" w:color="auto"/>
        <w:right w:val="none" w:sz="0" w:space="0" w:color="auto"/>
      </w:divBdr>
    </w:div>
    <w:div w:id="1379236872">
      <w:bodyDiv w:val="1"/>
      <w:marLeft w:val="0"/>
      <w:marRight w:val="0"/>
      <w:marTop w:val="0"/>
      <w:marBottom w:val="0"/>
      <w:divBdr>
        <w:top w:val="none" w:sz="0" w:space="0" w:color="auto"/>
        <w:left w:val="none" w:sz="0" w:space="0" w:color="auto"/>
        <w:bottom w:val="none" w:sz="0" w:space="0" w:color="auto"/>
        <w:right w:val="none" w:sz="0" w:space="0" w:color="auto"/>
      </w:divBdr>
    </w:div>
    <w:div w:id="1382173651">
      <w:bodyDiv w:val="1"/>
      <w:marLeft w:val="0"/>
      <w:marRight w:val="0"/>
      <w:marTop w:val="0"/>
      <w:marBottom w:val="0"/>
      <w:divBdr>
        <w:top w:val="none" w:sz="0" w:space="0" w:color="auto"/>
        <w:left w:val="none" w:sz="0" w:space="0" w:color="auto"/>
        <w:bottom w:val="none" w:sz="0" w:space="0" w:color="auto"/>
        <w:right w:val="none" w:sz="0" w:space="0" w:color="auto"/>
      </w:divBdr>
    </w:div>
    <w:div w:id="1384256101">
      <w:bodyDiv w:val="1"/>
      <w:marLeft w:val="0"/>
      <w:marRight w:val="0"/>
      <w:marTop w:val="0"/>
      <w:marBottom w:val="0"/>
      <w:divBdr>
        <w:top w:val="none" w:sz="0" w:space="0" w:color="auto"/>
        <w:left w:val="none" w:sz="0" w:space="0" w:color="auto"/>
        <w:bottom w:val="none" w:sz="0" w:space="0" w:color="auto"/>
        <w:right w:val="none" w:sz="0" w:space="0" w:color="auto"/>
      </w:divBdr>
    </w:div>
    <w:div w:id="1385446825">
      <w:bodyDiv w:val="1"/>
      <w:marLeft w:val="0"/>
      <w:marRight w:val="0"/>
      <w:marTop w:val="0"/>
      <w:marBottom w:val="0"/>
      <w:divBdr>
        <w:top w:val="none" w:sz="0" w:space="0" w:color="auto"/>
        <w:left w:val="none" w:sz="0" w:space="0" w:color="auto"/>
        <w:bottom w:val="none" w:sz="0" w:space="0" w:color="auto"/>
        <w:right w:val="none" w:sz="0" w:space="0" w:color="auto"/>
      </w:divBdr>
    </w:div>
    <w:div w:id="1386681278">
      <w:bodyDiv w:val="1"/>
      <w:marLeft w:val="0"/>
      <w:marRight w:val="0"/>
      <w:marTop w:val="0"/>
      <w:marBottom w:val="0"/>
      <w:divBdr>
        <w:top w:val="none" w:sz="0" w:space="0" w:color="auto"/>
        <w:left w:val="none" w:sz="0" w:space="0" w:color="auto"/>
        <w:bottom w:val="none" w:sz="0" w:space="0" w:color="auto"/>
        <w:right w:val="none" w:sz="0" w:space="0" w:color="auto"/>
      </w:divBdr>
    </w:div>
    <w:div w:id="1387025366">
      <w:bodyDiv w:val="1"/>
      <w:marLeft w:val="0"/>
      <w:marRight w:val="0"/>
      <w:marTop w:val="0"/>
      <w:marBottom w:val="0"/>
      <w:divBdr>
        <w:top w:val="none" w:sz="0" w:space="0" w:color="auto"/>
        <w:left w:val="none" w:sz="0" w:space="0" w:color="auto"/>
        <w:bottom w:val="none" w:sz="0" w:space="0" w:color="auto"/>
        <w:right w:val="none" w:sz="0" w:space="0" w:color="auto"/>
      </w:divBdr>
    </w:div>
    <w:div w:id="1387097562">
      <w:bodyDiv w:val="1"/>
      <w:marLeft w:val="0"/>
      <w:marRight w:val="0"/>
      <w:marTop w:val="0"/>
      <w:marBottom w:val="0"/>
      <w:divBdr>
        <w:top w:val="none" w:sz="0" w:space="0" w:color="auto"/>
        <w:left w:val="none" w:sz="0" w:space="0" w:color="auto"/>
        <w:bottom w:val="none" w:sz="0" w:space="0" w:color="auto"/>
        <w:right w:val="none" w:sz="0" w:space="0" w:color="auto"/>
      </w:divBdr>
    </w:div>
    <w:div w:id="1389382168">
      <w:bodyDiv w:val="1"/>
      <w:marLeft w:val="0"/>
      <w:marRight w:val="0"/>
      <w:marTop w:val="0"/>
      <w:marBottom w:val="0"/>
      <w:divBdr>
        <w:top w:val="none" w:sz="0" w:space="0" w:color="auto"/>
        <w:left w:val="none" w:sz="0" w:space="0" w:color="auto"/>
        <w:bottom w:val="none" w:sz="0" w:space="0" w:color="auto"/>
        <w:right w:val="none" w:sz="0" w:space="0" w:color="auto"/>
      </w:divBdr>
    </w:div>
    <w:div w:id="1390418589">
      <w:bodyDiv w:val="1"/>
      <w:marLeft w:val="0"/>
      <w:marRight w:val="0"/>
      <w:marTop w:val="0"/>
      <w:marBottom w:val="0"/>
      <w:divBdr>
        <w:top w:val="none" w:sz="0" w:space="0" w:color="auto"/>
        <w:left w:val="none" w:sz="0" w:space="0" w:color="auto"/>
        <w:bottom w:val="none" w:sz="0" w:space="0" w:color="auto"/>
        <w:right w:val="none" w:sz="0" w:space="0" w:color="auto"/>
      </w:divBdr>
    </w:div>
    <w:div w:id="1391225725">
      <w:bodyDiv w:val="1"/>
      <w:marLeft w:val="0"/>
      <w:marRight w:val="0"/>
      <w:marTop w:val="0"/>
      <w:marBottom w:val="0"/>
      <w:divBdr>
        <w:top w:val="none" w:sz="0" w:space="0" w:color="auto"/>
        <w:left w:val="none" w:sz="0" w:space="0" w:color="auto"/>
        <w:bottom w:val="none" w:sz="0" w:space="0" w:color="auto"/>
        <w:right w:val="none" w:sz="0" w:space="0" w:color="auto"/>
      </w:divBdr>
    </w:div>
    <w:div w:id="1391419132">
      <w:bodyDiv w:val="1"/>
      <w:marLeft w:val="0"/>
      <w:marRight w:val="0"/>
      <w:marTop w:val="0"/>
      <w:marBottom w:val="0"/>
      <w:divBdr>
        <w:top w:val="none" w:sz="0" w:space="0" w:color="auto"/>
        <w:left w:val="none" w:sz="0" w:space="0" w:color="auto"/>
        <w:bottom w:val="none" w:sz="0" w:space="0" w:color="auto"/>
        <w:right w:val="none" w:sz="0" w:space="0" w:color="auto"/>
      </w:divBdr>
    </w:div>
    <w:div w:id="1392458298">
      <w:bodyDiv w:val="1"/>
      <w:marLeft w:val="0"/>
      <w:marRight w:val="0"/>
      <w:marTop w:val="0"/>
      <w:marBottom w:val="0"/>
      <w:divBdr>
        <w:top w:val="none" w:sz="0" w:space="0" w:color="auto"/>
        <w:left w:val="none" w:sz="0" w:space="0" w:color="auto"/>
        <w:bottom w:val="none" w:sz="0" w:space="0" w:color="auto"/>
        <w:right w:val="none" w:sz="0" w:space="0" w:color="auto"/>
      </w:divBdr>
    </w:div>
    <w:div w:id="1394696345">
      <w:bodyDiv w:val="1"/>
      <w:marLeft w:val="0"/>
      <w:marRight w:val="0"/>
      <w:marTop w:val="0"/>
      <w:marBottom w:val="0"/>
      <w:divBdr>
        <w:top w:val="none" w:sz="0" w:space="0" w:color="auto"/>
        <w:left w:val="none" w:sz="0" w:space="0" w:color="auto"/>
        <w:bottom w:val="none" w:sz="0" w:space="0" w:color="auto"/>
        <w:right w:val="none" w:sz="0" w:space="0" w:color="auto"/>
      </w:divBdr>
    </w:div>
    <w:div w:id="1395272474">
      <w:bodyDiv w:val="1"/>
      <w:marLeft w:val="0"/>
      <w:marRight w:val="0"/>
      <w:marTop w:val="0"/>
      <w:marBottom w:val="0"/>
      <w:divBdr>
        <w:top w:val="none" w:sz="0" w:space="0" w:color="auto"/>
        <w:left w:val="none" w:sz="0" w:space="0" w:color="auto"/>
        <w:bottom w:val="none" w:sz="0" w:space="0" w:color="auto"/>
        <w:right w:val="none" w:sz="0" w:space="0" w:color="auto"/>
      </w:divBdr>
    </w:div>
    <w:div w:id="1395589868">
      <w:bodyDiv w:val="1"/>
      <w:marLeft w:val="0"/>
      <w:marRight w:val="0"/>
      <w:marTop w:val="0"/>
      <w:marBottom w:val="0"/>
      <w:divBdr>
        <w:top w:val="none" w:sz="0" w:space="0" w:color="auto"/>
        <w:left w:val="none" w:sz="0" w:space="0" w:color="auto"/>
        <w:bottom w:val="none" w:sz="0" w:space="0" w:color="auto"/>
        <w:right w:val="none" w:sz="0" w:space="0" w:color="auto"/>
      </w:divBdr>
    </w:div>
    <w:div w:id="1396582787">
      <w:bodyDiv w:val="1"/>
      <w:marLeft w:val="0"/>
      <w:marRight w:val="0"/>
      <w:marTop w:val="0"/>
      <w:marBottom w:val="0"/>
      <w:divBdr>
        <w:top w:val="none" w:sz="0" w:space="0" w:color="auto"/>
        <w:left w:val="none" w:sz="0" w:space="0" w:color="auto"/>
        <w:bottom w:val="none" w:sz="0" w:space="0" w:color="auto"/>
        <w:right w:val="none" w:sz="0" w:space="0" w:color="auto"/>
      </w:divBdr>
    </w:div>
    <w:div w:id="1397050184">
      <w:bodyDiv w:val="1"/>
      <w:marLeft w:val="0"/>
      <w:marRight w:val="0"/>
      <w:marTop w:val="0"/>
      <w:marBottom w:val="0"/>
      <w:divBdr>
        <w:top w:val="none" w:sz="0" w:space="0" w:color="auto"/>
        <w:left w:val="none" w:sz="0" w:space="0" w:color="auto"/>
        <w:bottom w:val="none" w:sz="0" w:space="0" w:color="auto"/>
        <w:right w:val="none" w:sz="0" w:space="0" w:color="auto"/>
      </w:divBdr>
    </w:div>
    <w:div w:id="1397780671">
      <w:bodyDiv w:val="1"/>
      <w:marLeft w:val="0"/>
      <w:marRight w:val="0"/>
      <w:marTop w:val="0"/>
      <w:marBottom w:val="0"/>
      <w:divBdr>
        <w:top w:val="none" w:sz="0" w:space="0" w:color="auto"/>
        <w:left w:val="none" w:sz="0" w:space="0" w:color="auto"/>
        <w:bottom w:val="none" w:sz="0" w:space="0" w:color="auto"/>
        <w:right w:val="none" w:sz="0" w:space="0" w:color="auto"/>
      </w:divBdr>
    </w:div>
    <w:div w:id="1398213107">
      <w:bodyDiv w:val="1"/>
      <w:marLeft w:val="0"/>
      <w:marRight w:val="0"/>
      <w:marTop w:val="0"/>
      <w:marBottom w:val="0"/>
      <w:divBdr>
        <w:top w:val="none" w:sz="0" w:space="0" w:color="auto"/>
        <w:left w:val="none" w:sz="0" w:space="0" w:color="auto"/>
        <w:bottom w:val="none" w:sz="0" w:space="0" w:color="auto"/>
        <w:right w:val="none" w:sz="0" w:space="0" w:color="auto"/>
      </w:divBdr>
    </w:div>
    <w:div w:id="1398818269">
      <w:bodyDiv w:val="1"/>
      <w:marLeft w:val="0"/>
      <w:marRight w:val="0"/>
      <w:marTop w:val="0"/>
      <w:marBottom w:val="0"/>
      <w:divBdr>
        <w:top w:val="none" w:sz="0" w:space="0" w:color="auto"/>
        <w:left w:val="none" w:sz="0" w:space="0" w:color="auto"/>
        <w:bottom w:val="none" w:sz="0" w:space="0" w:color="auto"/>
        <w:right w:val="none" w:sz="0" w:space="0" w:color="auto"/>
      </w:divBdr>
    </w:div>
    <w:div w:id="1399670386">
      <w:bodyDiv w:val="1"/>
      <w:marLeft w:val="0"/>
      <w:marRight w:val="0"/>
      <w:marTop w:val="0"/>
      <w:marBottom w:val="0"/>
      <w:divBdr>
        <w:top w:val="none" w:sz="0" w:space="0" w:color="auto"/>
        <w:left w:val="none" w:sz="0" w:space="0" w:color="auto"/>
        <w:bottom w:val="none" w:sz="0" w:space="0" w:color="auto"/>
        <w:right w:val="none" w:sz="0" w:space="0" w:color="auto"/>
      </w:divBdr>
    </w:div>
    <w:div w:id="1400638200">
      <w:bodyDiv w:val="1"/>
      <w:marLeft w:val="0"/>
      <w:marRight w:val="0"/>
      <w:marTop w:val="0"/>
      <w:marBottom w:val="0"/>
      <w:divBdr>
        <w:top w:val="none" w:sz="0" w:space="0" w:color="auto"/>
        <w:left w:val="none" w:sz="0" w:space="0" w:color="auto"/>
        <w:bottom w:val="none" w:sz="0" w:space="0" w:color="auto"/>
        <w:right w:val="none" w:sz="0" w:space="0" w:color="auto"/>
      </w:divBdr>
    </w:div>
    <w:div w:id="1400977267">
      <w:bodyDiv w:val="1"/>
      <w:marLeft w:val="0"/>
      <w:marRight w:val="0"/>
      <w:marTop w:val="0"/>
      <w:marBottom w:val="0"/>
      <w:divBdr>
        <w:top w:val="none" w:sz="0" w:space="0" w:color="auto"/>
        <w:left w:val="none" w:sz="0" w:space="0" w:color="auto"/>
        <w:bottom w:val="none" w:sz="0" w:space="0" w:color="auto"/>
        <w:right w:val="none" w:sz="0" w:space="0" w:color="auto"/>
      </w:divBdr>
    </w:div>
    <w:div w:id="1401445386">
      <w:bodyDiv w:val="1"/>
      <w:marLeft w:val="0"/>
      <w:marRight w:val="0"/>
      <w:marTop w:val="0"/>
      <w:marBottom w:val="0"/>
      <w:divBdr>
        <w:top w:val="none" w:sz="0" w:space="0" w:color="auto"/>
        <w:left w:val="none" w:sz="0" w:space="0" w:color="auto"/>
        <w:bottom w:val="none" w:sz="0" w:space="0" w:color="auto"/>
        <w:right w:val="none" w:sz="0" w:space="0" w:color="auto"/>
      </w:divBdr>
    </w:div>
    <w:div w:id="1401637907">
      <w:bodyDiv w:val="1"/>
      <w:marLeft w:val="0"/>
      <w:marRight w:val="0"/>
      <w:marTop w:val="0"/>
      <w:marBottom w:val="0"/>
      <w:divBdr>
        <w:top w:val="none" w:sz="0" w:space="0" w:color="auto"/>
        <w:left w:val="none" w:sz="0" w:space="0" w:color="auto"/>
        <w:bottom w:val="none" w:sz="0" w:space="0" w:color="auto"/>
        <w:right w:val="none" w:sz="0" w:space="0" w:color="auto"/>
      </w:divBdr>
    </w:div>
    <w:div w:id="1403066837">
      <w:bodyDiv w:val="1"/>
      <w:marLeft w:val="0"/>
      <w:marRight w:val="0"/>
      <w:marTop w:val="0"/>
      <w:marBottom w:val="0"/>
      <w:divBdr>
        <w:top w:val="none" w:sz="0" w:space="0" w:color="auto"/>
        <w:left w:val="none" w:sz="0" w:space="0" w:color="auto"/>
        <w:bottom w:val="none" w:sz="0" w:space="0" w:color="auto"/>
        <w:right w:val="none" w:sz="0" w:space="0" w:color="auto"/>
      </w:divBdr>
    </w:div>
    <w:div w:id="1403747861">
      <w:bodyDiv w:val="1"/>
      <w:marLeft w:val="0"/>
      <w:marRight w:val="0"/>
      <w:marTop w:val="0"/>
      <w:marBottom w:val="0"/>
      <w:divBdr>
        <w:top w:val="none" w:sz="0" w:space="0" w:color="auto"/>
        <w:left w:val="none" w:sz="0" w:space="0" w:color="auto"/>
        <w:bottom w:val="none" w:sz="0" w:space="0" w:color="auto"/>
        <w:right w:val="none" w:sz="0" w:space="0" w:color="auto"/>
      </w:divBdr>
    </w:div>
    <w:div w:id="1403792855">
      <w:bodyDiv w:val="1"/>
      <w:marLeft w:val="0"/>
      <w:marRight w:val="0"/>
      <w:marTop w:val="0"/>
      <w:marBottom w:val="0"/>
      <w:divBdr>
        <w:top w:val="none" w:sz="0" w:space="0" w:color="auto"/>
        <w:left w:val="none" w:sz="0" w:space="0" w:color="auto"/>
        <w:bottom w:val="none" w:sz="0" w:space="0" w:color="auto"/>
        <w:right w:val="none" w:sz="0" w:space="0" w:color="auto"/>
      </w:divBdr>
    </w:div>
    <w:div w:id="1404060725">
      <w:bodyDiv w:val="1"/>
      <w:marLeft w:val="0"/>
      <w:marRight w:val="0"/>
      <w:marTop w:val="0"/>
      <w:marBottom w:val="0"/>
      <w:divBdr>
        <w:top w:val="none" w:sz="0" w:space="0" w:color="auto"/>
        <w:left w:val="none" w:sz="0" w:space="0" w:color="auto"/>
        <w:bottom w:val="none" w:sz="0" w:space="0" w:color="auto"/>
        <w:right w:val="none" w:sz="0" w:space="0" w:color="auto"/>
      </w:divBdr>
    </w:div>
    <w:div w:id="1405643313">
      <w:bodyDiv w:val="1"/>
      <w:marLeft w:val="0"/>
      <w:marRight w:val="0"/>
      <w:marTop w:val="0"/>
      <w:marBottom w:val="0"/>
      <w:divBdr>
        <w:top w:val="none" w:sz="0" w:space="0" w:color="auto"/>
        <w:left w:val="none" w:sz="0" w:space="0" w:color="auto"/>
        <w:bottom w:val="none" w:sz="0" w:space="0" w:color="auto"/>
        <w:right w:val="none" w:sz="0" w:space="0" w:color="auto"/>
      </w:divBdr>
    </w:div>
    <w:div w:id="1406224250">
      <w:bodyDiv w:val="1"/>
      <w:marLeft w:val="0"/>
      <w:marRight w:val="0"/>
      <w:marTop w:val="0"/>
      <w:marBottom w:val="0"/>
      <w:divBdr>
        <w:top w:val="none" w:sz="0" w:space="0" w:color="auto"/>
        <w:left w:val="none" w:sz="0" w:space="0" w:color="auto"/>
        <w:bottom w:val="none" w:sz="0" w:space="0" w:color="auto"/>
        <w:right w:val="none" w:sz="0" w:space="0" w:color="auto"/>
      </w:divBdr>
    </w:div>
    <w:div w:id="1406682906">
      <w:bodyDiv w:val="1"/>
      <w:marLeft w:val="0"/>
      <w:marRight w:val="0"/>
      <w:marTop w:val="0"/>
      <w:marBottom w:val="0"/>
      <w:divBdr>
        <w:top w:val="none" w:sz="0" w:space="0" w:color="auto"/>
        <w:left w:val="none" w:sz="0" w:space="0" w:color="auto"/>
        <w:bottom w:val="none" w:sz="0" w:space="0" w:color="auto"/>
        <w:right w:val="none" w:sz="0" w:space="0" w:color="auto"/>
      </w:divBdr>
    </w:div>
    <w:div w:id="1407340540">
      <w:bodyDiv w:val="1"/>
      <w:marLeft w:val="0"/>
      <w:marRight w:val="0"/>
      <w:marTop w:val="0"/>
      <w:marBottom w:val="0"/>
      <w:divBdr>
        <w:top w:val="none" w:sz="0" w:space="0" w:color="auto"/>
        <w:left w:val="none" w:sz="0" w:space="0" w:color="auto"/>
        <w:bottom w:val="none" w:sz="0" w:space="0" w:color="auto"/>
        <w:right w:val="none" w:sz="0" w:space="0" w:color="auto"/>
      </w:divBdr>
    </w:div>
    <w:div w:id="1407609040">
      <w:bodyDiv w:val="1"/>
      <w:marLeft w:val="0"/>
      <w:marRight w:val="0"/>
      <w:marTop w:val="0"/>
      <w:marBottom w:val="0"/>
      <w:divBdr>
        <w:top w:val="none" w:sz="0" w:space="0" w:color="auto"/>
        <w:left w:val="none" w:sz="0" w:space="0" w:color="auto"/>
        <w:bottom w:val="none" w:sz="0" w:space="0" w:color="auto"/>
        <w:right w:val="none" w:sz="0" w:space="0" w:color="auto"/>
      </w:divBdr>
    </w:div>
    <w:div w:id="1407803188">
      <w:bodyDiv w:val="1"/>
      <w:marLeft w:val="0"/>
      <w:marRight w:val="0"/>
      <w:marTop w:val="0"/>
      <w:marBottom w:val="0"/>
      <w:divBdr>
        <w:top w:val="none" w:sz="0" w:space="0" w:color="auto"/>
        <w:left w:val="none" w:sz="0" w:space="0" w:color="auto"/>
        <w:bottom w:val="none" w:sz="0" w:space="0" w:color="auto"/>
        <w:right w:val="none" w:sz="0" w:space="0" w:color="auto"/>
      </w:divBdr>
    </w:div>
    <w:div w:id="1408072698">
      <w:bodyDiv w:val="1"/>
      <w:marLeft w:val="0"/>
      <w:marRight w:val="0"/>
      <w:marTop w:val="0"/>
      <w:marBottom w:val="0"/>
      <w:divBdr>
        <w:top w:val="none" w:sz="0" w:space="0" w:color="auto"/>
        <w:left w:val="none" w:sz="0" w:space="0" w:color="auto"/>
        <w:bottom w:val="none" w:sz="0" w:space="0" w:color="auto"/>
        <w:right w:val="none" w:sz="0" w:space="0" w:color="auto"/>
      </w:divBdr>
    </w:div>
    <w:div w:id="1410031900">
      <w:bodyDiv w:val="1"/>
      <w:marLeft w:val="0"/>
      <w:marRight w:val="0"/>
      <w:marTop w:val="0"/>
      <w:marBottom w:val="0"/>
      <w:divBdr>
        <w:top w:val="none" w:sz="0" w:space="0" w:color="auto"/>
        <w:left w:val="none" w:sz="0" w:space="0" w:color="auto"/>
        <w:bottom w:val="none" w:sz="0" w:space="0" w:color="auto"/>
        <w:right w:val="none" w:sz="0" w:space="0" w:color="auto"/>
      </w:divBdr>
    </w:div>
    <w:div w:id="1410039478">
      <w:bodyDiv w:val="1"/>
      <w:marLeft w:val="0"/>
      <w:marRight w:val="0"/>
      <w:marTop w:val="0"/>
      <w:marBottom w:val="0"/>
      <w:divBdr>
        <w:top w:val="none" w:sz="0" w:space="0" w:color="auto"/>
        <w:left w:val="none" w:sz="0" w:space="0" w:color="auto"/>
        <w:bottom w:val="none" w:sz="0" w:space="0" w:color="auto"/>
        <w:right w:val="none" w:sz="0" w:space="0" w:color="auto"/>
      </w:divBdr>
    </w:div>
    <w:div w:id="1410538938">
      <w:bodyDiv w:val="1"/>
      <w:marLeft w:val="0"/>
      <w:marRight w:val="0"/>
      <w:marTop w:val="0"/>
      <w:marBottom w:val="0"/>
      <w:divBdr>
        <w:top w:val="none" w:sz="0" w:space="0" w:color="auto"/>
        <w:left w:val="none" w:sz="0" w:space="0" w:color="auto"/>
        <w:bottom w:val="none" w:sz="0" w:space="0" w:color="auto"/>
        <w:right w:val="none" w:sz="0" w:space="0" w:color="auto"/>
      </w:divBdr>
    </w:div>
    <w:div w:id="1411122040">
      <w:bodyDiv w:val="1"/>
      <w:marLeft w:val="0"/>
      <w:marRight w:val="0"/>
      <w:marTop w:val="0"/>
      <w:marBottom w:val="0"/>
      <w:divBdr>
        <w:top w:val="none" w:sz="0" w:space="0" w:color="auto"/>
        <w:left w:val="none" w:sz="0" w:space="0" w:color="auto"/>
        <w:bottom w:val="none" w:sz="0" w:space="0" w:color="auto"/>
        <w:right w:val="none" w:sz="0" w:space="0" w:color="auto"/>
      </w:divBdr>
    </w:div>
    <w:div w:id="1411460646">
      <w:bodyDiv w:val="1"/>
      <w:marLeft w:val="0"/>
      <w:marRight w:val="0"/>
      <w:marTop w:val="0"/>
      <w:marBottom w:val="0"/>
      <w:divBdr>
        <w:top w:val="none" w:sz="0" w:space="0" w:color="auto"/>
        <w:left w:val="none" w:sz="0" w:space="0" w:color="auto"/>
        <w:bottom w:val="none" w:sz="0" w:space="0" w:color="auto"/>
        <w:right w:val="none" w:sz="0" w:space="0" w:color="auto"/>
      </w:divBdr>
    </w:div>
    <w:div w:id="1412848573">
      <w:bodyDiv w:val="1"/>
      <w:marLeft w:val="0"/>
      <w:marRight w:val="0"/>
      <w:marTop w:val="0"/>
      <w:marBottom w:val="0"/>
      <w:divBdr>
        <w:top w:val="none" w:sz="0" w:space="0" w:color="auto"/>
        <w:left w:val="none" w:sz="0" w:space="0" w:color="auto"/>
        <w:bottom w:val="none" w:sz="0" w:space="0" w:color="auto"/>
        <w:right w:val="none" w:sz="0" w:space="0" w:color="auto"/>
      </w:divBdr>
    </w:div>
    <w:div w:id="1413546530">
      <w:bodyDiv w:val="1"/>
      <w:marLeft w:val="0"/>
      <w:marRight w:val="0"/>
      <w:marTop w:val="0"/>
      <w:marBottom w:val="0"/>
      <w:divBdr>
        <w:top w:val="none" w:sz="0" w:space="0" w:color="auto"/>
        <w:left w:val="none" w:sz="0" w:space="0" w:color="auto"/>
        <w:bottom w:val="none" w:sz="0" w:space="0" w:color="auto"/>
        <w:right w:val="none" w:sz="0" w:space="0" w:color="auto"/>
      </w:divBdr>
    </w:div>
    <w:div w:id="1413550824">
      <w:bodyDiv w:val="1"/>
      <w:marLeft w:val="0"/>
      <w:marRight w:val="0"/>
      <w:marTop w:val="0"/>
      <w:marBottom w:val="0"/>
      <w:divBdr>
        <w:top w:val="none" w:sz="0" w:space="0" w:color="auto"/>
        <w:left w:val="none" w:sz="0" w:space="0" w:color="auto"/>
        <w:bottom w:val="none" w:sz="0" w:space="0" w:color="auto"/>
        <w:right w:val="none" w:sz="0" w:space="0" w:color="auto"/>
      </w:divBdr>
    </w:div>
    <w:div w:id="1413816118">
      <w:bodyDiv w:val="1"/>
      <w:marLeft w:val="0"/>
      <w:marRight w:val="0"/>
      <w:marTop w:val="0"/>
      <w:marBottom w:val="0"/>
      <w:divBdr>
        <w:top w:val="none" w:sz="0" w:space="0" w:color="auto"/>
        <w:left w:val="none" w:sz="0" w:space="0" w:color="auto"/>
        <w:bottom w:val="none" w:sz="0" w:space="0" w:color="auto"/>
        <w:right w:val="none" w:sz="0" w:space="0" w:color="auto"/>
      </w:divBdr>
    </w:div>
    <w:div w:id="1414742448">
      <w:bodyDiv w:val="1"/>
      <w:marLeft w:val="0"/>
      <w:marRight w:val="0"/>
      <w:marTop w:val="0"/>
      <w:marBottom w:val="0"/>
      <w:divBdr>
        <w:top w:val="none" w:sz="0" w:space="0" w:color="auto"/>
        <w:left w:val="none" w:sz="0" w:space="0" w:color="auto"/>
        <w:bottom w:val="none" w:sz="0" w:space="0" w:color="auto"/>
        <w:right w:val="none" w:sz="0" w:space="0" w:color="auto"/>
      </w:divBdr>
    </w:div>
    <w:div w:id="1415056276">
      <w:bodyDiv w:val="1"/>
      <w:marLeft w:val="0"/>
      <w:marRight w:val="0"/>
      <w:marTop w:val="0"/>
      <w:marBottom w:val="0"/>
      <w:divBdr>
        <w:top w:val="none" w:sz="0" w:space="0" w:color="auto"/>
        <w:left w:val="none" w:sz="0" w:space="0" w:color="auto"/>
        <w:bottom w:val="none" w:sz="0" w:space="0" w:color="auto"/>
        <w:right w:val="none" w:sz="0" w:space="0" w:color="auto"/>
      </w:divBdr>
    </w:div>
    <w:div w:id="1417050488">
      <w:bodyDiv w:val="1"/>
      <w:marLeft w:val="0"/>
      <w:marRight w:val="0"/>
      <w:marTop w:val="0"/>
      <w:marBottom w:val="0"/>
      <w:divBdr>
        <w:top w:val="none" w:sz="0" w:space="0" w:color="auto"/>
        <w:left w:val="none" w:sz="0" w:space="0" w:color="auto"/>
        <w:bottom w:val="none" w:sz="0" w:space="0" w:color="auto"/>
        <w:right w:val="none" w:sz="0" w:space="0" w:color="auto"/>
      </w:divBdr>
    </w:div>
    <w:div w:id="1418362640">
      <w:bodyDiv w:val="1"/>
      <w:marLeft w:val="0"/>
      <w:marRight w:val="0"/>
      <w:marTop w:val="0"/>
      <w:marBottom w:val="0"/>
      <w:divBdr>
        <w:top w:val="none" w:sz="0" w:space="0" w:color="auto"/>
        <w:left w:val="none" w:sz="0" w:space="0" w:color="auto"/>
        <w:bottom w:val="none" w:sz="0" w:space="0" w:color="auto"/>
        <w:right w:val="none" w:sz="0" w:space="0" w:color="auto"/>
      </w:divBdr>
    </w:div>
    <w:div w:id="1421559258">
      <w:bodyDiv w:val="1"/>
      <w:marLeft w:val="0"/>
      <w:marRight w:val="0"/>
      <w:marTop w:val="0"/>
      <w:marBottom w:val="0"/>
      <w:divBdr>
        <w:top w:val="none" w:sz="0" w:space="0" w:color="auto"/>
        <w:left w:val="none" w:sz="0" w:space="0" w:color="auto"/>
        <w:bottom w:val="none" w:sz="0" w:space="0" w:color="auto"/>
        <w:right w:val="none" w:sz="0" w:space="0" w:color="auto"/>
      </w:divBdr>
    </w:div>
    <w:div w:id="1421901388">
      <w:bodyDiv w:val="1"/>
      <w:marLeft w:val="0"/>
      <w:marRight w:val="0"/>
      <w:marTop w:val="0"/>
      <w:marBottom w:val="0"/>
      <w:divBdr>
        <w:top w:val="none" w:sz="0" w:space="0" w:color="auto"/>
        <w:left w:val="none" w:sz="0" w:space="0" w:color="auto"/>
        <w:bottom w:val="none" w:sz="0" w:space="0" w:color="auto"/>
        <w:right w:val="none" w:sz="0" w:space="0" w:color="auto"/>
      </w:divBdr>
    </w:div>
    <w:div w:id="1422725426">
      <w:bodyDiv w:val="1"/>
      <w:marLeft w:val="0"/>
      <w:marRight w:val="0"/>
      <w:marTop w:val="0"/>
      <w:marBottom w:val="0"/>
      <w:divBdr>
        <w:top w:val="none" w:sz="0" w:space="0" w:color="auto"/>
        <w:left w:val="none" w:sz="0" w:space="0" w:color="auto"/>
        <w:bottom w:val="none" w:sz="0" w:space="0" w:color="auto"/>
        <w:right w:val="none" w:sz="0" w:space="0" w:color="auto"/>
      </w:divBdr>
    </w:div>
    <w:div w:id="1422752468">
      <w:bodyDiv w:val="1"/>
      <w:marLeft w:val="0"/>
      <w:marRight w:val="0"/>
      <w:marTop w:val="0"/>
      <w:marBottom w:val="0"/>
      <w:divBdr>
        <w:top w:val="none" w:sz="0" w:space="0" w:color="auto"/>
        <w:left w:val="none" w:sz="0" w:space="0" w:color="auto"/>
        <w:bottom w:val="none" w:sz="0" w:space="0" w:color="auto"/>
        <w:right w:val="none" w:sz="0" w:space="0" w:color="auto"/>
      </w:divBdr>
    </w:div>
    <w:div w:id="1423526477">
      <w:bodyDiv w:val="1"/>
      <w:marLeft w:val="0"/>
      <w:marRight w:val="0"/>
      <w:marTop w:val="0"/>
      <w:marBottom w:val="0"/>
      <w:divBdr>
        <w:top w:val="none" w:sz="0" w:space="0" w:color="auto"/>
        <w:left w:val="none" w:sz="0" w:space="0" w:color="auto"/>
        <w:bottom w:val="none" w:sz="0" w:space="0" w:color="auto"/>
        <w:right w:val="none" w:sz="0" w:space="0" w:color="auto"/>
      </w:divBdr>
    </w:div>
    <w:div w:id="1423837042">
      <w:bodyDiv w:val="1"/>
      <w:marLeft w:val="0"/>
      <w:marRight w:val="0"/>
      <w:marTop w:val="0"/>
      <w:marBottom w:val="0"/>
      <w:divBdr>
        <w:top w:val="none" w:sz="0" w:space="0" w:color="auto"/>
        <w:left w:val="none" w:sz="0" w:space="0" w:color="auto"/>
        <w:bottom w:val="none" w:sz="0" w:space="0" w:color="auto"/>
        <w:right w:val="none" w:sz="0" w:space="0" w:color="auto"/>
      </w:divBdr>
    </w:div>
    <w:div w:id="1424649784">
      <w:bodyDiv w:val="1"/>
      <w:marLeft w:val="0"/>
      <w:marRight w:val="0"/>
      <w:marTop w:val="0"/>
      <w:marBottom w:val="0"/>
      <w:divBdr>
        <w:top w:val="none" w:sz="0" w:space="0" w:color="auto"/>
        <w:left w:val="none" w:sz="0" w:space="0" w:color="auto"/>
        <w:bottom w:val="none" w:sz="0" w:space="0" w:color="auto"/>
        <w:right w:val="none" w:sz="0" w:space="0" w:color="auto"/>
      </w:divBdr>
    </w:div>
    <w:div w:id="1425149487">
      <w:bodyDiv w:val="1"/>
      <w:marLeft w:val="0"/>
      <w:marRight w:val="0"/>
      <w:marTop w:val="0"/>
      <w:marBottom w:val="0"/>
      <w:divBdr>
        <w:top w:val="none" w:sz="0" w:space="0" w:color="auto"/>
        <w:left w:val="none" w:sz="0" w:space="0" w:color="auto"/>
        <w:bottom w:val="none" w:sz="0" w:space="0" w:color="auto"/>
        <w:right w:val="none" w:sz="0" w:space="0" w:color="auto"/>
      </w:divBdr>
    </w:div>
    <w:div w:id="1426536324">
      <w:bodyDiv w:val="1"/>
      <w:marLeft w:val="0"/>
      <w:marRight w:val="0"/>
      <w:marTop w:val="0"/>
      <w:marBottom w:val="0"/>
      <w:divBdr>
        <w:top w:val="none" w:sz="0" w:space="0" w:color="auto"/>
        <w:left w:val="none" w:sz="0" w:space="0" w:color="auto"/>
        <w:bottom w:val="none" w:sz="0" w:space="0" w:color="auto"/>
        <w:right w:val="none" w:sz="0" w:space="0" w:color="auto"/>
      </w:divBdr>
    </w:div>
    <w:div w:id="1426879759">
      <w:bodyDiv w:val="1"/>
      <w:marLeft w:val="0"/>
      <w:marRight w:val="0"/>
      <w:marTop w:val="0"/>
      <w:marBottom w:val="0"/>
      <w:divBdr>
        <w:top w:val="none" w:sz="0" w:space="0" w:color="auto"/>
        <w:left w:val="none" w:sz="0" w:space="0" w:color="auto"/>
        <w:bottom w:val="none" w:sz="0" w:space="0" w:color="auto"/>
        <w:right w:val="none" w:sz="0" w:space="0" w:color="auto"/>
      </w:divBdr>
    </w:div>
    <w:div w:id="1427387430">
      <w:bodyDiv w:val="1"/>
      <w:marLeft w:val="0"/>
      <w:marRight w:val="0"/>
      <w:marTop w:val="0"/>
      <w:marBottom w:val="0"/>
      <w:divBdr>
        <w:top w:val="none" w:sz="0" w:space="0" w:color="auto"/>
        <w:left w:val="none" w:sz="0" w:space="0" w:color="auto"/>
        <w:bottom w:val="none" w:sz="0" w:space="0" w:color="auto"/>
        <w:right w:val="none" w:sz="0" w:space="0" w:color="auto"/>
      </w:divBdr>
    </w:div>
    <w:div w:id="1427917017">
      <w:bodyDiv w:val="1"/>
      <w:marLeft w:val="0"/>
      <w:marRight w:val="0"/>
      <w:marTop w:val="0"/>
      <w:marBottom w:val="0"/>
      <w:divBdr>
        <w:top w:val="none" w:sz="0" w:space="0" w:color="auto"/>
        <w:left w:val="none" w:sz="0" w:space="0" w:color="auto"/>
        <w:bottom w:val="none" w:sz="0" w:space="0" w:color="auto"/>
        <w:right w:val="none" w:sz="0" w:space="0" w:color="auto"/>
      </w:divBdr>
    </w:div>
    <w:div w:id="1428884245">
      <w:bodyDiv w:val="1"/>
      <w:marLeft w:val="0"/>
      <w:marRight w:val="0"/>
      <w:marTop w:val="0"/>
      <w:marBottom w:val="0"/>
      <w:divBdr>
        <w:top w:val="none" w:sz="0" w:space="0" w:color="auto"/>
        <w:left w:val="none" w:sz="0" w:space="0" w:color="auto"/>
        <w:bottom w:val="none" w:sz="0" w:space="0" w:color="auto"/>
        <w:right w:val="none" w:sz="0" w:space="0" w:color="auto"/>
      </w:divBdr>
    </w:div>
    <w:div w:id="1430078660">
      <w:bodyDiv w:val="1"/>
      <w:marLeft w:val="0"/>
      <w:marRight w:val="0"/>
      <w:marTop w:val="0"/>
      <w:marBottom w:val="0"/>
      <w:divBdr>
        <w:top w:val="none" w:sz="0" w:space="0" w:color="auto"/>
        <w:left w:val="none" w:sz="0" w:space="0" w:color="auto"/>
        <w:bottom w:val="none" w:sz="0" w:space="0" w:color="auto"/>
        <w:right w:val="none" w:sz="0" w:space="0" w:color="auto"/>
      </w:divBdr>
    </w:div>
    <w:div w:id="1430275768">
      <w:bodyDiv w:val="1"/>
      <w:marLeft w:val="0"/>
      <w:marRight w:val="0"/>
      <w:marTop w:val="0"/>
      <w:marBottom w:val="0"/>
      <w:divBdr>
        <w:top w:val="none" w:sz="0" w:space="0" w:color="auto"/>
        <w:left w:val="none" w:sz="0" w:space="0" w:color="auto"/>
        <w:bottom w:val="none" w:sz="0" w:space="0" w:color="auto"/>
        <w:right w:val="none" w:sz="0" w:space="0" w:color="auto"/>
      </w:divBdr>
    </w:div>
    <w:div w:id="1431512502">
      <w:bodyDiv w:val="1"/>
      <w:marLeft w:val="0"/>
      <w:marRight w:val="0"/>
      <w:marTop w:val="0"/>
      <w:marBottom w:val="0"/>
      <w:divBdr>
        <w:top w:val="none" w:sz="0" w:space="0" w:color="auto"/>
        <w:left w:val="none" w:sz="0" w:space="0" w:color="auto"/>
        <w:bottom w:val="none" w:sz="0" w:space="0" w:color="auto"/>
        <w:right w:val="none" w:sz="0" w:space="0" w:color="auto"/>
      </w:divBdr>
    </w:div>
    <w:div w:id="1432776950">
      <w:bodyDiv w:val="1"/>
      <w:marLeft w:val="0"/>
      <w:marRight w:val="0"/>
      <w:marTop w:val="0"/>
      <w:marBottom w:val="0"/>
      <w:divBdr>
        <w:top w:val="none" w:sz="0" w:space="0" w:color="auto"/>
        <w:left w:val="none" w:sz="0" w:space="0" w:color="auto"/>
        <w:bottom w:val="none" w:sz="0" w:space="0" w:color="auto"/>
        <w:right w:val="none" w:sz="0" w:space="0" w:color="auto"/>
      </w:divBdr>
    </w:div>
    <w:div w:id="1433893623">
      <w:bodyDiv w:val="1"/>
      <w:marLeft w:val="0"/>
      <w:marRight w:val="0"/>
      <w:marTop w:val="0"/>
      <w:marBottom w:val="0"/>
      <w:divBdr>
        <w:top w:val="none" w:sz="0" w:space="0" w:color="auto"/>
        <w:left w:val="none" w:sz="0" w:space="0" w:color="auto"/>
        <w:bottom w:val="none" w:sz="0" w:space="0" w:color="auto"/>
        <w:right w:val="none" w:sz="0" w:space="0" w:color="auto"/>
      </w:divBdr>
    </w:div>
    <w:div w:id="1435319308">
      <w:bodyDiv w:val="1"/>
      <w:marLeft w:val="0"/>
      <w:marRight w:val="0"/>
      <w:marTop w:val="0"/>
      <w:marBottom w:val="0"/>
      <w:divBdr>
        <w:top w:val="none" w:sz="0" w:space="0" w:color="auto"/>
        <w:left w:val="none" w:sz="0" w:space="0" w:color="auto"/>
        <w:bottom w:val="none" w:sz="0" w:space="0" w:color="auto"/>
        <w:right w:val="none" w:sz="0" w:space="0" w:color="auto"/>
      </w:divBdr>
    </w:div>
    <w:div w:id="1435444465">
      <w:bodyDiv w:val="1"/>
      <w:marLeft w:val="0"/>
      <w:marRight w:val="0"/>
      <w:marTop w:val="0"/>
      <w:marBottom w:val="0"/>
      <w:divBdr>
        <w:top w:val="none" w:sz="0" w:space="0" w:color="auto"/>
        <w:left w:val="none" w:sz="0" w:space="0" w:color="auto"/>
        <w:bottom w:val="none" w:sz="0" w:space="0" w:color="auto"/>
        <w:right w:val="none" w:sz="0" w:space="0" w:color="auto"/>
      </w:divBdr>
    </w:div>
    <w:div w:id="1435855961">
      <w:bodyDiv w:val="1"/>
      <w:marLeft w:val="0"/>
      <w:marRight w:val="0"/>
      <w:marTop w:val="0"/>
      <w:marBottom w:val="0"/>
      <w:divBdr>
        <w:top w:val="none" w:sz="0" w:space="0" w:color="auto"/>
        <w:left w:val="none" w:sz="0" w:space="0" w:color="auto"/>
        <w:bottom w:val="none" w:sz="0" w:space="0" w:color="auto"/>
        <w:right w:val="none" w:sz="0" w:space="0" w:color="auto"/>
      </w:divBdr>
    </w:div>
    <w:div w:id="1435979151">
      <w:bodyDiv w:val="1"/>
      <w:marLeft w:val="0"/>
      <w:marRight w:val="0"/>
      <w:marTop w:val="0"/>
      <w:marBottom w:val="0"/>
      <w:divBdr>
        <w:top w:val="none" w:sz="0" w:space="0" w:color="auto"/>
        <w:left w:val="none" w:sz="0" w:space="0" w:color="auto"/>
        <w:bottom w:val="none" w:sz="0" w:space="0" w:color="auto"/>
        <w:right w:val="none" w:sz="0" w:space="0" w:color="auto"/>
      </w:divBdr>
    </w:div>
    <w:div w:id="1436707207">
      <w:bodyDiv w:val="1"/>
      <w:marLeft w:val="0"/>
      <w:marRight w:val="0"/>
      <w:marTop w:val="0"/>
      <w:marBottom w:val="0"/>
      <w:divBdr>
        <w:top w:val="none" w:sz="0" w:space="0" w:color="auto"/>
        <w:left w:val="none" w:sz="0" w:space="0" w:color="auto"/>
        <w:bottom w:val="none" w:sz="0" w:space="0" w:color="auto"/>
        <w:right w:val="none" w:sz="0" w:space="0" w:color="auto"/>
      </w:divBdr>
    </w:div>
    <w:div w:id="1437290213">
      <w:bodyDiv w:val="1"/>
      <w:marLeft w:val="0"/>
      <w:marRight w:val="0"/>
      <w:marTop w:val="0"/>
      <w:marBottom w:val="0"/>
      <w:divBdr>
        <w:top w:val="none" w:sz="0" w:space="0" w:color="auto"/>
        <w:left w:val="none" w:sz="0" w:space="0" w:color="auto"/>
        <w:bottom w:val="none" w:sz="0" w:space="0" w:color="auto"/>
        <w:right w:val="none" w:sz="0" w:space="0" w:color="auto"/>
      </w:divBdr>
    </w:div>
    <w:div w:id="1438863099">
      <w:bodyDiv w:val="1"/>
      <w:marLeft w:val="0"/>
      <w:marRight w:val="0"/>
      <w:marTop w:val="0"/>
      <w:marBottom w:val="0"/>
      <w:divBdr>
        <w:top w:val="none" w:sz="0" w:space="0" w:color="auto"/>
        <w:left w:val="none" w:sz="0" w:space="0" w:color="auto"/>
        <w:bottom w:val="none" w:sz="0" w:space="0" w:color="auto"/>
        <w:right w:val="none" w:sz="0" w:space="0" w:color="auto"/>
      </w:divBdr>
    </w:div>
    <w:div w:id="1439523564">
      <w:bodyDiv w:val="1"/>
      <w:marLeft w:val="0"/>
      <w:marRight w:val="0"/>
      <w:marTop w:val="0"/>
      <w:marBottom w:val="0"/>
      <w:divBdr>
        <w:top w:val="none" w:sz="0" w:space="0" w:color="auto"/>
        <w:left w:val="none" w:sz="0" w:space="0" w:color="auto"/>
        <w:bottom w:val="none" w:sz="0" w:space="0" w:color="auto"/>
        <w:right w:val="none" w:sz="0" w:space="0" w:color="auto"/>
      </w:divBdr>
    </w:div>
    <w:div w:id="1439643796">
      <w:bodyDiv w:val="1"/>
      <w:marLeft w:val="0"/>
      <w:marRight w:val="0"/>
      <w:marTop w:val="0"/>
      <w:marBottom w:val="0"/>
      <w:divBdr>
        <w:top w:val="none" w:sz="0" w:space="0" w:color="auto"/>
        <w:left w:val="none" w:sz="0" w:space="0" w:color="auto"/>
        <w:bottom w:val="none" w:sz="0" w:space="0" w:color="auto"/>
        <w:right w:val="none" w:sz="0" w:space="0" w:color="auto"/>
      </w:divBdr>
    </w:div>
    <w:div w:id="1440368675">
      <w:bodyDiv w:val="1"/>
      <w:marLeft w:val="0"/>
      <w:marRight w:val="0"/>
      <w:marTop w:val="0"/>
      <w:marBottom w:val="0"/>
      <w:divBdr>
        <w:top w:val="none" w:sz="0" w:space="0" w:color="auto"/>
        <w:left w:val="none" w:sz="0" w:space="0" w:color="auto"/>
        <w:bottom w:val="none" w:sz="0" w:space="0" w:color="auto"/>
        <w:right w:val="none" w:sz="0" w:space="0" w:color="auto"/>
      </w:divBdr>
    </w:div>
    <w:div w:id="1440950841">
      <w:bodyDiv w:val="1"/>
      <w:marLeft w:val="0"/>
      <w:marRight w:val="0"/>
      <w:marTop w:val="0"/>
      <w:marBottom w:val="0"/>
      <w:divBdr>
        <w:top w:val="none" w:sz="0" w:space="0" w:color="auto"/>
        <w:left w:val="none" w:sz="0" w:space="0" w:color="auto"/>
        <w:bottom w:val="none" w:sz="0" w:space="0" w:color="auto"/>
        <w:right w:val="none" w:sz="0" w:space="0" w:color="auto"/>
      </w:divBdr>
    </w:div>
    <w:div w:id="1441535163">
      <w:bodyDiv w:val="1"/>
      <w:marLeft w:val="0"/>
      <w:marRight w:val="0"/>
      <w:marTop w:val="0"/>
      <w:marBottom w:val="0"/>
      <w:divBdr>
        <w:top w:val="none" w:sz="0" w:space="0" w:color="auto"/>
        <w:left w:val="none" w:sz="0" w:space="0" w:color="auto"/>
        <w:bottom w:val="none" w:sz="0" w:space="0" w:color="auto"/>
        <w:right w:val="none" w:sz="0" w:space="0" w:color="auto"/>
      </w:divBdr>
    </w:div>
    <w:div w:id="1441993893">
      <w:bodyDiv w:val="1"/>
      <w:marLeft w:val="0"/>
      <w:marRight w:val="0"/>
      <w:marTop w:val="0"/>
      <w:marBottom w:val="0"/>
      <w:divBdr>
        <w:top w:val="none" w:sz="0" w:space="0" w:color="auto"/>
        <w:left w:val="none" w:sz="0" w:space="0" w:color="auto"/>
        <w:bottom w:val="none" w:sz="0" w:space="0" w:color="auto"/>
        <w:right w:val="none" w:sz="0" w:space="0" w:color="auto"/>
      </w:divBdr>
    </w:div>
    <w:div w:id="1442382061">
      <w:bodyDiv w:val="1"/>
      <w:marLeft w:val="0"/>
      <w:marRight w:val="0"/>
      <w:marTop w:val="0"/>
      <w:marBottom w:val="0"/>
      <w:divBdr>
        <w:top w:val="none" w:sz="0" w:space="0" w:color="auto"/>
        <w:left w:val="none" w:sz="0" w:space="0" w:color="auto"/>
        <w:bottom w:val="none" w:sz="0" w:space="0" w:color="auto"/>
        <w:right w:val="none" w:sz="0" w:space="0" w:color="auto"/>
      </w:divBdr>
    </w:div>
    <w:div w:id="1443718930">
      <w:bodyDiv w:val="1"/>
      <w:marLeft w:val="0"/>
      <w:marRight w:val="0"/>
      <w:marTop w:val="0"/>
      <w:marBottom w:val="0"/>
      <w:divBdr>
        <w:top w:val="none" w:sz="0" w:space="0" w:color="auto"/>
        <w:left w:val="none" w:sz="0" w:space="0" w:color="auto"/>
        <w:bottom w:val="none" w:sz="0" w:space="0" w:color="auto"/>
        <w:right w:val="none" w:sz="0" w:space="0" w:color="auto"/>
      </w:divBdr>
    </w:div>
    <w:div w:id="1443844765">
      <w:bodyDiv w:val="1"/>
      <w:marLeft w:val="0"/>
      <w:marRight w:val="0"/>
      <w:marTop w:val="0"/>
      <w:marBottom w:val="0"/>
      <w:divBdr>
        <w:top w:val="none" w:sz="0" w:space="0" w:color="auto"/>
        <w:left w:val="none" w:sz="0" w:space="0" w:color="auto"/>
        <w:bottom w:val="none" w:sz="0" w:space="0" w:color="auto"/>
        <w:right w:val="none" w:sz="0" w:space="0" w:color="auto"/>
      </w:divBdr>
    </w:div>
    <w:div w:id="1444031261">
      <w:bodyDiv w:val="1"/>
      <w:marLeft w:val="0"/>
      <w:marRight w:val="0"/>
      <w:marTop w:val="0"/>
      <w:marBottom w:val="0"/>
      <w:divBdr>
        <w:top w:val="none" w:sz="0" w:space="0" w:color="auto"/>
        <w:left w:val="none" w:sz="0" w:space="0" w:color="auto"/>
        <w:bottom w:val="none" w:sz="0" w:space="0" w:color="auto"/>
        <w:right w:val="none" w:sz="0" w:space="0" w:color="auto"/>
      </w:divBdr>
    </w:div>
    <w:div w:id="1445809806">
      <w:bodyDiv w:val="1"/>
      <w:marLeft w:val="0"/>
      <w:marRight w:val="0"/>
      <w:marTop w:val="0"/>
      <w:marBottom w:val="0"/>
      <w:divBdr>
        <w:top w:val="none" w:sz="0" w:space="0" w:color="auto"/>
        <w:left w:val="none" w:sz="0" w:space="0" w:color="auto"/>
        <w:bottom w:val="none" w:sz="0" w:space="0" w:color="auto"/>
        <w:right w:val="none" w:sz="0" w:space="0" w:color="auto"/>
      </w:divBdr>
    </w:div>
    <w:div w:id="1445881066">
      <w:bodyDiv w:val="1"/>
      <w:marLeft w:val="0"/>
      <w:marRight w:val="0"/>
      <w:marTop w:val="0"/>
      <w:marBottom w:val="0"/>
      <w:divBdr>
        <w:top w:val="none" w:sz="0" w:space="0" w:color="auto"/>
        <w:left w:val="none" w:sz="0" w:space="0" w:color="auto"/>
        <w:bottom w:val="none" w:sz="0" w:space="0" w:color="auto"/>
        <w:right w:val="none" w:sz="0" w:space="0" w:color="auto"/>
      </w:divBdr>
    </w:div>
    <w:div w:id="1448087629">
      <w:bodyDiv w:val="1"/>
      <w:marLeft w:val="0"/>
      <w:marRight w:val="0"/>
      <w:marTop w:val="0"/>
      <w:marBottom w:val="0"/>
      <w:divBdr>
        <w:top w:val="none" w:sz="0" w:space="0" w:color="auto"/>
        <w:left w:val="none" w:sz="0" w:space="0" w:color="auto"/>
        <w:bottom w:val="none" w:sz="0" w:space="0" w:color="auto"/>
        <w:right w:val="none" w:sz="0" w:space="0" w:color="auto"/>
      </w:divBdr>
    </w:div>
    <w:div w:id="1448623238">
      <w:bodyDiv w:val="1"/>
      <w:marLeft w:val="0"/>
      <w:marRight w:val="0"/>
      <w:marTop w:val="0"/>
      <w:marBottom w:val="0"/>
      <w:divBdr>
        <w:top w:val="none" w:sz="0" w:space="0" w:color="auto"/>
        <w:left w:val="none" w:sz="0" w:space="0" w:color="auto"/>
        <w:bottom w:val="none" w:sz="0" w:space="0" w:color="auto"/>
        <w:right w:val="none" w:sz="0" w:space="0" w:color="auto"/>
      </w:divBdr>
    </w:div>
    <w:div w:id="1448967607">
      <w:bodyDiv w:val="1"/>
      <w:marLeft w:val="0"/>
      <w:marRight w:val="0"/>
      <w:marTop w:val="0"/>
      <w:marBottom w:val="0"/>
      <w:divBdr>
        <w:top w:val="none" w:sz="0" w:space="0" w:color="auto"/>
        <w:left w:val="none" w:sz="0" w:space="0" w:color="auto"/>
        <w:bottom w:val="none" w:sz="0" w:space="0" w:color="auto"/>
        <w:right w:val="none" w:sz="0" w:space="0" w:color="auto"/>
      </w:divBdr>
    </w:div>
    <w:div w:id="1449398361">
      <w:bodyDiv w:val="1"/>
      <w:marLeft w:val="0"/>
      <w:marRight w:val="0"/>
      <w:marTop w:val="0"/>
      <w:marBottom w:val="0"/>
      <w:divBdr>
        <w:top w:val="none" w:sz="0" w:space="0" w:color="auto"/>
        <w:left w:val="none" w:sz="0" w:space="0" w:color="auto"/>
        <w:bottom w:val="none" w:sz="0" w:space="0" w:color="auto"/>
        <w:right w:val="none" w:sz="0" w:space="0" w:color="auto"/>
      </w:divBdr>
    </w:div>
    <w:div w:id="1450516899">
      <w:bodyDiv w:val="1"/>
      <w:marLeft w:val="0"/>
      <w:marRight w:val="0"/>
      <w:marTop w:val="0"/>
      <w:marBottom w:val="0"/>
      <w:divBdr>
        <w:top w:val="none" w:sz="0" w:space="0" w:color="auto"/>
        <w:left w:val="none" w:sz="0" w:space="0" w:color="auto"/>
        <w:bottom w:val="none" w:sz="0" w:space="0" w:color="auto"/>
        <w:right w:val="none" w:sz="0" w:space="0" w:color="auto"/>
      </w:divBdr>
    </w:div>
    <w:div w:id="1450737055">
      <w:bodyDiv w:val="1"/>
      <w:marLeft w:val="0"/>
      <w:marRight w:val="0"/>
      <w:marTop w:val="0"/>
      <w:marBottom w:val="0"/>
      <w:divBdr>
        <w:top w:val="none" w:sz="0" w:space="0" w:color="auto"/>
        <w:left w:val="none" w:sz="0" w:space="0" w:color="auto"/>
        <w:bottom w:val="none" w:sz="0" w:space="0" w:color="auto"/>
        <w:right w:val="none" w:sz="0" w:space="0" w:color="auto"/>
      </w:divBdr>
    </w:div>
    <w:div w:id="1451507708">
      <w:bodyDiv w:val="1"/>
      <w:marLeft w:val="0"/>
      <w:marRight w:val="0"/>
      <w:marTop w:val="0"/>
      <w:marBottom w:val="0"/>
      <w:divBdr>
        <w:top w:val="none" w:sz="0" w:space="0" w:color="auto"/>
        <w:left w:val="none" w:sz="0" w:space="0" w:color="auto"/>
        <w:bottom w:val="none" w:sz="0" w:space="0" w:color="auto"/>
        <w:right w:val="none" w:sz="0" w:space="0" w:color="auto"/>
      </w:divBdr>
    </w:div>
    <w:div w:id="1451893364">
      <w:bodyDiv w:val="1"/>
      <w:marLeft w:val="0"/>
      <w:marRight w:val="0"/>
      <w:marTop w:val="0"/>
      <w:marBottom w:val="0"/>
      <w:divBdr>
        <w:top w:val="none" w:sz="0" w:space="0" w:color="auto"/>
        <w:left w:val="none" w:sz="0" w:space="0" w:color="auto"/>
        <w:bottom w:val="none" w:sz="0" w:space="0" w:color="auto"/>
        <w:right w:val="none" w:sz="0" w:space="0" w:color="auto"/>
      </w:divBdr>
    </w:div>
    <w:div w:id="1453816552">
      <w:bodyDiv w:val="1"/>
      <w:marLeft w:val="0"/>
      <w:marRight w:val="0"/>
      <w:marTop w:val="0"/>
      <w:marBottom w:val="0"/>
      <w:divBdr>
        <w:top w:val="none" w:sz="0" w:space="0" w:color="auto"/>
        <w:left w:val="none" w:sz="0" w:space="0" w:color="auto"/>
        <w:bottom w:val="none" w:sz="0" w:space="0" w:color="auto"/>
        <w:right w:val="none" w:sz="0" w:space="0" w:color="auto"/>
      </w:divBdr>
    </w:div>
    <w:div w:id="1454398451">
      <w:bodyDiv w:val="1"/>
      <w:marLeft w:val="0"/>
      <w:marRight w:val="0"/>
      <w:marTop w:val="0"/>
      <w:marBottom w:val="0"/>
      <w:divBdr>
        <w:top w:val="none" w:sz="0" w:space="0" w:color="auto"/>
        <w:left w:val="none" w:sz="0" w:space="0" w:color="auto"/>
        <w:bottom w:val="none" w:sz="0" w:space="0" w:color="auto"/>
        <w:right w:val="none" w:sz="0" w:space="0" w:color="auto"/>
      </w:divBdr>
    </w:div>
    <w:div w:id="1455250240">
      <w:bodyDiv w:val="1"/>
      <w:marLeft w:val="0"/>
      <w:marRight w:val="0"/>
      <w:marTop w:val="0"/>
      <w:marBottom w:val="0"/>
      <w:divBdr>
        <w:top w:val="none" w:sz="0" w:space="0" w:color="auto"/>
        <w:left w:val="none" w:sz="0" w:space="0" w:color="auto"/>
        <w:bottom w:val="none" w:sz="0" w:space="0" w:color="auto"/>
        <w:right w:val="none" w:sz="0" w:space="0" w:color="auto"/>
      </w:divBdr>
    </w:div>
    <w:div w:id="1455513560">
      <w:bodyDiv w:val="1"/>
      <w:marLeft w:val="0"/>
      <w:marRight w:val="0"/>
      <w:marTop w:val="0"/>
      <w:marBottom w:val="0"/>
      <w:divBdr>
        <w:top w:val="none" w:sz="0" w:space="0" w:color="auto"/>
        <w:left w:val="none" w:sz="0" w:space="0" w:color="auto"/>
        <w:bottom w:val="none" w:sz="0" w:space="0" w:color="auto"/>
        <w:right w:val="none" w:sz="0" w:space="0" w:color="auto"/>
      </w:divBdr>
    </w:div>
    <w:div w:id="1455519598">
      <w:bodyDiv w:val="1"/>
      <w:marLeft w:val="0"/>
      <w:marRight w:val="0"/>
      <w:marTop w:val="0"/>
      <w:marBottom w:val="0"/>
      <w:divBdr>
        <w:top w:val="none" w:sz="0" w:space="0" w:color="auto"/>
        <w:left w:val="none" w:sz="0" w:space="0" w:color="auto"/>
        <w:bottom w:val="none" w:sz="0" w:space="0" w:color="auto"/>
        <w:right w:val="none" w:sz="0" w:space="0" w:color="auto"/>
      </w:divBdr>
    </w:div>
    <w:div w:id="1456174226">
      <w:bodyDiv w:val="1"/>
      <w:marLeft w:val="0"/>
      <w:marRight w:val="0"/>
      <w:marTop w:val="0"/>
      <w:marBottom w:val="0"/>
      <w:divBdr>
        <w:top w:val="none" w:sz="0" w:space="0" w:color="auto"/>
        <w:left w:val="none" w:sz="0" w:space="0" w:color="auto"/>
        <w:bottom w:val="none" w:sz="0" w:space="0" w:color="auto"/>
        <w:right w:val="none" w:sz="0" w:space="0" w:color="auto"/>
      </w:divBdr>
    </w:div>
    <w:div w:id="1457989851">
      <w:bodyDiv w:val="1"/>
      <w:marLeft w:val="0"/>
      <w:marRight w:val="0"/>
      <w:marTop w:val="0"/>
      <w:marBottom w:val="0"/>
      <w:divBdr>
        <w:top w:val="none" w:sz="0" w:space="0" w:color="auto"/>
        <w:left w:val="none" w:sz="0" w:space="0" w:color="auto"/>
        <w:bottom w:val="none" w:sz="0" w:space="0" w:color="auto"/>
        <w:right w:val="none" w:sz="0" w:space="0" w:color="auto"/>
      </w:divBdr>
    </w:div>
    <w:div w:id="1458377767">
      <w:bodyDiv w:val="1"/>
      <w:marLeft w:val="0"/>
      <w:marRight w:val="0"/>
      <w:marTop w:val="0"/>
      <w:marBottom w:val="0"/>
      <w:divBdr>
        <w:top w:val="none" w:sz="0" w:space="0" w:color="auto"/>
        <w:left w:val="none" w:sz="0" w:space="0" w:color="auto"/>
        <w:bottom w:val="none" w:sz="0" w:space="0" w:color="auto"/>
        <w:right w:val="none" w:sz="0" w:space="0" w:color="auto"/>
      </w:divBdr>
    </w:div>
    <w:div w:id="1459834699">
      <w:bodyDiv w:val="1"/>
      <w:marLeft w:val="0"/>
      <w:marRight w:val="0"/>
      <w:marTop w:val="0"/>
      <w:marBottom w:val="0"/>
      <w:divBdr>
        <w:top w:val="none" w:sz="0" w:space="0" w:color="auto"/>
        <w:left w:val="none" w:sz="0" w:space="0" w:color="auto"/>
        <w:bottom w:val="none" w:sz="0" w:space="0" w:color="auto"/>
        <w:right w:val="none" w:sz="0" w:space="0" w:color="auto"/>
      </w:divBdr>
    </w:div>
    <w:div w:id="1459840533">
      <w:bodyDiv w:val="1"/>
      <w:marLeft w:val="0"/>
      <w:marRight w:val="0"/>
      <w:marTop w:val="0"/>
      <w:marBottom w:val="0"/>
      <w:divBdr>
        <w:top w:val="none" w:sz="0" w:space="0" w:color="auto"/>
        <w:left w:val="none" w:sz="0" w:space="0" w:color="auto"/>
        <w:bottom w:val="none" w:sz="0" w:space="0" w:color="auto"/>
        <w:right w:val="none" w:sz="0" w:space="0" w:color="auto"/>
      </w:divBdr>
    </w:div>
    <w:div w:id="1460298685">
      <w:bodyDiv w:val="1"/>
      <w:marLeft w:val="0"/>
      <w:marRight w:val="0"/>
      <w:marTop w:val="0"/>
      <w:marBottom w:val="0"/>
      <w:divBdr>
        <w:top w:val="none" w:sz="0" w:space="0" w:color="auto"/>
        <w:left w:val="none" w:sz="0" w:space="0" w:color="auto"/>
        <w:bottom w:val="none" w:sz="0" w:space="0" w:color="auto"/>
        <w:right w:val="none" w:sz="0" w:space="0" w:color="auto"/>
      </w:divBdr>
    </w:div>
    <w:div w:id="1460605892">
      <w:bodyDiv w:val="1"/>
      <w:marLeft w:val="0"/>
      <w:marRight w:val="0"/>
      <w:marTop w:val="0"/>
      <w:marBottom w:val="0"/>
      <w:divBdr>
        <w:top w:val="none" w:sz="0" w:space="0" w:color="auto"/>
        <w:left w:val="none" w:sz="0" w:space="0" w:color="auto"/>
        <w:bottom w:val="none" w:sz="0" w:space="0" w:color="auto"/>
        <w:right w:val="none" w:sz="0" w:space="0" w:color="auto"/>
      </w:divBdr>
    </w:div>
    <w:div w:id="1464926517">
      <w:bodyDiv w:val="1"/>
      <w:marLeft w:val="0"/>
      <w:marRight w:val="0"/>
      <w:marTop w:val="0"/>
      <w:marBottom w:val="0"/>
      <w:divBdr>
        <w:top w:val="none" w:sz="0" w:space="0" w:color="auto"/>
        <w:left w:val="none" w:sz="0" w:space="0" w:color="auto"/>
        <w:bottom w:val="none" w:sz="0" w:space="0" w:color="auto"/>
        <w:right w:val="none" w:sz="0" w:space="0" w:color="auto"/>
      </w:divBdr>
    </w:div>
    <w:div w:id="1464932426">
      <w:bodyDiv w:val="1"/>
      <w:marLeft w:val="0"/>
      <w:marRight w:val="0"/>
      <w:marTop w:val="0"/>
      <w:marBottom w:val="0"/>
      <w:divBdr>
        <w:top w:val="none" w:sz="0" w:space="0" w:color="auto"/>
        <w:left w:val="none" w:sz="0" w:space="0" w:color="auto"/>
        <w:bottom w:val="none" w:sz="0" w:space="0" w:color="auto"/>
        <w:right w:val="none" w:sz="0" w:space="0" w:color="auto"/>
      </w:divBdr>
    </w:div>
    <w:div w:id="1466309138">
      <w:bodyDiv w:val="1"/>
      <w:marLeft w:val="0"/>
      <w:marRight w:val="0"/>
      <w:marTop w:val="0"/>
      <w:marBottom w:val="0"/>
      <w:divBdr>
        <w:top w:val="none" w:sz="0" w:space="0" w:color="auto"/>
        <w:left w:val="none" w:sz="0" w:space="0" w:color="auto"/>
        <w:bottom w:val="none" w:sz="0" w:space="0" w:color="auto"/>
        <w:right w:val="none" w:sz="0" w:space="0" w:color="auto"/>
      </w:divBdr>
    </w:div>
    <w:div w:id="1467164860">
      <w:bodyDiv w:val="1"/>
      <w:marLeft w:val="0"/>
      <w:marRight w:val="0"/>
      <w:marTop w:val="0"/>
      <w:marBottom w:val="0"/>
      <w:divBdr>
        <w:top w:val="none" w:sz="0" w:space="0" w:color="auto"/>
        <w:left w:val="none" w:sz="0" w:space="0" w:color="auto"/>
        <w:bottom w:val="none" w:sz="0" w:space="0" w:color="auto"/>
        <w:right w:val="none" w:sz="0" w:space="0" w:color="auto"/>
      </w:divBdr>
    </w:div>
    <w:div w:id="1467697334">
      <w:bodyDiv w:val="1"/>
      <w:marLeft w:val="0"/>
      <w:marRight w:val="0"/>
      <w:marTop w:val="0"/>
      <w:marBottom w:val="0"/>
      <w:divBdr>
        <w:top w:val="none" w:sz="0" w:space="0" w:color="auto"/>
        <w:left w:val="none" w:sz="0" w:space="0" w:color="auto"/>
        <w:bottom w:val="none" w:sz="0" w:space="0" w:color="auto"/>
        <w:right w:val="none" w:sz="0" w:space="0" w:color="auto"/>
      </w:divBdr>
    </w:div>
    <w:div w:id="1468666183">
      <w:bodyDiv w:val="1"/>
      <w:marLeft w:val="0"/>
      <w:marRight w:val="0"/>
      <w:marTop w:val="0"/>
      <w:marBottom w:val="0"/>
      <w:divBdr>
        <w:top w:val="none" w:sz="0" w:space="0" w:color="auto"/>
        <w:left w:val="none" w:sz="0" w:space="0" w:color="auto"/>
        <w:bottom w:val="none" w:sz="0" w:space="0" w:color="auto"/>
        <w:right w:val="none" w:sz="0" w:space="0" w:color="auto"/>
      </w:divBdr>
    </w:div>
    <w:div w:id="1468817358">
      <w:bodyDiv w:val="1"/>
      <w:marLeft w:val="0"/>
      <w:marRight w:val="0"/>
      <w:marTop w:val="0"/>
      <w:marBottom w:val="0"/>
      <w:divBdr>
        <w:top w:val="none" w:sz="0" w:space="0" w:color="auto"/>
        <w:left w:val="none" w:sz="0" w:space="0" w:color="auto"/>
        <w:bottom w:val="none" w:sz="0" w:space="0" w:color="auto"/>
        <w:right w:val="none" w:sz="0" w:space="0" w:color="auto"/>
      </w:divBdr>
    </w:div>
    <w:div w:id="1469711236">
      <w:bodyDiv w:val="1"/>
      <w:marLeft w:val="0"/>
      <w:marRight w:val="0"/>
      <w:marTop w:val="0"/>
      <w:marBottom w:val="0"/>
      <w:divBdr>
        <w:top w:val="none" w:sz="0" w:space="0" w:color="auto"/>
        <w:left w:val="none" w:sz="0" w:space="0" w:color="auto"/>
        <w:bottom w:val="none" w:sz="0" w:space="0" w:color="auto"/>
        <w:right w:val="none" w:sz="0" w:space="0" w:color="auto"/>
      </w:divBdr>
    </w:div>
    <w:div w:id="1470440925">
      <w:bodyDiv w:val="1"/>
      <w:marLeft w:val="0"/>
      <w:marRight w:val="0"/>
      <w:marTop w:val="0"/>
      <w:marBottom w:val="0"/>
      <w:divBdr>
        <w:top w:val="none" w:sz="0" w:space="0" w:color="auto"/>
        <w:left w:val="none" w:sz="0" w:space="0" w:color="auto"/>
        <w:bottom w:val="none" w:sz="0" w:space="0" w:color="auto"/>
        <w:right w:val="none" w:sz="0" w:space="0" w:color="auto"/>
      </w:divBdr>
    </w:div>
    <w:div w:id="1471634397">
      <w:bodyDiv w:val="1"/>
      <w:marLeft w:val="0"/>
      <w:marRight w:val="0"/>
      <w:marTop w:val="0"/>
      <w:marBottom w:val="0"/>
      <w:divBdr>
        <w:top w:val="none" w:sz="0" w:space="0" w:color="auto"/>
        <w:left w:val="none" w:sz="0" w:space="0" w:color="auto"/>
        <w:bottom w:val="none" w:sz="0" w:space="0" w:color="auto"/>
        <w:right w:val="none" w:sz="0" w:space="0" w:color="auto"/>
      </w:divBdr>
    </w:div>
    <w:div w:id="1471903728">
      <w:bodyDiv w:val="1"/>
      <w:marLeft w:val="0"/>
      <w:marRight w:val="0"/>
      <w:marTop w:val="0"/>
      <w:marBottom w:val="0"/>
      <w:divBdr>
        <w:top w:val="none" w:sz="0" w:space="0" w:color="auto"/>
        <w:left w:val="none" w:sz="0" w:space="0" w:color="auto"/>
        <w:bottom w:val="none" w:sz="0" w:space="0" w:color="auto"/>
        <w:right w:val="none" w:sz="0" w:space="0" w:color="auto"/>
      </w:divBdr>
    </w:div>
    <w:div w:id="1472015585">
      <w:bodyDiv w:val="1"/>
      <w:marLeft w:val="0"/>
      <w:marRight w:val="0"/>
      <w:marTop w:val="0"/>
      <w:marBottom w:val="0"/>
      <w:divBdr>
        <w:top w:val="none" w:sz="0" w:space="0" w:color="auto"/>
        <w:left w:val="none" w:sz="0" w:space="0" w:color="auto"/>
        <w:bottom w:val="none" w:sz="0" w:space="0" w:color="auto"/>
        <w:right w:val="none" w:sz="0" w:space="0" w:color="auto"/>
      </w:divBdr>
    </w:div>
    <w:div w:id="1475639077">
      <w:bodyDiv w:val="1"/>
      <w:marLeft w:val="0"/>
      <w:marRight w:val="0"/>
      <w:marTop w:val="0"/>
      <w:marBottom w:val="0"/>
      <w:divBdr>
        <w:top w:val="none" w:sz="0" w:space="0" w:color="auto"/>
        <w:left w:val="none" w:sz="0" w:space="0" w:color="auto"/>
        <w:bottom w:val="none" w:sz="0" w:space="0" w:color="auto"/>
        <w:right w:val="none" w:sz="0" w:space="0" w:color="auto"/>
      </w:divBdr>
    </w:div>
    <w:div w:id="1476218229">
      <w:bodyDiv w:val="1"/>
      <w:marLeft w:val="0"/>
      <w:marRight w:val="0"/>
      <w:marTop w:val="0"/>
      <w:marBottom w:val="0"/>
      <w:divBdr>
        <w:top w:val="none" w:sz="0" w:space="0" w:color="auto"/>
        <w:left w:val="none" w:sz="0" w:space="0" w:color="auto"/>
        <w:bottom w:val="none" w:sz="0" w:space="0" w:color="auto"/>
        <w:right w:val="none" w:sz="0" w:space="0" w:color="auto"/>
      </w:divBdr>
    </w:div>
    <w:div w:id="1477797599">
      <w:bodyDiv w:val="1"/>
      <w:marLeft w:val="0"/>
      <w:marRight w:val="0"/>
      <w:marTop w:val="0"/>
      <w:marBottom w:val="0"/>
      <w:divBdr>
        <w:top w:val="none" w:sz="0" w:space="0" w:color="auto"/>
        <w:left w:val="none" w:sz="0" w:space="0" w:color="auto"/>
        <w:bottom w:val="none" w:sz="0" w:space="0" w:color="auto"/>
        <w:right w:val="none" w:sz="0" w:space="0" w:color="auto"/>
      </w:divBdr>
    </w:div>
    <w:div w:id="1477799871">
      <w:bodyDiv w:val="1"/>
      <w:marLeft w:val="0"/>
      <w:marRight w:val="0"/>
      <w:marTop w:val="0"/>
      <w:marBottom w:val="0"/>
      <w:divBdr>
        <w:top w:val="none" w:sz="0" w:space="0" w:color="auto"/>
        <w:left w:val="none" w:sz="0" w:space="0" w:color="auto"/>
        <w:bottom w:val="none" w:sz="0" w:space="0" w:color="auto"/>
        <w:right w:val="none" w:sz="0" w:space="0" w:color="auto"/>
      </w:divBdr>
    </w:div>
    <w:div w:id="1478718363">
      <w:bodyDiv w:val="1"/>
      <w:marLeft w:val="0"/>
      <w:marRight w:val="0"/>
      <w:marTop w:val="0"/>
      <w:marBottom w:val="0"/>
      <w:divBdr>
        <w:top w:val="none" w:sz="0" w:space="0" w:color="auto"/>
        <w:left w:val="none" w:sz="0" w:space="0" w:color="auto"/>
        <w:bottom w:val="none" w:sz="0" w:space="0" w:color="auto"/>
        <w:right w:val="none" w:sz="0" w:space="0" w:color="auto"/>
      </w:divBdr>
    </w:div>
    <w:div w:id="1479221666">
      <w:bodyDiv w:val="1"/>
      <w:marLeft w:val="0"/>
      <w:marRight w:val="0"/>
      <w:marTop w:val="0"/>
      <w:marBottom w:val="0"/>
      <w:divBdr>
        <w:top w:val="none" w:sz="0" w:space="0" w:color="auto"/>
        <w:left w:val="none" w:sz="0" w:space="0" w:color="auto"/>
        <w:bottom w:val="none" w:sz="0" w:space="0" w:color="auto"/>
        <w:right w:val="none" w:sz="0" w:space="0" w:color="auto"/>
      </w:divBdr>
    </w:div>
    <w:div w:id="1479375781">
      <w:bodyDiv w:val="1"/>
      <w:marLeft w:val="0"/>
      <w:marRight w:val="0"/>
      <w:marTop w:val="0"/>
      <w:marBottom w:val="0"/>
      <w:divBdr>
        <w:top w:val="none" w:sz="0" w:space="0" w:color="auto"/>
        <w:left w:val="none" w:sz="0" w:space="0" w:color="auto"/>
        <w:bottom w:val="none" w:sz="0" w:space="0" w:color="auto"/>
        <w:right w:val="none" w:sz="0" w:space="0" w:color="auto"/>
      </w:divBdr>
    </w:div>
    <w:div w:id="1479759931">
      <w:bodyDiv w:val="1"/>
      <w:marLeft w:val="0"/>
      <w:marRight w:val="0"/>
      <w:marTop w:val="0"/>
      <w:marBottom w:val="0"/>
      <w:divBdr>
        <w:top w:val="none" w:sz="0" w:space="0" w:color="auto"/>
        <w:left w:val="none" w:sz="0" w:space="0" w:color="auto"/>
        <w:bottom w:val="none" w:sz="0" w:space="0" w:color="auto"/>
        <w:right w:val="none" w:sz="0" w:space="0" w:color="auto"/>
      </w:divBdr>
    </w:div>
    <w:div w:id="1481114319">
      <w:bodyDiv w:val="1"/>
      <w:marLeft w:val="0"/>
      <w:marRight w:val="0"/>
      <w:marTop w:val="0"/>
      <w:marBottom w:val="0"/>
      <w:divBdr>
        <w:top w:val="none" w:sz="0" w:space="0" w:color="auto"/>
        <w:left w:val="none" w:sz="0" w:space="0" w:color="auto"/>
        <w:bottom w:val="none" w:sz="0" w:space="0" w:color="auto"/>
        <w:right w:val="none" w:sz="0" w:space="0" w:color="auto"/>
      </w:divBdr>
    </w:div>
    <w:div w:id="1484470282">
      <w:bodyDiv w:val="1"/>
      <w:marLeft w:val="0"/>
      <w:marRight w:val="0"/>
      <w:marTop w:val="0"/>
      <w:marBottom w:val="0"/>
      <w:divBdr>
        <w:top w:val="none" w:sz="0" w:space="0" w:color="auto"/>
        <w:left w:val="none" w:sz="0" w:space="0" w:color="auto"/>
        <w:bottom w:val="none" w:sz="0" w:space="0" w:color="auto"/>
        <w:right w:val="none" w:sz="0" w:space="0" w:color="auto"/>
      </w:divBdr>
    </w:div>
    <w:div w:id="1485395102">
      <w:bodyDiv w:val="1"/>
      <w:marLeft w:val="0"/>
      <w:marRight w:val="0"/>
      <w:marTop w:val="0"/>
      <w:marBottom w:val="0"/>
      <w:divBdr>
        <w:top w:val="none" w:sz="0" w:space="0" w:color="auto"/>
        <w:left w:val="none" w:sz="0" w:space="0" w:color="auto"/>
        <w:bottom w:val="none" w:sz="0" w:space="0" w:color="auto"/>
        <w:right w:val="none" w:sz="0" w:space="0" w:color="auto"/>
      </w:divBdr>
    </w:div>
    <w:div w:id="1485928270">
      <w:bodyDiv w:val="1"/>
      <w:marLeft w:val="0"/>
      <w:marRight w:val="0"/>
      <w:marTop w:val="0"/>
      <w:marBottom w:val="0"/>
      <w:divBdr>
        <w:top w:val="none" w:sz="0" w:space="0" w:color="auto"/>
        <w:left w:val="none" w:sz="0" w:space="0" w:color="auto"/>
        <w:bottom w:val="none" w:sz="0" w:space="0" w:color="auto"/>
        <w:right w:val="none" w:sz="0" w:space="0" w:color="auto"/>
      </w:divBdr>
    </w:div>
    <w:div w:id="1486631788">
      <w:bodyDiv w:val="1"/>
      <w:marLeft w:val="0"/>
      <w:marRight w:val="0"/>
      <w:marTop w:val="0"/>
      <w:marBottom w:val="0"/>
      <w:divBdr>
        <w:top w:val="none" w:sz="0" w:space="0" w:color="auto"/>
        <w:left w:val="none" w:sz="0" w:space="0" w:color="auto"/>
        <w:bottom w:val="none" w:sz="0" w:space="0" w:color="auto"/>
        <w:right w:val="none" w:sz="0" w:space="0" w:color="auto"/>
      </w:divBdr>
    </w:div>
    <w:div w:id="1486893627">
      <w:bodyDiv w:val="1"/>
      <w:marLeft w:val="0"/>
      <w:marRight w:val="0"/>
      <w:marTop w:val="0"/>
      <w:marBottom w:val="0"/>
      <w:divBdr>
        <w:top w:val="none" w:sz="0" w:space="0" w:color="auto"/>
        <w:left w:val="none" w:sz="0" w:space="0" w:color="auto"/>
        <w:bottom w:val="none" w:sz="0" w:space="0" w:color="auto"/>
        <w:right w:val="none" w:sz="0" w:space="0" w:color="auto"/>
      </w:divBdr>
    </w:div>
    <w:div w:id="1487480009">
      <w:bodyDiv w:val="1"/>
      <w:marLeft w:val="0"/>
      <w:marRight w:val="0"/>
      <w:marTop w:val="0"/>
      <w:marBottom w:val="0"/>
      <w:divBdr>
        <w:top w:val="none" w:sz="0" w:space="0" w:color="auto"/>
        <w:left w:val="none" w:sz="0" w:space="0" w:color="auto"/>
        <w:bottom w:val="none" w:sz="0" w:space="0" w:color="auto"/>
        <w:right w:val="none" w:sz="0" w:space="0" w:color="auto"/>
      </w:divBdr>
    </w:div>
    <w:div w:id="1489663096">
      <w:bodyDiv w:val="1"/>
      <w:marLeft w:val="0"/>
      <w:marRight w:val="0"/>
      <w:marTop w:val="0"/>
      <w:marBottom w:val="0"/>
      <w:divBdr>
        <w:top w:val="none" w:sz="0" w:space="0" w:color="auto"/>
        <w:left w:val="none" w:sz="0" w:space="0" w:color="auto"/>
        <w:bottom w:val="none" w:sz="0" w:space="0" w:color="auto"/>
        <w:right w:val="none" w:sz="0" w:space="0" w:color="auto"/>
      </w:divBdr>
    </w:div>
    <w:div w:id="1490752603">
      <w:bodyDiv w:val="1"/>
      <w:marLeft w:val="0"/>
      <w:marRight w:val="0"/>
      <w:marTop w:val="0"/>
      <w:marBottom w:val="0"/>
      <w:divBdr>
        <w:top w:val="none" w:sz="0" w:space="0" w:color="auto"/>
        <w:left w:val="none" w:sz="0" w:space="0" w:color="auto"/>
        <w:bottom w:val="none" w:sz="0" w:space="0" w:color="auto"/>
        <w:right w:val="none" w:sz="0" w:space="0" w:color="auto"/>
      </w:divBdr>
    </w:div>
    <w:div w:id="1491021651">
      <w:bodyDiv w:val="1"/>
      <w:marLeft w:val="0"/>
      <w:marRight w:val="0"/>
      <w:marTop w:val="0"/>
      <w:marBottom w:val="0"/>
      <w:divBdr>
        <w:top w:val="none" w:sz="0" w:space="0" w:color="auto"/>
        <w:left w:val="none" w:sz="0" w:space="0" w:color="auto"/>
        <w:bottom w:val="none" w:sz="0" w:space="0" w:color="auto"/>
        <w:right w:val="none" w:sz="0" w:space="0" w:color="auto"/>
      </w:divBdr>
    </w:div>
    <w:div w:id="1491285385">
      <w:bodyDiv w:val="1"/>
      <w:marLeft w:val="0"/>
      <w:marRight w:val="0"/>
      <w:marTop w:val="0"/>
      <w:marBottom w:val="0"/>
      <w:divBdr>
        <w:top w:val="none" w:sz="0" w:space="0" w:color="auto"/>
        <w:left w:val="none" w:sz="0" w:space="0" w:color="auto"/>
        <w:bottom w:val="none" w:sz="0" w:space="0" w:color="auto"/>
        <w:right w:val="none" w:sz="0" w:space="0" w:color="auto"/>
      </w:divBdr>
    </w:div>
    <w:div w:id="1493912778">
      <w:bodyDiv w:val="1"/>
      <w:marLeft w:val="0"/>
      <w:marRight w:val="0"/>
      <w:marTop w:val="0"/>
      <w:marBottom w:val="0"/>
      <w:divBdr>
        <w:top w:val="none" w:sz="0" w:space="0" w:color="auto"/>
        <w:left w:val="none" w:sz="0" w:space="0" w:color="auto"/>
        <w:bottom w:val="none" w:sz="0" w:space="0" w:color="auto"/>
        <w:right w:val="none" w:sz="0" w:space="0" w:color="auto"/>
      </w:divBdr>
    </w:div>
    <w:div w:id="1494489056">
      <w:bodyDiv w:val="1"/>
      <w:marLeft w:val="0"/>
      <w:marRight w:val="0"/>
      <w:marTop w:val="0"/>
      <w:marBottom w:val="0"/>
      <w:divBdr>
        <w:top w:val="none" w:sz="0" w:space="0" w:color="auto"/>
        <w:left w:val="none" w:sz="0" w:space="0" w:color="auto"/>
        <w:bottom w:val="none" w:sz="0" w:space="0" w:color="auto"/>
        <w:right w:val="none" w:sz="0" w:space="0" w:color="auto"/>
      </w:divBdr>
    </w:div>
    <w:div w:id="1494569057">
      <w:bodyDiv w:val="1"/>
      <w:marLeft w:val="0"/>
      <w:marRight w:val="0"/>
      <w:marTop w:val="0"/>
      <w:marBottom w:val="0"/>
      <w:divBdr>
        <w:top w:val="none" w:sz="0" w:space="0" w:color="auto"/>
        <w:left w:val="none" w:sz="0" w:space="0" w:color="auto"/>
        <w:bottom w:val="none" w:sz="0" w:space="0" w:color="auto"/>
        <w:right w:val="none" w:sz="0" w:space="0" w:color="auto"/>
      </w:divBdr>
    </w:div>
    <w:div w:id="1494569181">
      <w:bodyDiv w:val="1"/>
      <w:marLeft w:val="0"/>
      <w:marRight w:val="0"/>
      <w:marTop w:val="0"/>
      <w:marBottom w:val="0"/>
      <w:divBdr>
        <w:top w:val="none" w:sz="0" w:space="0" w:color="auto"/>
        <w:left w:val="none" w:sz="0" w:space="0" w:color="auto"/>
        <w:bottom w:val="none" w:sz="0" w:space="0" w:color="auto"/>
        <w:right w:val="none" w:sz="0" w:space="0" w:color="auto"/>
      </w:divBdr>
    </w:div>
    <w:div w:id="1494831369">
      <w:bodyDiv w:val="1"/>
      <w:marLeft w:val="0"/>
      <w:marRight w:val="0"/>
      <w:marTop w:val="0"/>
      <w:marBottom w:val="0"/>
      <w:divBdr>
        <w:top w:val="none" w:sz="0" w:space="0" w:color="auto"/>
        <w:left w:val="none" w:sz="0" w:space="0" w:color="auto"/>
        <w:bottom w:val="none" w:sz="0" w:space="0" w:color="auto"/>
        <w:right w:val="none" w:sz="0" w:space="0" w:color="auto"/>
      </w:divBdr>
    </w:div>
    <w:div w:id="1495102677">
      <w:bodyDiv w:val="1"/>
      <w:marLeft w:val="0"/>
      <w:marRight w:val="0"/>
      <w:marTop w:val="0"/>
      <w:marBottom w:val="0"/>
      <w:divBdr>
        <w:top w:val="none" w:sz="0" w:space="0" w:color="auto"/>
        <w:left w:val="none" w:sz="0" w:space="0" w:color="auto"/>
        <w:bottom w:val="none" w:sz="0" w:space="0" w:color="auto"/>
        <w:right w:val="none" w:sz="0" w:space="0" w:color="auto"/>
      </w:divBdr>
    </w:div>
    <w:div w:id="1495878260">
      <w:bodyDiv w:val="1"/>
      <w:marLeft w:val="0"/>
      <w:marRight w:val="0"/>
      <w:marTop w:val="0"/>
      <w:marBottom w:val="0"/>
      <w:divBdr>
        <w:top w:val="none" w:sz="0" w:space="0" w:color="auto"/>
        <w:left w:val="none" w:sz="0" w:space="0" w:color="auto"/>
        <w:bottom w:val="none" w:sz="0" w:space="0" w:color="auto"/>
        <w:right w:val="none" w:sz="0" w:space="0" w:color="auto"/>
      </w:divBdr>
    </w:div>
    <w:div w:id="1499885458">
      <w:bodyDiv w:val="1"/>
      <w:marLeft w:val="0"/>
      <w:marRight w:val="0"/>
      <w:marTop w:val="0"/>
      <w:marBottom w:val="0"/>
      <w:divBdr>
        <w:top w:val="none" w:sz="0" w:space="0" w:color="auto"/>
        <w:left w:val="none" w:sz="0" w:space="0" w:color="auto"/>
        <w:bottom w:val="none" w:sz="0" w:space="0" w:color="auto"/>
        <w:right w:val="none" w:sz="0" w:space="0" w:color="auto"/>
      </w:divBdr>
    </w:div>
    <w:div w:id="1500268840">
      <w:bodyDiv w:val="1"/>
      <w:marLeft w:val="0"/>
      <w:marRight w:val="0"/>
      <w:marTop w:val="0"/>
      <w:marBottom w:val="0"/>
      <w:divBdr>
        <w:top w:val="none" w:sz="0" w:space="0" w:color="auto"/>
        <w:left w:val="none" w:sz="0" w:space="0" w:color="auto"/>
        <w:bottom w:val="none" w:sz="0" w:space="0" w:color="auto"/>
        <w:right w:val="none" w:sz="0" w:space="0" w:color="auto"/>
      </w:divBdr>
    </w:div>
    <w:div w:id="1500387162">
      <w:bodyDiv w:val="1"/>
      <w:marLeft w:val="0"/>
      <w:marRight w:val="0"/>
      <w:marTop w:val="0"/>
      <w:marBottom w:val="0"/>
      <w:divBdr>
        <w:top w:val="none" w:sz="0" w:space="0" w:color="auto"/>
        <w:left w:val="none" w:sz="0" w:space="0" w:color="auto"/>
        <w:bottom w:val="none" w:sz="0" w:space="0" w:color="auto"/>
        <w:right w:val="none" w:sz="0" w:space="0" w:color="auto"/>
      </w:divBdr>
    </w:div>
    <w:div w:id="1501239486">
      <w:bodyDiv w:val="1"/>
      <w:marLeft w:val="0"/>
      <w:marRight w:val="0"/>
      <w:marTop w:val="0"/>
      <w:marBottom w:val="0"/>
      <w:divBdr>
        <w:top w:val="none" w:sz="0" w:space="0" w:color="auto"/>
        <w:left w:val="none" w:sz="0" w:space="0" w:color="auto"/>
        <w:bottom w:val="none" w:sz="0" w:space="0" w:color="auto"/>
        <w:right w:val="none" w:sz="0" w:space="0" w:color="auto"/>
      </w:divBdr>
    </w:div>
    <w:div w:id="1502234714">
      <w:bodyDiv w:val="1"/>
      <w:marLeft w:val="0"/>
      <w:marRight w:val="0"/>
      <w:marTop w:val="0"/>
      <w:marBottom w:val="0"/>
      <w:divBdr>
        <w:top w:val="none" w:sz="0" w:space="0" w:color="auto"/>
        <w:left w:val="none" w:sz="0" w:space="0" w:color="auto"/>
        <w:bottom w:val="none" w:sz="0" w:space="0" w:color="auto"/>
        <w:right w:val="none" w:sz="0" w:space="0" w:color="auto"/>
      </w:divBdr>
    </w:div>
    <w:div w:id="1502239241">
      <w:bodyDiv w:val="1"/>
      <w:marLeft w:val="0"/>
      <w:marRight w:val="0"/>
      <w:marTop w:val="0"/>
      <w:marBottom w:val="0"/>
      <w:divBdr>
        <w:top w:val="none" w:sz="0" w:space="0" w:color="auto"/>
        <w:left w:val="none" w:sz="0" w:space="0" w:color="auto"/>
        <w:bottom w:val="none" w:sz="0" w:space="0" w:color="auto"/>
        <w:right w:val="none" w:sz="0" w:space="0" w:color="auto"/>
      </w:divBdr>
    </w:div>
    <w:div w:id="1503885379">
      <w:bodyDiv w:val="1"/>
      <w:marLeft w:val="0"/>
      <w:marRight w:val="0"/>
      <w:marTop w:val="0"/>
      <w:marBottom w:val="0"/>
      <w:divBdr>
        <w:top w:val="none" w:sz="0" w:space="0" w:color="auto"/>
        <w:left w:val="none" w:sz="0" w:space="0" w:color="auto"/>
        <w:bottom w:val="none" w:sz="0" w:space="0" w:color="auto"/>
        <w:right w:val="none" w:sz="0" w:space="0" w:color="auto"/>
      </w:divBdr>
    </w:div>
    <w:div w:id="1504124153">
      <w:bodyDiv w:val="1"/>
      <w:marLeft w:val="0"/>
      <w:marRight w:val="0"/>
      <w:marTop w:val="0"/>
      <w:marBottom w:val="0"/>
      <w:divBdr>
        <w:top w:val="none" w:sz="0" w:space="0" w:color="auto"/>
        <w:left w:val="none" w:sz="0" w:space="0" w:color="auto"/>
        <w:bottom w:val="none" w:sz="0" w:space="0" w:color="auto"/>
        <w:right w:val="none" w:sz="0" w:space="0" w:color="auto"/>
      </w:divBdr>
    </w:div>
    <w:div w:id="1504934453">
      <w:bodyDiv w:val="1"/>
      <w:marLeft w:val="0"/>
      <w:marRight w:val="0"/>
      <w:marTop w:val="0"/>
      <w:marBottom w:val="0"/>
      <w:divBdr>
        <w:top w:val="none" w:sz="0" w:space="0" w:color="auto"/>
        <w:left w:val="none" w:sz="0" w:space="0" w:color="auto"/>
        <w:bottom w:val="none" w:sz="0" w:space="0" w:color="auto"/>
        <w:right w:val="none" w:sz="0" w:space="0" w:color="auto"/>
      </w:divBdr>
    </w:div>
    <w:div w:id="1506365388">
      <w:bodyDiv w:val="1"/>
      <w:marLeft w:val="0"/>
      <w:marRight w:val="0"/>
      <w:marTop w:val="0"/>
      <w:marBottom w:val="0"/>
      <w:divBdr>
        <w:top w:val="none" w:sz="0" w:space="0" w:color="auto"/>
        <w:left w:val="none" w:sz="0" w:space="0" w:color="auto"/>
        <w:bottom w:val="none" w:sz="0" w:space="0" w:color="auto"/>
        <w:right w:val="none" w:sz="0" w:space="0" w:color="auto"/>
      </w:divBdr>
    </w:div>
    <w:div w:id="1506507497">
      <w:bodyDiv w:val="1"/>
      <w:marLeft w:val="0"/>
      <w:marRight w:val="0"/>
      <w:marTop w:val="0"/>
      <w:marBottom w:val="0"/>
      <w:divBdr>
        <w:top w:val="none" w:sz="0" w:space="0" w:color="auto"/>
        <w:left w:val="none" w:sz="0" w:space="0" w:color="auto"/>
        <w:bottom w:val="none" w:sz="0" w:space="0" w:color="auto"/>
        <w:right w:val="none" w:sz="0" w:space="0" w:color="auto"/>
      </w:divBdr>
    </w:div>
    <w:div w:id="1506743949">
      <w:bodyDiv w:val="1"/>
      <w:marLeft w:val="0"/>
      <w:marRight w:val="0"/>
      <w:marTop w:val="0"/>
      <w:marBottom w:val="0"/>
      <w:divBdr>
        <w:top w:val="none" w:sz="0" w:space="0" w:color="auto"/>
        <w:left w:val="none" w:sz="0" w:space="0" w:color="auto"/>
        <w:bottom w:val="none" w:sz="0" w:space="0" w:color="auto"/>
        <w:right w:val="none" w:sz="0" w:space="0" w:color="auto"/>
      </w:divBdr>
    </w:div>
    <w:div w:id="1506745434">
      <w:bodyDiv w:val="1"/>
      <w:marLeft w:val="0"/>
      <w:marRight w:val="0"/>
      <w:marTop w:val="0"/>
      <w:marBottom w:val="0"/>
      <w:divBdr>
        <w:top w:val="none" w:sz="0" w:space="0" w:color="auto"/>
        <w:left w:val="none" w:sz="0" w:space="0" w:color="auto"/>
        <w:bottom w:val="none" w:sz="0" w:space="0" w:color="auto"/>
        <w:right w:val="none" w:sz="0" w:space="0" w:color="auto"/>
      </w:divBdr>
    </w:div>
    <w:div w:id="1507329374">
      <w:bodyDiv w:val="1"/>
      <w:marLeft w:val="0"/>
      <w:marRight w:val="0"/>
      <w:marTop w:val="0"/>
      <w:marBottom w:val="0"/>
      <w:divBdr>
        <w:top w:val="none" w:sz="0" w:space="0" w:color="auto"/>
        <w:left w:val="none" w:sz="0" w:space="0" w:color="auto"/>
        <w:bottom w:val="none" w:sz="0" w:space="0" w:color="auto"/>
        <w:right w:val="none" w:sz="0" w:space="0" w:color="auto"/>
      </w:divBdr>
    </w:div>
    <w:div w:id="1507597227">
      <w:bodyDiv w:val="1"/>
      <w:marLeft w:val="0"/>
      <w:marRight w:val="0"/>
      <w:marTop w:val="0"/>
      <w:marBottom w:val="0"/>
      <w:divBdr>
        <w:top w:val="none" w:sz="0" w:space="0" w:color="auto"/>
        <w:left w:val="none" w:sz="0" w:space="0" w:color="auto"/>
        <w:bottom w:val="none" w:sz="0" w:space="0" w:color="auto"/>
        <w:right w:val="none" w:sz="0" w:space="0" w:color="auto"/>
      </w:divBdr>
    </w:div>
    <w:div w:id="1508474293">
      <w:bodyDiv w:val="1"/>
      <w:marLeft w:val="0"/>
      <w:marRight w:val="0"/>
      <w:marTop w:val="0"/>
      <w:marBottom w:val="0"/>
      <w:divBdr>
        <w:top w:val="none" w:sz="0" w:space="0" w:color="auto"/>
        <w:left w:val="none" w:sz="0" w:space="0" w:color="auto"/>
        <w:bottom w:val="none" w:sz="0" w:space="0" w:color="auto"/>
        <w:right w:val="none" w:sz="0" w:space="0" w:color="auto"/>
      </w:divBdr>
    </w:div>
    <w:div w:id="1509100734">
      <w:bodyDiv w:val="1"/>
      <w:marLeft w:val="0"/>
      <w:marRight w:val="0"/>
      <w:marTop w:val="0"/>
      <w:marBottom w:val="0"/>
      <w:divBdr>
        <w:top w:val="none" w:sz="0" w:space="0" w:color="auto"/>
        <w:left w:val="none" w:sz="0" w:space="0" w:color="auto"/>
        <w:bottom w:val="none" w:sz="0" w:space="0" w:color="auto"/>
        <w:right w:val="none" w:sz="0" w:space="0" w:color="auto"/>
      </w:divBdr>
    </w:div>
    <w:div w:id="1509128117">
      <w:bodyDiv w:val="1"/>
      <w:marLeft w:val="0"/>
      <w:marRight w:val="0"/>
      <w:marTop w:val="0"/>
      <w:marBottom w:val="0"/>
      <w:divBdr>
        <w:top w:val="none" w:sz="0" w:space="0" w:color="auto"/>
        <w:left w:val="none" w:sz="0" w:space="0" w:color="auto"/>
        <w:bottom w:val="none" w:sz="0" w:space="0" w:color="auto"/>
        <w:right w:val="none" w:sz="0" w:space="0" w:color="auto"/>
      </w:divBdr>
    </w:div>
    <w:div w:id="1509325237">
      <w:bodyDiv w:val="1"/>
      <w:marLeft w:val="0"/>
      <w:marRight w:val="0"/>
      <w:marTop w:val="0"/>
      <w:marBottom w:val="0"/>
      <w:divBdr>
        <w:top w:val="none" w:sz="0" w:space="0" w:color="auto"/>
        <w:left w:val="none" w:sz="0" w:space="0" w:color="auto"/>
        <w:bottom w:val="none" w:sz="0" w:space="0" w:color="auto"/>
        <w:right w:val="none" w:sz="0" w:space="0" w:color="auto"/>
      </w:divBdr>
    </w:div>
    <w:div w:id="1511211554">
      <w:bodyDiv w:val="1"/>
      <w:marLeft w:val="0"/>
      <w:marRight w:val="0"/>
      <w:marTop w:val="0"/>
      <w:marBottom w:val="0"/>
      <w:divBdr>
        <w:top w:val="none" w:sz="0" w:space="0" w:color="auto"/>
        <w:left w:val="none" w:sz="0" w:space="0" w:color="auto"/>
        <w:bottom w:val="none" w:sz="0" w:space="0" w:color="auto"/>
        <w:right w:val="none" w:sz="0" w:space="0" w:color="auto"/>
      </w:divBdr>
    </w:div>
    <w:div w:id="1512913110">
      <w:bodyDiv w:val="1"/>
      <w:marLeft w:val="0"/>
      <w:marRight w:val="0"/>
      <w:marTop w:val="0"/>
      <w:marBottom w:val="0"/>
      <w:divBdr>
        <w:top w:val="none" w:sz="0" w:space="0" w:color="auto"/>
        <w:left w:val="none" w:sz="0" w:space="0" w:color="auto"/>
        <w:bottom w:val="none" w:sz="0" w:space="0" w:color="auto"/>
        <w:right w:val="none" w:sz="0" w:space="0" w:color="auto"/>
      </w:divBdr>
    </w:div>
    <w:div w:id="1512913203">
      <w:bodyDiv w:val="1"/>
      <w:marLeft w:val="0"/>
      <w:marRight w:val="0"/>
      <w:marTop w:val="0"/>
      <w:marBottom w:val="0"/>
      <w:divBdr>
        <w:top w:val="none" w:sz="0" w:space="0" w:color="auto"/>
        <w:left w:val="none" w:sz="0" w:space="0" w:color="auto"/>
        <w:bottom w:val="none" w:sz="0" w:space="0" w:color="auto"/>
        <w:right w:val="none" w:sz="0" w:space="0" w:color="auto"/>
      </w:divBdr>
    </w:div>
    <w:div w:id="1513954818">
      <w:bodyDiv w:val="1"/>
      <w:marLeft w:val="0"/>
      <w:marRight w:val="0"/>
      <w:marTop w:val="0"/>
      <w:marBottom w:val="0"/>
      <w:divBdr>
        <w:top w:val="none" w:sz="0" w:space="0" w:color="auto"/>
        <w:left w:val="none" w:sz="0" w:space="0" w:color="auto"/>
        <w:bottom w:val="none" w:sz="0" w:space="0" w:color="auto"/>
        <w:right w:val="none" w:sz="0" w:space="0" w:color="auto"/>
      </w:divBdr>
    </w:div>
    <w:div w:id="1513957030">
      <w:bodyDiv w:val="1"/>
      <w:marLeft w:val="0"/>
      <w:marRight w:val="0"/>
      <w:marTop w:val="0"/>
      <w:marBottom w:val="0"/>
      <w:divBdr>
        <w:top w:val="none" w:sz="0" w:space="0" w:color="auto"/>
        <w:left w:val="none" w:sz="0" w:space="0" w:color="auto"/>
        <w:bottom w:val="none" w:sz="0" w:space="0" w:color="auto"/>
        <w:right w:val="none" w:sz="0" w:space="0" w:color="auto"/>
      </w:divBdr>
    </w:div>
    <w:div w:id="1514615146">
      <w:bodyDiv w:val="1"/>
      <w:marLeft w:val="0"/>
      <w:marRight w:val="0"/>
      <w:marTop w:val="0"/>
      <w:marBottom w:val="0"/>
      <w:divBdr>
        <w:top w:val="none" w:sz="0" w:space="0" w:color="auto"/>
        <w:left w:val="none" w:sz="0" w:space="0" w:color="auto"/>
        <w:bottom w:val="none" w:sz="0" w:space="0" w:color="auto"/>
        <w:right w:val="none" w:sz="0" w:space="0" w:color="auto"/>
      </w:divBdr>
    </w:div>
    <w:div w:id="1515806566">
      <w:bodyDiv w:val="1"/>
      <w:marLeft w:val="0"/>
      <w:marRight w:val="0"/>
      <w:marTop w:val="0"/>
      <w:marBottom w:val="0"/>
      <w:divBdr>
        <w:top w:val="none" w:sz="0" w:space="0" w:color="auto"/>
        <w:left w:val="none" w:sz="0" w:space="0" w:color="auto"/>
        <w:bottom w:val="none" w:sz="0" w:space="0" w:color="auto"/>
        <w:right w:val="none" w:sz="0" w:space="0" w:color="auto"/>
      </w:divBdr>
    </w:div>
    <w:div w:id="1516378771">
      <w:bodyDiv w:val="1"/>
      <w:marLeft w:val="0"/>
      <w:marRight w:val="0"/>
      <w:marTop w:val="0"/>
      <w:marBottom w:val="0"/>
      <w:divBdr>
        <w:top w:val="none" w:sz="0" w:space="0" w:color="auto"/>
        <w:left w:val="none" w:sz="0" w:space="0" w:color="auto"/>
        <w:bottom w:val="none" w:sz="0" w:space="0" w:color="auto"/>
        <w:right w:val="none" w:sz="0" w:space="0" w:color="auto"/>
      </w:divBdr>
    </w:div>
    <w:div w:id="1518152854">
      <w:bodyDiv w:val="1"/>
      <w:marLeft w:val="0"/>
      <w:marRight w:val="0"/>
      <w:marTop w:val="0"/>
      <w:marBottom w:val="0"/>
      <w:divBdr>
        <w:top w:val="none" w:sz="0" w:space="0" w:color="auto"/>
        <w:left w:val="none" w:sz="0" w:space="0" w:color="auto"/>
        <w:bottom w:val="none" w:sz="0" w:space="0" w:color="auto"/>
        <w:right w:val="none" w:sz="0" w:space="0" w:color="auto"/>
      </w:divBdr>
    </w:div>
    <w:div w:id="1519736470">
      <w:bodyDiv w:val="1"/>
      <w:marLeft w:val="0"/>
      <w:marRight w:val="0"/>
      <w:marTop w:val="0"/>
      <w:marBottom w:val="0"/>
      <w:divBdr>
        <w:top w:val="none" w:sz="0" w:space="0" w:color="auto"/>
        <w:left w:val="none" w:sz="0" w:space="0" w:color="auto"/>
        <w:bottom w:val="none" w:sz="0" w:space="0" w:color="auto"/>
        <w:right w:val="none" w:sz="0" w:space="0" w:color="auto"/>
      </w:divBdr>
    </w:div>
    <w:div w:id="1519931492">
      <w:bodyDiv w:val="1"/>
      <w:marLeft w:val="0"/>
      <w:marRight w:val="0"/>
      <w:marTop w:val="0"/>
      <w:marBottom w:val="0"/>
      <w:divBdr>
        <w:top w:val="none" w:sz="0" w:space="0" w:color="auto"/>
        <w:left w:val="none" w:sz="0" w:space="0" w:color="auto"/>
        <w:bottom w:val="none" w:sz="0" w:space="0" w:color="auto"/>
        <w:right w:val="none" w:sz="0" w:space="0" w:color="auto"/>
      </w:divBdr>
    </w:div>
    <w:div w:id="1520117073">
      <w:bodyDiv w:val="1"/>
      <w:marLeft w:val="0"/>
      <w:marRight w:val="0"/>
      <w:marTop w:val="0"/>
      <w:marBottom w:val="0"/>
      <w:divBdr>
        <w:top w:val="none" w:sz="0" w:space="0" w:color="auto"/>
        <w:left w:val="none" w:sz="0" w:space="0" w:color="auto"/>
        <w:bottom w:val="none" w:sz="0" w:space="0" w:color="auto"/>
        <w:right w:val="none" w:sz="0" w:space="0" w:color="auto"/>
      </w:divBdr>
    </w:div>
    <w:div w:id="1520270214">
      <w:bodyDiv w:val="1"/>
      <w:marLeft w:val="0"/>
      <w:marRight w:val="0"/>
      <w:marTop w:val="0"/>
      <w:marBottom w:val="0"/>
      <w:divBdr>
        <w:top w:val="none" w:sz="0" w:space="0" w:color="auto"/>
        <w:left w:val="none" w:sz="0" w:space="0" w:color="auto"/>
        <w:bottom w:val="none" w:sz="0" w:space="0" w:color="auto"/>
        <w:right w:val="none" w:sz="0" w:space="0" w:color="auto"/>
      </w:divBdr>
    </w:div>
    <w:div w:id="1520655913">
      <w:bodyDiv w:val="1"/>
      <w:marLeft w:val="0"/>
      <w:marRight w:val="0"/>
      <w:marTop w:val="0"/>
      <w:marBottom w:val="0"/>
      <w:divBdr>
        <w:top w:val="none" w:sz="0" w:space="0" w:color="auto"/>
        <w:left w:val="none" w:sz="0" w:space="0" w:color="auto"/>
        <w:bottom w:val="none" w:sz="0" w:space="0" w:color="auto"/>
        <w:right w:val="none" w:sz="0" w:space="0" w:color="auto"/>
      </w:divBdr>
      <w:divsChild>
        <w:div w:id="1732919278">
          <w:marLeft w:val="0"/>
          <w:marRight w:val="0"/>
          <w:marTop w:val="0"/>
          <w:marBottom w:val="0"/>
          <w:divBdr>
            <w:top w:val="none" w:sz="0" w:space="0" w:color="auto"/>
            <w:left w:val="none" w:sz="0" w:space="0" w:color="auto"/>
            <w:bottom w:val="none" w:sz="0" w:space="0" w:color="auto"/>
            <w:right w:val="none" w:sz="0" w:space="0" w:color="auto"/>
          </w:divBdr>
        </w:div>
        <w:div w:id="580023623">
          <w:marLeft w:val="0"/>
          <w:marRight w:val="0"/>
          <w:marTop w:val="0"/>
          <w:marBottom w:val="0"/>
          <w:divBdr>
            <w:top w:val="none" w:sz="0" w:space="0" w:color="auto"/>
            <w:left w:val="none" w:sz="0" w:space="0" w:color="auto"/>
            <w:bottom w:val="none" w:sz="0" w:space="0" w:color="auto"/>
            <w:right w:val="none" w:sz="0" w:space="0" w:color="auto"/>
          </w:divBdr>
        </w:div>
      </w:divsChild>
    </w:div>
    <w:div w:id="1520973818">
      <w:bodyDiv w:val="1"/>
      <w:marLeft w:val="0"/>
      <w:marRight w:val="0"/>
      <w:marTop w:val="0"/>
      <w:marBottom w:val="0"/>
      <w:divBdr>
        <w:top w:val="none" w:sz="0" w:space="0" w:color="auto"/>
        <w:left w:val="none" w:sz="0" w:space="0" w:color="auto"/>
        <w:bottom w:val="none" w:sz="0" w:space="0" w:color="auto"/>
        <w:right w:val="none" w:sz="0" w:space="0" w:color="auto"/>
      </w:divBdr>
    </w:div>
    <w:div w:id="1522548496">
      <w:bodyDiv w:val="1"/>
      <w:marLeft w:val="0"/>
      <w:marRight w:val="0"/>
      <w:marTop w:val="0"/>
      <w:marBottom w:val="0"/>
      <w:divBdr>
        <w:top w:val="none" w:sz="0" w:space="0" w:color="auto"/>
        <w:left w:val="none" w:sz="0" w:space="0" w:color="auto"/>
        <w:bottom w:val="none" w:sz="0" w:space="0" w:color="auto"/>
        <w:right w:val="none" w:sz="0" w:space="0" w:color="auto"/>
      </w:divBdr>
    </w:div>
    <w:div w:id="1523278894">
      <w:bodyDiv w:val="1"/>
      <w:marLeft w:val="0"/>
      <w:marRight w:val="0"/>
      <w:marTop w:val="0"/>
      <w:marBottom w:val="0"/>
      <w:divBdr>
        <w:top w:val="none" w:sz="0" w:space="0" w:color="auto"/>
        <w:left w:val="none" w:sz="0" w:space="0" w:color="auto"/>
        <w:bottom w:val="none" w:sz="0" w:space="0" w:color="auto"/>
        <w:right w:val="none" w:sz="0" w:space="0" w:color="auto"/>
      </w:divBdr>
    </w:div>
    <w:div w:id="1523545635">
      <w:bodyDiv w:val="1"/>
      <w:marLeft w:val="0"/>
      <w:marRight w:val="0"/>
      <w:marTop w:val="0"/>
      <w:marBottom w:val="0"/>
      <w:divBdr>
        <w:top w:val="none" w:sz="0" w:space="0" w:color="auto"/>
        <w:left w:val="none" w:sz="0" w:space="0" w:color="auto"/>
        <w:bottom w:val="none" w:sz="0" w:space="0" w:color="auto"/>
        <w:right w:val="none" w:sz="0" w:space="0" w:color="auto"/>
      </w:divBdr>
    </w:div>
    <w:div w:id="1525099101">
      <w:bodyDiv w:val="1"/>
      <w:marLeft w:val="0"/>
      <w:marRight w:val="0"/>
      <w:marTop w:val="0"/>
      <w:marBottom w:val="0"/>
      <w:divBdr>
        <w:top w:val="none" w:sz="0" w:space="0" w:color="auto"/>
        <w:left w:val="none" w:sz="0" w:space="0" w:color="auto"/>
        <w:bottom w:val="none" w:sz="0" w:space="0" w:color="auto"/>
        <w:right w:val="none" w:sz="0" w:space="0" w:color="auto"/>
      </w:divBdr>
    </w:div>
    <w:div w:id="1525943226">
      <w:bodyDiv w:val="1"/>
      <w:marLeft w:val="0"/>
      <w:marRight w:val="0"/>
      <w:marTop w:val="0"/>
      <w:marBottom w:val="0"/>
      <w:divBdr>
        <w:top w:val="none" w:sz="0" w:space="0" w:color="auto"/>
        <w:left w:val="none" w:sz="0" w:space="0" w:color="auto"/>
        <w:bottom w:val="none" w:sz="0" w:space="0" w:color="auto"/>
        <w:right w:val="none" w:sz="0" w:space="0" w:color="auto"/>
      </w:divBdr>
    </w:div>
    <w:div w:id="1527400571">
      <w:bodyDiv w:val="1"/>
      <w:marLeft w:val="0"/>
      <w:marRight w:val="0"/>
      <w:marTop w:val="0"/>
      <w:marBottom w:val="0"/>
      <w:divBdr>
        <w:top w:val="none" w:sz="0" w:space="0" w:color="auto"/>
        <w:left w:val="none" w:sz="0" w:space="0" w:color="auto"/>
        <w:bottom w:val="none" w:sz="0" w:space="0" w:color="auto"/>
        <w:right w:val="none" w:sz="0" w:space="0" w:color="auto"/>
      </w:divBdr>
    </w:div>
    <w:div w:id="1528986003">
      <w:bodyDiv w:val="1"/>
      <w:marLeft w:val="0"/>
      <w:marRight w:val="0"/>
      <w:marTop w:val="0"/>
      <w:marBottom w:val="0"/>
      <w:divBdr>
        <w:top w:val="none" w:sz="0" w:space="0" w:color="auto"/>
        <w:left w:val="none" w:sz="0" w:space="0" w:color="auto"/>
        <w:bottom w:val="none" w:sz="0" w:space="0" w:color="auto"/>
        <w:right w:val="none" w:sz="0" w:space="0" w:color="auto"/>
      </w:divBdr>
    </w:div>
    <w:div w:id="1530293136">
      <w:bodyDiv w:val="1"/>
      <w:marLeft w:val="0"/>
      <w:marRight w:val="0"/>
      <w:marTop w:val="0"/>
      <w:marBottom w:val="0"/>
      <w:divBdr>
        <w:top w:val="none" w:sz="0" w:space="0" w:color="auto"/>
        <w:left w:val="none" w:sz="0" w:space="0" w:color="auto"/>
        <w:bottom w:val="none" w:sz="0" w:space="0" w:color="auto"/>
        <w:right w:val="none" w:sz="0" w:space="0" w:color="auto"/>
      </w:divBdr>
    </w:div>
    <w:div w:id="1531646488">
      <w:bodyDiv w:val="1"/>
      <w:marLeft w:val="0"/>
      <w:marRight w:val="0"/>
      <w:marTop w:val="0"/>
      <w:marBottom w:val="0"/>
      <w:divBdr>
        <w:top w:val="none" w:sz="0" w:space="0" w:color="auto"/>
        <w:left w:val="none" w:sz="0" w:space="0" w:color="auto"/>
        <w:bottom w:val="none" w:sz="0" w:space="0" w:color="auto"/>
        <w:right w:val="none" w:sz="0" w:space="0" w:color="auto"/>
      </w:divBdr>
    </w:div>
    <w:div w:id="1532183448">
      <w:bodyDiv w:val="1"/>
      <w:marLeft w:val="0"/>
      <w:marRight w:val="0"/>
      <w:marTop w:val="0"/>
      <w:marBottom w:val="0"/>
      <w:divBdr>
        <w:top w:val="none" w:sz="0" w:space="0" w:color="auto"/>
        <w:left w:val="none" w:sz="0" w:space="0" w:color="auto"/>
        <w:bottom w:val="none" w:sz="0" w:space="0" w:color="auto"/>
        <w:right w:val="none" w:sz="0" w:space="0" w:color="auto"/>
      </w:divBdr>
    </w:div>
    <w:div w:id="1533225292">
      <w:bodyDiv w:val="1"/>
      <w:marLeft w:val="0"/>
      <w:marRight w:val="0"/>
      <w:marTop w:val="0"/>
      <w:marBottom w:val="0"/>
      <w:divBdr>
        <w:top w:val="none" w:sz="0" w:space="0" w:color="auto"/>
        <w:left w:val="none" w:sz="0" w:space="0" w:color="auto"/>
        <w:bottom w:val="none" w:sz="0" w:space="0" w:color="auto"/>
        <w:right w:val="none" w:sz="0" w:space="0" w:color="auto"/>
      </w:divBdr>
    </w:div>
    <w:div w:id="1534924967">
      <w:bodyDiv w:val="1"/>
      <w:marLeft w:val="0"/>
      <w:marRight w:val="0"/>
      <w:marTop w:val="0"/>
      <w:marBottom w:val="0"/>
      <w:divBdr>
        <w:top w:val="none" w:sz="0" w:space="0" w:color="auto"/>
        <w:left w:val="none" w:sz="0" w:space="0" w:color="auto"/>
        <w:bottom w:val="none" w:sz="0" w:space="0" w:color="auto"/>
        <w:right w:val="none" w:sz="0" w:space="0" w:color="auto"/>
      </w:divBdr>
    </w:div>
    <w:div w:id="1535192450">
      <w:bodyDiv w:val="1"/>
      <w:marLeft w:val="0"/>
      <w:marRight w:val="0"/>
      <w:marTop w:val="0"/>
      <w:marBottom w:val="0"/>
      <w:divBdr>
        <w:top w:val="none" w:sz="0" w:space="0" w:color="auto"/>
        <w:left w:val="none" w:sz="0" w:space="0" w:color="auto"/>
        <w:bottom w:val="none" w:sz="0" w:space="0" w:color="auto"/>
        <w:right w:val="none" w:sz="0" w:space="0" w:color="auto"/>
      </w:divBdr>
    </w:div>
    <w:div w:id="1537037948">
      <w:bodyDiv w:val="1"/>
      <w:marLeft w:val="0"/>
      <w:marRight w:val="0"/>
      <w:marTop w:val="0"/>
      <w:marBottom w:val="0"/>
      <w:divBdr>
        <w:top w:val="none" w:sz="0" w:space="0" w:color="auto"/>
        <w:left w:val="none" w:sz="0" w:space="0" w:color="auto"/>
        <w:bottom w:val="none" w:sz="0" w:space="0" w:color="auto"/>
        <w:right w:val="none" w:sz="0" w:space="0" w:color="auto"/>
      </w:divBdr>
    </w:div>
    <w:div w:id="1541866571">
      <w:bodyDiv w:val="1"/>
      <w:marLeft w:val="0"/>
      <w:marRight w:val="0"/>
      <w:marTop w:val="0"/>
      <w:marBottom w:val="0"/>
      <w:divBdr>
        <w:top w:val="none" w:sz="0" w:space="0" w:color="auto"/>
        <w:left w:val="none" w:sz="0" w:space="0" w:color="auto"/>
        <w:bottom w:val="none" w:sz="0" w:space="0" w:color="auto"/>
        <w:right w:val="none" w:sz="0" w:space="0" w:color="auto"/>
      </w:divBdr>
    </w:div>
    <w:div w:id="1542940999">
      <w:bodyDiv w:val="1"/>
      <w:marLeft w:val="0"/>
      <w:marRight w:val="0"/>
      <w:marTop w:val="0"/>
      <w:marBottom w:val="0"/>
      <w:divBdr>
        <w:top w:val="none" w:sz="0" w:space="0" w:color="auto"/>
        <w:left w:val="none" w:sz="0" w:space="0" w:color="auto"/>
        <w:bottom w:val="none" w:sz="0" w:space="0" w:color="auto"/>
        <w:right w:val="none" w:sz="0" w:space="0" w:color="auto"/>
      </w:divBdr>
    </w:div>
    <w:div w:id="1543133966">
      <w:bodyDiv w:val="1"/>
      <w:marLeft w:val="0"/>
      <w:marRight w:val="0"/>
      <w:marTop w:val="0"/>
      <w:marBottom w:val="0"/>
      <w:divBdr>
        <w:top w:val="none" w:sz="0" w:space="0" w:color="auto"/>
        <w:left w:val="none" w:sz="0" w:space="0" w:color="auto"/>
        <w:bottom w:val="none" w:sz="0" w:space="0" w:color="auto"/>
        <w:right w:val="none" w:sz="0" w:space="0" w:color="auto"/>
      </w:divBdr>
    </w:div>
    <w:div w:id="1544246565">
      <w:bodyDiv w:val="1"/>
      <w:marLeft w:val="0"/>
      <w:marRight w:val="0"/>
      <w:marTop w:val="0"/>
      <w:marBottom w:val="0"/>
      <w:divBdr>
        <w:top w:val="none" w:sz="0" w:space="0" w:color="auto"/>
        <w:left w:val="none" w:sz="0" w:space="0" w:color="auto"/>
        <w:bottom w:val="none" w:sz="0" w:space="0" w:color="auto"/>
        <w:right w:val="none" w:sz="0" w:space="0" w:color="auto"/>
      </w:divBdr>
    </w:div>
    <w:div w:id="1545562472">
      <w:bodyDiv w:val="1"/>
      <w:marLeft w:val="0"/>
      <w:marRight w:val="0"/>
      <w:marTop w:val="0"/>
      <w:marBottom w:val="0"/>
      <w:divBdr>
        <w:top w:val="none" w:sz="0" w:space="0" w:color="auto"/>
        <w:left w:val="none" w:sz="0" w:space="0" w:color="auto"/>
        <w:bottom w:val="none" w:sz="0" w:space="0" w:color="auto"/>
        <w:right w:val="none" w:sz="0" w:space="0" w:color="auto"/>
      </w:divBdr>
    </w:div>
    <w:div w:id="1546984968">
      <w:bodyDiv w:val="1"/>
      <w:marLeft w:val="0"/>
      <w:marRight w:val="0"/>
      <w:marTop w:val="0"/>
      <w:marBottom w:val="0"/>
      <w:divBdr>
        <w:top w:val="none" w:sz="0" w:space="0" w:color="auto"/>
        <w:left w:val="none" w:sz="0" w:space="0" w:color="auto"/>
        <w:bottom w:val="none" w:sz="0" w:space="0" w:color="auto"/>
        <w:right w:val="none" w:sz="0" w:space="0" w:color="auto"/>
      </w:divBdr>
    </w:div>
    <w:div w:id="1546989029">
      <w:bodyDiv w:val="1"/>
      <w:marLeft w:val="0"/>
      <w:marRight w:val="0"/>
      <w:marTop w:val="0"/>
      <w:marBottom w:val="0"/>
      <w:divBdr>
        <w:top w:val="none" w:sz="0" w:space="0" w:color="auto"/>
        <w:left w:val="none" w:sz="0" w:space="0" w:color="auto"/>
        <w:bottom w:val="none" w:sz="0" w:space="0" w:color="auto"/>
        <w:right w:val="none" w:sz="0" w:space="0" w:color="auto"/>
      </w:divBdr>
    </w:div>
    <w:div w:id="1548682945">
      <w:bodyDiv w:val="1"/>
      <w:marLeft w:val="0"/>
      <w:marRight w:val="0"/>
      <w:marTop w:val="0"/>
      <w:marBottom w:val="0"/>
      <w:divBdr>
        <w:top w:val="none" w:sz="0" w:space="0" w:color="auto"/>
        <w:left w:val="none" w:sz="0" w:space="0" w:color="auto"/>
        <w:bottom w:val="none" w:sz="0" w:space="0" w:color="auto"/>
        <w:right w:val="none" w:sz="0" w:space="0" w:color="auto"/>
      </w:divBdr>
    </w:div>
    <w:div w:id="1548832002">
      <w:bodyDiv w:val="1"/>
      <w:marLeft w:val="0"/>
      <w:marRight w:val="0"/>
      <w:marTop w:val="0"/>
      <w:marBottom w:val="0"/>
      <w:divBdr>
        <w:top w:val="none" w:sz="0" w:space="0" w:color="auto"/>
        <w:left w:val="none" w:sz="0" w:space="0" w:color="auto"/>
        <w:bottom w:val="none" w:sz="0" w:space="0" w:color="auto"/>
        <w:right w:val="none" w:sz="0" w:space="0" w:color="auto"/>
      </w:divBdr>
    </w:div>
    <w:div w:id="1549033160">
      <w:bodyDiv w:val="1"/>
      <w:marLeft w:val="0"/>
      <w:marRight w:val="0"/>
      <w:marTop w:val="0"/>
      <w:marBottom w:val="0"/>
      <w:divBdr>
        <w:top w:val="none" w:sz="0" w:space="0" w:color="auto"/>
        <w:left w:val="none" w:sz="0" w:space="0" w:color="auto"/>
        <w:bottom w:val="none" w:sz="0" w:space="0" w:color="auto"/>
        <w:right w:val="none" w:sz="0" w:space="0" w:color="auto"/>
      </w:divBdr>
    </w:div>
    <w:div w:id="1549806070">
      <w:bodyDiv w:val="1"/>
      <w:marLeft w:val="0"/>
      <w:marRight w:val="0"/>
      <w:marTop w:val="0"/>
      <w:marBottom w:val="0"/>
      <w:divBdr>
        <w:top w:val="none" w:sz="0" w:space="0" w:color="auto"/>
        <w:left w:val="none" w:sz="0" w:space="0" w:color="auto"/>
        <w:bottom w:val="none" w:sz="0" w:space="0" w:color="auto"/>
        <w:right w:val="none" w:sz="0" w:space="0" w:color="auto"/>
      </w:divBdr>
    </w:div>
    <w:div w:id="1550334140">
      <w:bodyDiv w:val="1"/>
      <w:marLeft w:val="0"/>
      <w:marRight w:val="0"/>
      <w:marTop w:val="0"/>
      <w:marBottom w:val="0"/>
      <w:divBdr>
        <w:top w:val="none" w:sz="0" w:space="0" w:color="auto"/>
        <w:left w:val="none" w:sz="0" w:space="0" w:color="auto"/>
        <w:bottom w:val="none" w:sz="0" w:space="0" w:color="auto"/>
        <w:right w:val="none" w:sz="0" w:space="0" w:color="auto"/>
      </w:divBdr>
    </w:div>
    <w:div w:id="1551110041">
      <w:bodyDiv w:val="1"/>
      <w:marLeft w:val="0"/>
      <w:marRight w:val="0"/>
      <w:marTop w:val="0"/>
      <w:marBottom w:val="0"/>
      <w:divBdr>
        <w:top w:val="none" w:sz="0" w:space="0" w:color="auto"/>
        <w:left w:val="none" w:sz="0" w:space="0" w:color="auto"/>
        <w:bottom w:val="none" w:sz="0" w:space="0" w:color="auto"/>
        <w:right w:val="none" w:sz="0" w:space="0" w:color="auto"/>
      </w:divBdr>
    </w:div>
    <w:div w:id="1551696815">
      <w:bodyDiv w:val="1"/>
      <w:marLeft w:val="0"/>
      <w:marRight w:val="0"/>
      <w:marTop w:val="0"/>
      <w:marBottom w:val="0"/>
      <w:divBdr>
        <w:top w:val="none" w:sz="0" w:space="0" w:color="auto"/>
        <w:left w:val="none" w:sz="0" w:space="0" w:color="auto"/>
        <w:bottom w:val="none" w:sz="0" w:space="0" w:color="auto"/>
        <w:right w:val="none" w:sz="0" w:space="0" w:color="auto"/>
      </w:divBdr>
    </w:div>
    <w:div w:id="1551763648">
      <w:bodyDiv w:val="1"/>
      <w:marLeft w:val="0"/>
      <w:marRight w:val="0"/>
      <w:marTop w:val="0"/>
      <w:marBottom w:val="0"/>
      <w:divBdr>
        <w:top w:val="none" w:sz="0" w:space="0" w:color="auto"/>
        <w:left w:val="none" w:sz="0" w:space="0" w:color="auto"/>
        <w:bottom w:val="none" w:sz="0" w:space="0" w:color="auto"/>
        <w:right w:val="none" w:sz="0" w:space="0" w:color="auto"/>
      </w:divBdr>
    </w:div>
    <w:div w:id="1552039042">
      <w:bodyDiv w:val="1"/>
      <w:marLeft w:val="0"/>
      <w:marRight w:val="0"/>
      <w:marTop w:val="0"/>
      <w:marBottom w:val="0"/>
      <w:divBdr>
        <w:top w:val="none" w:sz="0" w:space="0" w:color="auto"/>
        <w:left w:val="none" w:sz="0" w:space="0" w:color="auto"/>
        <w:bottom w:val="none" w:sz="0" w:space="0" w:color="auto"/>
        <w:right w:val="none" w:sz="0" w:space="0" w:color="auto"/>
      </w:divBdr>
    </w:div>
    <w:div w:id="1552695932">
      <w:bodyDiv w:val="1"/>
      <w:marLeft w:val="0"/>
      <w:marRight w:val="0"/>
      <w:marTop w:val="0"/>
      <w:marBottom w:val="0"/>
      <w:divBdr>
        <w:top w:val="none" w:sz="0" w:space="0" w:color="auto"/>
        <w:left w:val="none" w:sz="0" w:space="0" w:color="auto"/>
        <w:bottom w:val="none" w:sz="0" w:space="0" w:color="auto"/>
        <w:right w:val="none" w:sz="0" w:space="0" w:color="auto"/>
      </w:divBdr>
    </w:div>
    <w:div w:id="1553497922">
      <w:bodyDiv w:val="1"/>
      <w:marLeft w:val="0"/>
      <w:marRight w:val="0"/>
      <w:marTop w:val="0"/>
      <w:marBottom w:val="0"/>
      <w:divBdr>
        <w:top w:val="none" w:sz="0" w:space="0" w:color="auto"/>
        <w:left w:val="none" w:sz="0" w:space="0" w:color="auto"/>
        <w:bottom w:val="none" w:sz="0" w:space="0" w:color="auto"/>
        <w:right w:val="none" w:sz="0" w:space="0" w:color="auto"/>
      </w:divBdr>
    </w:div>
    <w:div w:id="1554777304">
      <w:bodyDiv w:val="1"/>
      <w:marLeft w:val="0"/>
      <w:marRight w:val="0"/>
      <w:marTop w:val="0"/>
      <w:marBottom w:val="0"/>
      <w:divBdr>
        <w:top w:val="none" w:sz="0" w:space="0" w:color="auto"/>
        <w:left w:val="none" w:sz="0" w:space="0" w:color="auto"/>
        <w:bottom w:val="none" w:sz="0" w:space="0" w:color="auto"/>
        <w:right w:val="none" w:sz="0" w:space="0" w:color="auto"/>
      </w:divBdr>
    </w:div>
    <w:div w:id="1554997694">
      <w:bodyDiv w:val="1"/>
      <w:marLeft w:val="0"/>
      <w:marRight w:val="0"/>
      <w:marTop w:val="0"/>
      <w:marBottom w:val="0"/>
      <w:divBdr>
        <w:top w:val="none" w:sz="0" w:space="0" w:color="auto"/>
        <w:left w:val="none" w:sz="0" w:space="0" w:color="auto"/>
        <w:bottom w:val="none" w:sz="0" w:space="0" w:color="auto"/>
        <w:right w:val="none" w:sz="0" w:space="0" w:color="auto"/>
      </w:divBdr>
    </w:div>
    <w:div w:id="1555502379">
      <w:bodyDiv w:val="1"/>
      <w:marLeft w:val="0"/>
      <w:marRight w:val="0"/>
      <w:marTop w:val="0"/>
      <w:marBottom w:val="0"/>
      <w:divBdr>
        <w:top w:val="none" w:sz="0" w:space="0" w:color="auto"/>
        <w:left w:val="none" w:sz="0" w:space="0" w:color="auto"/>
        <w:bottom w:val="none" w:sz="0" w:space="0" w:color="auto"/>
        <w:right w:val="none" w:sz="0" w:space="0" w:color="auto"/>
      </w:divBdr>
    </w:div>
    <w:div w:id="1556358120">
      <w:bodyDiv w:val="1"/>
      <w:marLeft w:val="0"/>
      <w:marRight w:val="0"/>
      <w:marTop w:val="0"/>
      <w:marBottom w:val="0"/>
      <w:divBdr>
        <w:top w:val="none" w:sz="0" w:space="0" w:color="auto"/>
        <w:left w:val="none" w:sz="0" w:space="0" w:color="auto"/>
        <w:bottom w:val="none" w:sz="0" w:space="0" w:color="auto"/>
        <w:right w:val="none" w:sz="0" w:space="0" w:color="auto"/>
      </w:divBdr>
    </w:div>
    <w:div w:id="1557861811">
      <w:bodyDiv w:val="1"/>
      <w:marLeft w:val="0"/>
      <w:marRight w:val="0"/>
      <w:marTop w:val="0"/>
      <w:marBottom w:val="0"/>
      <w:divBdr>
        <w:top w:val="none" w:sz="0" w:space="0" w:color="auto"/>
        <w:left w:val="none" w:sz="0" w:space="0" w:color="auto"/>
        <w:bottom w:val="none" w:sz="0" w:space="0" w:color="auto"/>
        <w:right w:val="none" w:sz="0" w:space="0" w:color="auto"/>
      </w:divBdr>
    </w:div>
    <w:div w:id="1558659964">
      <w:bodyDiv w:val="1"/>
      <w:marLeft w:val="0"/>
      <w:marRight w:val="0"/>
      <w:marTop w:val="0"/>
      <w:marBottom w:val="0"/>
      <w:divBdr>
        <w:top w:val="none" w:sz="0" w:space="0" w:color="auto"/>
        <w:left w:val="none" w:sz="0" w:space="0" w:color="auto"/>
        <w:bottom w:val="none" w:sz="0" w:space="0" w:color="auto"/>
        <w:right w:val="none" w:sz="0" w:space="0" w:color="auto"/>
      </w:divBdr>
    </w:div>
    <w:div w:id="1559583697">
      <w:bodyDiv w:val="1"/>
      <w:marLeft w:val="0"/>
      <w:marRight w:val="0"/>
      <w:marTop w:val="0"/>
      <w:marBottom w:val="0"/>
      <w:divBdr>
        <w:top w:val="none" w:sz="0" w:space="0" w:color="auto"/>
        <w:left w:val="none" w:sz="0" w:space="0" w:color="auto"/>
        <w:bottom w:val="none" w:sz="0" w:space="0" w:color="auto"/>
        <w:right w:val="none" w:sz="0" w:space="0" w:color="auto"/>
      </w:divBdr>
    </w:div>
    <w:div w:id="1560022218">
      <w:bodyDiv w:val="1"/>
      <w:marLeft w:val="0"/>
      <w:marRight w:val="0"/>
      <w:marTop w:val="0"/>
      <w:marBottom w:val="0"/>
      <w:divBdr>
        <w:top w:val="none" w:sz="0" w:space="0" w:color="auto"/>
        <w:left w:val="none" w:sz="0" w:space="0" w:color="auto"/>
        <w:bottom w:val="none" w:sz="0" w:space="0" w:color="auto"/>
        <w:right w:val="none" w:sz="0" w:space="0" w:color="auto"/>
      </w:divBdr>
    </w:div>
    <w:div w:id="1561601414">
      <w:bodyDiv w:val="1"/>
      <w:marLeft w:val="0"/>
      <w:marRight w:val="0"/>
      <w:marTop w:val="0"/>
      <w:marBottom w:val="0"/>
      <w:divBdr>
        <w:top w:val="none" w:sz="0" w:space="0" w:color="auto"/>
        <w:left w:val="none" w:sz="0" w:space="0" w:color="auto"/>
        <w:bottom w:val="none" w:sz="0" w:space="0" w:color="auto"/>
        <w:right w:val="none" w:sz="0" w:space="0" w:color="auto"/>
      </w:divBdr>
    </w:div>
    <w:div w:id="1562910011">
      <w:bodyDiv w:val="1"/>
      <w:marLeft w:val="0"/>
      <w:marRight w:val="0"/>
      <w:marTop w:val="0"/>
      <w:marBottom w:val="0"/>
      <w:divBdr>
        <w:top w:val="none" w:sz="0" w:space="0" w:color="auto"/>
        <w:left w:val="none" w:sz="0" w:space="0" w:color="auto"/>
        <w:bottom w:val="none" w:sz="0" w:space="0" w:color="auto"/>
        <w:right w:val="none" w:sz="0" w:space="0" w:color="auto"/>
      </w:divBdr>
    </w:div>
    <w:div w:id="1563715172">
      <w:bodyDiv w:val="1"/>
      <w:marLeft w:val="0"/>
      <w:marRight w:val="0"/>
      <w:marTop w:val="0"/>
      <w:marBottom w:val="0"/>
      <w:divBdr>
        <w:top w:val="none" w:sz="0" w:space="0" w:color="auto"/>
        <w:left w:val="none" w:sz="0" w:space="0" w:color="auto"/>
        <w:bottom w:val="none" w:sz="0" w:space="0" w:color="auto"/>
        <w:right w:val="none" w:sz="0" w:space="0" w:color="auto"/>
      </w:divBdr>
    </w:div>
    <w:div w:id="1564557308">
      <w:bodyDiv w:val="1"/>
      <w:marLeft w:val="0"/>
      <w:marRight w:val="0"/>
      <w:marTop w:val="0"/>
      <w:marBottom w:val="0"/>
      <w:divBdr>
        <w:top w:val="none" w:sz="0" w:space="0" w:color="auto"/>
        <w:left w:val="none" w:sz="0" w:space="0" w:color="auto"/>
        <w:bottom w:val="none" w:sz="0" w:space="0" w:color="auto"/>
        <w:right w:val="none" w:sz="0" w:space="0" w:color="auto"/>
      </w:divBdr>
    </w:div>
    <w:div w:id="1564832553">
      <w:bodyDiv w:val="1"/>
      <w:marLeft w:val="0"/>
      <w:marRight w:val="0"/>
      <w:marTop w:val="0"/>
      <w:marBottom w:val="0"/>
      <w:divBdr>
        <w:top w:val="none" w:sz="0" w:space="0" w:color="auto"/>
        <w:left w:val="none" w:sz="0" w:space="0" w:color="auto"/>
        <w:bottom w:val="none" w:sz="0" w:space="0" w:color="auto"/>
        <w:right w:val="none" w:sz="0" w:space="0" w:color="auto"/>
      </w:divBdr>
    </w:div>
    <w:div w:id="1565598793">
      <w:bodyDiv w:val="1"/>
      <w:marLeft w:val="0"/>
      <w:marRight w:val="0"/>
      <w:marTop w:val="0"/>
      <w:marBottom w:val="0"/>
      <w:divBdr>
        <w:top w:val="none" w:sz="0" w:space="0" w:color="auto"/>
        <w:left w:val="none" w:sz="0" w:space="0" w:color="auto"/>
        <w:bottom w:val="none" w:sz="0" w:space="0" w:color="auto"/>
        <w:right w:val="none" w:sz="0" w:space="0" w:color="auto"/>
      </w:divBdr>
    </w:div>
    <w:div w:id="1565753127">
      <w:bodyDiv w:val="1"/>
      <w:marLeft w:val="0"/>
      <w:marRight w:val="0"/>
      <w:marTop w:val="0"/>
      <w:marBottom w:val="0"/>
      <w:divBdr>
        <w:top w:val="none" w:sz="0" w:space="0" w:color="auto"/>
        <w:left w:val="none" w:sz="0" w:space="0" w:color="auto"/>
        <w:bottom w:val="none" w:sz="0" w:space="0" w:color="auto"/>
        <w:right w:val="none" w:sz="0" w:space="0" w:color="auto"/>
      </w:divBdr>
    </w:div>
    <w:div w:id="1567298849">
      <w:bodyDiv w:val="1"/>
      <w:marLeft w:val="0"/>
      <w:marRight w:val="0"/>
      <w:marTop w:val="0"/>
      <w:marBottom w:val="0"/>
      <w:divBdr>
        <w:top w:val="none" w:sz="0" w:space="0" w:color="auto"/>
        <w:left w:val="none" w:sz="0" w:space="0" w:color="auto"/>
        <w:bottom w:val="none" w:sz="0" w:space="0" w:color="auto"/>
        <w:right w:val="none" w:sz="0" w:space="0" w:color="auto"/>
      </w:divBdr>
    </w:div>
    <w:div w:id="1567915590">
      <w:bodyDiv w:val="1"/>
      <w:marLeft w:val="0"/>
      <w:marRight w:val="0"/>
      <w:marTop w:val="0"/>
      <w:marBottom w:val="0"/>
      <w:divBdr>
        <w:top w:val="none" w:sz="0" w:space="0" w:color="auto"/>
        <w:left w:val="none" w:sz="0" w:space="0" w:color="auto"/>
        <w:bottom w:val="none" w:sz="0" w:space="0" w:color="auto"/>
        <w:right w:val="none" w:sz="0" w:space="0" w:color="auto"/>
      </w:divBdr>
    </w:div>
    <w:div w:id="1569270317">
      <w:bodyDiv w:val="1"/>
      <w:marLeft w:val="0"/>
      <w:marRight w:val="0"/>
      <w:marTop w:val="0"/>
      <w:marBottom w:val="0"/>
      <w:divBdr>
        <w:top w:val="none" w:sz="0" w:space="0" w:color="auto"/>
        <w:left w:val="none" w:sz="0" w:space="0" w:color="auto"/>
        <w:bottom w:val="none" w:sz="0" w:space="0" w:color="auto"/>
        <w:right w:val="none" w:sz="0" w:space="0" w:color="auto"/>
      </w:divBdr>
    </w:div>
    <w:div w:id="1569464108">
      <w:bodyDiv w:val="1"/>
      <w:marLeft w:val="0"/>
      <w:marRight w:val="0"/>
      <w:marTop w:val="0"/>
      <w:marBottom w:val="0"/>
      <w:divBdr>
        <w:top w:val="none" w:sz="0" w:space="0" w:color="auto"/>
        <w:left w:val="none" w:sz="0" w:space="0" w:color="auto"/>
        <w:bottom w:val="none" w:sz="0" w:space="0" w:color="auto"/>
        <w:right w:val="none" w:sz="0" w:space="0" w:color="auto"/>
      </w:divBdr>
    </w:div>
    <w:div w:id="1569530991">
      <w:bodyDiv w:val="1"/>
      <w:marLeft w:val="0"/>
      <w:marRight w:val="0"/>
      <w:marTop w:val="0"/>
      <w:marBottom w:val="0"/>
      <w:divBdr>
        <w:top w:val="none" w:sz="0" w:space="0" w:color="auto"/>
        <w:left w:val="none" w:sz="0" w:space="0" w:color="auto"/>
        <w:bottom w:val="none" w:sz="0" w:space="0" w:color="auto"/>
        <w:right w:val="none" w:sz="0" w:space="0" w:color="auto"/>
      </w:divBdr>
    </w:div>
    <w:div w:id="1569730560">
      <w:bodyDiv w:val="1"/>
      <w:marLeft w:val="0"/>
      <w:marRight w:val="0"/>
      <w:marTop w:val="0"/>
      <w:marBottom w:val="0"/>
      <w:divBdr>
        <w:top w:val="none" w:sz="0" w:space="0" w:color="auto"/>
        <w:left w:val="none" w:sz="0" w:space="0" w:color="auto"/>
        <w:bottom w:val="none" w:sz="0" w:space="0" w:color="auto"/>
        <w:right w:val="none" w:sz="0" w:space="0" w:color="auto"/>
      </w:divBdr>
    </w:div>
    <w:div w:id="1570535716">
      <w:bodyDiv w:val="1"/>
      <w:marLeft w:val="0"/>
      <w:marRight w:val="0"/>
      <w:marTop w:val="0"/>
      <w:marBottom w:val="0"/>
      <w:divBdr>
        <w:top w:val="none" w:sz="0" w:space="0" w:color="auto"/>
        <w:left w:val="none" w:sz="0" w:space="0" w:color="auto"/>
        <w:bottom w:val="none" w:sz="0" w:space="0" w:color="auto"/>
        <w:right w:val="none" w:sz="0" w:space="0" w:color="auto"/>
      </w:divBdr>
    </w:div>
    <w:div w:id="1571041516">
      <w:bodyDiv w:val="1"/>
      <w:marLeft w:val="0"/>
      <w:marRight w:val="0"/>
      <w:marTop w:val="0"/>
      <w:marBottom w:val="0"/>
      <w:divBdr>
        <w:top w:val="none" w:sz="0" w:space="0" w:color="auto"/>
        <w:left w:val="none" w:sz="0" w:space="0" w:color="auto"/>
        <w:bottom w:val="none" w:sz="0" w:space="0" w:color="auto"/>
        <w:right w:val="none" w:sz="0" w:space="0" w:color="auto"/>
      </w:divBdr>
    </w:div>
    <w:div w:id="1571842869">
      <w:bodyDiv w:val="1"/>
      <w:marLeft w:val="0"/>
      <w:marRight w:val="0"/>
      <w:marTop w:val="0"/>
      <w:marBottom w:val="0"/>
      <w:divBdr>
        <w:top w:val="none" w:sz="0" w:space="0" w:color="auto"/>
        <w:left w:val="none" w:sz="0" w:space="0" w:color="auto"/>
        <w:bottom w:val="none" w:sz="0" w:space="0" w:color="auto"/>
        <w:right w:val="none" w:sz="0" w:space="0" w:color="auto"/>
      </w:divBdr>
    </w:div>
    <w:div w:id="1572033982">
      <w:bodyDiv w:val="1"/>
      <w:marLeft w:val="0"/>
      <w:marRight w:val="0"/>
      <w:marTop w:val="0"/>
      <w:marBottom w:val="0"/>
      <w:divBdr>
        <w:top w:val="none" w:sz="0" w:space="0" w:color="auto"/>
        <w:left w:val="none" w:sz="0" w:space="0" w:color="auto"/>
        <w:bottom w:val="none" w:sz="0" w:space="0" w:color="auto"/>
        <w:right w:val="none" w:sz="0" w:space="0" w:color="auto"/>
      </w:divBdr>
    </w:div>
    <w:div w:id="1572809047">
      <w:bodyDiv w:val="1"/>
      <w:marLeft w:val="0"/>
      <w:marRight w:val="0"/>
      <w:marTop w:val="0"/>
      <w:marBottom w:val="0"/>
      <w:divBdr>
        <w:top w:val="none" w:sz="0" w:space="0" w:color="auto"/>
        <w:left w:val="none" w:sz="0" w:space="0" w:color="auto"/>
        <w:bottom w:val="none" w:sz="0" w:space="0" w:color="auto"/>
        <w:right w:val="none" w:sz="0" w:space="0" w:color="auto"/>
      </w:divBdr>
    </w:div>
    <w:div w:id="1573346924">
      <w:bodyDiv w:val="1"/>
      <w:marLeft w:val="0"/>
      <w:marRight w:val="0"/>
      <w:marTop w:val="0"/>
      <w:marBottom w:val="0"/>
      <w:divBdr>
        <w:top w:val="none" w:sz="0" w:space="0" w:color="auto"/>
        <w:left w:val="none" w:sz="0" w:space="0" w:color="auto"/>
        <w:bottom w:val="none" w:sz="0" w:space="0" w:color="auto"/>
        <w:right w:val="none" w:sz="0" w:space="0" w:color="auto"/>
      </w:divBdr>
    </w:div>
    <w:div w:id="1573391723">
      <w:bodyDiv w:val="1"/>
      <w:marLeft w:val="0"/>
      <w:marRight w:val="0"/>
      <w:marTop w:val="0"/>
      <w:marBottom w:val="0"/>
      <w:divBdr>
        <w:top w:val="none" w:sz="0" w:space="0" w:color="auto"/>
        <w:left w:val="none" w:sz="0" w:space="0" w:color="auto"/>
        <w:bottom w:val="none" w:sz="0" w:space="0" w:color="auto"/>
        <w:right w:val="none" w:sz="0" w:space="0" w:color="auto"/>
      </w:divBdr>
    </w:div>
    <w:div w:id="1573463270">
      <w:bodyDiv w:val="1"/>
      <w:marLeft w:val="0"/>
      <w:marRight w:val="0"/>
      <w:marTop w:val="0"/>
      <w:marBottom w:val="0"/>
      <w:divBdr>
        <w:top w:val="none" w:sz="0" w:space="0" w:color="auto"/>
        <w:left w:val="none" w:sz="0" w:space="0" w:color="auto"/>
        <w:bottom w:val="none" w:sz="0" w:space="0" w:color="auto"/>
        <w:right w:val="none" w:sz="0" w:space="0" w:color="auto"/>
      </w:divBdr>
    </w:div>
    <w:div w:id="1574315020">
      <w:bodyDiv w:val="1"/>
      <w:marLeft w:val="0"/>
      <w:marRight w:val="0"/>
      <w:marTop w:val="0"/>
      <w:marBottom w:val="0"/>
      <w:divBdr>
        <w:top w:val="none" w:sz="0" w:space="0" w:color="auto"/>
        <w:left w:val="none" w:sz="0" w:space="0" w:color="auto"/>
        <w:bottom w:val="none" w:sz="0" w:space="0" w:color="auto"/>
        <w:right w:val="none" w:sz="0" w:space="0" w:color="auto"/>
      </w:divBdr>
    </w:div>
    <w:div w:id="1574315836">
      <w:bodyDiv w:val="1"/>
      <w:marLeft w:val="0"/>
      <w:marRight w:val="0"/>
      <w:marTop w:val="0"/>
      <w:marBottom w:val="0"/>
      <w:divBdr>
        <w:top w:val="none" w:sz="0" w:space="0" w:color="auto"/>
        <w:left w:val="none" w:sz="0" w:space="0" w:color="auto"/>
        <w:bottom w:val="none" w:sz="0" w:space="0" w:color="auto"/>
        <w:right w:val="none" w:sz="0" w:space="0" w:color="auto"/>
      </w:divBdr>
    </w:div>
    <w:div w:id="1575041210">
      <w:bodyDiv w:val="1"/>
      <w:marLeft w:val="0"/>
      <w:marRight w:val="0"/>
      <w:marTop w:val="0"/>
      <w:marBottom w:val="0"/>
      <w:divBdr>
        <w:top w:val="none" w:sz="0" w:space="0" w:color="auto"/>
        <w:left w:val="none" w:sz="0" w:space="0" w:color="auto"/>
        <w:bottom w:val="none" w:sz="0" w:space="0" w:color="auto"/>
        <w:right w:val="none" w:sz="0" w:space="0" w:color="auto"/>
      </w:divBdr>
    </w:div>
    <w:div w:id="1576279041">
      <w:bodyDiv w:val="1"/>
      <w:marLeft w:val="0"/>
      <w:marRight w:val="0"/>
      <w:marTop w:val="0"/>
      <w:marBottom w:val="0"/>
      <w:divBdr>
        <w:top w:val="none" w:sz="0" w:space="0" w:color="auto"/>
        <w:left w:val="none" w:sz="0" w:space="0" w:color="auto"/>
        <w:bottom w:val="none" w:sz="0" w:space="0" w:color="auto"/>
        <w:right w:val="none" w:sz="0" w:space="0" w:color="auto"/>
      </w:divBdr>
    </w:div>
    <w:div w:id="1577351822">
      <w:bodyDiv w:val="1"/>
      <w:marLeft w:val="0"/>
      <w:marRight w:val="0"/>
      <w:marTop w:val="0"/>
      <w:marBottom w:val="0"/>
      <w:divBdr>
        <w:top w:val="none" w:sz="0" w:space="0" w:color="auto"/>
        <w:left w:val="none" w:sz="0" w:space="0" w:color="auto"/>
        <w:bottom w:val="none" w:sz="0" w:space="0" w:color="auto"/>
        <w:right w:val="none" w:sz="0" w:space="0" w:color="auto"/>
      </w:divBdr>
    </w:div>
    <w:div w:id="1577518159">
      <w:bodyDiv w:val="1"/>
      <w:marLeft w:val="0"/>
      <w:marRight w:val="0"/>
      <w:marTop w:val="0"/>
      <w:marBottom w:val="0"/>
      <w:divBdr>
        <w:top w:val="none" w:sz="0" w:space="0" w:color="auto"/>
        <w:left w:val="none" w:sz="0" w:space="0" w:color="auto"/>
        <w:bottom w:val="none" w:sz="0" w:space="0" w:color="auto"/>
        <w:right w:val="none" w:sz="0" w:space="0" w:color="auto"/>
      </w:divBdr>
    </w:div>
    <w:div w:id="1579248753">
      <w:bodyDiv w:val="1"/>
      <w:marLeft w:val="0"/>
      <w:marRight w:val="0"/>
      <w:marTop w:val="0"/>
      <w:marBottom w:val="0"/>
      <w:divBdr>
        <w:top w:val="none" w:sz="0" w:space="0" w:color="auto"/>
        <w:left w:val="none" w:sz="0" w:space="0" w:color="auto"/>
        <w:bottom w:val="none" w:sz="0" w:space="0" w:color="auto"/>
        <w:right w:val="none" w:sz="0" w:space="0" w:color="auto"/>
      </w:divBdr>
    </w:div>
    <w:div w:id="1579290642">
      <w:bodyDiv w:val="1"/>
      <w:marLeft w:val="0"/>
      <w:marRight w:val="0"/>
      <w:marTop w:val="0"/>
      <w:marBottom w:val="0"/>
      <w:divBdr>
        <w:top w:val="none" w:sz="0" w:space="0" w:color="auto"/>
        <w:left w:val="none" w:sz="0" w:space="0" w:color="auto"/>
        <w:bottom w:val="none" w:sz="0" w:space="0" w:color="auto"/>
        <w:right w:val="none" w:sz="0" w:space="0" w:color="auto"/>
      </w:divBdr>
    </w:div>
    <w:div w:id="1579634434">
      <w:bodyDiv w:val="1"/>
      <w:marLeft w:val="0"/>
      <w:marRight w:val="0"/>
      <w:marTop w:val="0"/>
      <w:marBottom w:val="0"/>
      <w:divBdr>
        <w:top w:val="none" w:sz="0" w:space="0" w:color="auto"/>
        <w:left w:val="none" w:sz="0" w:space="0" w:color="auto"/>
        <w:bottom w:val="none" w:sz="0" w:space="0" w:color="auto"/>
        <w:right w:val="none" w:sz="0" w:space="0" w:color="auto"/>
      </w:divBdr>
    </w:div>
    <w:div w:id="1582253981">
      <w:bodyDiv w:val="1"/>
      <w:marLeft w:val="0"/>
      <w:marRight w:val="0"/>
      <w:marTop w:val="0"/>
      <w:marBottom w:val="0"/>
      <w:divBdr>
        <w:top w:val="none" w:sz="0" w:space="0" w:color="auto"/>
        <w:left w:val="none" w:sz="0" w:space="0" w:color="auto"/>
        <w:bottom w:val="none" w:sz="0" w:space="0" w:color="auto"/>
        <w:right w:val="none" w:sz="0" w:space="0" w:color="auto"/>
      </w:divBdr>
    </w:div>
    <w:div w:id="1583224623">
      <w:bodyDiv w:val="1"/>
      <w:marLeft w:val="0"/>
      <w:marRight w:val="0"/>
      <w:marTop w:val="0"/>
      <w:marBottom w:val="0"/>
      <w:divBdr>
        <w:top w:val="none" w:sz="0" w:space="0" w:color="auto"/>
        <w:left w:val="none" w:sz="0" w:space="0" w:color="auto"/>
        <w:bottom w:val="none" w:sz="0" w:space="0" w:color="auto"/>
        <w:right w:val="none" w:sz="0" w:space="0" w:color="auto"/>
      </w:divBdr>
    </w:div>
    <w:div w:id="1584875071">
      <w:bodyDiv w:val="1"/>
      <w:marLeft w:val="0"/>
      <w:marRight w:val="0"/>
      <w:marTop w:val="0"/>
      <w:marBottom w:val="0"/>
      <w:divBdr>
        <w:top w:val="none" w:sz="0" w:space="0" w:color="auto"/>
        <w:left w:val="none" w:sz="0" w:space="0" w:color="auto"/>
        <w:bottom w:val="none" w:sz="0" w:space="0" w:color="auto"/>
        <w:right w:val="none" w:sz="0" w:space="0" w:color="auto"/>
      </w:divBdr>
    </w:div>
    <w:div w:id="1585796239">
      <w:bodyDiv w:val="1"/>
      <w:marLeft w:val="0"/>
      <w:marRight w:val="0"/>
      <w:marTop w:val="0"/>
      <w:marBottom w:val="0"/>
      <w:divBdr>
        <w:top w:val="none" w:sz="0" w:space="0" w:color="auto"/>
        <w:left w:val="none" w:sz="0" w:space="0" w:color="auto"/>
        <w:bottom w:val="none" w:sz="0" w:space="0" w:color="auto"/>
        <w:right w:val="none" w:sz="0" w:space="0" w:color="auto"/>
      </w:divBdr>
    </w:div>
    <w:div w:id="1586181272">
      <w:bodyDiv w:val="1"/>
      <w:marLeft w:val="0"/>
      <w:marRight w:val="0"/>
      <w:marTop w:val="0"/>
      <w:marBottom w:val="0"/>
      <w:divBdr>
        <w:top w:val="none" w:sz="0" w:space="0" w:color="auto"/>
        <w:left w:val="none" w:sz="0" w:space="0" w:color="auto"/>
        <w:bottom w:val="none" w:sz="0" w:space="0" w:color="auto"/>
        <w:right w:val="none" w:sz="0" w:space="0" w:color="auto"/>
      </w:divBdr>
    </w:div>
    <w:div w:id="1586261484">
      <w:bodyDiv w:val="1"/>
      <w:marLeft w:val="0"/>
      <w:marRight w:val="0"/>
      <w:marTop w:val="0"/>
      <w:marBottom w:val="0"/>
      <w:divBdr>
        <w:top w:val="none" w:sz="0" w:space="0" w:color="auto"/>
        <w:left w:val="none" w:sz="0" w:space="0" w:color="auto"/>
        <w:bottom w:val="none" w:sz="0" w:space="0" w:color="auto"/>
        <w:right w:val="none" w:sz="0" w:space="0" w:color="auto"/>
      </w:divBdr>
    </w:div>
    <w:div w:id="1586380073">
      <w:bodyDiv w:val="1"/>
      <w:marLeft w:val="0"/>
      <w:marRight w:val="0"/>
      <w:marTop w:val="0"/>
      <w:marBottom w:val="0"/>
      <w:divBdr>
        <w:top w:val="none" w:sz="0" w:space="0" w:color="auto"/>
        <w:left w:val="none" w:sz="0" w:space="0" w:color="auto"/>
        <w:bottom w:val="none" w:sz="0" w:space="0" w:color="auto"/>
        <w:right w:val="none" w:sz="0" w:space="0" w:color="auto"/>
      </w:divBdr>
    </w:div>
    <w:div w:id="1590625192">
      <w:bodyDiv w:val="1"/>
      <w:marLeft w:val="0"/>
      <w:marRight w:val="0"/>
      <w:marTop w:val="0"/>
      <w:marBottom w:val="0"/>
      <w:divBdr>
        <w:top w:val="none" w:sz="0" w:space="0" w:color="auto"/>
        <w:left w:val="none" w:sz="0" w:space="0" w:color="auto"/>
        <w:bottom w:val="none" w:sz="0" w:space="0" w:color="auto"/>
        <w:right w:val="none" w:sz="0" w:space="0" w:color="auto"/>
      </w:divBdr>
    </w:div>
    <w:div w:id="1591499048">
      <w:bodyDiv w:val="1"/>
      <w:marLeft w:val="0"/>
      <w:marRight w:val="0"/>
      <w:marTop w:val="0"/>
      <w:marBottom w:val="0"/>
      <w:divBdr>
        <w:top w:val="none" w:sz="0" w:space="0" w:color="auto"/>
        <w:left w:val="none" w:sz="0" w:space="0" w:color="auto"/>
        <w:bottom w:val="none" w:sz="0" w:space="0" w:color="auto"/>
        <w:right w:val="none" w:sz="0" w:space="0" w:color="auto"/>
      </w:divBdr>
    </w:div>
    <w:div w:id="1592396101">
      <w:bodyDiv w:val="1"/>
      <w:marLeft w:val="0"/>
      <w:marRight w:val="0"/>
      <w:marTop w:val="0"/>
      <w:marBottom w:val="0"/>
      <w:divBdr>
        <w:top w:val="none" w:sz="0" w:space="0" w:color="auto"/>
        <w:left w:val="none" w:sz="0" w:space="0" w:color="auto"/>
        <w:bottom w:val="none" w:sz="0" w:space="0" w:color="auto"/>
        <w:right w:val="none" w:sz="0" w:space="0" w:color="auto"/>
      </w:divBdr>
    </w:div>
    <w:div w:id="1592860369">
      <w:bodyDiv w:val="1"/>
      <w:marLeft w:val="0"/>
      <w:marRight w:val="0"/>
      <w:marTop w:val="0"/>
      <w:marBottom w:val="0"/>
      <w:divBdr>
        <w:top w:val="none" w:sz="0" w:space="0" w:color="auto"/>
        <w:left w:val="none" w:sz="0" w:space="0" w:color="auto"/>
        <w:bottom w:val="none" w:sz="0" w:space="0" w:color="auto"/>
        <w:right w:val="none" w:sz="0" w:space="0" w:color="auto"/>
      </w:divBdr>
    </w:div>
    <w:div w:id="1593197864">
      <w:bodyDiv w:val="1"/>
      <w:marLeft w:val="0"/>
      <w:marRight w:val="0"/>
      <w:marTop w:val="0"/>
      <w:marBottom w:val="0"/>
      <w:divBdr>
        <w:top w:val="none" w:sz="0" w:space="0" w:color="auto"/>
        <w:left w:val="none" w:sz="0" w:space="0" w:color="auto"/>
        <w:bottom w:val="none" w:sz="0" w:space="0" w:color="auto"/>
        <w:right w:val="none" w:sz="0" w:space="0" w:color="auto"/>
      </w:divBdr>
    </w:div>
    <w:div w:id="1593318130">
      <w:bodyDiv w:val="1"/>
      <w:marLeft w:val="0"/>
      <w:marRight w:val="0"/>
      <w:marTop w:val="0"/>
      <w:marBottom w:val="0"/>
      <w:divBdr>
        <w:top w:val="none" w:sz="0" w:space="0" w:color="auto"/>
        <w:left w:val="none" w:sz="0" w:space="0" w:color="auto"/>
        <w:bottom w:val="none" w:sz="0" w:space="0" w:color="auto"/>
        <w:right w:val="none" w:sz="0" w:space="0" w:color="auto"/>
      </w:divBdr>
    </w:div>
    <w:div w:id="1594825493">
      <w:bodyDiv w:val="1"/>
      <w:marLeft w:val="0"/>
      <w:marRight w:val="0"/>
      <w:marTop w:val="0"/>
      <w:marBottom w:val="0"/>
      <w:divBdr>
        <w:top w:val="none" w:sz="0" w:space="0" w:color="auto"/>
        <w:left w:val="none" w:sz="0" w:space="0" w:color="auto"/>
        <w:bottom w:val="none" w:sz="0" w:space="0" w:color="auto"/>
        <w:right w:val="none" w:sz="0" w:space="0" w:color="auto"/>
      </w:divBdr>
    </w:div>
    <w:div w:id="1595283115">
      <w:bodyDiv w:val="1"/>
      <w:marLeft w:val="0"/>
      <w:marRight w:val="0"/>
      <w:marTop w:val="0"/>
      <w:marBottom w:val="0"/>
      <w:divBdr>
        <w:top w:val="none" w:sz="0" w:space="0" w:color="auto"/>
        <w:left w:val="none" w:sz="0" w:space="0" w:color="auto"/>
        <w:bottom w:val="none" w:sz="0" w:space="0" w:color="auto"/>
        <w:right w:val="none" w:sz="0" w:space="0" w:color="auto"/>
      </w:divBdr>
    </w:div>
    <w:div w:id="1595816740">
      <w:bodyDiv w:val="1"/>
      <w:marLeft w:val="0"/>
      <w:marRight w:val="0"/>
      <w:marTop w:val="0"/>
      <w:marBottom w:val="0"/>
      <w:divBdr>
        <w:top w:val="none" w:sz="0" w:space="0" w:color="auto"/>
        <w:left w:val="none" w:sz="0" w:space="0" w:color="auto"/>
        <w:bottom w:val="none" w:sz="0" w:space="0" w:color="auto"/>
        <w:right w:val="none" w:sz="0" w:space="0" w:color="auto"/>
      </w:divBdr>
    </w:div>
    <w:div w:id="1596088999">
      <w:bodyDiv w:val="1"/>
      <w:marLeft w:val="0"/>
      <w:marRight w:val="0"/>
      <w:marTop w:val="0"/>
      <w:marBottom w:val="0"/>
      <w:divBdr>
        <w:top w:val="none" w:sz="0" w:space="0" w:color="auto"/>
        <w:left w:val="none" w:sz="0" w:space="0" w:color="auto"/>
        <w:bottom w:val="none" w:sz="0" w:space="0" w:color="auto"/>
        <w:right w:val="none" w:sz="0" w:space="0" w:color="auto"/>
      </w:divBdr>
    </w:div>
    <w:div w:id="1596863480">
      <w:bodyDiv w:val="1"/>
      <w:marLeft w:val="0"/>
      <w:marRight w:val="0"/>
      <w:marTop w:val="0"/>
      <w:marBottom w:val="0"/>
      <w:divBdr>
        <w:top w:val="none" w:sz="0" w:space="0" w:color="auto"/>
        <w:left w:val="none" w:sz="0" w:space="0" w:color="auto"/>
        <w:bottom w:val="none" w:sz="0" w:space="0" w:color="auto"/>
        <w:right w:val="none" w:sz="0" w:space="0" w:color="auto"/>
      </w:divBdr>
    </w:div>
    <w:div w:id="1598050992">
      <w:bodyDiv w:val="1"/>
      <w:marLeft w:val="0"/>
      <w:marRight w:val="0"/>
      <w:marTop w:val="0"/>
      <w:marBottom w:val="0"/>
      <w:divBdr>
        <w:top w:val="none" w:sz="0" w:space="0" w:color="auto"/>
        <w:left w:val="none" w:sz="0" w:space="0" w:color="auto"/>
        <w:bottom w:val="none" w:sz="0" w:space="0" w:color="auto"/>
        <w:right w:val="none" w:sz="0" w:space="0" w:color="auto"/>
      </w:divBdr>
    </w:div>
    <w:div w:id="1598248561">
      <w:bodyDiv w:val="1"/>
      <w:marLeft w:val="0"/>
      <w:marRight w:val="0"/>
      <w:marTop w:val="0"/>
      <w:marBottom w:val="0"/>
      <w:divBdr>
        <w:top w:val="none" w:sz="0" w:space="0" w:color="auto"/>
        <w:left w:val="none" w:sz="0" w:space="0" w:color="auto"/>
        <w:bottom w:val="none" w:sz="0" w:space="0" w:color="auto"/>
        <w:right w:val="none" w:sz="0" w:space="0" w:color="auto"/>
      </w:divBdr>
    </w:div>
    <w:div w:id="1598293868">
      <w:bodyDiv w:val="1"/>
      <w:marLeft w:val="0"/>
      <w:marRight w:val="0"/>
      <w:marTop w:val="0"/>
      <w:marBottom w:val="0"/>
      <w:divBdr>
        <w:top w:val="none" w:sz="0" w:space="0" w:color="auto"/>
        <w:left w:val="none" w:sz="0" w:space="0" w:color="auto"/>
        <w:bottom w:val="none" w:sz="0" w:space="0" w:color="auto"/>
        <w:right w:val="none" w:sz="0" w:space="0" w:color="auto"/>
      </w:divBdr>
    </w:div>
    <w:div w:id="1599097545">
      <w:bodyDiv w:val="1"/>
      <w:marLeft w:val="0"/>
      <w:marRight w:val="0"/>
      <w:marTop w:val="0"/>
      <w:marBottom w:val="0"/>
      <w:divBdr>
        <w:top w:val="none" w:sz="0" w:space="0" w:color="auto"/>
        <w:left w:val="none" w:sz="0" w:space="0" w:color="auto"/>
        <w:bottom w:val="none" w:sz="0" w:space="0" w:color="auto"/>
        <w:right w:val="none" w:sz="0" w:space="0" w:color="auto"/>
      </w:divBdr>
    </w:div>
    <w:div w:id="1599480716">
      <w:bodyDiv w:val="1"/>
      <w:marLeft w:val="0"/>
      <w:marRight w:val="0"/>
      <w:marTop w:val="0"/>
      <w:marBottom w:val="0"/>
      <w:divBdr>
        <w:top w:val="none" w:sz="0" w:space="0" w:color="auto"/>
        <w:left w:val="none" w:sz="0" w:space="0" w:color="auto"/>
        <w:bottom w:val="none" w:sz="0" w:space="0" w:color="auto"/>
        <w:right w:val="none" w:sz="0" w:space="0" w:color="auto"/>
      </w:divBdr>
    </w:div>
    <w:div w:id="1603798406">
      <w:bodyDiv w:val="1"/>
      <w:marLeft w:val="0"/>
      <w:marRight w:val="0"/>
      <w:marTop w:val="0"/>
      <w:marBottom w:val="0"/>
      <w:divBdr>
        <w:top w:val="none" w:sz="0" w:space="0" w:color="auto"/>
        <w:left w:val="none" w:sz="0" w:space="0" w:color="auto"/>
        <w:bottom w:val="none" w:sz="0" w:space="0" w:color="auto"/>
        <w:right w:val="none" w:sz="0" w:space="0" w:color="auto"/>
      </w:divBdr>
    </w:div>
    <w:div w:id="1606234728">
      <w:bodyDiv w:val="1"/>
      <w:marLeft w:val="0"/>
      <w:marRight w:val="0"/>
      <w:marTop w:val="0"/>
      <w:marBottom w:val="0"/>
      <w:divBdr>
        <w:top w:val="none" w:sz="0" w:space="0" w:color="auto"/>
        <w:left w:val="none" w:sz="0" w:space="0" w:color="auto"/>
        <w:bottom w:val="none" w:sz="0" w:space="0" w:color="auto"/>
        <w:right w:val="none" w:sz="0" w:space="0" w:color="auto"/>
      </w:divBdr>
    </w:div>
    <w:div w:id="1607078495">
      <w:bodyDiv w:val="1"/>
      <w:marLeft w:val="0"/>
      <w:marRight w:val="0"/>
      <w:marTop w:val="0"/>
      <w:marBottom w:val="0"/>
      <w:divBdr>
        <w:top w:val="none" w:sz="0" w:space="0" w:color="auto"/>
        <w:left w:val="none" w:sz="0" w:space="0" w:color="auto"/>
        <w:bottom w:val="none" w:sz="0" w:space="0" w:color="auto"/>
        <w:right w:val="none" w:sz="0" w:space="0" w:color="auto"/>
      </w:divBdr>
    </w:div>
    <w:div w:id="1607999737">
      <w:bodyDiv w:val="1"/>
      <w:marLeft w:val="0"/>
      <w:marRight w:val="0"/>
      <w:marTop w:val="0"/>
      <w:marBottom w:val="0"/>
      <w:divBdr>
        <w:top w:val="none" w:sz="0" w:space="0" w:color="auto"/>
        <w:left w:val="none" w:sz="0" w:space="0" w:color="auto"/>
        <w:bottom w:val="none" w:sz="0" w:space="0" w:color="auto"/>
        <w:right w:val="none" w:sz="0" w:space="0" w:color="auto"/>
      </w:divBdr>
    </w:div>
    <w:div w:id="1608194608">
      <w:bodyDiv w:val="1"/>
      <w:marLeft w:val="0"/>
      <w:marRight w:val="0"/>
      <w:marTop w:val="0"/>
      <w:marBottom w:val="0"/>
      <w:divBdr>
        <w:top w:val="none" w:sz="0" w:space="0" w:color="auto"/>
        <w:left w:val="none" w:sz="0" w:space="0" w:color="auto"/>
        <w:bottom w:val="none" w:sz="0" w:space="0" w:color="auto"/>
        <w:right w:val="none" w:sz="0" w:space="0" w:color="auto"/>
      </w:divBdr>
    </w:div>
    <w:div w:id="1608998362">
      <w:bodyDiv w:val="1"/>
      <w:marLeft w:val="0"/>
      <w:marRight w:val="0"/>
      <w:marTop w:val="0"/>
      <w:marBottom w:val="0"/>
      <w:divBdr>
        <w:top w:val="none" w:sz="0" w:space="0" w:color="auto"/>
        <w:left w:val="none" w:sz="0" w:space="0" w:color="auto"/>
        <w:bottom w:val="none" w:sz="0" w:space="0" w:color="auto"/>
        <w:right w:val="none" w:sz="0" w:space="0" w:color="auto"/>
      </w:divBdr>
    </w:div>
    <w:div w:id="1609005954">
      <w:bodyDiv w:val="1"/>
      <w:marLeft w:val="0"/>
      <w:marRight w:val="0"/>
      <w:marTop w:val="0"/>
      <w:marBottom w:val="0"/>
      <w:divBdr>
        <w:top w:val="none" w:sz="0" w:space="0" w:color="auto"/>
        <w:left w:val="none" w:sz="0" w:space="0" w:color="auto"/>
        <w:bottom w:val="none" w:sz="0" w:space="0" w:color="auto"/>
        <w:right w:val="none" w:sz="0" w:space="0" w:color="auto"/>
      </w:divBdr>
    </w:div>
    <w:div w:id="1609197237">
      <w:bodyDiv w:val="1"/>
      <w:marLeft w:val="0"/>
      <w:marRight w:val="0"/>
      <w:marTop w:val="0"/>
      <w:marBottom w:val="0"/>
      <w:divBdr>
        <w:top w:val="none" w:sz="0" w:space="0" w:color="auto"/>
        <w:left w:val="none" w:sz="0" w:space="0" w:color="auto"/>
        <w:bottom w:val="none" w:sz="0" w:space="0" w:color="auto"/>
        <w:right w:val="none" w:sz="0" w:space="0" w:color="auto"/>
      </w:divBdr>
    </w:div>
    <w:div w:id="1609317057">
      <w:bodyDiv w:val="1"/>
      <w:marLeft w:val="0"/>
      <w:marRight w:val="0"/>
      <w:marTop w:val="0"/>
      <w:marBottom w:val="0"/>
      <w:divBdr>
        <w:top w:val="none" w:sz="0" w:space="0" w:color="auto"/>
        <w:left w:val="none" w:sz="0" w:space="0" w:color="auto"/>
        <w:bottom w:val="none" w:sz="0" w:space="0" w:color="auto"/>
        <w:right w:val="none" w:sz="0" w:space="0" w:color="auto"/>
      </w:divBdr>
    </w:div>
    <w:div w:id="1610309508">
      <w:bodyDiv w:val="1"/>
      <w:marLeft w:val="0"/>
      <w:marRight w:val="0"/>
      <w:marTop w:val="0"/>
      <w:marBottom w:val="0"/>
      <w:divBdr>
        <w:top w:val="none" w:sz="0" w:space="0" w:color="auto"/>
        <w:left w:val="none" w:sz="0" w:space="0" w:color="auto"/>
        <w:bottom w:val="none" w:sz="0" w:space="0" w:color="auto"/>
        <w:right w:val="none" w:sz="0" w:space="0" w:color="auto"/>
      </w:divBdr>
    </w:div>
    <w:div w:id="1610695726">
      <w:bodyDiv w:val="1"/>
      <w:marLeft w:val="0"/>
      <w:marRight w:val="0"/>
      <w:marTop w:val="0"/>
      <w:marBottom w:val="0"/>
      <w:divBdr>
        <w:top w:val="none" w:sz="0" w:space="0" w:color="auto"/>
        <w:left w:val="none" w:sz="0" w:space="0" w:color="auto"/>
        <w:bottom w:val="none" w:sz="0" w:space="0" w:color="auto"/>
        <w:right w:val="none" w:sz="0" w:space="0" w:color="auto"/>
      </w:divBdr>
    </w:div>
    <w:div w:id="1612130112">
      <w:bodyDiv w:val="1"/>
      <w:marLeft w:val="0"/>
      <w:marRight w:val="0"/>
      <w:marTop w:val="0"/>
      <w:marBottom w:val="0"/>
      <w:divBdr>
        <w:top w:val="none" w:sz="0" w:space="0" w:color="auto"/>
        <w:left w:val="none" w:sz="0" w:space="0" w:color="auto"/>
        <w:bottom w:val="none" w:sz="0" w:space="0" w:color="auto"/>
        <w:right w:val="none" w:sz="0" w:space="0" w:color="auto"/>
      </w:divBdr>
    </w:div>
    <w:div w:id="1615282746">
      <w:bodyDiv w:val="1"/>
      <w:marLeft w:val="0"/>
      <w:marRight w:val="0"/>
      <w:marTop w:val="0"/>
      <w:marBottom w:val="0"/>
      <w:divBdr>
        <w:top w:val="none" w:sz="0" w:space="0" w:color="auto"/>
        <w:left w:val="none" w:sz="0" w:space="0" w:color="auto"/>
        <w:bottom w:val="none" w:sz="0" w:space="0" w:color="auto"/>
        <w:right w:val="none" w:sz="0" w:space="0" w:color="auto"/>
      </w:divBdr>
    </w:div>
    <w:div w:id="1615864593">
      <w:bodyDiv w:val="1"/>
      <w:marLeft w:val="0"/>
      <w:marRight w:val="0"/>
      <w:marTop w:val="0"/>
      <w:marBottom w:val="0"/>
      <w:divBdr>
        <w:top w:val="none" w:sz="0" w:space="0" w:color="auto"/>
        <w:left w:val="none" w:sz="0" w:space="0" w:color="auto"/>
        <w:bottom w:val="none" w:sz="0" w:space="0" w:color="auto"/>
        <w:right w:val="none" w:sz="0" w:space="0" w:color="auto"/>
      </w:divBdr>
    </w:div>
    <w:div w:id="1616642956">
      <w:bodyDiv w:val="1"/>
      <w:marLeft w:val="0"/>
      <w:marRight w:val="0"/>
      <w:marTop w:val="0"/>
      <w:marBottom w:val="0"/>
      <w:divBdr>
        <w:top w:val="none" w:sz="0" w:space="0" w:color="auto"/>
        <w:left w:val="none" w:sz="0" w:space="0" w:color="auto"/>
        <w:bottom w:val="none" w:sz="0" w:space="0" w:color="auto"/>
        <w:right w:val="none" w:sz="0" w:space="0" w:color="auto"/>
      </w:divBdr>
    </w:div>
    <w:div w:id="1617248703">
      <w:bodyDiv w:val="1"/>
      <w:marLeft w:val="0"/>
      <w:marRight w:val="0"/>
      <w:marTop w:val="0"/>
      <w:marBottom w:val="0"/>
      <w:divBdr>
        <w:top w:val="none" w:sz="0" w:space="0" w:color="auto"/>
        <w:left w:val="none" w:sz="0" w:space="0" w:color="auto"/>
        <w:bottom w:val="none" w:sz="0" w:space="0" w:color="auto"/>
        <w:right w:val="none" w:sz="0" w:space="0" w:color="auto"/>
      </w:divBdr>
    </w:div>
    <w:div w:id="1618558726">
      <w:bodyDiv w:val="1"/>
      <w:marLeft w:val="0"/>
      <w:marRight w:val="0"/>
      <w:marTop w:val="0"/>
      <w:marBottom w:val="0"/>
      <w:divBdr>
        <w:top w:val="none" w:sz="0" w:space="0" w:color="auto"/>
        <w:left w:val="none" w:sz="0" w:space="0" w:color="auto"/>
        <w:bottom w:val="none" w:sz="0" w:space="0" w:color="auto"/>
        <w:right w:val="none" w:sz="0" w:space="0" w:color="auto"/>
      </w:divBdr>
    </w:div>
    <w:div w:id="1618950707">
      <w:bodyDiv w:val="1"/>
      <w:marLeft w:val="0"/>
      <w:marRight w:val="0"/>
      <w:marTop w:val="0"/>
      <w:marBottom w:val="0"/>
      <w:divBdr>
        <w:top w:val="none" w:sz="0" w:space="0" w:color="auto"/>
        <w:left w:val="none" w:sz="0" w:space="0" w:color="auto"/>
        <w:bottom w:val="none" w:sz="0" w:space="0" w:color="auto"/>
        <w:right w:val="none" w:sz="0" w:space="0" w:color="auto"/>
      </w:divBdr>
    </w:div>
    <w:div w:id="1619023030">
      <w:bodyDiv w:val="1"/>
      <w:marLeft w:val="0"/>
      <w:marRight w:val="0"/>
      <w:marTop w:val="0"/>
      <w:marBottom w:val="0"/>
      <w:divBdr>
        <w:top w:val="none" w:sz="0" w:space="0" w:color="auto"/>
        <w:left w:val="none" w:sz="0" w:space="0" w:color="auto"/>
        <w:bottom w:val="none" w:sz="0" w:space="0" w:color="auto"/>
        <w:right w:val="none" w:sz="0" w:space="0" w:color="auto"/>
      </w:divBdr>
    </w:div>
    <w:div w:id="1620183974">
      <w:bodyDiv w:val="1"/>
      <w:marLeft w:val="0"/>
      <w:marRight w:val="0"/>
      <w:marTop w:val="0"/>
      <w:marBottom w:val="0"/>
      <w:divBdr>
        <w:top w:val="none" w:sz="0" w:space="0" w:color="auto"/>
        <w:left w:val="none" w:sz="0" w:space="0" w:color="auto"/>
        <w:bottom w:val="none" w:sz="0" w:space="0" w:color="auto"/>
        <w:right w:val="none" w:sz="0" w:space="0" w:color="auto"/>
      </w:divBdr>
    </w:div>
    <w:div w:id="1620843620">
      <w:bodyDiv w:val="1"/>
      <w:marLeft w:val="0"/>
      <w:marRight w:val="0"/>
      <w:marTop w:val="0"/>
      <w:marBottom w:val="0"/>
      <w:divBdr>
        <w:top w:val="none" w:sz="0" w:space="0" w:color="auto"/>
        <w:left w:val="none" w:sz="0" w:space="0" w:color="auto"/>
        <w:bottom w:val="none" w:sz="0" w:space="0" w:color="auto"/>
        <w:right w:val="none" w:sz="0" w:space="0" w:color="auto"/>
      </w:divBdr>
    </w:div>
    <w:div w:id="1622804922">
      <w:bodyDiv w:val="1"/>
      <w:marLeft w:val="0"/>
      <w:marRight w:val="0"/>
      <w:marTop w:val="0"/>
      <w:marBottom w:val="0"/>
      <w:divBdr>
        <w:top w:val="none" w:sz="0" w:space="0" w:color="auto"/>
        <w:left w:val="none" w:sz="0" w:space="0" w:color="auto"/>
        <w:bottom w:val="none" w:sz="0" w:space="0" w:color="auto"/>
        <w:right w:val="none" w:sz="0" w:space="0" w:color="auto"/>
      </w:divBdr>
    </w:div>
    <w:div w:id="1622884158">
      <w:bodyDiv w:val="1"/>
      <w:marLeft w:val="0"/>
      <w:marRight w:val="0"/>
      <w:marTop w:val="0"/>
      <w:marBottom w:val="0"/>
      <w:divBdr>
        <w:top w:val="none" w:sz="0" w:space="0" w:color="auto"/>
        <w:left w:val="none" w:sz="0" w:space="0" w:color="auto"/>
        <w:bottom w:val="none" w:sz="0" w:space="0" w:color="auto"/>
        <w:right w:val="none" w:sz="0" w:space="0" w:color="auto"/>
      </w:divBdr>
    </w:div>
    <w:div w:id="1624000331">
      <w:bodyDiv w:val="1"/>
      <w:marLeft w:val="0"/>
      <w:marRight w:val="0"/>
      <w:marTop w:val="0"/>
      <w:marBottom w:val="0"/>
      <w:divBdr>
        <w:top w:val="none" w:sz="0" w:space="0" w:color="auto"/>
        <w:left w:val="none" w:sz="0" w:space="0" w:color="auto"/>
        <w:bottom w:val="none" w:sz="0" w:space="0" w:color="auto"/>
        <w:right w:val="none" w:sz="0" w:space="0" w:color="auto"/>
      </w:divBdr>
    </w:div>
    <w:div w:id="1626081530">
      <w:bodyDiv w:val="1"/>
      <w:marLeft w:val="0"/>
      <w:marRight w:val="0"/>
      <w:marTop w:val="0"/>
      <w:marBottom w:val="0"/>
      <w:divBdr>
        <w:top w:val="none" w:sz="0" w:space="0" w:color="auto"/>
        <w:left w:val="none" w:sz="0" w:space="0" w:color="auto"/>
        <w:bottom w:val="none" w:sz="0" w:space="0" w:color="auto"/>
        <w:right w:val="none" w:sz="0" w:space="0" w:color="auto"/>
      </w:divBdr>
    </w:div>
    <w:div w:id="1626111802">
      <w:bodyDiv w:val="1"/>
      <w:marLeft w:val="0"/>
      <w:marRight w:val="0"/>
      <w:marTop w:val="0"/>
      <w:marBottom w:val="0"/>
      <w:divBdr>
        <w:top w:val="none" w:sz="0" w:space="0" w:color="auto"/>
        <w:left w:val="none" w:sz="0" w:space="0" w:color="auto"/>
        <w:bottom w:val="none" w:sz="0" w:space="0" w:color="auto"/>
        <w:right w:val="none" w:sz="0" w:space="0" w:color="auto"/>
      </w:divBdr>
    </w:div>
    <w:div w:id="1626690377">
      <w:bodyDiv w:val="1"/>
      <w:marLeft w:val="0"/>
      <w:marRight w:val="0"/>
      <w:marTop w:val="0"/>
      <w:marBottom w:val="0"/>
      <w:divBdr>
        <w:top w:val="none" w:sz="0" w:space="0" w:color="auto"/>
        <w:left w:val="none" w:sz="0" w:space="0" w:color="auto"/>
        <w:bottom w:val="none" w:sz="0" w:space="0" w:color="auto"/>
        <w:right w:val="none" w:sz="0" w:space="0" w:color="auto"/>
      </w:divBdr>
    </w:div>
    <w:div w:id="1626810137">
      <w:bodyDiv w:val="1"/>
      <w:marLeft w:val="0"/>
      <w:marRight w:val="0"/>
      <w:marTop w:val="0"/>
      <w:marBottom w:val="0"/>
      <w:divBdr>
        <w:top w:val="none" w:sz="0" w:space="0" w:color="auto"/>
        <w:left w:val="none" w:sz="0" w:space="0" w:color="auto"/>
        <w:bottom w:val="none" w:sz="0" w:space="0" w:color="auto"/>
        <w:right w:val="none" w:sz="0" w:space="0" w:color="auto"/>
      </w:divBdr>
    </w:div>
    <w:div w:id="1627464283">
      <w:bodyDiv w:val="1"/>
      <w:marLeft w:val="0"/>
      <w:marRight w:val="0"/>
      <w:marTop w:val="0"/>
      <w:marBottom w:val="0"/>
      <w:divBdr>
        <w:top w:val="none" w:sz="0" w:space="0" w:color="auto"/>
        <w:left w:val="none" w:sz="0" w:space="0" w:color="auto"/>
        <w:bottom w:val="none" w:sz="0" w:space="0" w:color="auto"/>
        <w:right w:val="none" w:sz="0" w:space="0" w:color="auto"/>
      </w:divBdr>
    </w:div>
    <w:div w:id="1629047678">
      <w:bodyDiv w:val="1"/>
      <w:marLeft w:val="0"/>
      <w:marRight w:val="0"/>
      <w:marTop w:val="0"/>
      <w:marBottom w:val="0"/>
      <w:divBdr>
        <w:top w:val="none" w:sz="0" w:space="0" w:color="auto"/>
        <w:left w:val="none" w:sz="0" w:space="0" w:color="auto"/>
        <w:bottom w:val="none" w:sz="0" w:space="0" w:color="auto"/>
        <w:right w:val="none" w:sz="0" w:space="0" w:color="auto"/>
      </w:divBdr>
    </w:div>
    <w:div w:id="1630357070">
      <w:bodyDiv w:val="1"/>
      <w:marLeft w:val="0"/>
      <w:marRight w:val="0"/>
      <w:marTop w:val="0"/>
      <w:marBottom w:val="0"/>
      <w:divBdr>
        <w:top w:val="none" w:sz="0" w:space="0" w:color="auto"/>
        <w:left w:val="none" w:sz="0" w:space="0" w:color="auto"/>
        <w:bottom w:val="none" w:sz="0" w:space="0" w:color="auto"/>
        <w:right w:val="none" w:sz="0" w:space="0" w:color="auto"/>
      </w:divBdr>
    </w:div>
    <w:div w:id="1630621193">
      <w:bodyDiv w:val="1"/>
      <w:marLeft w:val="0"/>
      <w:marRight w:val="0"/>
      <w:marTop w:val="0"/>
      <w:marBottom w:val="0"/>
      <w:divBdr>
        <w:top w:val="none" w:sz="0" w:space="0" w:color="auto"/>
        <w:left w:val="none" w:sz="0" w:space="0" w:color="auto"/>
        <w:bottom w:val="none" w:sz="0" w:space="0" w:color="auto"/>
        <w:right w:val="none" w:sz="0" w:space="0" w:color="auto"/>
      </w:divBdr>
    </w:div>
    <w:div w:id="1631545594">
      <w:bodyDiv w:val="1"/>
      <w:marLeft w:val="0"/>
      <w:marRight w:val="0"/>
      <w:marTop w:val="0"/>
      <w:marBottom w:val="0"/>
      <w:divBdr>
        <w:top w:val="none" w:sz="0" w:space="0" w:color="auto"/>
        <w:left w:val="none" w:sz="0" w:space="0" w:color="auto"/>
        <w:bottom w:val="none" w:sz="0" w:space="0" w:color="auto"/>
        <w:right w:val="none" w:sz="0" w:space="0" w:color="auto"/>
      </w:divBdr>
    </w:div>
    <w:div w:id="1631935611">
      <w:bodyDiv w:val="1"/>
      <w:marLeft w:val="0"/>
      <w:marRight w:val="0"/>
      <w:marTop w:val="0"/>
      <w:marBottom w:val="0"/>
      <w:divBdr>
        <w:top w:val="none" w:sz="0" w:space="0" w:color="auto"/>
        <w:left w:val="none" w:sz="0" w:space="0" w:color="auto"/>
        <w:bottom w:val="none" w:sz="0" w:space="0" w:color="auto"/>
        <w:right w:val="none" w:sz="0" w:space="0" w:color="auto"/>
      </w:divBdr>
    </w:div>
    <w:div w:id="1632055637">
      <w:bodyDiv w:val="1"/>
      <w:marLeft w:val="0"/>
      <w:marRight w:val="0"/>
      <w:marTop w:val="0"/>
      <w:marBottom w:val="0"/>
      <w:divBdr>
        <w:top w:val="none" w:sz="0" w:space="0" w:color="auto"/>
        <w:left w:val="none" w:sz="0" w:space="0" w:color="auto"/>
        <w:bottom w:val="none" w:sz="0" w:space="0" w:color="auto"/>
        <w:right w:val="none" w:sz="0" w:space="0" w:color="auto"/>
      </w:divBdr>
    </w:div>
    <w:div w:id="1632708995">
      <w:bodyDiv w:val="1"/>
      <w:marLeft w:val="0"/>
      <w:marRight w:val="0"/>
      <w:marTop w:val="0"/>
      <w:marBottom w:val="0"/>
      <w:divBdr>
        <w:top w:val="none" w:sz="0" w:space="0" w:color="auto"/>
        <w:left w:val="none" w:sz="0" w:space="0" w:color="auto"/>
        <w:bottom w:val="none" w:sz="0" w:space="0" w:color="auto"/>
        <w:right w:val="none" w:sz="0" w:space="0" w:color="auto"/>
      </w:divBdr>
    </w:div>
    <w:div w:id="1633442035">
      <w:bodyDiv w:val="1"/>
      <w:marLeft w:val="0"/>
      <w:marRight w:val="0"/>
      <w:marTop w:val="0"/>
      <w:marBottom w:val="0"/>
      <w:divBdr>
        <w:top w:val="none" w:sz="0" w:space="0" w:color="auto"/>
        <w:left w:val="none" w:sz="0" w:space="0" w:color="auto"/>
        <w:bottom w:val="none" w:sz="0" w:space="0" w:color="auto"/>
        <w:right w:val="none" w:sz="0" w:space="0" w:color="auto"/>
      </w:divBdr>
    </w:div>
    <w:div w:id="1634365386">
      <w:bodyDiv w:val="1"/>
      <w:marLeft w:val="0"/>
      <w:marRight w:val="0"/>
      <w:marTop w:val="0"/>
      <w:marBottom w:val="0"/>
      <w:divBdr>
        <w:top w:val="none" w:sz="0" w:space="0" w:color="auto"/>
        <w:left w:val="none" w:sz="0" w:space="0" w:color="auto"/>
        <w:bottom w:val="none" w:sz="0" w:space="0" w:color="auto"/>
        <w:right w:val="none" w:sz="0" w:space="0" w:color="auto"/>
      </w:divBdr>
    </w:div>
    <w:div w:id="1636252331">
      <w:bodyDiv w:val="1"/>
      <w:marLeft w:val="0"/>
      <w:marRight w:val="0"/>
      <w:marTop w:val="0"/>
      <w:marBottom w:val="0"/>
      <w:divBdr>
        <w:top w:val="none" w:sz="0" w:space="0" w:color="auto"/>
        <w:left w:val="none" w:sz="0" w:space="0" w:color="auto"/>
        <w:bottom w:val="none" w:sz="0" w:space="0" w:color="auto"/>
        <w:right w:val="none" w:sz="0" w:space="0" w:color="auto"/>
      </w:divBdr>
    </w:div>
    <w:div w:id="1637761158">
      <w:bodyDiv w:val="1"/>
      <w:marLeft w:val="0"/>
      <w:marRight w:val="0"/>
      <w:marTop w:val="0"/>
      <w:marBottom w:val="0"/>
      <w:divBdr>
        <w:top w:val="none" w:sz="0" w:space="0" w:color="auto"/>
        <w:left w:val="none" w:sz="0" w:space="0" w:color="auto"/>
        <w:bottom w:val="none" w:sz="0" w:space="0" w:color="auto"/>
        <w:right w:val="none" w:sz="0" w:space="0" w:color="auto"/>
      </w:divBdr>
    </w:div>
    <w:div w:id="1638028802">
      <w:bodyDiv w:val="1"/>
      <w:marLeft w:val="0"/>
      <w:marRight w:val="0"/>
      <w:marTop w:val="0"/>
      <w:marBottom w:val="0"/>
      <w:divBdr>
        <w:top w:val="none" w:sz="0" w:space="0" w:color="auto"/>
        <w:left w:val="none" w:sz="0" w:space="0" w:color="auto"/>
        <w:bottom w:val="none" w:sz="0" w:space="0" w:color="auto"/>
        <w:right w:val="none" w:sz="0" w:space="0" w:color="auto"/>
      </w:divBdr>
    </w:div>
    <w:div w:id="1638144332">
      <w:bodyDiv w:val="1"/>
      <w:marLeft w:val="0"/>
      <w:marRight w:val="0"/>
      <w:marTop w:val="0"/>
      <w:marBottom w:val="0"/>
      <w:divBdr>
        <w:top w:val="none" w:sz="0" w:space="0" w:color="auto"/>
        <w:left w:val="none" w:sz="0" w:space="0" w:color="auto"/>
        <w:bottom w:val="none" w:sz="0" w:space="0" w:color="auto"/>
        <w:right w:val="none" w:sz="0" w:space="0" w:color="auto"/>
      </w:divBdr>
    </w:div>
    <w:div w:id="1638678229">
      <w:bodyDiv w:val="1"/>
      <w:marLeft w:val="0"/>
      <w:marRight w:val="0"/>
      <w:marTop w:val="0"/>
      <w:marBottom w:val="0"/>
      <w:divBdr>
        <w:top w:val="none" w:sz="0" w:space="0" w:color="auto"/>
        <w:left w:val="none" w:sz="0" w:space="0" w:color="auto"/>
        <w:bottom w:val="none" w:sz="0" w:space="0" w:color="auto"/>
        <w:right w:val="none" w:sz="0" w:space="0" w:color="auto"/>
      </w:divBdr>
    </w:div>
    <w:div w:id="1638796311">
      <w:bodyDiv w:val="1"/>
      <w:marLeft w:val="0"/>
      <w:marRight w:val="0"/>
      <w:marTop w:val="0"/>
      <w:marBottom w:val="0"/>
      <w:divBdr>
        <w:top w:val="none" w:sz="0" w:space="0" w:color="auto"/>
        <w:left w:val="none" w:sz="0" w:space="0" w:color="auto"/>
        <w:bottom w:val="none" w:sz="0" w:space="0" w:color="auto"/>
        <w:right w:val="none" w:sz="0" w:space="0" w:color="auto"/>
      </w:divBdr>
    </w:div>
    <w:div w:id="1638948196">
      <w:bodyDiv w:val="1"/>
      <w:marLeft w:val="0"/>
      <w:marRight w:val="0"/>
      <w:marTop w:val="0"/>
      <w:marBottom w:val="0"/>
      <w:divBdr>
        <w:top w:val="none" w:sz="0" w:space="0" w:color="auto"/>
        <w:left w:val="none" w:sz="0" w:space="0" w:color="auto"/>
        <w:bottom w:val="none" w:sz="0" w:space="0" w:color="auto"/>
        <w:right w:val="none" w:sz="0" w:space="0" w:color="auto"/>
      </w:divBdr>
    </w:div>
    <w:div w:id="1641417704">
      <w:bodyDiv w:val="1"/>
      <w:marLeft w:val="0"/>
      <w:marRight w:val="0"/>
      <w:marTop w:val="0"/>
      <w:marBottom w:val="0"/>
      <w:divBdr>
        <w:top w:val="none" w:sz="0" w:space="0" w:color="auto"/>
        <w:left w:val="none" w:sz="0" w:space="0" w:color="auto"/>
        <w:bottom w:val="none" w:sz="0" w:space="0" w:color="auto"/>
        <w:right w:val="none" w:sz="0" w:space="0" w:color="auto"/>
      </w:divBdr>
    </w:div>
    <w:div w:id="1642035020">
      <w:bodyDiv w:val="1"/>
      <w:marLeft w:val="0"/>
      <w:marRight w:val="0"/>
      <w:marTop w:val="0"/>
      <w:marBottom w:val="0"/>
      <w:divBdr>
        <w:top w:val="none" w:sz="0" w:space="0" w:color="auto"/>
        <w:left w:val="none" w:sz="0" w:space="0" w:color="auto"/>
        <w:bottom w:val="none" w:sz="0" w:space="0" w:color="auto"/>
        <w:right w:val="none" w:sz="0" w:space="0" w:color="auto"/>
      </w:divBdr>
    </w:div>
    <w:div w:id="1643462280">
      <w:bodyDiv w:val="1"/>
      <w:marLeft w:val="0"/>
      <w:marRight w:val="0"/>
      <w:marTop w:val="0"/>
      <w:marBottom w:val="0"/>
      <w:divBdr>
        <w:top w:val="none" w:sz="0" w:space="0" w:color="auto"/>
        <w:left w:val="none" w:sz="0" w:space="0" w:color="auto"/>
        <w:bottom w:val="none" w:sz="0" w:space="0" w:color="auto"/>
        <w:right w:val="none" w:sz="0" w:space="0" w:color="auto"/>
      </w:divBdr>
    </w:div>
    <w:div w:id="1643996784">
      <w:bodyDiv w:val="1"/>
      <w:marLeft w:val="0"/>
      <w:marRight w:val="0"/>
      <w:marTop w:val="0"/>
      <w:marBottom w:val="0"/>
      <w:divBdr>
        <w:top w:val="none" w:sz="0" w:space="0" w:color="auto"/>
        <w:left w:val="none" w:sz="0" w:space="0" w:color="auto"/>
        <w:bottom w:val="none" w:sz="0" w:space="0" w:color="auto"/>
        <w:right w:val="none" w:sz="0" w:space="0" w:color="auto"/>
      </w:divBdr>
    </w:div>
    <w:div w:id="1644852372">
      <w:bodyDiv w:val="1"/>
      <w:marLeft w:val="0"/>
      <w:marRight w:val="0"/>
      <w:marTop w:val="0"/>
      <w:marBottom w:val="0"/>
      <w:divBdr>
        <w:top w:val="none" w:sz="0" w:space="0" w:color="auto"/>
        <w:left w:val="none" w:sz="0" w:space="0" w:color="auto"/>
        <w:bottom w:val="none" w:sz="0" w:space="0" w:color="auto"/>
        <w:right w:val="none" w:sz="0" w:space="0" w:color="auto"/>
      </w:divBdr>
    </w:div>
    <w:div w:id="1644968724">
      <w:bodyDiv w:val="1"/>
      <w:marLeft w:val="0"/>
      <w:marRight w:val="0"/>
      <w:marTop w:val="0"/>
      <w:marBottom w:val="0"/>
      <w:divBdr>
        <w:top w:val="none" w:sz="0" w:space="0" w:color="auto"/>
        <w:left w:val="none" w:sz="0" w:space="0" w:color="auto"/>
        <w:bottom w:val="none" w:sz="0" w:space="0" w:color="auto"/>
        <w:right w:val="none" w:sz="0" w:space="0" w:color="auto"/>
      </w:divBdr>
    </w:div>
    <w:div w:id="1645625805">
      <w:bodyDiv w:val="1"/>
      <w:marLeft w:val="0"/>
      <w:marRight w:val="0"/>
      <w:marTop w:val="0"/>
      <w:marBottom w:val="0"/>
      <w:divBdr>
        <w:top w:val="none" w:sz="0" w:space="0" w:color="auto"/>
        <w:left w:val="none" w:sz="0" w:space="0" w:color="auto"/>
        <w:bottom w:val="none" w:sz="0" w:space="0" w:color="auto"/>
        <w:right w:val="none" w:sz="0" w:space="0" w:color="auto"/>
      </w:divBdr>
    </w:div>
    <w:div w:id="1647929103">
      <w:bodyDiv w:val="1"/>
      <w:marLeft w:val="0"/>
      <w:marRight w:val="0"/>
      <w:marTop w:val="0"/>
      <w:marBottom w:val="0"/>
      <w:divBdr>
        <w:top w:val="none" w:sz="0" w:space="0" w:color="auto"/>
        <w:left w:val="none" w:sz="0" w:space="0" w:color="auto"/>
        <w:bottom w:val="none" w:sz="0" w:space="0" w:color="auto"/>
        <w:right w:val="none" w:sz="0" w:space="0" w:color="auto"/>
      </w:divBdr>
    </w:div>
    <w:div w:id="1647978899">
      <w:bodyDiv w:val="1"/>
      <w:marLeft w:val="0"/>
      <w:marRight w:val="0"/>
      <w:marTop w:val="0"/>
      <w:marBottom w:val="0"/>
      <w:divBdr>
        <w:top w:val="none" w:sz="0" w:space="0" w:color="auto"/>
        <w:left w:val="none" w:sz="0" w:space="0" w:color="auto"/>
        <w:bottom w:val="none" w:sz="0" w:space="0" w:color="auto"/>
        <w:right w:val="none" w:sz="0" w:space="0" w:color="auto"/>
      </w:divBdr>
    </w:div>
    <w:div w:id="1648164884">
      <w:bodyDiv w:val="1"/>
      <w:marLeft w:val="0"/>
      <w:marRight w:val="0"/>
      <w:marTop w:val="0"/>
      <w:marBottom w:val="0"/>
      <w:divBdr>
        <w:top w:val="none" w:sz="0" w:space="0" w:color="auto"/>
        <w:left w:val="none" w:sz="0" w:space="0" w:color="auto"/>
        <w:bottom w:val="none" w:sz="0" w:space="0" w:color="auto"/>
        <w:right w:val="none" w:sz="0" w:space="0" w:color="auto"/>
      </w:divBdr>
    </w:div>
    <w:div w:id="1648436921">
      <w:bodyDiv w:val="1"/>
      <w:marLeft w:val="0"/>
      <w:marRight w:val="0"/>
      <w:marTop w:val="0"/>
      <w:marBottom w:val="0"/>
      <w:divBdr>
        <w:top w:val="none" w:sz="0" w:space="0" w:color="auto"/>
        <w:left w:val="none" w:sz="0" w:space="0" w:color="auto"/>
        <w:bottom w:val="none" w:sz="0" w:space="0" w:color="auto"/>
        <w:right w:val="none" w:sz="0" w:space="0" w:color="auto"/>
      </w:divBdr>
    </w:div>
    <w:div w:id="1648509940">
      <w:bodyDiv w:val="1"/>
      <w:marLeft w:val="0"/>
      <w:marRight w:val="0"/>
      <w:marTop w:val="0"/>
      <w:marBottom w:val="0"/>
      <w:divBdr>
        <w:top w:val="none" w:sz="0" w:space="0" w:color="auto"/>
        <w:left w:val="none" w:sz="0" w:space="0" w:color="auto"/>
        <w:bottom w:val="none" w:sz="0" w:space="0" w:color="auto"/>
        <w:right w:val="none" w:sz="0" w:space="0" w:color="auto"/>
      </w:divBdr>
    </w:div>
    <w:div w:id="1650013500">
      <w:bodyDiv w:val="1"/>
      <w:marLeft w:val="0"/>
      <w:marRight w:val="0"/>
      <w:marTop w:val="0"/>
      <w:marBottom w:val="0"/>
      <w:divBdr>
        <w:top w:val="none" w:sz="0" w:space="0" w:color="auto"/>
        <w:left w:val="none" w:sz="0" w:space="0" w:color="auto"/>
        <w:bottom w:val="none" w:sz="0" w:space="0" w:color="auto"/>
        <w:right w:val="none" w:sz="0" w:space="0" w:color="auto"/>
      </w:divBdr>
    </w:div>
    <w:div w:id="1651058536">
      <w:bodyDiv w:val="1"/>
      <w:marLeft w:val="0"/>
      <w:marRight w:val="0"/>
      <w:marTop w:val="0"/>
      <w:marBottom w:val="0"/>
      <w:divBdr>
        <w:top w:val="none" w:sz="0" w:space="0" w:color="auto"/>
        <w:left w:val="none" w:sz="0" w:space="0" w:color="auto"/>
        <w:bottom w:val="none" w:sz="0" w:space="0" w:color="auto"/>
        <w:right w:val="none" w:sz="0" w:space="0" w:color="auto"/>
      </w:divBdr>
    </w:div>
    <w:div w:id="1651638566">
      <w:bodyDiv w:val="1"/>
      <w:marLeft w:val="0"/>
      <w:marRight w:val="0"/>
      <w:marTop w:val="0"/>
      <w:marBottom w:val="0"/>
      <w:divBdr>
        <w:top w:val="none" w:sz="0" w:space="0" w:color="auto"/>
        <w:left w:val="none" w:sz="0" w:space="0" w:color="auto"/>
        <w:bottom w:val="none" w:sz="0" w:space="0" w:color="auto"/>
        <w:right w:val="none" w:sz="0" w:space="0" w:color="auto"/>
      </w:divBdr>
    </w:div>
    <w:div w:id="1651713635">
      <w:bodyDiv w:val="1"/>
      <w:marLeft w:val="0"/>
      <w:marRight w:val="0"/>
      <w:marTop w:val="0"/>
      <w:marBottom w:val="0"/>
      <w:divBdr>
        <w:top w:val="none" w:sz="0" w:space="0" w:color="auto"/>
        <w:left w:val="none" w:sz="0" w:space="0" w:color="auto"/>
        <w:bottom w:val="none" w:sz="0" w:space="0" w:color="auto"/>
        <w:right w:val="none" w:sz="0" w:space="0" w:color="auto"/>
      </w:divBdr>
    </w:div>
    <w:div w:id="1653093524">
      <w:bodyDiv w:val="1"/>
      <w:marLeft w:val="0"/>
      <w:marRight w:val="0"/>
      <w:marTop w:val="0"/>
      <w:marBottom w:val="0"/>
      <w:divBdr>
        <w:top w:val="none" w:sz="0" w:space="0" w:color="auto"/>
        <w:left w:val="none" w:sz="0" w:space="0" w:color="auto"/>
        <w:bottom w:val="none" w:sz="0" w:space="0" w:color="auto"/>
        <w:right w:val="none" w:sz="0" w:space="0" w:color="auto"/>
      </w:divBdr>
    </w:div>
    <w:div w:id="1654328597">
      <w:bodyDiv w:val="1"/>
      <w:marLeft w:val="0"/>
      <w:marRight w:val="0"/>
      <w:marTop w:val="0"/>
      <w:marBottom w:val="0"/>
      <w:divBdr>
        <w:top w:val="none" w:sz="0" w:space="0" w:color="auto"/>
        <w:left w:val="none" w:sz="0" w:space="0" w:color="auto"/>
        <w:bottom w:val="none" w:sz="0" w:space="0" w:color="auto"/>
        <w:right w:val="none" w:sz="0" w:space="0" w:color="auto"/>
      </w:divBdr>
    </w:div>
    <w:div w:id="1654679954">
      <w:bodyDiv w:val="1"/>
      <w:marLeft w:val="0"/>
      <w:marRight w:val="0"/>
      <w:marTop w:val="0"/>
      <w:marBottom w:val="0"/>
      <w:divBdr>
        <w:top w:val="none" w:sz="0" w:space="0" w:color="auto"/>
        <w:left w:val="none" w:sz="0" w:space="0" w:color="auto"/>
        <w:bottom w:val="none" w:sz="0" w:space="0" w:color="auto"/>
        <w:right w:val="none" w:sz="0" w:space="0" w:color="auto"/>
      </w:divBdr>
    </w:div>
    <w:div w:id="1656520592">
      <w:bodyDiv w:val="1"/>
      <w:marLeft w:val="0"/>
      <w:marRight w:val="0"/>
      <w:marTop w:val="0"/>
      <w:marBottom w:val="0"/>
      <w:divBdr>
        <w:top w:val="none" w:sz="0" w:space="0" w:color="auto"/>
        <w:left w:val="none" w:sz="0" w:space="0" w:color="auto"/>
        <w:bottom w:val="none" w:sz="0" w:space="0" w:color="auto"/>
        <w:right w:val="none" w:sz="0" w:space="0" w:color="auto"/>
      </w:divBdr>
    </w:div>
    <w:div w:id="1659848251">
      <w:bodyDiv w:val="1"/>
      <w:marLeft w:val="0"/>
      <w:marRight w:val="0"/>
      <w:marTop w:val="0"/>
      <w:marBottom w:val="0"/>
      <w:divBdr>
        <w:top w:val="none" w:sz="0" w:space="0" w:color="auto"/>
        <w:left w:val="none" w:sz="0" w:space="0" w:color="auto"/>
        <w:bottom w:val="none" w:sz="0" w:space="0" w:color="auto"/>
        <w:right w:val="none" w:sz="0" w:space="0" w:color="auto"/>
      </w:divBdr>
    </w:div>
    <w:div w:id="1660233515">
      <w:bodyDiv w:val="1"/>
      <w:marLeft w:val="0"/>
      <w:marRight w:val="0"/>
      <w:marTop w:val="0"/>
      <w:marBottom w:val="0"/>
      <w:divBdr>
        <w:top w:val="none" w:sz="0" w:space="0" w:color="auto"/>
        <w:left w:val="none" w:sz="0" w:space="0" w:color="auto"/>
        <w:bottom w:val="none" w:sz="0" w:space="0" w:color="auto"/>
        <w:right w:val="none" w:sz="0" w:space="0" w:color="auto"/>
      </w:divBdr>
    </w:div>
    <w:div w:id="1660573381">
      <w:bodyDiv w:val="1"/>
      <w:marLeft w:val="0"/>
      <w:marRight w:val="0"/>
      <w:marTop w:val="0"/>
      <w:marBottom w:val="0"/>
      <w:divBdr>
        <w:top w:val="none" w:sz="0" w:space="0" w:color="auto"/>
        <w:left w:val="none" w:sz="0" w:space="0" w:color="auto"/>
        <w:bottom w:val="none" w:sz="0" w:space="0" w:color="auto"/>
        <w:right w:val="none" w:sz="0" w:space="0" w:color="auto"/>
      </w:divBdr>
    </w:div>
    <w:div w:id="1661036221">
      <w:bodyDiv w:val="1"/>
      <w:marLeft w:val="0"/>
      <w:marRight w:val="0"/>
      <w:marTop w:val="0"/>
      <w:marBottom w:val="0"/>
      <w:divBdr>
        <w:top w:val="none" w:sz="0" w:space="0" w:color="auto"/>
        <w:left w:val="none" w:sz="0" w:space="0" w:color="auto"/>
        <w:bottom w:val="none" w:sz="0" w:space="0" w:color="auto"/>
        <w:right w:val="none" w:sz="0" w:space="0" w:color="auto"/>
      </w:divBdr>
    </w:div>
    <w:div w:id="1661500415">
      <w:bodyDiv w:val="1"/>
      <w:marLeft w:val="0"/>
      <w:marRight w:val="0"/>
      <w:marTop w:val="0"/>
      <w:marBottom w:val="0"/>
      <w:divBdr>
        <w:top w:val="none" w:sz="0" w:space="0" w:color="auto"/>
        <w:left w:val="none" w:sz="0" w:space="0" w:color="auto"/>
        <w:bottom w:val="none" w:sz="0" w:space="0" w:color="auto"/>
        <w:right w:val="none" w:sz="0" w:space="0" w:color="auto"/>
      </w:divBdr>
    </w:div>
    <w:div w:id="1662931728">
      <w:bodyDiv w:val="1"/>
      <w:marLeft w:val="0"/>
      <w:marRight w:val="0"/>
      <w:marTop w:val="0"/>
      <w:marBottom w:val="0"/>
      <w:divBdr>
        <w:top w:val="none" w:sz="0" w:space="0" w:color="auto"/>
        <w:left w:val="none" w:sz="0" w:space="0" w:color="auto"/>
        <w:bottom w:val="none" w:sz="0" w:space="0" w:color="auto"/>
        <w:right w:val="none" w:sz="0" w:space="0" w:color="auto"/>
      </w:divBdr>
    </w:div>
    <w:div w:id="1663048908">
      <w:bodyDiv w:val="1"/>
      <w:marLeft w:val="0"/>
      <w:marRight w:val="0"/>
      <w:marTop w:val="0"/>
      <w:marBottom w:val="0"/>
      <w:divBdr>
        <w:top w:val="none" w:sz="0" w:space="0" w:color="auto"/>
        <w:left w:val="none" w:sz="0" w:space="0" w:color="auto"/>
        <w:bottom w:val="none" w:sz="0" w:space="0" w:color="auto"/>
        <w:right w:val="none" w:sz="0" w:space="0" w:color="auto"/>
      </w:divBdr>
    </w:div>
    <w:div w:id="1663851867">
      <w:bodyDiv w:val="1"/>
      <w:marLeft w:val="0"/>
      <w:marRight w:val="0"/>
      <w:marTop w:val="0"/>
      <w:marBottom w:val="0"/>
      <w:divBdr>
        <w:top w:val="none" w:sz="0" w:space="0" w:color="auto"/>
        <w:left w:val="none" w:sz="0" w:space="0" w:color="auto"/>
        <w:bottom w:val="none" w:sz="0" w:space="0" w:color="auto"/>
        <w:right w:val="none" w:sz="0" w:space="0" w:color="auto"/>
      </w:divBdr>
    </w:div>
    <w:div w:id="1663921912">
      <w:bodyDiv w:val="1"/>
      <w:marLeft w:val="0"/>
      <w:marRight w:val="0"/>
      <w:marTop w:val="0"/>
      <w:marBottom w:val="0"/>
      <w:divBdr>
        <w:top w:val="none" w:sz="0" w:space="0" w:color="auto"/>
        <w:left w:val="none" w:sz="0" w:space="0" w:color="auto"/>
        <w:bottom w:val="none" w:sz="0" w:space="0" w:color="auto"/>
        <w:right w:val="none" w:sz="0" w:space="0" w:color="auto"/>
      </w:divBdr>
    </w:div>
    <w:div w:id="1664117249">
      <w:bodyDiv w:val="1"/>
      <w:marLeft w:val="0"/>
      <w:marRight w:val="0"/>
      <w:marTop w:val="0"/>
      <w:marBottom w:val="0"/>
      <w:divBdr>
        <w:top w:val="none" w:sz="0" w:space="0" w:color="auto"/>
        <w:left w:val="none" w:sz="0" w:space="0" w:color="auto"/>
        <w:bottom w:val="none" w:sz="0" w:space="0" w:color="auto"/>
        <w:right w:val="none" w:sz="0" w:space="0" w:color="auto"/>
      </w:divBdr>
    </w:div>
    <w:div w:id="1664773355">
      <w:bodyDiv w:val="1"/>
      <w:marLeft w:val="0"/>
      <w:marRight w:val="0"/>
      <w:marTop w:val="0"/>
      <w:marBottom w:val="0"/>
      <w:divBdr>
        <w:top w:val="none" w:sz="0" w:space="0" w:color="auto"/>
        <w:left w:val="none" w:sz="0" w:space="0" w:color="auto"/>
        <w:bottom w:val="none" w:sz="0" w:space="0" w:color="auto"/>
        <w:right w:val="none" w:sz="0" w:space="0" w:color="auto"/>
      </w:divBdr>
    </w:div>
    <w:div w:id="1665276265">
      <w:bodyDiv w:val="1"/>
      <w:marLeft w:val="0"/>
      <w:marRight w:val="0"/>
      <w:marTop w:val="0"/>
      <w:marBottom w:val="0"/>
      <w:divBdr>
        <w:top w:val="none" w:sz="0" w:space="0" w:color="auto"/>
        <w:left w:val="none" w:sz="0" w:space="0" w:color="auto"/>
        <w:bottom w:val="none" w:sz="0" w:space="0" w:color="auto"/>
        <w:right w:val="none" w:sz="0" w:space="0" w:color="auto"/>
      </w:divBdr>
    </w:div>
    <w:div w:id="1665431677">
      <w:bodyDiv w:val="1"/>
      <w:marLeft w:val="0"/>
      <w:marRight w:val="0"/>
      <w:marTop w:val="0"/>
      <w:marBottom w:val="0"/>
      <w:divBdr>
        <w:top w:val="none" w:sz="0" w:space="0" w:color="auto"/>
        <w:left w:val="none" w:sz="0" w:space="0" w:color="auto"/>
        <w:bottom w:val="none" w:sz="0" w:space="0" w:color="auto"/>
        <w:right w:val="none" w:sz="0" w:space="0" w:color="auto"/>
      </w:divBdr>
    </w:div>
    <w:div w:id="1666471999">
      <w:bodyDiv w:val="1"/>
      <w:marLeft w:val="0"/>
      <w:marRight w:val="0"/>
      <w:marTop w:val="0"/>
      <w:marBottom w:val="0"/>
      <w:divBdr>
        <w:top w:val="none" w:sz="0" w:space="0" w:color="auto"/>
        <w:left w:val="none" w:sz="0" w:space="0" w:color="auto"/>
        <w:bottom w:val="none" w:sz="0" w:space="0" w:color="auto"/>
        <w:right w:val="none" w:sz="0" w:space="0" w:color="auto"/>
      </w:divBdr>
    </w:div>
    <w:div w:id="1666780537">
      <w:bodyDiv w:val="1"/>
      <w:marLeft w:val="0"/>
      <w:marRight w:val="0"/>
      <w:marTop w:val="0"/>
      <w:marBottom w:val="0"/>
      <w:divBdr>
        <w:top w:val="none" w:sz="0" w:space="0" w:color="auto"/>
        <w:left w:val="none" w:sz="0" w:space="0" w:color="auto"/>
        <w:bottom w:val="none" w:sz="0" w:space="0" w:color="auto"/>
        <w:right w:val="none" w:sz="0" w:space="0" w:color="auto"/>
      </w:divBdr>
    </w:div>
    <w:div w:id="1668242274">
      <w:bodyDiv w:val="1"/>
      <w:marLeft w:val="0"/>
      <w:marRight w:val="0"/>
      <w:marTop w:val="0"/>
      <w:marBottom w:val="0"/>
      <w:divBdr>
        <w:top w:val="none" w:sz="0" w:space="0" w:color="auto"/>
        <w:left w:val="none" w:sz="0" w:space="0" w:color="auto"/>
        <w:bottom w:val="none" w:sz="0" w:space="0" w:color="auto"/>
        <w:right w:val="none" w:sz="0" w:space="0" w:color="auto"/>
      </w:divBdr>
    </w:div>
    <w:div w:id="1669022623">
      <w:bodyDiv w:val="1"/>
      <w:marLeft w:val="0"/>
      <w:marRight w:val="0"/>
      <w:marTop w:val="0"/>
      <w:marBottom w:val="0"/>
      <w:divBdr>
        <w:top w:val="none" w:sz="0" w:space="0" w:color="auto"/>
        <w:left w:val="none" w:sz="0" w:space="0" w:color="auto"/>
        <w:bottom w:val="none" w:sz="0" w:space="0" w:color="auto"/>
        <w:right w:val="none" w:sz="0" w:space="0" w:color="auto"/>
      </w:divBdr>
    </w:div>
    <w:div w:id="1670710864">
      <w:bodyDiv w:val="1"/>
      <w:marLeft w:val="0"/>
      <w:marRight w:val="0"/>
      <w:marTop w:val="0"/>
      <w:marBottom w:val="0"/>
      <w:divBdr>
        <w:top w:val="none" w:sz="0" w:space="0" w:color="auto"/>
        <w:left w:val="none" w:sz="0" w:space="0" w:color="auto"/>
        <w:bottom w:val="none" w:sz="0" w:space="0" w:color="auto"/>
        <w:right w:val="none" w:sz="0" w:space="0" w:color="auto"/>
      </w:divBdr>
    </w:div>
    <w:div w:id="1670715228">
      <w:bodyDiv w:val="1"/>
      <w:marLeft w:val="0"/>
      <w:marRight w:val="0"/>
      <w:marTop w:val="0"/>
      <w:marBottom w:val="0"/>
      <w:divBdr>
        <w:top w:val="none" w:sz="0" w:space="0" w:color="auto"/>
        <w:left w:val="none" w:sz="0" w:space="0" w:color="auto"/>
        <w:bottom w:val="none" w:sz="0" w:space="0" w:color="auto"/>
        <w:right w:val="none" w:sz="0" w:space="0" w:color="auto"/>
      </w:divBdr>
    </w:div>
    <w:div w:id="1671060396">
      <w:bodyDiv w:val="1"/>
      <w:marLeft w:val="0"/>
      <w:marRight w:val="0"/>
      <w:marTop w:val="0"/>
      <w:marBottom w:val="0"/>
      <w:divBdr>
        <w:top w:val="none" w:sz="0" w:space="0" w:color="auto"/>
        <w:left w:val="none" w:sz="0" w:space="0" w:color="auto"/>
        <w:bottom w:val="none" w:sz="0" w:space="0" w:color="auto"/>
        <w:right w:val="none" w:sz="0" w:space="0" w:color="auto"/>
      </w:divBdr>
    </w:div>
    <w:div w:id="1671252875">
      <w:bodyDiv w:val="1"/>
      <w:marLeft w:val="0"/>
      <w:marRight w:val="0"/>
      <w:marTop w:val="0"/>
      <w:marBottom w:val="0"/>
      <w:divBdr>
        <w:top w:val="none" w:sz="0" w:space="0" w:color="auto"/>
        <w:left w:val="none" w:sz="0" w:space="0" w:color="auto"/>
        <w:bottom w:val="none" w:sz="0" w:space="0" w:color="auto"/>
        <w:right w:val="none" w:sz="0" w:space="0" w:color="auto"/>
      </w:divBdr>
    </w:div>
    <w:div w:id="1671328222">
      <w:bodyDiv w:val="1"/>
      <w:marLeft w:val="0"/>
      <w:marRight w:val="0"/>
      <w:marTop w:val="0"/>
      <w:marBottom w:val="0"/>
      <w:divBdr>
        <w:top w:val="none" w:sz="0" w:space="0" w:color="auto"/>
        <w:left w:val="none" w:sz="0" w:space="0" w:color="auto"/>
        <w:bottom w:val="none" w:sz="0" w:space="0" w:color="auto"/>
        <w:right w:val="none" w:sz="0" w:space="0" w:color="auto"/>
      </w:divBdr>
    </w:div>
    <w:div w:id="1672636813">
      <w:bodyDiv w:val="1"/>
      <w:marLeft w:val="0"/>
      <w:marRight w:val="0"/>
      <w:marTop w:val="0"/>
      <w:marBottom w:val="0"/>
      <w:divBdr>
        <w:top w:val="none" w:sz="0" w:space="0" w:color="auto"/>
        <w:left w:val="none" w:sz="0" w:space="0" w:color="auto"/>
        <w:bottom w:val="none" w:sz="0" w:space="0" w:color="auto"/>
        <w:right w:val="none" w:sz="0" w:space="0" w:color="auto"/>
      </w:divBdr>
    </w:div>
    <w:div w:id="1672677318">
      <w:bodyDiv w:val="1"/>
      <w:marLeft w:val="0"/>
      <w:marRight w:val="0"/>
      <w:marTop w:val="0"/>
      <w:marBottom w:val="0"/>
      <w:divBdr>
        <w:top w:val="none" w:sz="0" w:space="0" w:color="auto"/>
        <w:left w:val="none" w:sz="0" w:space="0" w:color="auto"/>
        <w:bottom w:val="none" w:sz="0" w:space="0" w:color="auto"/>
        <w:right w:val="none" w:sz="0" w:space="0" w:color="auto"/>
      </w:divBdr>
    </w:div>
    <w:div w:id="1673100412">
      <w:bodyDiv w:val="1"/>
      <w:marLeft w:val="0"/>
      <w:marRight w:val="0"/>
      <w:marTop w:val="0"/>
      <w:marBottom w:val="0"/>
      <w:divBdr>
        <w:top w:val="none" w:sz="0" w:space="0" w:color="auto"/>
        <w:left w:val="none" w:sz="0" w:space="0" w:color="auto"/>
        <w:bottom w:val="none" w:sz="0" w:space="0" w:color="auto"/>
        <w:right w:val="none" w:sz="0" w:space="0" w:color="auto"/>
      </w:divBdr>
    </w:div>
    <w:div w:id="1674719908">
      <w:bodyDiv w:val="1"/>
      <w:marLeft w:val="0"/>
      <w:marRight w:val="0"/>
      <w:marTop w:val="0"/>
      <w:marBottom w:val="0"/>
      <w:divBdr>
        <w:top w:val="none" w:sz="0" w:space="0" w:color="auto"/>
        <w:left w:val="none" w:sz="0" w:space="0" w:color="auto"/>
        <w:bottom w:val="none" w:sz="0" w:space="0" w:color="auto"/>
        <w:right w:val="none" w:sz="0" w:space="0" w:color="auto"/>
      </w:divBdr>
    </w:div>
    <w:div w:id="1675263806">
      <w:bodyDiv w:val="1"/>
      <w:marLeft w:val="0"/>
      <w:marRight w:val="0"/>
      <w:marTop w:val="0"/>
      <w:marBottom w:val="0"/>
      <w:divBdr>
        <w:top w:val="none" w:sz="0" w:space="0" w:color="auto"/>
        <w:left w:val="none" w:sz="0" w:space="0" w:color="auto"/>
        <w:bottom w:val="none" w:sz="0" w:space="0" w:color="auto"/>
        <w:right w:val="none" w:sz="0" w:space="0" w:color="auto"/>
      </w:divBdr>
    </w:div>
    <w:div w:id="1675494652">
      <w:bodyDiv w:val="1"/>
      <w:marLeft w:val="0"/>
      <w:marRight w:val="0"/>
      <w:marTop w:val="0"/>
      <w:marBottom w:val="0"/>
      <w:divBdr>
        <w:top w:val="none" w:sz="0" w:space="0" w:color="auto"/>
        <w:left w:val="none" w:sz="0" w:space="0" w:color="auto"/>
        <w:bottom w:val="none" w:sz="0" w:space="0" w:color="auto"/>
        <w:right w:val="none" w:sz="0" w:space="0" w:color="auto"/>
      </w:divBdr>
    </w:div>
    <w:div w:id="1676691119">
      <w:bodyDiv w:val="1"/>
      <w:marLeft w:val="0"/>
      <w:marRight w:val="0"/>
      <w:marTop w:val="0"/>
      <w:marBottom w:val="0"/>
      <w:divBdr>
        <w:top w:val="none" w:sz="0" w:space="0" w:color="auto"/>
        <w:left w:val="none" w:sz="0" w:space="0" w:color="auto"/>
        <w:bottom w:val="none" w:sz="0" w:space="0" w:color="auto"/>
        <w:right w:val="none" w:sz="0" w:space="0" w:color="auto"/>
      </w:divBdr>
    </w:div>
    <w:div w:id="1676836537">
      <w:bodyDiv w:val="1"/>
      <w:marLeft w:val="0"/>
      <w:marRight w:val="0"/>
      <w:marTop w:val="0"/>
      <w:marBottom w:val="0"/>
      <w:divBdr>
        <w:top w:val="none" w:sz="0" w:space="0" w:color="auto"/>
        <w:left w:val="none" w:sz="0" w:space="0" w:color="auto"/>
        <w:bottom w:val="none" w:sz="0" w:space="0" w:color="auto"/>
        <w:right w:val="none" w:sz="0" w:space="0" w:color="auto"/>
      </w:divBdr>
    </w:div>
    <w:div w:id="1676953813">
      <w:bodyDiv w:val="1"/>
      <w:marLeft w:val="0"/>
      <w:marRight w:val="0"/>
      <w:marTop w:val="0"/>
      <w:marBottom w:val="0"/>
      <w:divBdr>
        <w:top w:val="none" w:sz="0" w:space="0" w:color="auto"/>
        <w:left w:val="none" w:sz="0" w:space="0" w:color="auto"/>
        <w:bottom w:val="none" w:sz="0" w:space="0" w:color="auto"/>
        <w:right w:val="none" w:sz="0" w:space="0" w:color="auto"/>
      </w:divBdr>
    </w:div>
    <w:div w:id="1677491680">
      <w:bodyDiv w:val="1"/>
      <w:marLeft w:val="0"/>
      <w:marRight w:val="0"/>
      <w:marTop w:val="0"/>
      <w:marBottom w:val="0"/>
      <w:divBdr>
        <w:top w:val="none" w:sz="0" w:space="0" w:color="auto"/>
        <w:left w:val="none" w:sz="0" w:space="0" w:color="auto"/>
        <w:bottom w:val="none" w:sz="0" w:space="0" w:color="auto"/>
        <w:right w:val="none" w:sz="0" w:space="0" w:color="auto"/>
      </w:divBdr>
    </w:div>
    <w:div w:id="1677884219">
      <w:bodyDiv w:val="1"/>
      <w:marLeft w:val="0"/>
      <w:marRight w:val="0"/>
      <w:marTop w:val="0"/>
      <w:marBottom w:val="0"/>
      <w:divBdr>
        <w:top w:val="none" w:sz="0" w:space="0" w:color="auto"/>
        <w:left w:val="none" w:sz="0" w:space="0" w:color="auto"/>
        <w:bottom w:val="none" w:sz="0" w:space="0" w:color="auto"/>
        <w:right w:val="none" w:sz="0" w:space="0" w:color="auto"/>
      </w:divBdr>
    </w:div>
    <w:div w:id="1678265330">
      <w:bodyDiv w:val="1"/>
      <w:marLeft w:val="0"/>
      <w:marRight w:val="0"/>
      <w:marTop w:val="0"/>
      <w:marBottom w:val="0"/>
      <w:divBdr>
        <w:top w:val="none" w:sz="0" w:space="0" w:color="auto"/>
        <w:left w:val="none" w:sz="0" w:space="0" w:color="auto"/>
        <w:bottom w:val="none" w:sz="0" w:space="0" w:color="auto"/>
        <w:right w:val="none" w:sz="0" w:space="0" w:color="auto"/>
      </w:divBdr>
    </w:div>
    <w:div w:id="1678770885">
      <w:bodyDiv w:val="1"/>
      <w:marLeft w:val="0"/>
      <w:marRight w:val="0"/>
      <w:marTop w:val="0"/>
      <w:marBottom w:val="0"/>
      <w:divBdr>
        <w:top w:val="none" w:sz="0" w:space="0" w:color="auto"/>
        <w:left w:val="none" w:sz="0" w:space="0" w:color="auto"/>
        <w:bottom w:val="none" w:sz="0" w:space="0" w:color="auto"/>
        <w:right w:val="none" w:sz="0" w:space="0" w:color="auto"/>
      </w:divBdr>
    </w:div>
    <w:div w:id="1679581325">
      <w:bodyDiv w:val="1"/>
      <w:marLeft w:val="0"/>
      <w:marRight w:val="0"/>
      <w:marTop w:val="0"/>
      <w:marBottom w:val="0"/>
      <w:divBdr>
        <w:top w:val="none" w:sz="0" w:space="0" w:color="auto"/>
        <w:left w:val="none" w:sz="0" w:space="0" w:color="auto"/>
        <w:bottom w:val="none" w:sz="0" w:space="0" w:color="auto"/>
        <w:right w:val="none" w:sz="0" w:space="0" w:color="auto"/>
      </w:divBdr>
    </w:div>
    <w:div w:id="1680572374">
      <w:bodyDiv w:val="1"/>
      <w:marLeft w:val="0"/>
      <w:marRight w:val="0"/>
      <w:marTop w:val="0"/>
      <w:marBottom w:val="0"/>
      <w:divBdr>
        <w:top w:val="none" w:sz="0" w:space="0" w:color="auto"/>
        <w:left w:val="none" w:sz="0" w:space="0" w:color="auto"/>
        <w:bottom w:val="none" w:sz="0" w:space="0" w:color="auto"/>
        <w:right w:val="none" w:sz="0" w:space="0" w:color="auto"/>
      </w:divBdr>
    </w:div>
    <w:div w:id="1680885873">
      <w:bodyDiv w:val="1"/>
      <w:marLeft w:val="0"/>
      <w:marRight w:val="0"/>
      <w:marTop w:val="0"/>
      <w:marBottom w:val="0"/>
      <w:divBdr>
        <w:top w:val="none" w:sz="0" w:space="0" w:color="auto"/>
        <w:left w:val="none" w:sz="0" w:space="0" w:color="auto"/>
        <w:bottom w:val="none" w:sz="0" w:space="0" w:color="auto"/>
        <w:right w:val="none" w:sz="0" w:space="0" w:color="auto"/>
      </w:divBdr>
    </w:div>
    <w:div w:id="1681735671">
      <w:bodyDiv w:val="1"/>
      <w:marLeft w:val="0"/>
      <w:marRight w:val="0"/>
      <w:marTop w:val="0"/>
      <w:marBottom w:val="0"/>
      <w:divBdr>
        <w:top w:val="none" w:sz="0" w:space="0" w:color="auto"/>
        <w:left w:val="none" w:sz="0" w:space="0" w:color="auto"/>
        <w:bottom w:val="none" w:sz="0" w:space="0" w:color="auto"/>
        <w:right w:val="none" w:sz="0" w:space="0" w:color="auto"/>
      </w:divBdr>
    </w:div>
    <w:div w:id="1682124294">
      <w:bodyDiv w:val="1"/>
      <w:marLeft w:val="0"/>
      <w:marRight w:val="0"/>
      <w:marTop w:val="0"/>
      <w:marBottom w:val="0"/>
      <w:divBdr>
        <w:top w:val="none" w:sz="0" w:space="0" w:color="auto"/>
        <w:left w:val="none" w:sz="0" w:space="0" w:color="auto"/>
        <w:bottom w:val="none" w:sz="0" w:space="0" w:color="auto"/>
        <w:right w:val="none" w:sz="0" w:space="0" w:color="auto"/>
      </w:divBdr>
    </w:div>
    <w:div w:id="1683513509">
      <w:bodyDiv w:val="1"/>
      <w:marLeft w:val="0"/>
      <w:marRight w:val="0"/>
      <w:marTop w:val="0"/>
      <w:marBottom w:val="0"/>
      <w:divBdr>
        <w:top w:val="none" w:sz="0" w:space="0" w:color="auto"/>
        <w:left w:val="none" w:sz="0" w:space="0" w:color="auto"/>
        <w:bottom w:val="none" w:sz="0" w:space="0" w:color="auto"/>
        <w:right w:val="none" w:sz="0" w:space="0" w:color="auto"/>
      </w:divBdr>
    </w:div>
    <w:div w:id="1685281949">
      <w:bodyDiv w:val="1"/>
      <w:marLeft w:val="0"/>
      <w:marRight w:val="0"/>
      <w:marTop w:val="0"/>
      <w:marBottom w:val="0"/>
      <w:divBdr>
        <w:top w:val="none" w:sz="0" w:space="0" w:color="auto"/>
        <w:left w:val="none" w:sz="0" w:space="0" w:color="auto"/>
        <w:bottom w:val="none" w:sz="0" w:space="0" w:color="auto"/>
        <w:right w:val="none" w:sz="0" w:space="0" w:color="auto"/>
      </w:divBdr>
    </w:div>
    <w:div w:id="1685548949">
      <w:bodyDiv w:val="1"/>
      <w:marLeft w:val="0"/>
      <w:marRight w:val="0"/>
      <w:marTop w:val="0"/>
      <w:marBottom w:val="0"/>
      <w:divBdr>
        <w:top w:val="none" w:sz="0" w:space="0" w:color="auto"/>
        <w:left w:val="none" w:sz="0" w:space="0" w:color="auto"/>
        <w:bottom w:val="none" w:sz="0" w:space="0" w:color="auto"/>
        <w:right w:val="none" w:sz="0" w:space="0" w:color="auto"/>
      </w:divBdr>
    </w:div>
    <w:div w:id="1686205959">
      <w:bodyDiv w:val="1"/>
      <w:marLeft w:val="0"/>
      <w:marRight w:val="0"/>
      <w:marTop w:val="0"/>
      <w:marBottom w:val="0"/>
      <w:divBdr>
        <w:top w:val="none" w:sz="0" w:space="0" w:color="auto"/>
        <w:left w:val="none" w:sz="0" w:space="0" w:color="auto"/>
        <w:bottom w:val="none" w:sz="0" w:space="0" w:color="auto"/>
        <w:right w:val="none" w:sz="0" w:space="0" w:color="auto"/>
      </w:divBdr>
    </w:div>
    <w:div w:id="1687362301">
      <w:bodyDiv w:val="1"/>
      <w:marLeft w:val="0"/>
      <w:marRight w:val="0"/>
      <w:marTop w:val="0"/>
      <w:marBottom w:val="0"/>
      <w:divBdr>
        <w:top w:val="none" w:sz="0" w:space="0" w:color="auto"/>
        <w:left w:val="none" w:sz="0" w:space="0" w:color="auto"/>
        <w:bottom w:val="none" w:sz="0" w:space="0" w:color="auto"/>
        <w:right w:val="none" w:sz="0" w:space="0" w:color="auto"/>
      </w:divBdr>
    </w:div>
    <w:div w:id="1687948716">
      <w:bodyDiv w:val="1"/>
      <w:marLeft w:val="0"/>
      <w:marRight w:val="0"/>
      <w:marTop w:val="0"/>
      <w:marBottom w:val="0"/>
      <w:divBdr>
        <w:top w:val="none" w:sz="0" w:space="0" w:color="auto"/>
        <w:left w:val="none" w:sz="0" w:space="0" w:color="auto"/>
        <w:bottom w:val="none" w:sz="0" w:space="0" w:color="auto"/>
        <w:right w:val="none" w:sz="0" w:space="0" w:color="auto"/>
      </w:divBdr>
    </w:div>
    <w:div w:id="1689022574">
      <w:bodyDiv w:val="1"/>
      <w:marLeft w:val="0"/>
      <w:marRight w:val="0"/>
      <w:marTop w:val="0"/>
      <w:marBottom w:val="0"/>
      <w:divBdr>
        <w:top w:val="none" w:sz="0" w:space="0" w:color="auto"/>
        <w:left w:val="none" w:sz="0" w:space="0" w:color="auto"/>
        <w:bottom w:val="none" w:sz="0" w:space="0" w:color="auto"/>
        <w:right w:val="none" w:sz="0" w:space="0" w:color="auto"/>
      </w:divBdr>
    </w:div>
    <w:div w:id="1689595322">
      <w:bodyDiv w:val="1"/>
      <w:marLeft w:val="0"/>
      <w:marRight w:val="0"/>
      <w:marTop w:val="0"/>
      <w:marBottom w:val="0"/>
      <w:divBdr>
        <w:top w:val="none" w:sz="0" w:space="0" w:color="auto"/>
        <w:left w:val="none" w:sz="0" w:space="0" w:color="auto"/>
        <w:bottom w:val="none" w:sz="0" w:space="0" w:color="auto"/>
        <w:right w:val="none" w:sz="0" w:space="0" w:color="auto"/>
      </w:divBdr>
    </w:div>
    <w:div w:id="1691954821">
      <w:bodyDiv w:val="1"/>
      <w:marLeft w:val="0"/>
      <w:marRight w:val="0"/>
      <w:marTop w:val="0"/>
      <w:marBottom w:val="0"/>
      <w:divBdr>
        <w:top w:val="none" w:sz="0" w:space="0" w:color="auto"/>
        <w:left w:val="none" w:sz="0" w:space="0" w:color="auto"/>
        <w:bottom w:val="none" w:sz="0" w:space="0" w:color="auto"/>
        <w:right w:val="none" w:sz="0" w:space="0" w:color="auto"/>
      </w:divBdr>
    </w:div>
    <w:div w:id="1692680657">
      <w:bodyDiv w:val="1"/>
      <w:marLeft w:val="0"/>
      <w:marRight w:val="0"/>
      <w:marTop w:val="0"/>
      <w:marBottom w:val="0"/>
      <w:divBdr>
        <w:top w:val="none" w:sz="0" w:space="0" w:color="auto"/>
        <w:left w:val="none" w:sz="0" w:space="0" w:color="auto"/>
        <w:bottom w:val="none" w:sz="0" w:space="0" w:color="auto"/>
        <w:right w:val="none" w:sz="0" w:space="0" w:color="auto"/>
      </w:divBdr>
    </w:div>
    <w:div w:id="1692992285">
      <w:bodyDiv w:val="1"/>
      <w:marLeft w:val="0"/>
      <w:marRight w:val="0"/>
      <w:marTop w:val="0"/>
      <w:marBottom w:val="0"/>
      <w:divBdr>
        <w:top w:val="none" w:sz="0" w:space="0" w:color="auto"/>
        <w:left w:val="none" w:sz="0" w:space="0" w:color="auto"/>
        <w:bottom w:val="none" w:sz="0" w:space="0" w:color="auto"/>
        <w:right w:val="none" w:sz="0" w:space="0" w:color="auto"/>
      </w:divBdr>
    </w:div>
    <w:div w:id="1693996488">
      <w:bodyDiv w:val="1"/>
      <w:marLeft w:val="0"/>
      <w:marRight w:val="0"/>
      <w:marTop w:val="0"/>
      <w:marBottom w:val="0"/>
      <w:divBdr>
        <w:top w:val="none" w:sz="0" w:space="0" w:color="auto"/>
        <w:left w:val="none" w:sz="0" w:space="0" w:color="auto"/>
        <w:bottom w:val="none" w:sz="0" w:space="0" w:color="auto"/>
        <w:right w:val="none" w:sz="0" w:space="0" w:color="auto"/>
      </w:divBdr>
    </w:div>
    <w:div w:id="1695158270">
      <w:bodyDiv w:val="1"/>
      <w:marLeft w:val="0"/>
      <w:marRight w:val="0"/>
      <w:marTop w:val="0"/>
      <w:marBottom w:val="0"/>
      <w:divBdr>
        <w:top w:val="none" w:sz="0" w:space="0" w:color="auto"/>
        <w:left w:val="none" w:sz="0" w:space="0" w:color="auto"/>
        <w:bottom w:val="none" w:sz="0" w:space="0" w:color="auto"/>
        <w:right w:val="none" w:sz="0" w:space="0" w:color="auto"/>
      </w:divBdr>
    </w:div>
    <w:div w:id="1696035055">
      <w:bodyDiv w:val="1"/>
      <w:marLeft w:val="0"/>
      <w:marRight w:val="0"/>
      <w:marTop w:val="0"/>
      <w:marBottom w:val="0"/>
      <w:divBdr>
        <w:top w:val="none" w:sz="0" w:space="0" w:color="auto"/>
        <w:left w:val="none" w:sz="0" w:space="0" w:color="auto"/>
        <w:bottom w:val="none" w:sz="0" w:space="0" w:color="auto"/>
        <w:right w:val="none" w:sz="0" w:space="0" w:color="auto"/>
      </w:divBdr>
    </w:div>
    <w:div w:id="1696929455">
      <w:bodyDiv w:val="1"/>
      <w:marLeft w:val="0"/>
      <w:marRight w:val="0"/>
      <w:marTop w:val="0"/>
      <w:marBottom w:val="0"/>
      <w:divBdr>
        <w:top w:val="none" w:sz="0" w:space="0" w:color="auto"/>
        <w:left w:val="none" w:sz="0" w:space="0" w:color="auto"/>
        <w:bottom w:val="none" w:sz="0" w:space="0" w:color="auto"/>
        <w:right w:val="none" w:sz="0" w:space="0" w:color="auto"/>
      </w:divBdr>
    </w:div>
    <w:div w:id="1697656979">
      <w:bodyDiv w:val="1"/>
      <w:marLeft w:val="0"/>
      <w:marRight w:val="0"/>
      <w:marTop w:val="0"/>
      <w:marBottom w:val="0"/>
      <w:divBdr>
        <w:top w:val="none" w:sz="0" w:space="0" w:color="auto"/>
        <w:left w:val="none" w:sz="0" w:space="0" w:color="auto"/>
        <w:bottom w:val="none" w:sz="0" w:space="0" w:color="auto"/>
        <w:right w:val="none" w:sz="0" w:space="0" w:color="auto"/>
      </w:divBdr>
    </w:div>
    <w:div w:id="1698122318">
      <w:bodyDiv w:val="1"/>
      <w:marLeft w:val="0"/>
      <w:marRight w:val="0"/>
      <w:marTop w:val="0"/>
      <w:marBottom w:val="0"/>
      <w:divBdr>
        <w:top w:val="none" w:sz="0" w:space="0" w:color="auto"/>
        <w:left w:val="none" w:sz="0" w:space="0" w:color="auto"/>
        <w:bottom w:val="none" w:sz="0" w:space="0" w:color="auto"/>
        <w:right w:val="none" w:sz="0" w:space="0" w:color="auto"/>
      </w:divBdr>
    </w:div>
    <w:div w:id="1699619283">
      <w:bodyDiv w:val="1"/>
      <w:marLeft w:val="0"/>
      <w:marRight w:val="0"/>
      <w:marTop w:val="0"/>
      <w:marBottom w:val="0"/>
      <w:divBdr>
        <w:top w:val="none" w:sz="0" w:space="0" w:color="auto"/>
        <w:left w:val="none" w:sz="0" w:space="0" w:color="auto"/>
        <w:bottom w:val="none" w:sz="0" w:space="0" w:color="auto"/>
        <w:right w:val="none" w:sz="0" w:space="0" w:color="auto"/>
      </w:divBdr>
    </w:div>
    <w:div w:id="1700666390">
      <w:bodyDiv w:val="1"/>
      <w:marLeft w:val="0"/>
      <w:marRight w:val="0"/>
      <w:marTop w:val="0"/>
      <w:marBottom w:val="0"/>
      <w:divBdr>
        <w:top w:val="none" w:sz="0" w:space="0" w:color="auto"/>
        <w:left w:val="none" w:sz="0" w:space="0" w:color="auto"/>
        <w:bottom w:val="none" w:sz="0" w:space="0" w:color="auto"/>
        <w:right w:val="none" w:sz="0" w:space="0" w:color="auto"/>
      </w:divBdr>
    </w:div>
    <w:div w:id="1700743498">
      <w:bodyDiv w:val="1"/>
      <w:marLeft w:val="0"/>
      <w:marRight w:val="0"/>
      <w:marTop w:val="0"/>
      <w:marBottom w:val="0"/>
      <w:divBdr>
        <w:top w:val="none" w:sz="0" w:space="0" w:color="auto"/>
        <w:left w:val="none" w:sz="0" w:space="0" w:color="auto"/>
        <w:bottom w:val="none" w:sz="0" w:space="0" w:color="auto"/>
        <w:right w:val="none" w:sz="0" w:space="0" w:color="auto"/>
      </w:divBdr>
    </w:div>
    <w:div w:id="1700810798">
      <w:bodyDiv w:val="1"/>
      <w:marLeft w:val="0"/>
      <w:marRight w:val="0"/>
      <w:marTop w:val="0"/>
      <w:marBottom w:val="0"/>
      <w:divBdr>
        <w:top w:val="none" w:sz="0" w:space="0" w:color="auto"/>
        <w:left w:val="none" w:sz="0" w:space="0" w:color="auto"/>
        <w:bottom w:val="none" w:sz="0" w:space="0" w:color="auto"/>
        <w:right w:val="none" w:sz="0" w:space="0" w:color="auto"/>
      </w:divBdr>
    </w:div>
    <w:div w:id="1700928946">
      <w:bodyDiv w:val="1"/>
      <w:marLeft w:val="0"/>
      <w:marRight w:val="0"/>
      <w:marTop w:val="0"/>
      <w:marBottom w:val="0"/>
      <w:divBdr>
        <w:top w:val="none" w:sz="0" w:space="0" w:color="auto"/>
        <w:left w:val="none" w:sz="0" w:space="0" w:color="auto"/>
        <w:bottom w:val="none" w:sz="0" w:space="0" w:color="auto"/>
        <w:right w:val="none" w:sz="0" w:space="0" w:color="auto"/>
      </w:divBdr>
    </w:div>
    <w:div w:id="1701858714">
      <w:bodyDiv w:val="1"/>
      <w:marLeft w:val="0"/>
      <w:marRight w:val="0"/>
      <w:marTop w:val="0"/>
      <w:marBottom w:val="0"/>
      <w:divBdr>
        <w:top w:val="none" w:sz="0" w:space="0" w:color="auto"/>
        <w:left w:val="none" w:sz="0" w:space="0" w:color="auto"/>
        <w:bottom w:val="none" w:sz="0" w:space="0" w:color="auto"/>
        <w:right w:val="none" w:sz="0" w:space="0" w:color="auto"/>
      </w:divBdr>
    </w:div>
    <w:div w:id="1701970142">
      <w:bodyDiv w:val="1"/>
      <w:marLeft w:val="0"/>
      <w:marRight w:val="0"/>
      <w:marTop w:val="0"/>
      <w:marBottom w:val="0"/>
      <w:divBdr>
        <w:top w:val="none" w:sz="0" w:space="0" w:color="auto"/>
        <w:left w:val="none" w:sz="0" w:space="0" w:color="auto"/>
        <w:bottom w:val="none" w:sz="0" w:space="0" w:color="auto"/>
        <w:right w:val="none" w:sz="0" w:space="0" w:color="auto"/>
      </w:divBdr>
    </w:div>
    <w:div w:id="1702440078">
      <w:bodyDiv w:val="1"/>
      <w:marLeft w:val="0"/>
      <w:marRight w:val="0"/>
      <w:marTop w:val="0"/>
      <w:marBottom w:val="0"/>
      <w:divBdr>
        <w:top w:val="none" w:sz="0" w:space="0" w:color="auto"/>
        <w:left w:val="none" w:sz="0" w:space="0" w:color="auto"/>
        <w:bottom w:val="none" w:sz="0" w:space="0" w:color="auto"/>
        <w:right w:val="none" w:sz="0" w:space="0" w:color="auto"/>
      </w:divBdr>
    </w:div>
    <w:div w:id="1702778959">
      <w:bodyDiv w:val="1"/>
      <w:marLeft w:val="0"/>
      <w:marRight w:val="0"/>
      <w:marTop w:val="0"/>
      <w:marBottom w:val="0"/>
      <w:divBdr>
        <w:top w:val="none" w:sz="0" w:space="0" w:color="auto"/>
        <w:left w:val="none" w:sz="0" w:space="0" w:color="auto"/>
        <w:bottom w:val="none" w:sz="0" w:space="0" w:color="auto"/>
        <w:right w:val="none" w:sz="0" w:space="0" w:color="auto"/>
      </w:divBdr>
    </w:div>
    <w:div w:id="1704213132">
      <w:bodyDiv w:val="1"/>
      <w:marLeft w:val="0"/>
      <w:marRight w:val="0"/>
      <w:marTop w:val="0"/>
      <w:marBottom w:val="0"/>
      <w:divBdr>
        <w:top w:val="none" w:sz="0" w:space="0" w:color="auto"/>
        <w:left w:val="none" w:sz="0" w:space="0" w:color="auto"/>
        <w:bottom w:val="none" w:sz="0" w:space="0" w:color="auto"/>
        <w:right w:val="none" w:sz="0" w:space="0" w:color="auto"/>
      </w:divBdr>
    </w:div>
    <w:div w:id="1704591748">
      <w:bodyDiv w:val="1"/>
      <w:marLeft w:val="0"/>
      <w:marRight w:val="0"/>
      <w:marTop w:val="0"/>
      <w:marBottom w:val="0"/>
      <w:divBdr>
        <w:top w:val="none" w:sz="0" w:space="0" w:color="auto"/>
        <w:left w:val="none" w:sz="0" w:space="0" w:color="auto"/>
        <w:bottom w:val="none" w:sz="0" w:space="0" w:color="auto"/>
        <w:right w:val="none" w:sz="0" w:space="0" w:color="auto"/>
      </w:divBdr>
    </w:div>
    <w:div w:id="1705792826">
      <w:bodyDiv w:val="1"/>
      <w:marLeft w:val="0"/>
      <w:marRight w:val="0"/>
      <w:marTop w:val="0"/>
      <w:marBottom w:val="0"/>
      <w:divBdr>
        <w:top w:val="none" w:sz="0" w:space="0" w:color="auto"/>
        <w:left w:val="none" w:sz="0" w:space="0" w:color="auto"/>
        <w:bottom w:val="none" w:sz="0" w:space="0" w:color="auto"/>
        <w:right w:val="none" w:sz="0" w:space="0" w:color="auto"/>
      </w:divBdr>
    </w:div>
    <w:div w:id="1706297398">
      <w:bodyDiv w:val="1"/>
      <w:marLeft w:val="0"/>
      <w:marRight w:val="0"/>
      <w:marTop w:val="0"/>
      <w:marBottom w:val="0"/>
      <w:divBdr>
        <w:top w:val="none" w:sz="0" w:space="0" w:color="auto"/>
        <w:left w:val="none" w:sz="0" w:space="0" w:color="auto"/>
        <w:bottom w:val="none" w:sz="0" w:space="0" w:color="auto"/>
        <w:right w:val="none" w:sz="0" w:space="0" w:color="auto"/>
      </w:divBdr>
    </w:div>
    <w:div w:id="1706442085">
      <w:bodyDiv w:val="1"/>
      <w:marLeft w:val="0"/>
      <w:marRight w:val="0"/>
      <w:marTop w:val="0"/>
      <w:marBottom w:val="0"/>
      <w:divBdr>
        <w:top w:val="none" w:sz="0" w:space="0" w:color="auto"/>
        <w:left w:val="none" w:sz="0" w:space="0" w:color="auto"/>
        <w:bottom w:val="none" w:sz="0" w:space="0" w:color="auto"/>
        <w:right w:val="none" w:sz="0" w:space="0" w:color="auto"/>
      </w:divBdr>
    </w:div>
    <w:div w:id="1708093732">
      <w:bodyDiv w:val="1"/>
      <w:marLeft w:val="0"/>
      <w:marRight w:val="0"/>
      <w:marTop w:val="0"/>
      <w:marBottom w:val="0"/>
      <w:divBdr>
        <w:top w:val="none" w:sz="0" w:space="0" w:color="auto"/>
        <w:left w:val="none" w:sz="0" w:space="0" w:color="auto"/>
        <w:bottom w:val="none" w:sz="0" w:space="0" w:color="auto"/>
        <w:right w:val="none" w:sz="0" w:space="0" w:color="auto"/>
      </w:divBdr>
    </w:div>
    <w:div w:id="1708408941">
      <w:bodyDiv w:val="1"/>
      <w:marLeft w:val="0"/>
      <w:marRight w:val="0"/>
      <w:marTop w:val="0"/>
      <w:marBottom w:val="0"/>
      <w:divBdr>
        <w:top w:val="none" w:sz="0" w:space="0" w:color="auto"/>
        <w:left w:val="none" w:sz="0" w:space="0" w:color="auto"/>
        <w:bottom w:val="none" w:sz="0" w:space="0" w:color="auto"/>
        <w:right w:val="none" w:sz="0" w:space="0" w:color="auto"/>
      </w:divBdr>
    </w:div>
    <w:div w:id="1708946405">
      <w:bodyDiv w:val="1"/>
      <w:marLeft w:val="0"/>
      <w:marRight w:val="0"/>
      <w:marTop w:val="0"/>
      <w:marBottom w:val="0"/>
      <w:divBdr>
        <w:top w:val="none" w:sz="0" w:space="0" w:color="auto"/>
        <w:left w:val="none" w:sz="0" w:space="0" w:color="auto"/>
        <w:bottom w:val="none" w:sz="0" w:space="0" w:color="auto"/>
        <w:right w:val="none" w:sz="0" w:space="0" w:color="auto"/>
      </w:divBdr>
    </w:div>
    <w:div w:id="1709447634">
      <w:bodyDiv w:val="1"/>
      <w:marLeft w:val="0"/>
      <w:marRight w:val="0"/>
      <w:marTop w:val="0"/>
      <w:marBottom w:val="0"/>
      <w:divBdr>
        <w:top w:val="none" w:sz="0" w:space="0" w:color="auto"/>
        <w:left w:val="none" w:sz="0" w:space="0" w:color="auto"/>
        <w:bottom w:val="none" w:sz="0" w:space="0" w:color="auto"/>
        <w:right w:val="none" w:sz="0" w:space="0" w:color="auto"/>
      </w:divBdr>
    </w:div>
    <w:div w:id="1710184891">
      <w:bodyDiv w:val="1"/>
      <w:marLeft w:val="0"/>
      <w:marRight w:val="0"/>
      <w:marTop w:val="0"/>
      <w:marBottom w:val="0"/>
      <w:divBdr>
        <w:top w:val="none" w:sz="0" w:space="0" w:color="auto"/>
        <w:left w:val="none" w:sz="0" w:space="0" w:color="auto"/>
        <w:bottom w:val="none" w:sz="0" w:space="0" w:color="auto"/>
        <w:right w:val="none" w:sz="0" w:space="0" w:color="auto"/>
      </w:divBdr>
    </w:div>
    <w:div w:id="1710258185">
      <w:bodyDiv w:val="1"/>
      <w:marLeft w:val="0"/>
      <w:marRight w:val="0"/>
      <w:marTop w:val="0"/>
      <w:marBottom w:val="0"/>
      <w:divBdr>
        <w:top w:val="none" w:sz="0" w:space="0" w:color="auto"/>
        <w:left w:val="none" w:sz="0" w:space="0" w:color="auto"/>
        <w:bottom w:val="none" w:sz="0" w:space="0" w:color="auto"/>
        <w:right w:val="none" w:sz="0" w:space="0" w:color="auto"/>
      </w:divBdr>
    </w:div>
    <w:div w:id="1711029215">
      <w:bodyDiv w:val="1"/>
      <w:marLeft w:val="0"/>
      <w:marRight w:val="0"/>
      <w:marTop w:val="0"/>
      <w:marBottom w:val="0"/>
      <w:divBdr>
        <w:top w:val="none" w:sz="0" w:space="0" w:color="auto"/>
        <w:left w:val="none" w:sz="0" w:space="0" w:color="auto"/>
        <w:bottom w:val="none" w:sz="0" w:space="0" w:color="auto"/>
        <w:right w:val="none" w:sz="0" w:space="0" w:color="auto"/>
      </w:divBdr>
    </w:div>
    <w:div w:id="1711764016">
      <w:bodyDiv w:val="1"/>
      <w:marLeft w:val="0"/>
      <w:marRight w:val="0"/>
      <w:marTop w:val="0"/>
      <w:marBottom w:val="0"/>
      <w:divBdr>
        <w:top w:val="none" w:sz="0" w:space="0" w:color="auto"/>
        <w:left w:val="none" w:sz="0" w:space="0" w:color="auto"/>
        <w:bottom w:val="none" w:sz="0" w:space="0" w:color="auto"/>
        <w:right w:val="none" w:sz="0" w:space="0" w:color="auto"/>
      </w:divBdr>
    </w:div>
    <w:div w:id="1712076223">
      <w:bodyDiv w:val="1"/>
      <w:marLeft w:val="0"/>
      <w:marRight w:val="0"/>
      <w:marTop w:val="0"/>
      <w:marBottom w:val="0"/>
      <w:divBdr>
        <w:top w:val="none" w:sz="0" w:space="0" w:color="auto"/>
        <w:left w:val="none" w:sz="0" w:space="0" w:color="auto"/>
        <w:bottom w:val="none" w:sz="0" w:space="0" w:color="auto"/>
        <w:right w:val="none" w:sz="0" w:space="0" w:color="auto"/>
      </w:divBdr>
    </w:div>
    <w:div w:id="1712998066">
      <w:bodyDiv w:val="1"/>
      <w:marLeft w:val="0"/>
      <w:marRight w:val="0"/>
      <w:marTop w:val="0"/>
      <w:marBottom w:val="0"/>
      <w:divBdr>
        <w:top w:val="none" w:sz="0" w:space="0" w:color="auto"/>
        <w:left w:val="none" w:sz="0" w:space="0" w:color="auto"/>
        <w:bottom w:val="none" w:sz="0" w:space="0" w:color="auto"/>
        <w:right w:val="none" w:sz="0" w:space="0" w:color="auto"/>
      </w:divBdr>
    </w:div>
    <w:div w:id="1713310432">
      <w:bodyDiv w:val="1"/>
      <w:marLeft w:val="0"/>
      <w:marRight w:val="0"/>
      <w:marTop w:val="0"/>
      <w:marBottom w:val="0"/>
      <w:divBdr>
        <w:top w:val="none" w:sz="0" w:space="0" w:color="auto"/>
        <w:left w:val="none" w:sz="0" w:space="0" w:color="auto"/>
        <w:bottom w:val="none" w:sz="0" w:space="0" w:color="auto"/>
        <w:right w:val="none" w:sz="0" w:space="0" w:color="auto"/>
      </w:divBdr>
    </w:div>
    <w:div w:id="1713312178">
      <w:bodyDiv w:val="1"/>
      <w:marLeft w:val="0"/>
      <w:marRight w:val="0"/>
      <w:marTop w:val="0"/>
      <w:marBottom w:val="0"/>
      <w:divBdr>
        <w:top w:val="none" w:sz="0" w:space="0" w:color="auto"/>
        <w:left w:val="none" w:sz="0" w:space="0" w:color="auto"/>
        <w:bottom w:val="none" w:sz="0" w:space="0" w:color="auto"/>
        <w:right w:val="none" w:sz="0" w:space="0" w:color="auto"/>
      </w:divBdr>
    </w:div>
    <w:div w:id="1713536727">
      <w:bodyDiv w:val="1"/>
      <w:marLeft w:val="0"/>
      <w:marRight w:val="0"/>
      <w:marTop w:val="0"/>
      <w:marBottom w:val="0"/>
      <w:divBdr>
        <w:top w:val="none" w:sz="0" w:space="0" w:color="auto"/>
        <w:left w:val="none" w:sz="0" w:space="0" w:color="auto"/>
        <w:bottom w:val="none" w:sz="0" w:space="0" w:color="auto"/>
        <w:right w:val="none" w:sz="0" w:space="0" w:color="auto"/>
      </w:divBdr>
    </w:div>
    <w:div w:id="1713963077">
      <w:bodyDiv w:val="1"/>
      <w:marLeft w:val="0"/>
      <w:marRight w:val="0"/>
      <w:marTop w:val="0"/>
      <w:marBottom w:val="0"/>
      <w:divBdr>
        <w:top w:val="none" w:sz="0" w:space="0" w:color="auto"/>
        <w:left w:val="none" w:sz="0" w:space="0" w:color="auto"/>
        <w:bottom w:val="none" w:sz="0" w:space="0" w:color="auto"/>
        <w:right w:val="none" w:sz="0" w:space="0" w:color="auto"/>
      </w:divBdr>
    </w:div>
    <w:div w:id="1715426665">
      <w:bodyDiv w:val="1"/>
      <w:marLeft w:val="0"/>
      <w:marRight w:val="0"/>
      <w:marTop w:val="0"/>
      <w:marBottom w:val="0"/>
      <w:divBdr>
        <w:top w:val="none" w:sz="0" w:space="0" w:color="auto"/>
        <w:left w:val="none" w:sz="0" w:space="0" w:color="auto"/>
        <w:bottom w:val="none" w:sz="0" w:space="0" w:color="auto"/>
        <w:right w:val="none" w:sz="0" w:space="0" w:color="auto"/>
      </w:divBdr>
    </w:div>
    <w:div w:id="1716348825">
      <w:bodyDiv w:val="1"/>
      <w:marLeft w:val="0"/>
      <w:marRight w:val="0"/>
      <w:marTop w:val="0"/>
      <w:marBottom w:val="0"/>
      <w:divBdr>
        <w:top w:val="none" w:sz="0" w:space="0" w:color="auto"/>
        <w:left w:val="none" w:sz="0" w:space="0" w:color="auto"/>
        <w:bottom w:val="none" w:sz="0" w:space="0" w:color="auto"/>
        <w:right w:val="none" w:sz="0" w:space="0" w:color="auto"/>
      </w:divBdr>
    </w:div>
    <w:div w:id="1716542249">
      <w:bodyDiv w:val="1"/>
      <w:marLeft w:val="0"/>
      <w:marRight w:val="0"/>
      <w:marTop w:val="0"/>
      <w:marBottom w:val="0"/>
      <w:divBdr>
        <w:top w:val="none" w:sz="0" w:space="0" w:color="auto"/>
        <w:left w:val="none" w:sz="0" w:space="0" w:color="auto"/>
        <w:bottom w:val="none" w:sz="0" w:space="0" w:color="auto"/>
        <w:right w:val="none" w:sz="0" w:space="0" w:color="auto"/>
      </w:divBdr>
    </w:div>
    <w:div w:id="1717005299">
      <w:bodyDiv w:val="1"/>
      <w:marLeft w:val="0"/>
      <w:marRight w:val="0"/>
      <w:marTop w:val="0"/>
      <w:marBottom w:val="0"/>
      <w:divBdr>
        <w:top w:val="none" w:sz="0" w:space="0" w:color="auto"/>
        <w:left w:val="none" w:sz="0" w:space="0" w:color="auto"/>
        <w:bottom w:val="none" w:sz="0" w:space="0" w:color="auto"/>
        <w:right w:val="none" w:sz="0" w:space="0" w:color="auto"/>
      </w:divBdr>
    </w:div>
    <w:div w:id="1717269491">
      <w:bodyDiv w:val="1"/>
      <w:marLeft w:val="0"/>
      <w:marRight w:val="0"/>
      <w:marTop w:val="0"/>
      <w:marBottom w:val="0"/>
      <w:divBdr>
        <w:top w:val="none" w:sz="0" w:space="0" w:color="auto"/>
        <w:left w:val="none" w:sz="0" w:space="0" w:color="auto"/>
        <w:bottom w:val="none" w:sz="0" w:space="0" w:color="auto"/>
        <w:right w:val="none" w:sz="0" w:space="0" w:color="auto"/>
      </w:divBdr>
    </w:div>
    <w:div w:id="1718359239">
      <w:bodyDiv w:val="1"/>
      <w:marLeft w:val="0"/>
      <w:marRight w:val="0"/>
      <w:marTop w:val="0"/>
      <w:marBottom w:val="0"/>
      <w:divBdr>
        <w:top w:val="none" w:sz="0" w:space="0" w:color="auto"/>
        <w:left w:val="none" w:sz="0" w:space="0" w:color="auto"/>
        <w:bottom w:val="none" w:sz="0" w:space="0" w:color="auto"/>
        <w:right w:val="none" w:sz="0" w:space="0" w:color="auto"/>
      </w:divBdr>
    </w:div>
    <w:div w:id="1720204114">
      <w:bodyDiv w:val="1"/>
      <w:marLeft w:val="0"/>
      <w:marRight w:val="0"/>
      <w:marTop w:val="0"/>
      <w:marBottom w:val="0"/>
      <w:divBdr>
        <w:top w:val="none" w:sz="0" w:space="0" w:color="auto"/>
        <w:left w:val="none" w:sz="0" w:space="0" w:color="auto"/>
        <w:bottom w:val="none" w:sz="0" w:space="0" w:color="auto"/>
        <w:right w:val="none" w:sz="0" w:space="0" w:color="auto"/>
      </w:divBdr>
    </w:div>
    <w:div w:id="1721439820">
      <w:bodyDiv w:val="1"/>
      <w:marLeft w:val="0"/>
      <w:marRight w:val="0"/>
      <w:marTop w:val="0"/>
      <w:marBottom w:val="0"/>
      <w:divBdr>
        <w:top w:val="none" w:sz="0" w:space="0" w:color="auto"/>
        <w:left w:val="none" w:sz="0" w:space="0" w:color="auto"/>
        <w:bottom w:val="none" w:sz="0" w:space="0" w:color="auto"/>
        <w:right w:val="none" w:sz="0" w:space="0" w:color="auto"/>
      </w:divBdr>
    </w:div>
    <w:div w:id="1722249253">
      <w:bodyDiv w:val="1"/>
      <w:marLeft w:val="0"/>
      <w:marRight w:val="0"/>
      <w:marTop w:val="0"/>
      <w:marBottom w:val="0"/>
      <w:divBdr>
        <w:top w:val="none" w:sz="0" w:space="0" w:color="auto"/>
        <w:left w:val="none" w:sz="0" w:space="0" w:color="auto"/>
        <w:bottom w:val="none" w:sz="0" w:space="0" w:color="auto"/>
        <w:right w:val="none" w:sz="0" w:space="0" w:color="auto"/>
      </w:divBdr>
    </w:div>
    <w:div w:id="1724520375">
      <w:bodyDiv w:val="1"/>
      <w:marLeft w:val="0"/>
      <w:marRight w:val="0"/>
      <w:marTop w:val="0"/>
      <w:marBottom w:val="0"/>
      <w:divBdr>
        <w:top w:val="none" w:sz="0" w:space="0" w:color="auto"/>
        <w:left w:val="none" w:sz="0" w:space="0" w:color="auto"/>
        <w:bottom w:val="none" w:sz="0" w:space="0" w:color="auto"/>
        <w:right w:val="none" w:sz="0" w:space="0" w:color="auto"/>
      </w:divBdr>
    </w:div>
    <w:div w:id="1725327534">
      <w:bodyDiv w:val="1"/>
      <w:marLeft w:val="0"/>
      <w:marRight w:val="0"/>
      <w:marTop w:val="0"/>
      <w:marBottom w:val="0"/>
      <w:divBdr>
        <w:top w:val="none" w:sz="0" w:space="0" w:color="auto"/>
        <w:left w:val="none" w:sz="0" w:space="0" w:color="auto"/>
        <w:bottom w:val="none" w:sz="0" w:space="0" w:color="auto"/>
        <w:right w:val="none" w:sz="0" w:space="0" w:color="auto"/>
      </w:divBdr>
    </w:div>
    <w:div w:id="1725369507">
      <w:bodyDiv w:val="1"/>
      <w:marLeft w:val="0"/>
      <w:marRight w:val="0"/>
      <w:marTop w:val="0"/>
      <w:marBottom w:val="0"/>
      <w:divBdr>
        <w:top w:val="none" w:sz="0" w:space="0" w:color="auto"/>
        <w:left w:val="none" w:sz="0" w:space="0" w:color="auto"/>
        <w:bottom w:val="none" w:sz="0" w:space="0" w:color="auto"/>
        <w:right w:val="none" w:sz="0" w:space="0" w:color="auto"/>
      </w:divBdr>
    </w:div>
    <w:div w:id="1725451345">
      <w:bodyDiv w:val="1"/>
      <w:marLeft w:val="0"/>
      <w:marRight w:val="0"/>
      <w:marTop w:val="0"/>
      <w:marBottom w:val="0"/>
      <w:divBdr>
        <w:top w:val="none" w:sz="0" w:space="0" w:color="auto"/>
        <w:left w:val="none" w:sz="0" w:space="0" w:color="auto"/>
        <w:bottom w:val="none" w:sz="0" w:space="0" w:color="auto"/>
        <w:right w:val="none" w:sz="0" w:space="0" w:color="auto"/>
      </w:divBdr>
    </w:div>
    <w:div w:id="1725568729">
      <w:bodyDiv w:val="1"/>
      <w:marLeft w:val="0"/>
      <w:marRight w:val="0"/>
      <w:marTop w:val="0"/>
      <w:marBottom w:val="0"/>
      <w:divBdr>
        <w:top w:val="none" w:sz="0" w:space="0" w:color="auto"/>
        <w:left w:val="none" w:sz="0" w:space="0" w:color="auto"/>
        <w:bottom w:val="none" w:sz="0" w:space="0" w:color="auto"/>
        <w:right w:val="none" w:sz="0" w:space="0" w:color="auto"/>
      </w:divBdr>
    </w:div>
    <w:div w:id="1728802289">
      <w:bodyDiv w:val="1"/>
      <w:marLeft w:val="0"/>
      <w:marRight w:val="0"/>
      <w:marTop w:val="0"/>
      <w:marBottom w:val="0"/>
      <w:divBdr>
        <w:top w:val="none" w:sz="0" w:space="0" w:color="auto"/>
        <w:left w:val="none" w:sz="0" w:space="0" w:color="auto"/>
        <w:bottom w:val="none" w:sz="0" w:space="0" w:color="auto"/>
        <w:right w:val="none" w:sz="0" w:space="0" w:color="auto"/>
      </w:divBdr>
    </w:div>
    <w:div w:id="1729913741">
      <w:bodyDiv w:val="1"/>
      <w:marLeft w:val="0"/>
      <w:marRight w:val="0"/>
      <w:marTop w:val="0"/>
      <w:marBottom w:val="0"/>
      <w:divBdr>
        <w:top w:val="none" w:sz="0" w:space="0" w:color="auto"/>
        <w:left w:val="none" w:sz="0" w:space="0" w:color="auto"/>
        <w:bottom w:val="none" w:sz="0" w:space="0" w:color="auto"/>
        <w:right w:val="none" w:sz="0" w:space="0" w:color="auto"/>
      </w:divBdr>
    </w:div>
    <w:div w:id="1729962078">
      <w:bodyDiv w:val="1"/>
      <w:marLeft w:val="0"/>
      <w:marRight w:val="0"/>
      <w:marTop w:val="0"/>
      <w:marBottom w:val="0"/>
      <w:divBdr>
        <w:top w:val="none" w:sz="0" w:space="0" w:color="auto"/>
        <w:left w:val="none" w:sz="0" w:space="0" w:color="auto"/>
        <w:bottom w:val="none" w:sz="0" w:space="0" w:color="auto"/>
        <w:right w:val="none" w:sz="0" w:space="0" w:color="auto"/>
      </w:divBdr>
    </w:div>
    <w:div w:id="1730574220">
      <w:bodyDiv w:val="1"/>
      <w:marLeft w:val="0"/>
      <w:marRight w:val="0"/>
      <w:marTop w:val="0"/>
      <w:marBottom w:val="0"/>
      <w:divBdr>
        <w:top w:val="none" w:sz="0" w:space="0" w:color="auto"/>
        <w:left w:val="none" w:sz="0" w:space="0" w:color="auto"/>
        <w:bottom w:val="none" w:sz="0" w:space="0" w:color="auto"/>
        <w:right w:val="none" w:sz="0" w:space="0" w:color="auto"/>
      </w:divBdr>
    </w:div>
    <w:div w:id="1731029342">
      <w:bodyDiv w:val="1"/>
      <w:marLeft w:val="0"/>
      <w:marRight w:val="0"/>
      <w:marTop w:val="0"/>
      <w:marBottom w:val="0"/>
      <w:divBdr>
        <w:top w:val="none" w:sz="0" w:space="0" w:color="auto"/>
        <w:left w:val="none" w:sz="0" w:space="0" w:color="auto"/>
        <w:bottom w:val="none" w:sz="0" w:space="0" w:color="auto"/>
        <w:right w:val="none" w:sz="0" w:space="0" w:color="auto"/>
      </w:divBdr>
    </w:div>
    <w:div w:id="1731922937">
      <w:bodyDiv w:val="1"/>
      <w:marLeft w:val="0"/>
      <w:marRight w:val="0"/>
      <w:marTop w:val="0"/>
      <w:marBottom w:val="0"/>
      <w:divBdr>
        <w:top w:val="none" w:sz="0" w:space="0" w:color="auto"/>
        <w:left w:val="none" w:sz="0" w:space="0" w:color="auto"/>
        <w:bottom w:val="none" w:sz="0" w:space="0" w:color="auto"/>
        <w:right w:val="none" w:sz="0" w:space="0" w:color="auto"/>
      </w:divBdr>
    </w:div>
    <w:div w:id="1731925390">
      <w:bodyDiv w:val="1"/>
      <w:marLeft w:val="0"/>
      <w:marRight w:val="0"/>
      <w:marTop w:val="0"/>
      <w:marBottom w:val="0"/>
      <w:divBdr>
        <w:top w:val="none" w:sz="0" w:space="0" w:color="auto"/>
        <w:left w:val="none" w:sz="0" w:space="0" w:color="auto"/>
        <w:bottom w:val="none" w:sz="0" w:space="0" w:color="auto"/>
        <w:right w:val="none" w:sz="0" w:space="0" w:color="auto"/>
      </w:divBdr>
    </w:div>
    <w:div w:id="1731999500">
      <w:bodyDiv w:val="1"/>
      <w:marLeft w:val="0"/>
      <w:marRight w:val="0"/>
      <w:marTop w:val="0"/>
      <w:marBottom w:val="0"/>
      <w:divBdr>
        <w:top w:val="none" w:sz="0" w:space="0" w:color="auto"/>
        <w:left w:val="none" w:sz="0" w:space="0" w:color="auto"/>
        <w:bottom w:val="none" w:sz="0" w:space="0" w:color="auto"/>
        <w:right w:val="none" w:sz="0" w:space="0" w:color="auto"/>
      </w:divBdr>
    </w:div>
    <w:div w:id="1732731357">
      <w:bodyDiv w:val="1"/>
      <w:marLeft w:val="0"/>
      <w:marRight w:val="0"/>
      <w:marTop w:val="0"/>
      <w:marBottom w:val="0"/>
      <w:divBdr>
        <w:top w:val="none" w:sz="0" w:space="0" w:color="auto"/>
        <w:left w:val="none" w:sz="0" w:space="0" w:color="auto"/>
        <w:bottom w:val="none" w:sz="0" w:space="0" w:color="auto"/>
        <w:right w:val="none" w:sz="0" w:space="0" w:color="auto"/>
      </w:divBdr>
    </w:div>
    <w:div w:id="1733505798">
      <w:bodyDiv w:val="1"/>
      <w:marLeft w:val="0"/>
      <w:marRight w:val="0"/>
      <w:marTop w:val="0"/>
      <w:marBottom w:val="0"/>
      <w:divBdr>
        <w:top w:val="none" w:sz="0" w:space="0" w:color="auto"/>
        <w:left w:val="none" w:sz="0" w:space="0" w:color="auto"/>
        <w:bottom w:val="none" w:sz="0" w:space="0" w:color="auto"/>
        <w:right w:val="none" w:sz="0" w:space="0" w:color="auto"/>
      </w:divBdr>
    </w:div>
    <w:div w:id="1733654149">
      <w:bodyDiv w:val="1"/>
      <w:marLeft w:val="0"/>
      <w:marRight w:val="0"/>
      <w:marTop w:val="0"/>
      <w:marBottom w:val="0"/>
      <w:divBdr>
        <w:top w:val="none" w:sz="0" w:space="0" w:color="auto"/>
        <w:left w:val="none" w:sz="0" w:space="0" w:color="auto"/>
        <w:bottom w:val="none" w:sz="0" w:space="0" w:color="auto"/>
        <w:right w:val="none" w:sz="0" w:space="0" w:color="auto"/>
      </w:divBdr>
    </w:div>
    <w:div w:id="1733772128">
      <w:bodyDiv w:val="1"/>
      <w:marLeft w:val="0"/>
      <w:marRight w:val="0"/>
      <w:marTop w:val="0"/>
      <w:marBottom w:val="0"/>
      <w:divBdr>
        <w:top w:val="none" w:sz="0" w:space="0" w:color="auto"/>
        <w:left w:val="none" w:sz="0" w:space="0" w:color="auto"/>
        <w:bottom w:val="none" w:sz="0" w:space="0" w:color="auto"/>
        <w:right w:val="none" w:sz="0" w:space="0" w:color="auto"/>
      </w:divBdr>
    </w:div>
    <w:div w:id="1734499834">
      <w:bodyDiv w:val="1"/>
      <w:marLeft w:val="0"/>
      <w:marRight w:val="0"/>
      <w:marTop w:val="0"/>
      <w:marBottom w:val="0"/>
      <w:divBdr>
        <w:top w:val="none" w:sz="0" w:space="0" w:color="auto"/>
        <w:left w:val="none" w:sz="0" w:space="0" w:color="auto"/>
        <w:bottom w:val="none" w:sz="0" w:space="0" w:color="auto"/>
        <w:right w:val="none" w:sz="0" w:space="0" w:color="auto"/>
      </w:divBdr>
    </w:div>
    <w:div w:id="1738160816">
      <w:bodyDiv w:val="1"/>
      <w:marLeft w:val="0"/>
      <w:marRight w:val="0"/>
      <w:marTop w:val="0"/>
      <w:marBottom w:val="0"/>
      <w:divBdr>
        <w:top w:val="none" w:sz="0" w:space="0" w:color="auto"/>
        <w:left w:val="none" w:sz="0" w:space="0" w:color="auto"/>
        <w:bottom w:val="none" w:sz="0" w:space="0" w:color="auto"/>
        <w:right w:val="none" w:sz="0" w:space="0" w:color="auto"/>
      </w:divBdr>
    </w:div>
    <w:div w:id="1738163441">
      <w:bodyDiv w:val="1"/>
      <w:marLeft w:val="0"/>
      <w:marRight w:val="0"/>
      <w:marTop w:val="0"/>
      <w:marBottom w:val="0"/>
      <w:divBdr>
        <w:top w:val="none" w:sz="0" w:space="0" w:color="auto"/>
        <w:left w:val="none" w:sz="0" w:space="0" w:color="auto"/>
        <w:bottom w:val="none" w:sz="0" w:space="0" w:color="auto"/>
        <w:right w:val="none" w:sz="0" w:space="0" w:color="auto"/>
      </w:divBdr>
    </w:div>
    <w:div w:id="1738236293">
      <w:bodyDiv w:val="1"/>
      <w:marLeft w:val="0"/>
      <w:marRight w:val="0"/>
      <w:marTop w:val="0"/>
      <w:marBottom w:val="0"/>
      <w:divBdr>
        <w:top w:val="none" w:sz="0" w:space="0" w:color="auto"/>
        <w:left w:val="none" w:sz="0" w:space="0" w:color="auto"/>
        <w:bottom w:val="none" w:sz="0" w:space="0" w:color="auto"/>
        <w:right w:val="none" w:sz="0" w:space="0" w:color="auto"/>
      </w:divBdr>
    </w:div>
    <w:div w:id="1738480327">
      <w:bodyDiv w:val="1"/>
      <w:marLeft w:val="0"/>
      <w:marRight w:val="0"/>
      <w:marTop w:val="0"/>
      <w:marBottom w:val="0"/>
      <w:divBdr>
        <w:top w:val="none" w:sz="0" w:space="0" w:color="auto"/>
        <w:left w:val="none" w:sz="0" w:space="0" w:color="auto"/>
        <w:bottom w:val="none" w:sz="0" w:space="0" w:color="auto"/>
        <w:right w:val="none" w:sz="0" w:space="0" w:color="auto"/>
      </w:divBdr>
    </w:div>
    <w:div w:id="1738897138">
      <w:bodyDiv w:val="1"/>
      <w:marLeft w:val="0"/>
      <w:marRight w:val="0"/>
      <w:marTop w:val="0"/>
      <w:marBottom w:val="0"/>
      <w:divBdr>
        <w:top w:val="none" w:sz="0" w:space="0" w:color="auto"/>
        <w:left w:val="none" w:sz="0" w:space="0" w:color="auto"/>
        <w:bottom w:val="none" w:sz="0" w:space="0" w:color="auto"/>
        <w:right w:val="none" w:sz="0" w:space="0" w:color="auto"/>
      </w:divBdr>
    </w:div>
    <w:div w:id="1742286919">
      <w:bodyDiv w:val="1"/>
      <w:marLeft w:val="0"/>
      <w:marRight w:val="0"/>
      <w:marTop w:val="0"/>
      <w:marBottom w:val="0"/>
      <w:divBdr>
        <w:top w:val="none" w:sz="0" w:space="0" w:color="auto"/>
        <w:left w:val="none" w:sz="0" w:space="0" w:color="auto"/>
        <w:bottom w:val="none" w:sz="0" w:space="0" w:color="auto"/>
        <w:right w:val="none" w:sz="0" w:space="0" w:color="auto"/>
      </w:divBdr>
    </w:div>
    <w:div w:id="1743403434">
      <w:bodyDiv w:val="1"/>
      <w:marLeft w:val="0"/>
      <w:marRight w:val="0"/>
      <w:marTop w:val="0"/>
      <w:marBottom w:val="0"/>
      <w:divBdr>
        <w:top w:val="none" w:sz="0" w:space="0" w:color="auto"/>
        <w:left w:val="none" w:sz="0" w:space="0" w:color="auto"/>
        <w:bottom w:val="none" w:sz="0" w:space="0" w:color="auto"/>
        <w:right w:val="none" w:sz="0" w:space="0" w:color="auto"/>
      </w:divBdr>
    </w:div>
    <w:div w:id="1743596887">
      <w:bodyDiv w:val="1"/>
      <w:marLeft w:val="0"/>
      <w:marRight w:val="0"/>
      <w:marTop w:val="0"/>
      <w:marBottom w:val="0"/>
      <w:divBdr>
        <w:top w:val="none" w:sz="0" w:space="0" w:color="auto"/>
        <w:left w:val="none" w:sz="0" w:space="0" w:color="auto"/>
        <w:bottom w:val="none" w:sz="0" w:space="0" w:color="auto"/>
        <w:right w:val="none" w:sz="0" w:space="0" w:color="auto"/>
      </w:divBdr>
    </w:div>
    <w:div w:id="1743721334">
      <w:bodyDiv w:val="1"/>
      <w:marLeft w:val="0"/>
      <w:marRight w:val="0"/>
      <w:marTop w:val="0"/>
      <w:marBottom w:val="0"/>
      <w:divBdr>
        <w:top w:val="none" w:sz="0" w:space="0" w:color="auto"/>
        <w:left w:val="none" w:sz="0" w:space="0" w:color="auto"/>
        <w:bottom w:val="none" w:sz="0" w:space="0" w:color="auto"/>
        <w:right w:val="none" w:sz="0" w:space="0" w:color="auto"/>
      </w:divBdr>
    </w:div>
    <w:div w:id="1745833872">
      <w:bodyDiv w:val="1"/>
      <w:marLeft w:val="0"/>
      <w:marRight w:val="0"/>
      <w:marTop w:val="0"/>
      <w:marBottom w:val="0"/>
      <w:divBdr>
        <w:top w:val="none" w:sz="0" w:space="0" w:color="auto"/>
        <w:left w:val="none" w:sz="0" w:space="0" w:color="auto"/>
        <w:bottom w:val="none" w:sz="0" w:space="0" w:color="auto"/>
        <w:right w:val="none" w:sz="0" w:space="0" w:color="auto"/>
      </w:divBdr>
    </w:div>
    <w:div w:id="1746418951">
      <w:bodyDiv w:val="1"/>
      <w:marLeft w:val="0"/>
      <w:marRight w:val="0"/>
      <w:marTop w:val="0"/>
      <w:marBottom w:val="0"/>
      <w:divBdr>
        <w:top w:val="none" w:sz="0" w:space="0" w:color="auto"/>
        <w:left w:val="none" w:sz="0" w:space="0" w:color="auto"/>
        <w:bottom w:val="none" w:sz="0" w:space="0" w:color="auto"/>
        <w:right w:val="none" w:sz="0" w:space="0" w:color="auto"/>
      </w:divBdr>
    </w:div>
    <w:div w:id="1746876757">
      <w:bodyDiv w:val="1"/>
      <w:marLeft w:val="0"/>
      <w:marRight w:val="0"/>
      <w:marTop w:val="0"/>
      <w:marBottom w:val="0"/>
      <w:divBdr>
        <w:top w:val="none" w:sz="0" w:space="0" w:color="auto"/>
        <w:left w:val="none" w:sz="0" w:space="0" w:color="auto"/>
        <w:bottom w:val="none" w:sz="0" w:space="0" w:color="auto"/>
        <w:right w:val="none" w:sz="0" w:space="0" w:color="auto"/>
      </w:divBdr>
    </w:div>
    <w:div w:id="1748191543">
      <w:bodyDiv w:val="1"/>
      <w:marLeft w:val="0"/>
      <w:marRight w:val="0"/>
      <w:marTop w:val="0"/>
      <w:marBottom w:val="0"/>
      <w:divBdr>
        <w:top w:val="none" w:sz="0" w:space="0" w:color="auto"/>
        <w:left w:val="none" w:sz="0" w:space="0" w:color="auto"/>
        <w:bottom w:val="none" w:sz="0" w:space="0" w:color="auto"/>
        <w:right w:val="none" w:sz="0" w:space="0" w:color="auto"/>
      </w:divBdr>
    </w:div>
    <w:div w:id="1748840038">
      <w:bodyDiv w:val="1"/>
      <w:marLeft w:val="0"/>
      <w:marRight w:val="0"/>
      <w:marTop w:val="0"/>
      <w:marBottom w:val="0"/>
      <w:divBdr>
        <w:top w:val="none" w:sz="0" w:space="0" w:color="auto"/>
        <w:left w:val="none" w:sz="0" w:space="0" w:color="auto"/>
        <w:bottom w:val="none" w:sz="0" w:space="0" w:color="auto"/>
        <w:right w:val="none" w:sz="0" w:space="0" w:color="auto"/>
      </w:divBdr>
    </w:div>
    <w:div w:id="1752965365">
      <w:bodyDiv w:val="1"/>
      <w:marLeft w:val="0"/>
      <w:marRight w:val="0"/>
      <w:marTop w:val="0"/>
      <w:marBottom w:val="0"/>
      <w:divBdr>
        <w:top w:val="none" w:sz="0" w:space="0" w:color="auto"/>
        <w:left w:val="none" w:sz="0" w:space="0" w:color="auto"/>
        <w:bottom w:val="none" w:sz="0" w:space="0" w:color="auto"/>
        <w:right w:val="none" w:sz="0" w:space="0" w:color="auto"/>
      </w:divBdr>
    </w:div>
    <w:div w:id="1753503557">
      <w:bodyDiv w:val="1"/>
      <w:marLeft w:val="0"/>
      <w:marRight w:val="0"/>
      <w:marTop w:val="0"/>
      <w:marBottom w:val="0"/>
      <w:divBdr>
        <w:top w:val="none" w:sz="0" w:space="0" w:color="auto"/>
        <w:left w:val="none" w:sz="0" w:space="0" w:color="auto"/>
        <w:bottom w:val="none" w:sz="0" w:space="0" w:color="auto"/>
        <w:right w:val="none" w:sz="0" w:space="0" w:color="auto"/>
      </w:divBdr>
    </w:div>
    <w:div w:id="1754811158">
      <w:bodyDiv w:val="1"/>
      <w:marLeft w:val="0"/>
      <w:marRight w:val="0"/>
      <w:marTop w:val="0"/>
      <w:marBottom w:val="0"/>
      <w:divBdr>
        <w:top w:val="none" w:sz="0" w:space="0" w:color="auto"/>
        <w:left w:val="none" w:sz="0" w:space="0" w:color="auto"/>
        <w:bottom w:val="none" w:sz="0" w:space="0" w:color="auto"/>
        <w:right w:val="none" w:sz="0" w:space="0" w:color="auto"/>
      </w:divBdr>
    </w:div>
    <w:div w:id="1757285235">
      <w:bodyDiv w:val="1"/>
      <w:marLeft w:val="0"/>
      <w:marRight w:val="0"/>
      <w:marTop w:val="0"/>
      <w:marBottom w:val="0"/>
      <w:divBdr>
        <w:top w:val="none" w:sz="0" w:space="0" w:color="auto"/>
        <w:left w:val="none" w:sz="0" w:space="0" w:color="auto"/>
        <w:bottom w:val="none" w:sz="0" w:space="0" w:color="auto"/>
        <w:right w:val="none" w:sz="0" w:space="0" w:color="auto"/>
      </w:divBdr>
    </w:div>
    <w:div w:id="1758936488">
      <w:bodyDiv w:val="1"/>
      <w:marLeft w:val="0"/>
      <w:marRight w:val="0"/>
      <w:marTop w:val="0"/>
      <w:marBottom w:val="0"/>
      <w:divBdr>
        <w:top w:val="none" w:sz="0" w:space="0" w:color="auto"/>
        <w:left w:val="none" w:sz="0" w:space="0" w:color="auto"/>
        <w:bottom w:val="none" w:sz="0" w:space="0" w:color="auto"/>
        <w:right w:val="none" w:sz="0" w:space="0" w:color="auto"/>
      </w:divBdr>
    </w:div>
    <w:div w:id="1759515989">
      <w:bodyDiv w:val="1"/>
      <w:marLeft w:val="0"/>
      <w:marRight w:val="0"/>
      <w:marTop w:val="0"/>
      <w:marBottom w:val="0"/>
      <w:divBdr>
        <w:top w:val="none" w:sz="0" w:space="0" w:color="auto"/>
        <w:left w:val="none" w:sz="0" w:space="0" w:color="auto"/>
        <w:bottom w:val="none" w:sz="0" w:space="0" w:color="auto"/>
        <w:right w:val="none" w:sz="0" w:space="0" w:color="auto"/>
      </w:divBdr>
    </w:div>
    <w:div w:id="1760785151">
      <w:bodyDiv w:val="1"/>
      <w:marLeft w:val="0"/>
      <w:marRight w:val="0"/>
      <w:marTop w:val="0"/>
      <w:marBottom w:val="0"/>
      <w:divBdr>
        <w:top w:val="none" w:sz="0" w:space="0" w:color="auto"/>
        <w:left w:val="none" w:sz="0" w:space="0" w:color="auto"/>
        <w:bottom w:val="none" w:sz="0" w:space="0" w:color="auto"/>
        <w:right w:val="none" w:sz="0" w:space="0" w:color="auto"/>
      </w:divBdr>
    </w:div>
    <w:div w:id="1763258196">
      <w:bodyDiv w:val="1"/>
      <w:marLeft w:val="0"/>
      <w:marRight w:val="0"/>
      <w:marTop w:val="0"/>
      <w:marBottom w:val="0"/>
      <w:divBdr>
        <w:top w:val="none" w:sz="0" w:space="0" w:color="auto"/>
        <w:left w:val="none" w:sz="0" w:space="0" w:color="auto"/>
        <w:bottom w:val="none" w:sz="0" w:space="0" w:color="auto"/>
        <w:right w:val="none" w:sz="0" w:space="0" w:color="auto"/>
      </w:divBdr>
    </w:div>
    <w:div w:id="1763720832">
      <w:bodyDiv w:val="1"/>
      <w:marLeft w:val="0"/>
      <w:marRight w:val="0"/>
      <w:marTop w:val="0"/>
      <w:marBottom w:val="0"/>
      <w:divBdr>
        <w:top w:val="none" w:sz="0" w:space="0" w:color="auto"/>
        <w:left w:val="none" w:sz="0" w:space="0" w:color="auto"/>
        <w:bottom w:val="none" w:sz="0" w:space="0" w:color="auto"/>
        <w:right w:val="none" w:sz="0" w:space="0" w:color="auto"/>
      </w:divBdr>
    </w:div>
    <w:div w:id="1764035308">
      <w:bodyDiv w:val="1"/>
      <w:marLeft w:val="0"/>
      <w:marRight w:val="0"/>
      <w:marTop w:val="0"/>
      <w:marBottom w:val="0"/>
      <w:divBdr>
        <w:top w:val="none" w:sz="0" w:space="0" w:color="auto"/>
        <w:left w:val="none" w:sz="0" w:space="0" w:color="auto"/>
        <w:bottom w:val="none" w:sz="0" w:space="0" w:color="auto"/>
        <w:right w:val="none" w:sz="0" w:space="0" w:color="auto"/>
      </w:divBdr>
    </w:div>
    <w:div w:id="1764186499">
      <w:bodyDiv w:val="1"/>
      <w:marLeft w:val="0"/>
      <w:marRight w:val="0"/>
      <w:marTop w:val="0"/>
      <w:marBottom w:val="0"/>
      <w:divBdr>
        <w:top w:val="none" w:sz="0" w:space="0" w:color="auto"/>
        <w:left w:val="none" w:sz="0" w:space="0" w:color="auto"/>
        <w:bottom w:val="none" w:sz="0" w:space="0" w:color="auto"/>
        <w:right w:val="none" w:sz="0" w:space="0" w:color="auto"/>
      </w:divBdr>
    </w:div>
    <w:div w:id="1764763157">
      <w:bodyDiv w:val="1"/>
      <w:marLeft w:val="0"/>
      <w:marRight w:val="0"/>
      <w:marTop w:val="0"/>
      <w:marBottom w:val="0"/>
      <w:divBdr>
        <w:top w:val="none" w:sz="0" w:space="0" w:color="auto"/>
        <w:left w:val="none" w:sz="0" w:space="0" w:color="auto"/>
        <w:bottom w:val="none" w:sz="0" w:space="0" w:color="auto"/>
        <w:right w:val="none" w:sz="0" w:space="0" w:color="auto"/>
      </w:divBdr>
    </w:div>
    <w:div w:id="1765495383">
      <w:bodyDiv w:val="1"/>
      <w:marLeft w:val="0"/>
      <w:marRight w:val="0"/>
      <w:marTop w:val="0"/>
      <w:marBottom w:val="0"/>
      <w:divBdr>
        <w:top w:val="none" w:sz="0" w:space="0" w:color="auto"/>
        <w:left w:val="none" w:sz="0" w:space="0" w:color="auto"/>
        <w:bottom w:val="none" w:sz="0" w:space="0" w:color="auto"/>
        <w:right w:val="none" w:sz="0" w:space="0" w:color="auto"/>
      </w:divBdr>
    </w:div>
    <w:div w:id="1765612974">
      <w:bodyDiv w:val="1"/>
      <w:marLeft w:val="0"/>
      <w:marRight w:val="0"/>
      <w:marTop w:val="0"/>
      <w:marBottom w:val="0"/>
      <w:divBdr>
        <w:top w:val="none" w:sz="0" w:space="0" w:color="auto"/>
        <w:left w:val="none" w:sz="0" w:space="0" w:color="auto"/>
        <w:bottom w:val="none" w:sz="0" w:space="0" w:color="auto"/>
        <w:right w:val="none" w:sz="0" w:space="0" w:color="auto"/>
      </w:divBdr>
    </w:div>
    <w:div w:id="1767580513">
      <w:bodyDiv w:val="1"/>
      <w:marLeft w:val="0"/>
      <w:marRight w:val="0"/>
      <w:marTop w:val="0"/>
      <w:marBottom w:val="0"/>
      <w:divBdr>
        <w:top w:val="none" w:sz="0" w:space="0" w:color="auto"/>
        <w:left w:val="none" w:sz="0" w:space="0" w:color="auto"/>
        <w:bottom w:val="none" w:sz="0" w:space="0" w:color="auto"/>
        <w:right w:val="none" w:sz="0" w:space="0" w:color="auto"/>
      </w:divBdr>
    </w:div>
    <w:div w:id="1768966412">
      <w:bodyDiv w:val="1"/>
      <w:marLeft w:val="0"/>
      <w:marRight w:val="0"/>
      <w:marTop w:val="0"/>
      <w:marBottom w:val="0"/>
      <w:divBdr>
        <w:top w:val="none" w:sz="0" w:space="0" w:color="auto"/>
        <w:left w:val="none" w:sz="0" w:space="0" w:color="auto"/>
        <w:bottom w:val="none" w:sz="0" w:space="0" w:color="auto"/>
        <w:right w:val="none" w:sz="0" w:space="0" w:color="auto"/>
      </w:divBdr>
    </w:div>
    <w:div w:id="1769425434">
      <w:bodyDiv w:val="1"/>
      <w:marLeft w:val="0"/>
      <w:marRight w:val="0"/>
      <w:marTop w:val="0"/>
      <w:marBottom w:val="0"/>
      <w:divBdr>
        <w:top w:val="none" w:sz="0" w:space="0" w:color="auto"/>
        <w:left w:val="none" w:sz="0" w:space="0" w:color="auto"/>
        <w:bottom w:val="none" w:sz="0" w:space="0" w:color="auto"/>
        <w:right w:val="none" w:sz="0" w:space="0" w:color="auto"/>
      </w:divBdr>
    </w:div>
    <w:div w:id="1769498645">
      <w:bodyDiv w:val="1"/>
      <w:marLeft w:val="0"/>
      <w:marRight w:val="0"/>
      <w:marTop w:val="0"/>
      <w:marBottom w:val="0"/>
      <w:divBdr>
        <w:top w:val="none" w:sz="0" w:space="0" w:color="auto"/>
        <w:left w:val="none" w:sz="0" w:space="0" w:color="auto"/>
        <w:bottom w:val="none" w:sz="0" w:space="0" w:color="auto"/>
        <w:right w:val="none" w:sz="0" w:space="0" w:color="auto"/>
      </w:divBdr>
    </w:div>
    <w:div w:id="1769884479">
      <w:bodyDiv w:val="1"/>
      <w:marLeft w:val="0"/>
      <w:marRight w:val="0"/>
      <w:marTop w:val="0"/>
      <w:marBottom w:val="0"/>
      <w:divBdr>
        <w:top w:val="none" w:sz="0" w:space="0" w:color="auto"/>
        <w:left w:val="none" w:sz="0" w:space="0" w:color="auto"/>
        <w:bottom w:val="none" w:sz="0" w:space="0" w:color="auto"/>
        <w:right w:val="none" w:sz="0" w:space="0" w:color="auto"/>
      </w:divBdr>
    </w:div>
    <w:div w:id="1769891026">
      <w:bodyDiv w:val="1"/>
      <w:marLeft w:val="0"/>
      <w:marRight w:val="0"/>
      <w:marTop w:val="0"/>
      <w:marBottom w:val="0"/>
      <w:divBdr>
        <w:top w:val="none" w:sz="0" w:space="0" w:color="auto"/>
        <w:left w:val="none" w:sz="0" w:space="0" w:color="auto"/>
        <w:bottom w:val="none" w:sz="0" w:space="0" w:color="auto"/>
        <w:right w:val="none" w:sz="0" w:space="0" w:color="auto"/>
      </w:divBdr>
    </w:div>
    <w:div w:id="1770850592">
      <w:bodyDiv w:val="1"/>
      <w:marLeft w:val="0"/>
      <w:marRight w:val="0"/>
      <w:marTop w:val="0"/>
      <w:marBottom w:val="0"/>
      <w:divBdr>
        <w:top w:val="none" w:sz="0" w:space="0" w:color="auto"/>
        <w:left w:val="none" w:sz="0" w:space="0" w:color="auto"/>
        <w:bottom w:val="none" w:sz="0" w:space="0" w:color="auto"/>
        <w:right w:val="none" w:sz="0" w:space="0" w:color="auto"/>
      </w:divBdr>
    </w:div>
    <w:div w:id="1771851988">
      <w:bodyDiv w:val="1"/>
      <w:marLeft w:val="0"/>
      <w:marRight w:val="0"/>
      <w:marTop w:val="0"/>
      <w:marBottom w:val="0"/>
      <w:divBdr>
        <w:top w:val="none" w:sz="0" w:space="0" w:color="auto"/>
        <w:left w:val="none" w:sz="0" w:space="0" w:color="auto"/>
        <w:bottom w:val="none" w:sz="0" w:space="0" w:color="auto"/>
        <w:right w:val="none" w:sz="0" w:space="0" w:color="auto"/>
      </w:divBdr>
    </w:div>
    <w:div w:id="1772317664">
      <w:bodyDiv w:val="1"/>
      <w:marLeft w:val="0"/>
      <w:marRight w:val="0"/>
      <w:marTop w:val="0"/>
      <w:marBottom w:val="0"/>
      <w:divBdr>
        <w:top w:val="none" w:sz="0" w:space="0" w:color="auto"/>
        <w:left w:val="none" w:sz="0" w:space="0" w:color="auto"/>
        <w:bottom w:val="none" w:sz="0" w:space="0" w:color="auto"/>
        <w:right w:val="none" w:sz="0" w:space="0" w:color="auto"/>
      </w:divBdr>
    </w:div>
    <w:div w:id="1772702277">
      <w:bodyDiv w:val="1"/>
      <w:marLeft w:val="0"/>
      <w:marRight w:val="0"/>
      <w:marTop w:val="0"/>
      <w:marBottom w:val="0"/>
      <w:divBdr>
        <w:top w:val="none" w:sz="0" w:space="0" w:color="auto"/>
        <w:left w:val="none" w:sz="0" w:space="0" w:color="auto"/>
        <w:bottom w:val="none" w:sz="0" w:space="0" w:color="auto"/>
        <w:right w:val="none" w:sz="0" w:space="0" w:color="auto"/>
      </w:divBdr>
    </w:div>
    <w:div w:id="1773090937">
      <w:bodyDiv w:val="1"/>
      <w:marLeft w:val="0"/>
      <w:marRight w:val="0"/>
      <w:marTop w:val="0"/>
      <w:marBottom w:val="0"/>
      <w:divBdr>
        <w:top w:val="none" w:sz="0" w:space="0" w:color="auto"/>
        <w:left w:val="none" w:sz="0" w:space="0" w:color="auto"/>
        <w:bottom w:val="none" w:sz="0" w:space="0" w:color="auto"/>
        <w:right w:val="none" w:sz="0" w:space="0" w:color="auto"/>
      </w:divBdr>
    </w:div>
    <w:div w:id="1773933435">
      <w:bodyDiv w:val="1"/>
      <w:marLeft w:val="0"/>
      <w:marRight w:val="0"/>
      <w:marTop w:val="0"/>
      <w:marBottom w:val="0"/>
      <w:divBdr>
        <w:top w:val="none" w:sz="0" w:space="0" w:color="auto"/>
        <w:left w:val="none" w:sz="0" w:space="0" w:color="auto"/>
        <w:bottom w:val="none" w:sz="0" w:space="0" w:color="auto"/>
        <w:right w:val="none" w:sz="0" w:space="0" w:color="auto"/>
      </w:divBdr>
    </w:div>
    <w:div w:id="1774327282">
      <w:bodyDiv w:val="1"/>
      <w:marLeft w:val="0"/>
      <w:marRight w:val="0"/>
      <w:marTop w:val="0"/>
      <w:marBottom w:val="0"/>
      <w:divBdr>
        <w:top w:val="none" w:sz="0" w:space="0" w:color="auto"/>
        <w:left w:val="none" w:sz="0" w:space="0" w:color="auto"/>
        <w:bottom w:val="none" w:sz="0" w:space="0" w:color="auto"/>
        <w:right w:val="none" w:sz="0" w:space="0" w:color="auto"/>
      </w:divBdr>
    </w:div>
    <w:div w:id="1774589823">
      <w:bodyDiv w:val="1"/>
      <w:marLeft w:val="0"/>
      <w:marRight w:val="0"/>
      <w:marTop w:val="0"/>
      <w:marBottom w:val="0"/>
      <w:divBdr>
        <w:top w:val="none" w:sz="0" w:space="0" w:color="auto"/>
        <w:left w:val="none" w:sz="0" w:space="0" w:color="auto"/>
        <w:bottom w:val="none" w:sz="0" w:space="0" w:color="auto"/>
        <w:right w:val="none" w:sz="0" w:space="0" w:color="auto"/>
      </w:divBdr>
    </w:div>
    <w:div w:id="1774667780">
      <w:bodyDiv w:val="1"/>
      <w:marLeft w:val="0"/>
      <w:marRight w:val="0"/>
      <w:marTop w:val="0"/>
      <w:marBottom w:val="0"/>
      <w:divBdr>
        <w:top w:val="none" w:sz="0" w:space="0" w:color="auto"/>
        <w:left w:val="none" w:sz="0" w:space="0" w:color="auto"/>
        <w:bottom w:val="none" w:sz="0" w:space="0" w:color="auto"/>
        <w:right w:val="none" w:sz="0" w:space="0" w:color="auto"/>
      </w:divBdr>
    </w:div>
    <w:div w:id="1775663037">
      <w:bodyDiv w:val="1"/>
      <w:marLeft w:val="0"/>
      <w:marRight w:val="0"/>
      <w:marTop w:val="0"/>
      <w:marBottom w:val="0"/>
      <w:divBdr>
        <w:top w:val="none" w:sz="0" w:space="0" w:color="auto"/>
        <w:left w:val="none" w:sz="0" w:space="0" w:color="auto"/>
        <w:bottom w:val="none" w:sz="0" w:space="0" w:color="auto"/>
        <w:right w:val="none" w:sz="0" w:space="0" w:color="auto"/>
      </w:divBdr>
    </w:div>
    <w:div w:id="1777285935">
      <w:bodyDiv w:val="1"/>
      <w:marLeft w:val="0"/>
      <w:marRight w:val="0"/>
      <w:marTop w:val="0"/>
      <w:marBottom w:val="0"/>
      <w:divBdr>
        <w:top w:val="none" w:sz="0" w:space="0" w:color="auto"/>
        <w:left w:val="none" w:sz="0" w:space="0" w:color="auto"/>
        <w:bottom w:val="none" w:sz="0" w:space="0" w:color="auto"/>
        <w:right w:val="none" w:sz="0" w:space="0" w:color="auto"/>
      </w:divBdr>
    </w:div>
    <w:div w:id="1781023040">
      <w:bodyDiv w:val="1"/>
      <w:marLeft w:val="0"/>
      <w:marRight w:val="0"/>
      <w:marTop w:val="0"/>
      <w:marBottom w:val="0"/>
      <w:divBdr>
        <w:top w:val="none" w:sz="0" w:space="0" w:color="auto"/>
        <w:left w:val="none" w:sz="0" w:space="0" w:color="auto"/>
        <w:bottom w:val="none" w:sz="0" w:space="0" w:color="auto"/>
        <w:right w:val="none" w:sz="0" w:space="0" w:color="auto"/>
      </w:divBdr>
    </w:div>
    <w:div w:id="1783381792">
      <w:bodyDiv w:val="1"/>
      <w:marLeft w:val="0"/>
      <w:marRight w:val="0"/>
      <w:marTop w:val="0"/>
      <w:marBottom w:val="0"/>
      <w:divBdr>
        <w:top w:val="none" w:sz="0" w:space="0" w:color="auto"/>
        <w:left w:val="none" w:sz="0" w:space="0" w:color="auto"/>
        <w:bottom w:val="none" w:sz="0" w:space="0" w:color="auto"/>
        <w:right w:val="none" w:sz="0" w:space="0" w:color="auto"/>
      </w:divBdr>
    </w:div>
    <w:div w:id="1783499143">
      <w:bodyDiv w:val="1"/>
      <w:marLeft w:val="0"/>
      <w:marRight w:val="0"/>
      <w:marTop w:val="0"/>
      <w:marBottom w:val="0"/>
      <w:divBdr>
        <w:top w:val="none" w:sz="0" w:space="0" w:color="auto"/>
        <w:left w:val="none" w:sz="0" w:space="0" w:color="auto"/>
        <w:bottom w:val="none" w:sz="0" w:space="0" w:color="auto"/>
        <w:right w:val="none" w:sz="0" w:space="0" w:color="auto"/>
      </w:divBdr>
    </w:div>
    <w:div w:id="1783718753">
      <w:bodyDiv w:val="1"/>
      <w:marLeft w:val="0"/>
      <w:marRight w:val="0"/>
      <w:marTop w:val="0"/>
      <w:marBottom w:val="0"/>
      <w:divBdr>
        <w:top w:val="none" w:sz="0" w:space="0" w:color="auto"/>
        <w:left w:val="none" w:sz="0" w:space="0" w:color="auto"/>
        <w:bottom w:val="none" w:sz="0" w:space="0" w:color="auto"/>
        <w:right w:val="none" w:sz="0" w:space="0" w:color="auto"/>
      </w:divBdr>
    </w:div>
    <w:div w:id="1784306334">
      <w:bodyDiv w:val="1"/>
      <w:marLeft w:val="0"/>
      <w:marRight w:val="0"/>
      <w:marTop w:val="0"/>
      <w:marBottom w:val="0"/>
      <w:divBdr>
        <w:top w:val="none" w:sz="0" w:space="0" w:color="auto"/>
        <w:left w:val="none" w:sz="0" w:space="0" w:color="auto"/>
        <w:bottom w:val="none" w:sz="0" w:space="0" w:color="auto"/>
        <w:right w:val="none" w:sz="0" w:space="0" w:color="auto"/>
      </w:divBdr>
    </w:div>
    <w:div w:id="1785734868">
      <w:bodyDiv w:val="1"/>
      <w:marLeft w:val="0"/>
      <w:marRight w:val="0"/>
      <w:marTop w:val="0"/>
      <w:marBottom w:val="0"/>
      <w:divBdr>
        <w:top w:val="none" w:sz="0" w:space="0" w:color="auto"/>
        <w:left w:val="none" w:sz="0" w:space="0" w:color="auto"/>
        <w:bottom w:val="none" w:sz="0" w:space="0" w:color="auto"/>
        <w:right w:val="none" w:sz="0" w:space="0" w:color="auto"/>
      </w:divBdr>
    </w:div>
    <w:div w:id="1786265741">
      <w:bodyDiv w:val="1"/>
      <w:marLeft w:val="0"/>
      <w:marRight w:val="0"/>
      <w:marTop w:val="0"/>
      <w:marBottom w:val="0"/>
      <w:divBdr>
        <w:top w:val="none" w:sz="0" w:space="0" w:color="auto"/>
        <w:left w:val="none" w:sz="0" w:space="0" w:color="auto"/>
        <w:bottom w:val="none" w:sz="0" w:space="0" w:color="auto"/>
        <w:right w:val="none" w:sz="0" w:space="0" w:color="auto"/>
      </w:divBdr>
    </w:div>
    <w:div w:id="1787888223">
      <w:bodyDiv w:val="1"/>
      <w:marLeft w:val="0"/>
      <w:marRight w:val="0"/>
      <w:marTop w:val="0"/>
      <w:marBottom w:val="0"/>
      <w:divBdr>
        <w:top w:val="none" w:sz="0" w:space="0" w:color="auto"/>
        <w:left w:val="none" w:sz="0" w:space="0" w:color="auto"/>
        <w:bottom w:val="none" w:sz="0" w:space="0" w:color="auto"/>
        <w:right w:val="none" w:sz="0" w:space="0" w:color="auto"/>
      </w:divBdr>
    </w:div>
    <w:div w:id="1788424379">
      <w:bodyDiv w:val="1"/>
      <w:marLeft w:val="0"/>
      <w:marRight w:val="0"/>
      <w:marTop w:val="0"/>
      <w:marBottom w:val="0"/>
      <w:divBdr>
        <w:top w:val="none" w:sz="0" w:space="0" w:color="auto"/>
        <w:left w:val="none" w:sz="0" w:space="0" w:color="auto"/>
        <w:bottom w:val="none" w:sz="0" w:space="0" w:color="auto"/>
        <w:right w:val="none" w:sz="0" w:space="0" w:color="auto"/>
      </w:divBdr>
    </w:div>
    <w:div w:id="1788618014">
      <w:bodyDiv w:val="1"/>
      <w:marLeft w:val="0"/>
      <w:marRight w:val="0"/>
      <w:marTop w:val="0"/>
      <w:marBottom w:val="0"/>
      <w:divBdr>
        <w:top w:val="none" w:sz="0" w:space="0" w:color="auto"/>
        <w:left w:val="none" w:sz="0" w:space="0" w:color="auto"/>
        <w:bottom w:val="none" w:sz="0" w:space="0" w:color="auto"/>
        <w:right w:val="none" w:sz="0" w:space="0" w:color="auto"/>
      </w:divBdr>
    </w:div>
    <w:div w:id="1789203242">
      <w:bodyDiv w:val="1"/>
      <w:marLeft w:val="0"/>
      <w:marRight w:val="0"/>
      <w:marTop w:val="0"/>
      <w:marBottom w:val="0"/>
      <w:divBdr>
        <w:top w:val="none" w:sz="0" w:space="0" w:color="auto"/>
        <w:left w:val="none" w:sz="0" w:space="0" w:color="auto"/>
        <w:bottom w:val="none" w:sz="0" w:space="0" w:color="auto"/>
        <w:right w:val="none" w:sz="0" w:space="0" w:color="auto"/>
      </w:divBdr>
    </w:div>
    <w:div w:id="1789859529">
      <w:bodyDiv w:val="1"/>
      <w:marLeft w:val="0"/>
      <w:marRight w:val="0"/>
      <w:marTop w:val="0"/>
      <w:marBottom w:val="0"/>
      <w:divBdr>
        <w:top w:val="none" w:sz="0" w:space="0" w:color="auto"/>
        <w:left w:val="none" w:sz="0" w:space="0" w:color="auto"/>
        <w:bottom w:val="none" w:sz="0" w:space="0" w:color="auto"/>
        <w:right w:val="none" w:sz="0" w:space="0" w:color="auto"/>
      </w:divBdr>
    </w:div>
    <w:div w:id="1790513561">
      <w:bodyDiv w:val="1"/>
      <w:marLeft w:val="0"/>
      <w:marRight w:val="0"/>
      <w:marTop w:val="0"/>
      <w:marBottom w:val="0"/>
      <w:divBdr>
        <w:top w:val="none" w:sz="0" w:space="0" w:color="auto"/>
        <w:left w:val="none" w:sz="0" w:space="0" w:color="auto"/>
        <w:bottom w:val="none" w:sz="0" w:space="0" w:color="auto"/>
        <w:right w:val="none" w:sz="0" w:space="0" w:color="auto"/>
      </w:divBdr>
    </w:div>
    <w:div w:id="1792284637">
      <w:bodyDiv w:val="1"/>
      <w:marLeft w:val="0"/>
      <w:marRight w:val="0"/>
      <w:marTop w:val="0"/>
      <w:marBottom w:val="0"/>
      <w:divBdr>
        <w:top w:val="none" w:sz="0" w:space="0" w:color="auto"/>
        <w:left w:val="none" w:sz="0" w:space="0" w:color="auto"/>
        <w:bottom w:val="none" w:sz="0" w:space="0" w:color="auto"/>
        <w:right w:val="none" w:sz="0" w:space="0" w:color="auto"/>
      </w:divBdr>
    </w:div>
    <w:div w:id="1792479135">
      <w:bodyDiv w:val="1"/>
      <w:marLeft w:val="0"/>
      <w:marRight w:val="0"/>
      <w:marTop w:val="0"/>
      <w:marBottom w:val="0"/>
      <w:divBdr>
        <w:top w:val="none" w:sz="0" w:space="0" w:color="auto"/>
        <w:left w:val="none" w:sz="0" w:space="0" w:color="auto"/>
        <w:bottom w:val="none" w:sz="0" w:space="0" w:color="auto"/>
        <w:right w:val="none" w:sz="0" w:space="0" w:color="auto"/>
      </w:divBdr>
    </w:div>
    <w:div w:id="1792818178">
      <w:bodyDiv w:val="1"/>
      <w:marLeft w:val="0"/>
      <w:marRight w:val="0"/>
      <w:marTop w:val="0"/>
      <w:marBottom w:val="0"/>
      <w:divBdr>
        <w:top w:val="none" w:sz="0" w:space="0" w:color="auto"/>
        <w:left w:val="none" w:sz="0" w:space="0" w:color="auto"/>
        <w:bottom w:val="none" w:sz="0" w:space="0" w:color="auto"/>
        <w:right w:val="none" w:sz="0" w:space="0" w:color="auto"/>
      </w:divBdr>
    </w:div>
    <w:div w:id="1795052925">
      <w:bodyDiv w:val="1"/>
      <w:marLeft w:val="0"/>
      <w:marRight w:val="0"/>
      <w:marTop w:val="0"/>
      <w:marBottom w:val="0"/>
      <w:divBdr>
        <w:top w:val="none" w:sz="0" w:space="0" w:color="auto"/>
        <w:left w:val="none" w:sz="0" w:space="0" w:color="auto"/>
        <w:bottom w:val="none" w:sz="0" w:space="0" w:color="auto"/>
        <w:right w:val="none" w:sz="0" w:space="0" w:color="auto"/>
      </w:divBdr>
    </w:div>
    <w:div w:id="1796292588">
      <w:bodyDiv w:val="1"/>
      <w:marLeft w:val="0"/>
      <w:marRight w:val="0"/>
      <w:marTop w:val="0"/>
      <w:marBottom w:val="0"/>
      <w:divBdr>
        <w:top w:val="none" w:sz="0" w:space="0" w:color="auto"/>
        <w:left w:val="none" w:sz="0" w:space="0" w:color="auto"/>
        <w:bottom w:val="none" w:sz="0" w:space="0" w:color="auto"/>
        <w:right w:val="none" w:sz="0" w:space="0" w:color="auto"/>
      </w:divBdr>
    </w:div>
    <w:div w:id="1796558972">
      <w:bodyDiv w:val="1"/>
      <w:marLeft w:val="0"/>
      <w:marRight w:val="0"/>
      <w:marTop w:val="0"/>
      <w:marBottom w:val="0"/>
      <w:divBdr>
        <w:top w:val="none" w:sz="0" w:space="0" w:color="auto"/>
        <w:left w:val="none" w:sz="0" w:space="0" w:color="auto"/>
        <w:bottom w:val="none" w:sz="0" w:space="0" w:color="auto"/>
        <w:right w:val="none" w:sz="0" w:space="0" w:color="auto"/>
      </w:divBdr>
    </w:div>
    <w:div w:id="1796867445">
      <w:bodyDiv w:val="1"/>
      <w:marLeft w:val="0"/>
      <w:marRight w:val="0"/>
      <w:marTop w:val="0"/>
      <w:marBottom w:val="0"/>
      <w:divBdr>
        <w:top w:val="none" w:sz="0" w:space="0" w:color="auto"/>
        <w:left w:val="none" w:sz="0" w:space="0" w:color="auto"/>
        <w:bottom w:val="none" w:sz="0" w:space="0" w:color="auto"/>
        <w:right w:val="none" w:sz="0" w:space="0" w:color="auto"/>
      </w:divBdr>
    </w:div>
    <w:div w:id="1797093743">
      <w:bodyDiv w:val="1"/>
      <w:marLeft w:val="0"/>
      <w:marRight w:val="0"/>
      <w:marTop w:val="0"/>
      <w:marBottom w:val="0"/>
      <w:divBdr>
        <w:top w:val="none" w:sz="0" w:space="0" w:color="auto"/>
        <w:left w:val="none" w:sz="0" w:space="0" w:color="auto"/>
        <w:bottom w:val="none" w:sz="0" w:space="0" w:color="auto"/>
        <w:right w:val="none" w:sz="0" w:space="0" w:color="auto"/>
      </w:divBdr>
    </w:div>
    <w:div w:id="1797940865">
      <w:bodyDiv w:val="1"/>
      <w:marLeft w:val="0"/>
      <w:marRight w:val="0"/>
      <w:marTop w:val="0"/>
      <w:marBottom w:val="0"/>
      <w:divBdr>
        <w:top w:val="none" w:sz="0" w:space="0" w:color="auto"/>
        <w:left w:val="none" w:sz="0" w:space="0" w:color="auto"/>
        <w:bottom w:val="none" w:sz="0" w:space="0" w:color="auto"/>
        <w:right w:val="none" w:sz="0" w:space="0" w:color="auto"/>
      </w:divBdr>
    </w:div>
    <w:div w:id="1798133965">
      <w:bodyDiv w:val="1"/>
      <w:marLeft w:val="0"/>
      <w:marRight w:val="0"/>
      <w:marTop w:val="0"/>
      <w:marBottom w:val="0"/>
      <w:divBdr>
        <w:top w:val="none" w:sz="0" w:space="0" w:color="auto"/>
        <w:left w:val="none" w:sz="0" w:space="0" w:color="auto"/>
        <w:bottom w:val="none" w:sz="0" w:space="0" w:color="auto"/>
        <w:right w:val="none" w:sz="0" w:space="0" w:color="auto"/>
      </w:divBdr>
    </w:div>
    <w:div w:id="1798139739">
      <w:bodyDiv w:val="1"/>
      <w:marLeft w:val="0"/>
      <w:marRight w:val="0"/>
      <w:marTop w:val="0"/>
      <w:marBottom w:val="0"/>
      <w:divBdr>
        <w:top w:val="none" w:sz="0" w:space="0" w:color="auto"/>
        <w:left w:val="none" w:sz="0" w:space="0" w:color="auto"/>
        <w:bottom w:val="none" w:sz="0" w:space="0" w:color="auto"/>
        <w:right w:val="none" w:sz="0" w:space="0" w:color="auto"/>
      </w:divBdr>
    </w:div>
    <w:div w:id="1800151584">
      <w:bodyDiv w:val="1"/>
      <w:marLeft w:val="0"/>
      <w:marRight w:val="0"/>
      <w:marTop w:val="0"/>
      <w:marBottom w:val="0"/>
      <w:divBdr>
        <w:top w:val="none" w:sz="0" w:space="0" w:color="auto"/>
        <w:left w:val="none" w:sz="0" w:space="0" w:color="auto"/>
        <w:bottom w:val="none" w:sz="0" w:space="0" w:color="auto"/>
        <w:right w:val="none" w:sz="0" w:space="0" w:color="auto"/>
      </w:divBdr>
    </w:div>
    <w:div w:id="1800489576">
      <w:bodyDiv w:val="1"/>
      <w:marLeft w:val="0"/>
      <w:marRight w:val="0"/>
      <w:marTop w:val="0"/>
      <w:marBottom w:val="0"/>
      <w:divBdr>
        <w:top w:val="none" w:sz="0" w:space="0" w:color="auto"/>
        <w:left w:val="none" w:sz="0" w:space="0" w:color="auto"/>
        <w:bottom w:val="none" w:sz="0" w:space="0" w:color="auto"/>
        <w:right w:val="none" w:sz="0" w:space="0" w:color="auto"/>
      </w:divBdr>
    </w:div>
    <w:div w:id="1800493191">
      <w:bodyDiv w:val="1"/>
      <w:marLeft w:val="0"/>
      <w:marRight w:val="0"/>
      <w:marTop w:val="0"/>
      <w:marBottom w:val="0"/>
      <w:divBdr>
        <w:top w:val="none" w:sz="0" w:space="0" w:color="auto"/>
        <w:left w:val="none" w:sz="0" w:space="0" w:color="auto"/>
        <w:bottom w:val="none" w:sz="0" w:space="0" w:color="auto"/>
        <w:right w:val="none" w:sz="0" w:space="0" w:color="auto"/>
      </w:divBdr>
    </w:div>
    <w:div w:id="1800762049">
      <w:bodyDiv w:val="1"/>
      <w:marLeft w:val="0"/>
      <w:marRight w:val="0"/>
      <w:marTop w:val="0"/>
      <w:marBottom w:val="0"/>
      <w:divBdr>
        <w:top w:val="none" w:sz="0" w:space="0" w:color="auto"/>
        <w:left w:val="none" w:sz="0" w:space="0" w:color="auto"/>
        <w:bottom w:val="none" w:sz="0" w:space="0" w:color="auto"/>
        <w:right w:val="none" w:sz="0" w:space="0" w:color="auto"/>
      </w:divBdr>
    </w:div>
    <w:div w:id="1802457843">
      <w:bodyDiv w:val="1"/>
      <w:marLeft w:val="0"/>
      <w:marRight w:val="0"/>
      <w:marTop w:val="0"/>
      <w:marBottom w:val="0"/>
      <w:divBdr>
        <w:top w:val="none" w:sz="0" w:space="0" w:color="auto"/>
        <w:left w:val="none" w:sz="0" w:space="0" w:color="auto"/>
        <w:bottom w:val="none" w:sz="0" w:space="0" w:color="auto"/>
        <w:right w:val="none" w:sz="0" w:space="0" w:color="auto"/>
      </w:divBdr>
    </w:div>
    <w:div w:id="1803157613">
      <w:bodyDiv w:val="1"/>
      <w:marLeft w:val="0"/>
      <w:marRight w:val="0"/>
      <w:marTop w:val="0"/>
      <w:marBottom w:val="0"/>
      <w:divBdr>
        <w:top w:val="none" w:sz="0" w:space="0" w:color="auto"/>
        <w:left w:val="none" w:sz="0" w:space="0" w:color="auto"/>
        <w:bottom w:val="none" w:sz="0" w:space="0" w:color="auto"/>
        <w:right w:val="none" w:sz="0" w:space="0" w:color="auto"/>
      </w:divBdr>
    </w:div>
    <w:div w:id="1803310079">
      <w:bodyDiv w:val="1"/>
      <w:marLeft w:val="0"/>
      <w:marRight w:val="0"/>
      <w:marTop w:val="0"/>
      <w:marBottom w:val="0"/>
      <w:divBdr>
        <w:top w:val="none" w:sz="0" w:space="0" w:color="auto"/>
        <w:left w:val="none" w:sz="0" w:space="0" w:color="auto"/>
        <w:bottom w:val="none" w:sz="0" w:space="0" w:color="auto"/>
        <w:right w:val="none" w:sz="0" w:space="0" w:color="auto"/>
      </w:divBdr>
    </w:div>
    <w:div w:id="1803695620">
      <w:bodyDiv w:val="1"/>
      <w:marLeft w:val="0"/>
      <w:marRight w:val="0"/>
      <w:marTop w:val="0"/>
      <w:marBottom w:val="0"/>
      <w:divBdr>
        <w:top w:val="none" w:sz="0" w:space="0" w:color="auto"/>
        <w:left w:val="none" w:sz="0" w:space="0" w:color="auto"/>
        <w:bottom w:val="none" w:sz="0" w:space="0" w:color="auto"/>
        <w:right w:val="none" w:sz="0" w:space="0" w:color="auto"/>
      </w:divBdr>
    </w:div>
    <w:div w:id="1803695741">
      <w:bodyDiv w:val="1"/>
      <w:marLeft w:val="0"/>
      <w:marRight w:val="0"/>
      <w:marTop w:val="0"/>
      <w:marBottom w:val="0"/>
      <w:divBdr>
        <w:top w:val="none" w:sz="0" w:space="0" w:color="auto"/>
        <w:left w:val="none" w:sz="0" w:space="0" w:color="auto"/>
        <w:bottom w:val="none" w:sz="0" w:space="0" w:color="auto"/>
        <w:right w:val="none" w:sz="0" w:space="0" w:color="auto"/>
      </w:divBdr>
    </w:div>
    <w:div w:id="1803882529">
      <w:bodyDiv w:val="1"/>
      <w:marLeft w:val="0"/>
      <w:marRight w:val="0"/>
      <w:marTop w:val="0"/>
      <w:marBottom w:val="0"/>
      <w:divBdr>
        <w:top w:val="none" w:sz="0" w:space="0" w:color="auto"/>
        <w:left w:val="none" w:sz="0" w:space="0" w:color="auto"/>
        <w:bottom w:val="none" w:sz="0" w:space="0" w:color="auto"/>
        <w:right w:val="none" w:sz="0" w:space="0" w:color="auto"/>
      </w:divBdr>
    </w:div>
    <w:div w:id="1804998499">
      <w:bodyDiv w:val="1"/>
      <w:marLeft w:val="0"/>
      <w:marRight w:val="0"/>
      <w:marTop w:val="0"/>
      <w:marBottom w:val="0"/>
      <w:divBdr>
        <w:top w:val="none" w:sz="0" w:space="0" w:color="auto"/>
        <w:left w:val="none" w:sz="0" w:space="0" w:color="auto"/>
        <w:bottom w:val="none" w:sz="0" w:space="0" w:color="auto"/>
        <w:right w:val="none" w:sz="0" w:space="0" w:color="auto"/>
      </w:divBdr>
    </w:div>
    <w:div w:id="1805461846">
      <w:bodyDiv w:val="1"/>
      <w:marLeft w:val="0"/>
      <w:marRight w:val="0"/>
      <w:marTop w:val="0"/>
      <w:marBottom w:val="0"/>
      <w:divBdr>
        <w:top w:val="none" w:sz="0" w:space="0" w:color="auto"/>
        <w:left w:val="none" w:sz="0" w:space="0" w:color="auto"/>
        <w:bottom w:val="none" w:sz="0" w:space="0" w:color="auto"/>
        <w:right w:val="none" w:sz="0" w:space="0" w:color="auto"/>
      </w:divBdr>
    </w:div>
    <w:div w:id="1806466928">
      <w:bodyDiv w:val="1"/>
      <w:marLeft w:val="0"/>
      <w:marRight w:val="0"/>
      <w:marTop w:val="0"/>
      <w:marBottom w:val="0"/>
      <w:divBdr>
        <w:top w:val="none" w:sz="0" w:space="0" w:color="auto"/>
        <w:left w:val="none" w:sz="0" w:space="0" w:color="auto"/>
        <w:bottom w:val="none" w:sz="0" w:space="0" w:color="auto"/>
        <w:right w:val="none" w:sz="0" w:space="0" w:color="auto"/>
      </w:divBdr>
    </w:div>
    <w:div w:id="1807427531">
      <w:bodyDiv w:val="1"/>
      <w:marLeft w:val="0"/>
      <w:marRight w:val="0"/>
      <w:marTop w:val="0"/>
      <w:marBottom w:val="0"/>
      <w:divBdr>
        <w:top w:val="none" w:sz="0" w:space="0" w:color="auto"/>
        <w:left w:val="none" w:sz="0" w:space="0" w:color="auto"/>
        <w:bottom w:val="none" w:sz="0" w:space="0" w:color="auto"/>
        <w:right w:val="none" w:sz="0" w:space="0" w:color="auto"/>
      </w:divBdr>
    </w:div>
    <w:div w:id="1808352224">
      <w:bodyDiv w:val="1"/>
      <w:marLeft w:val="0"/>
      <w:marRight w:val="0"/>
      <w:marTop w:val="0"/>
      <w:marBottom w:val="0"/>
      <w:divBdr>
        <w:top w:val="none" w:sz="0" w:space="0" w:color="auto"/>
        <w:left w:val="none" w:sz="0" w:space="0" w:color="auto"/>
        <w:bottom w:val="none" w:sz="0" w:space="0" w:color="auto"/>
        <w:right w:val="none" w:sz="0" w:space="0" w:color="auto"/>
      </w:divBdr>
    </w:div>
    <w:div w:id="1809084813">
      <w:bodyDiv w:val="1"/>
      <w:marLeft w:val="0"/>
      <w:marRight w:val="0"/>
      <w:marTop w:val="0"/>
      <w:marBottom w:val="0"/>
      <w:divBdr>
        <w:top w:val="none" w:sz="0" w:space="0" w:color="auto"/>
        <w:left w:val="none" w:sz="0" w:space="0" w:color="auto"/>
        <w:bottom w:val="none" w:sz="0" w:space="0" w:color="auto"/>
        <w:right w:val="none" w:sz="0" w:space="0" w:color="auto"/>
      </w:divBdr>
    </w:div>
    <w:div w:id="1810171189">
      <w:bodyDiv w:val="1"/>
      <w:marLeft w:val="0"/>
      <w:marRight w:val="0"/>
      <w:marTop w:val="0"/>
      <w:marBottom w:val="0"/>
      <w:divBdr>
        <w:top w:val="none" w:sz="0" w:space="0" w:color="auto"/>
        <w:left w:val="none" w:sz="0" w:space="0" w:color="auto"/>
        <w:bottom w:val="none" w:sz="0" w:space="0" w:color="auto"/>
        <w:right w:val="none" w:sz="0" w:space="0" w:color="auto"/>
      </w:divBdr>
    </w:div>
    <w:div w:id="1811172724">
      <w:bodyDiv w:val="1"/>
      <w:marLeft w:val="0"/>
      <w:marRight w:val="0"/>
      <w:marTop w:val="0"/>
      <w:marBottom w:val="0"/>
      <w:divBdr>
        <w:top w:val="none" w:sz="0" w:space="0" w:color="auto"/>
        <w:left w:val="none" w:sz="0" w:space="0" w:color="auto"/>
        <w:bottom w:val="none" w:sz="0" w:space="0" w:color="auto"/>
        <w:right w:val="none" w:sz="0" w:space="0" w:color="auto"/>
      </w:divBdr>
    </w:div>
    <w:div w:id="1812213961">
      <w:bodyDiv w:val="1"/>
      <w:marLeft w:val="0"/>
      <w:marRight w:val="0"/>
      <w:marTop w:val="0"/>
      <w:marBottom w:val="0"/>
      <w:divBdr>
        <w:top w:val="none" w:sz="0" w:space="0" w:color="auto"/>
        <w:left w:val="none" w:sz="0" w:space="0" w:color="auto"/>
        <w:bottom w:val="none" w:sz="0" w:space="0" w:color="auto"/>
        <w:right w:val="none" w:sz="0" w:space="0" w:color="auto"/>
      </w:divBdr>
    </w:div>
    <w:div w:id="1815441980">
      <w:bodyDiv w:val="1"/>
      <w:marLeft w:val="0"/>
      <w:marRight w:val="0"/>
      <w:marTop w:val="0"/>
      <w:marBottom w:val="0"/>
      <w:divBdr>
        <w:top w:val="none" w:sz="0" w:space="0" w:color="auto"/>
        <w:left w:val="none" w:sz="0" w:space="0" w:color="auto"/>
        <w:bottom w:val="none" w:sz="0" w:space="0" w:color="auto"/>
        <w:right w:val="none" w:sz="0" w:space="0" w:color="auto"/>
      </w:divBdr>
    </w:div>
    <w:div w:id="1815684716">
      <w:bodyDiv w:val="1"/>
      <w:marLeft w:val="0"/>
      <w:marRight w:val="0"/>
      <w:marTop w:val="0"/>
      <w:marBottom w:val="0"/>
      <w:divBdr>
        <w:top w:val="none" w:sz="0" w:space="0" w:color="auto"/>
        <w:left w:val="none" w:sz="0" w:space="0" w:color="auto"/>
        <w:bottom w:val="none" w:sz="0" w:space="0" w:color="auto"/>
        <w:right w:val="none" w:sz="0" w:space="0" w:color="auto"/>
      </w:divBdr>
    </w:div>
    <w:div w:id="1816988446">
      <w:bodyDiv w:val="1"/>
      <w:marLeft w:val="0"/>
      <w:marRight w:val="0"/>
      <w:marTop w:val="0"/>
      <w:marBottom w:val="0"/>
      <w:divBdr>
        <w:top w:val="none" w:sz="0" w:space="0" w:color="auto"/>
        <w:left w:val="none" w:sz="0" w:space="0" w:color="auto"/>
        <w:bottom w:val="none" w:sz="0" w:space="0" w:color="auto"/>
        <w:right w:val="none" w:sz="0" w:space="0" w:color="auto"/>
      </w:divBdr>
    </w:div>
    <w:div w:id="1819154433">
      <w:bodyDiv w:val="1"/>
      <w:marLeft w:val="0"/>
      <w:marRight w:val="0"/>
      <w:marTop w:val="0"/>
      <w:marBottom w:val="0"/>
      <w:divBdr>
        <w:top w:val="none" w:sz="0" w:space="0" w:color="auto"/>
        <w:left w:val="none" w:sz="0" w:space="0" w:color="auto"/>
        <w:bottom w:val="none" w:sz="0" w:space="0" w:color="auto"/>
        <w:right w:val="none" w:sz="0" w:space="0" w:color="auto"/>
      </w:divBdr>
    </w:div>
    <w:div w:id="1820028132">
      <w:bodyDiv w:val="1"/>
      <w:marLeft w:val="0"/>
      <w:marRight w:val="0"/>
      <w:marTop w:val="0"/>
      <w:marBottom w:val="0"/>
      <w:divBdr>
        <w:top w:val="none" w:sz="0" w:space="0" w:color="auto"/>
        <w:left w:val="none" w:sz="0" w:space="0" w:color="auto"/>
        <w:bottom w:val="none" w:sz="0" w:space="0" w:color="auto"/>
        <w:right w:val="none" w:sz="0" w:space="0" w:color="auto"/>
      </w:divBdr>
    </w:div>
    <w:div w:id="1820226879">
      <w:bodyDiv w:val="1"/>
      <w:marLeft w:val="0"/>
      <w:marRight w:val="0"/>
      <w:marTop w:val="0"/>
      <w:marBottom w:val="0"/>
      <w:divBdr>
        <w:top w:val="none" w:sz="0" w:space="0" w:color="auto"/>
        <w:left w:val="none" w:sz="0" w:space="0" w:color="auto"/>
        <w:bottom w:val="none" w:sz="0" w:space="0" w:color="auto"/>
        <w:right w:val="none" w:sz="0" w:space="0" w:color="auto"/>
      </w:divBdr>
    </w:div>
    <w:div w:id="1820609493">
      <w:bodyDiv w:val="1"/>
      <w:marLeft w:val="0"/>
      <w:marRight w:val="0"/>
      <w:marTop w:val="0"/>
      <w:marBottom w:val="0"/>
      <w:divBdr>
        <w:top w:val="none" w:sz="0" w:space="0" w:color="auto"/>
        <w:left w:val="none" w:sz="0" w:space="0" w:color="auto"/>
        <w:bottom w:val="none" w:sz="0" w:space="0" w:color="auto"/>
        <w:right w:val="none" w:sz="0" w:space="0" w:color="auto"/>
      </w:divBdr>
    </w:div>
    <w:div w:id="1822236081">
      <w:bodyDiv w:val="1"/>
      <w:marLeft w:val="0"/>
      <w:marRight w:val="0"/>
      <w:marTop w:val="0"/>
      <w:marBottom w:val="0"/>
      <w:divBdr>
        <w:top w:val="none" w:sz="0" w:space="0" w:color="auto"/>
        <w:left w:val="none" w:sz="0" w:space="0" w:color="auto"/>
        <w:bottom w:val="none" w:sz="0" w:space="0" w:color="auto"/>
        <w:right w:val="none" w:sz="0" w:space="0" w:color="auto"/>
      </w:divBdr>
    </w:div>
    <w:div w:id="1822845159">
      <w:bodyDiv w:val="1"/>
      <w:marLeft w:val="0"/>
      <w:marRight w:val="0"/>
      <w:marTop w:val="0"/>
      <w:marBottom w:val="0"/>
      <w:divBdr>
        <w:top w:val="none" w:sz="0" w:space="0" w:color="auto"/>
        <w:left w:val="none" w:sz="0" w:space="0" w:color="auto"/>
        <w:bottom w:val="none" w:sz="0" w:space="0" w:color="auto"/>
        <w:right w:val="none" w:sz="0" w:space="0" w:color="auto"/>
      </w:divBdr>
    </w:div>
    <w:div w:id="1823544151">
      <w:bodyDiv w:val="1"/>
      <w:marLeft w:val="0"/>
      <w:marRight w:val="0"/>
      <w:marTop w:val="0"/>
      <w:marBottom w:val="0"/>
      <w:divBdr>
        <w:top w:val="none" w:sz="0" w:space="0" w:color="auto"/>
        <w:left w:val="none" w:sz="0" w:space="0" w:color="auto"/>
        <w:bottom w:val="none" w:sz="0" w:space="0" w:color="auto"/>
        <w:right w:val="none" w:sz="0" w:space="0" w:color="auto"/>
      </w:divBdr>
    </w:div>
    <w:div w:id="1824156845">
      <w:bodyDiv w:val="1"/>
      <w:marLeft w:val="0"/>
      <w:marRight w:val="0"/>
      <w:marTop w:val="0"/>
      <w:marBottom w:val="0"/>
      <w:divBdr>
        <w:top w:val="none" w:sz="0" w:space="0" w:color="auto"/>
        <w:left w:val="none" w:sz="0" w:space="0" w:color="auto"/>
        <w:bottom w:val="none" w:sz="0" w:space="0" w:color="auto"/>
        <w:right w:val="none" w:sz="0" w:space="0" w:color="auto"/>
      </w:divBdr>
    </w:div>
    <w:div w:id="1826236270">
      <w:bodyDiv w:val="1"/>
      <w:marLeft w:val="0"/>
      <w:marRight w:val="0"/>
      <w:marTop w:val="0"/>
      <w:marBottom w:val="0"/>
      <w:divBdr>
        <w:top w:val="none" w:sz="0" w:space="0" w:color="auto"/>
        <w:left w:val="none" w:sz="0" w:space="0" w:color="auto"/>
        <w:bottom w:val="none" w:sz="0" w:space="0" w:color="auto"/>
        <w:right w:val="none" w:sz="0" w:space="0" w:color="auto"/>
      </w:divBdr>
    </w:div>
    <w:div w:id="1827895718">
      <w:bodyDiv w:val="1"/>
      <w:marLeft w:val="0"/>
      <w:marRight w:val="0"/>
      <w:marTop w:val="0"/>
      <w:marBottom w:val="0"/>
      <w:divBdr>
        <w:top w:val="none" w:sz="0" w:space="0" w:color="auto"/>
        <w:left w:val="none" w:sz="0" w:space="0" w:color="auto"/>
        <w:bottom w:val="none" w:sz="0" w:space="0" w:color="auto"/>
        <w:right w:val="none" w:sz="0" w:space="0" w:color="auto"/>
      </w:divBdr>
    </w:div>
    <w:div w:id="1828205257">
      <w:bodyDiv w:val="1"/>
      <w:marLeft w:val="0"/>
      <w:marRight w:val="0"/>
      <w:marTop w:val="0"/>
      <w:marBottom w:val="0"/>
      <w:divBdr>
        <w:top w:val="none" w:sz="0" w:space="0" w:color="auto"/>
        <w:left w:val="none" w:sz="0" w:space="0" w:color="auto"/>
        <w:bottom w:val="none" w:sz="0" w:space="0" w:color="auto"/>
        <w:right w:val="none" w:sz="0" w:space="0" w:color="auto"/>
      </w:divBdr>
    </w:div>
    <w:div w:id="1831094028">
      <w:bodyDiv w:val="1"/>
      <w:marLeft w:val="0"/>
      <w:marRight w:val="0"/>
      <w:marTop w:val="0"/>
      <w:marBottom w:val="0"/>
      <w:divBdr>
        <w:top w:val="none" w:sz="0" w:space="0" w:color="auto"/>
        <w:left w:val="none" w:sz="0" w:space="0" w:color="auto"/>
        <w:bottom w:val="none" w:sz="0" w:space="0" w:color="auto"/>
        <w:right w:val="none" w:sz="0" w:space="0" w:color="auto"/>
      </w:divBdr>
    </w:div>
    <w:div w:id="1831410970">
      <w:bodyDiv w:val="1"/>
      <w:marLeft w:val="0"/>
      <w:marRight w:val="0"/>
      <w:marTop w:val="0"/>
      <w:marBottom w:val="0"/>
      <w:divBdr>
        <w:top w:val="none" w:sz="0" w:space="0" w:color="auto"/>
        <w:left w:val="none" w:sz="0" w:space="0" w:color="auto"/>
        <w:bottom w:val="none" w:sz="0" w:space="0" w:color="auto"/>
        <w:right w:val="none" w:sz="0" w:space="0" w:color="auto"/>
      </w:divBdr>
    </w:div>
    <w:div w:id="1832062632">
      <w:bodyDiv w:val="1"/>
      <w:marLeft w:val="0"/>
      <w:marRight w:val="0"/>
      <w:marTop w:val="0"/>
      <w:marBottom w:val="0"/>
      <w:divBdr>
        <w:top w:val="none" w:sz="0" w:space="0" w:color="auto"/>
        <w:left w:val="none" w:sz="0" w:space="0" w:color="auto"/>
        <w:bottom w:val="none" w:sz="0" w:space="0" w:color="auto"/>
        <w:right w:val="none" w:sz="0" w:space="0" w:color="auto"/>
      </w:divBdr>
    </w:div>
    <w:div w:id="1832212315">
      <w:bodyDiv w:val="1"/>
      <w:marLeft w:val="0"/>
      <w:marRight w:val="0"/>
      <w:marTop w:val="0"/>
      <w:marBottom w:val="0"/>
      <w:divBdr>
        <w:top w:val="none" w:sz="0" w:space="0" w:color="auto"/>
        <w:left w:val="none" w:sz="0" w:space="0" w:color="auto"/>
        <w:bottom w:val="none" w:sz="0" w:space="0" w:color="auto"/>
        <w:right w:val="none" w:sz="0" w:space="0" w:color="auto"/>
      </w:divBdr>
    </w:div>
    <w:div w:id="1833256147">
      <w:bodyDiv w:val="1"/>
      <w:marLeft w:val="0"/>
      <w:marRight w:val="0"/>
      <w:marTop w:val="0"/>
      <w:marBottom w:val="0"/>
      <w:divBdr>
        <w:top w:val="none" w:sz="0" w:space="0" w:color="auto"/>
        <w:left w:val="none" w:sz="0" w:space="0" w:color="auto"/>
        <w:bottom w:val="none" w:sz="0" w:space="0" w:color="auto"/>
        <w:right w:val="none" w:sz="0" w:space="0" w:color="auto"/>
      </w:divBdr>
    </w:div>
    <w:div w:id="1833334742">
      <w:bodyDiv w:val="1"/>
      <w:marLeft w:val="0"/>
      <w:marRight w:val="0"/>
      <w:marTop w:val="0"/>
      <w:marBottom w:val="0"/>
      <w:divBdr>
        <w:top w:val="none" w:sz="0" w:space="0" w:color="auto"/>
        <w:left w:val="none" w:sz="0" w:space="0" w:color="auto"/>
        <w:bottom w:val="none" w:sz="0" w:space="0" w:color="auto"/>
        <w:right w:val="none" w:sz="0" w:space="0" w:color="auto"/>
      </w:divBdr>
    </w:div>
    <w:div w:id="1833713821">
      <w:bodyDiv w:val="1"/>
      <w:marLeft w:val="0"/>
      <w:marRight w:val="0"/>
      <w:marTop w:val="0"/>
      <w:marBottom w:val="0"/>
      <w:divBdr>
        <w:top w:val="none" w:sz="0" w:space="0" w:color="auto"/>
        <w:left w:val="none" w:sz="0" w:space="0" w:color="auto"/>
        <w:bottom w:val="none" w:sz="0" w:space="0" w:color="auto"/>
        <w:right w:val="none" w:sz="0" w:space="0" w:color="auto"/>
      </w:divBdr>
    </w:div>
    <w:div w:id="1833719124">
      <w:bodyDiv w:val="1"/>
      <w:marLeft w:val="0"/>
      <w:marRight w:val="0"/>
      <w:marTop w:val="0"/>
      <w:marBottom w:val="0"/>
      <w:divBdr>
        <w:top w:val="none" w:sz="0" w:space="0" w:color="auto"/>
        <w:left w:val="none" w:sz="0" w:space="0" w:color="auto"/>
        <w:bottom w:val="none" w:sz="0" w:space="0" w:color="auto"/>
        <w:right w:val="none" w:sz="0" w:space="0" w:color="auto"/>
      </w:divBdr>
    </w:div>
    <w:div w:id="1834490145">
      <w:bodyDiv w:val="1"/>
      <w:marLeft w:val="0"/>
      <w:marRight w:val="0"/>
      <w:marTop w:val="0"/>
      <w:marBottom w:val="0"/>
      <w:divBdr>
        <w:top w:val="none" w:sz="0" w:space="0" w:color="auto"/>
        <w:left w:val="none" w:sz="0" w:space="0" w:color="auto"/>
        <w:bottom w:val="none" w:sz="0" w:space="0" w:color="auto"/>
        <w:right w:val="none" w:sz="0" w:space="0" w:color="auto"/>
      </w:divBdr>
    </w:div>
    <w:div w:id="1835022710">
      <w:bodyDiv w:val="1"/>
      <w:marLeft w:val="0"/>
      <w:marRight w:val="0"/>
      <w:marTop w:val="0"/>
      <w:marBottom w:val="0"/>
      <w:divBdr>
        <w:top w:val="none" w:sz="0" w:space="0" w:color="auto"/>
        <w:left w:val="none" w:sz="0" w:space="0" w:color="auto"/>
        <w:bottom w:val="none" w:sz="0" w:space="0" w:color="auto"/>
        <w:right w:val="none" w:sz="0" w:space="0" w:color="auto"/>
      </w:divBdr>
    </w:div>
    <w:div w:id="1835604611">
      <w:bodyDiv w:val="1"/>
      <w:marLeft w:val="0"/>
      <w:marRight w:val="0"/>
      <w:marTop w:val="0"/>
      <w:marBottom w:val="0"/>
      <w:divBdr>
        <w:top w:val="none" w:sz="0" w:space="0" w:color="auto"/>
        <w:left w:val="none" w:sz="0" w:space="0" w:color="auto"/>
        <w:bottom w:val="none" w:sz="0" w:space="0" w:color="auto"/>
        <w:right w:val="none" w:sz="0" w:space="0" w:color="auto"/>
      </w:divBdr>
    </w:div>
    <w:div w:id="1836189937">
      <w:bodyDiv w:val="1"/>
      <w:marLeft w:val="0"/>
      <w:marRight w:val="0"/>
      <w:marTop w:val="0"/>
      <w:marBottom w:val="0"/>
      <w:divBdr>
        <w:top w:val="none" w:sz="0" w:space="0" w:color="auto"/>
        <w:left w:val="none" w:sz="0" w:space="0" w:color="auto"/>
        <w:bottom w:val="none" w:sz="0" w:space="0" w:color="auto"/>
        <w:right w:val="none" w:sz="0" w:space="0" w:color="auto"/>
      </w:divBdr>
    </w:div>
    <w:div w:id="1836264082">
      <w:bodyDiv w:val="1"/>
      <w:marLeft w:val="0"/>
      <w:marRight w:val="0"/>
      <w:marTop w:val="0"/>
      <w:marBottom w:val="0"/>
      <w:divBdr>
        <w:top w:val="none" w:sz="0" w:space="0" w:color="auto"/>
        <w:left w:val="none" w:sz="0" w:space="0" w:color="auto"/>
        <w:bottom w:val="none" w:sz="0" w:space="0" w:color="auto"/>
        <w:right w:val="none" w:sz="0" w:space="0" w:color="auto"/>
      </w:divBdr>
    </w:div>
    <w:div w:id="1836917251">
      <w:bodyDiv w:val="1"/>
      <w:marLeft w:val="0"/>
      <w:marRight w:val="0"/>
      <w:marTop w:val="0"/>
      <w:marBottom w:val="0"/>
      <w:divBdr>
        <w:top w:val="none" w:sz="0" w:space="0" w:color="auto"/>
        <w:left w:val="none" w:sz="0" w:space="0" w:color="auto"/>
        <w:bottom w:val="none" w:sz="0" w:space="0" w:color="auto"/>
        <w:right w:val="none" w:sz="0" w:space="0" w:color="auto"/>
      </w:divBdr>
    </w:div>
    <w:div w:id="1837306698">
      <w:bodyDiv w:val="1"/>
      <w:marLeft w:val="0"/>
      <w:marRight w:val="0"/>
      <w:marTop w:val="0"/>
      <w:marBottom w:val="0"/>
      <w:divBdr>
        <w:top w:val="none" w:sz="0" w:space="0" w:color="auto"/>
        <w:left w:val="none" w:sz="0" w:space="0" w:color="auto"/>
        <w:bottom w:val="none" w:sz="0" w:space="0" w:color="auto"/>
        <w:right w:val="none" w:sz="0" w:space="0" w:color="auto"/>
      </w:divBdr>
    </w:div>
    <w:div w:id="1839733118">
      <w:bodyDiv w:val="1"/>
      <w:marLeft w:val="0"/>
      <w:marRight w:val="0"/>
      <w:marTop w:val="0"/>
      <w:marBottom w:val="0"/>
      <w:divBdr>
        <w:top w:val="none" w:sz="0" w:space="0" w:color="auto"/>
        <w:left w:val="none" w:sz="0" w:space="0" w:color="auto"/>
        <w:bottom w:val="none" w:sz="0" w:space="0" w:color="auto"/>
        <w:right w:val="none" w:sz="0" w:space="0" w:color="auto"/>
      </w:divBdr>
    </w:div>
    <w:div w:id="1839878820">
      <w:bodyDiv w:val="1"/>
      <w:marLeft w:val="0"/>
      <w:marRight w:val="0"/>
      <w:marTop w:val="0"/>
      <w:marBottom w:val="0"/>
      <w:divBdr>
        <w:top w:val="none" w:sz="0" w:space="0" w:color="auto"/>
        <w:left w:val="none" w:sz="0" w:space="0" w:color="auto"/>
        <w:bottom w:val="none" w:sz="0" w:space="0" w:color="auto"/>
        <w:right w:val="none" w:sz="0" w:space="0" w:color="auto"/>
      </w:divBdr>
    </w:div>
    <w:div w:id="1840265976">
      <w:bodyDiv w:val="1"/>
      <w:marLeft w:val="0"/>
      <w:marRight w:val="0"/>
      <w:marTop w:val="0"/>
      <w:marBottom w:val="0"/>
      <w:divBdr>
        <w:top w:val="none" w:sz="0" w:space="0" w:color="auto"/>
        <w:left w:val="none" w:sz="0" w:space="0" w:color="auto"/>
        <w:bottom w:val="none" w:sz="0" w:space="0" w:color="auto"/>
        <w:right w:val="none" w:sz="0" w:space="0" w:color="auto"/>
      </w:divBdr>
    </w:div>
    <w:div w:id="1840461872">
      <w:bodyDiv w:val="1"/>
      <w:marLeft w:val="0"/>
      <w:marRight w:val="0"/>
      <w:marTop w:val="0"/>
      <w:marBottom w:val="0"/>
      <w:divBdr>
        <w:top w:val="none" w:sz="0" w:space="0" w:color="auto"/>
        <w:left w:val="none" w:sz="0" w:space="0" w:color="auto"/>
        <w:bottom w:val="none" w:sz="0" w:space="0" w:color="auto"/>
        <w:right w:val="none" w:sz="0" w:space="0" w:color="auto"/>
      </w:divBdr>
    </w:div>
    <w:div w:id="1840464466">
      <w:bodyDiv w:val="1"/>
      <w:marLeft w:val="0"/>
      <w:marRight w:val="0"/>
      <w:marTop w:val="0"/>
      <w:marBottom w:val="0"/>
      <w:divBdr>
        <w:top w:val="none" w:sz="0" w:space="0" w:color="auto"/>
        <w:left w:val="none" w:sz="0" w:space="0" w:color="auto"/>
        <w:bottom w:val="none" w:sz="0" w:space="0" w:color="auto"/>
        <w:right w:val="none" w:sz="0" w:space="0" w:color="auto"/>
      </w:divBdr>
    </w:div>
    <w:div w:id="1841001769">
      <w:bodyDiv w:val="1"/>
      <w:marLeft w:val="0"/>
      <w:marRight w:val="0"/>
      <w:marTop w:val="0"/>
      <w:marBottom w:val="0"/>
      <w:divBdr>
        <w:top w:val="none" w:sz="0" w:space="0" w:color="auto"/>
        <w:left w:val="none" w:sz="0" w:space="0" w:color="auto"/>
        <w:bottom w:val="none" w:sz="0" w:space="0" w:color="auto"/>
        <w:right w:val="none" w:sz="0" w:space="0" w:color="auto"/>
      </w:divBdr>
    </w:div>
    <w:div w:id="1841192872">
      <w:bodyDiv w:val="1"/>
      <w:marLeft w:val="0"/>
      <w:marRight w:val="0"/>
      <w:marTop w:val="0"/>
      <w:marBottom w:val="0"/>
      <w:divBdr>
        <w:top w:val="none" w:sz="0" w:space="0" w:color="auto"/>
        <w:left w:val="none" w:sz="0" w:space="0" w:color="auto"/>
        <w:bottom w:val="none" w:sz="0" w:space="0" w:color="auto"/>
        <w:right w:val="none" w:sz="0" w:space="0" w:color="auto"/>
      </w:divBdr>
    </w:div>
    <w:div w:id="1842701823">
      <w:bodyDiv w:val="1"/>
      <w:marLeft w:val="0"/>
      <w:marRight w:val="0"/>
      <w:marTop w:val="0"/>
      <w:marBottom w:val="0"/>
      <w:divBdr>
        <w:top w:val="none" w:sz="0" w:space="0" w:color="auto"/>
        <w:left w:val="none" w:sz="0" w:space="0" w:color="auto"/>
        <w:bottom w:val="none" w:sz="0" w:space="0" w:color="auto"/>
        <w:right w:val="none" w:sz="0" w:space="0" w:color="auto"/>
      </w:divBdr>
    </w:div>
    <w:div w:id="1843397565">
      <w:bodyDiv w:val="1"/>
      <w:marLeft w:val="0"/>
      <w:marRight w:val="0"/>
      <w:marTop w:val="0"/>
      <w:marBottom w:val="0"/>
      <w:divBdr>
        <w:top w:val="none" w:sz="0" w:space="0" w:color="auto"/>
        <w:left w:val="none" w:sz="0" w:space="0" w:color="auto"/>
        <w:bottom w:val="none" w:sz="0" w:space="0" w:color="auto"/>
        <w:right w:val="none" w:sz="0" w:space="0" w:color="auto"/>
      </w:divBdr>
    </w:div>
    <w:div w:id="1844583397">
      <w:bodyDiv w:val="1"/>
      <w:marLeft w:val="0"/>
      <w:marRight w:val="0"/>
      <w:marTop w:val="0"/>
      <w:marBottom w:val="0"/>
      <w:divBdr>
        <w:top w:val="none" w:sz="0" w:space="0" w:color="auto"/>
        <w:left w:val="none" w:sz="0" w:space="0" w:color="auto"/>
        <w:bottom w:val="none" w:sz="0" w:space="0" w:color="auto"/>
        <w:right w:val="none" w:sz="0" w:space="0" w:color="auto"/>
      </w:divBdr>
    </w:div>
    <w:div w:id="1844856849">
      <w:bodyDiv w:val="1"/>
      <w:marLeft w:val="0"/>
      <w:marRight w:val="0"/>
      <w:marTop w:val="0"/>
      <w:marBottom w:val="0"/>
      <w:divBdr>
        <w:top w:val="none" w:sz="0" w:space="0" w:color="auto"/>
        <w:left w:val="none" w:sz="0" w:space="0" w:color="auto"/>
        <w:bottom w:val="none" w:sz="0" w:space="0" w:color="auto"/>
        <w:right w:val="none" w:sz="0" w:space="0" w:color="auto"/>
      </w:divBdr>
    </w:div>
    <w:div w:id="1847280171">
      <w:bodyDiv w:val="1"/>
      <w:marLeft w:val="0"/>
      <w:marRight w:val="0"/>
      <w:marTop w:val="0"/>
      <w:marBottom w:val="0"/>
      <w:divBdr>
        <w:top w:val="none" w:sz="0" w:space="0" w:color="auto"/>
        <w:left w:val="none" w:sz="0" w:space="0" w:color="auto"/>
        <w:bottom w:val="none" w:sz="0" w:space="0" w:color="auto"/>
        <w:right w:val="none" w:sz="0" w:space="0" w:color="auto"/>
      </w:divBdr>
    </w:div>
    <w:div w:id="1847817900">
      <w:bodyDiv w:val="1"/>
      <w:marLeft w:val="0"/>
      <w:marRight w:val="0"/>
      <w:marTop w:val="0"/>
      <w:marBottom w:val="0"/>
      <w:divBdr>
        <w:top w:val="none" w:sz="0" w:space="0" w:color="auto"/>
        <w:left w:val="none" w:sz="0" w:space="0" w:color="auto"/>
        <w:bottom w:val="none" w:sz="0" w:space="0" w:color="auto"/>
        <w:right w:val="none" w:sz="0" w:space="0" w:color="auto"/>
      </w:divBdr>
    </w:div>
    <w:div w:id="1848134468">
      <w:bodyDiv w:val="1"/>
      <w:marLeft w:val="0"/>
      <w:marRight w:val="0"/>
      <w:marTop w:val="0"/>
      <w:marBottom w:val="0"/>
      <w:divBdr>
        <w:top w:val="none" w:sz="0" w:space="0" w:color="auto"/>
        <w:left w:val="none" w:sz="0" w:space="0" w:color="auto"/>
        <w:bottom w:val="none" w:sz="0" w:space="0" w:color="auto"/>
        <w:right w:val="none" w:sz="0" w:space="0" w:color="auto"/>
      </w:divBdr>
    </w:div>
    <w:div w:id="1848516795">
      <w:bodyDiv w:val="1"/>
      <w:marLeft w:val="0"/>
      <w:marRight w:val="0"/>
      <w:marTop w:val="0"/>
      <w:marBottom w:val="0"/>
      <w:divBdr>
        <w:top w:val="none" w:sz="0" w:space="0" w:color="auto"/>
        <w:left w:val="none" w:sz="0" w:space="0" w:color="auto"/>
        <w:bottom w:val="none" w:sz="0" w:space="0" w:color="auto"/>
        <w:right w:val="none" w:sz="0" w:space="0" w:color="auto"/>
      </w:divBdr>
    </w:div>
    <w:div w:id="1849370438">
      <w:bodyDiv w:val="1"/>
      <w:marLeft w:val="0"/>
      <w:marRight w:val="0"/>
      <w:marTop w:val="0"/>
      <w:marBottom w:val="0"/>
      <w:divBdr>
        <w:top w:val="none" w:sz="0" w:space="0" w:color="auto"/>
        <w:left w:val="none" w:sz="0" w:space="0" w:color="auto"/>
        <w:bottom w:val="none" w:sz="0" w:space="0" w:color="auto"/>
        <w:right w:val="none" w:sz="0" w:space="0" w:color="auto"/>
      </w:divBdr>
    </w:div>
    <w:div w:id="1849519797">
      <w:bodyDiv w:val="1"/>
      <w:marLeft w:val="0"/>
      <w:marRight w:val="0"/>
      <w:marTop w:val="0"/>
      <w:marBottom w:val="0"/>
      <w:divBdr>
        <w:top w:val="none" w:sz="0" w:space="0" w:color="auto"/>
        <w:left w:val="none" w:sz="0" w:space="0" w:color="auto"/>
        <w:bottom w:val="none" w:sz="0" w:space="0" w:color="auto"/>
        <w:right w:val="none" w:sz="0" w:space="0" w:color="auto"/>
      </w:divBdr>
    </w:div>
    <w:div w:id="1849904668">
      <w:bodyDiv w:val="1"/>
      <w:marLeft w:val="0"/>
      <w:marRight w:val="0"/>
      <w:marTop w:val="0"/>
      <w:marBottom w:val="0"/>
      <w:divBdr>
        <w:top w:val="none" w:sz="0" w:space="0" w:color="auto"/>
        <w:left w:val="none" w:sz="0" w:space="0" w:color="auto"/>
        <w:bottom w:val="none" w:sz="0" w:space="0" w:color="auto"/>
        <w:right w:val="none" w:sz="0" w:space="0" w:color="auto"/>
      </w:divBdr>
    </w:div>
    <w:div w:id="1850489670">
      <w:bodyDiv w:val="1"/>
      <w:marLeft w:val="0"/>
      <w:marRight w:val="0"/>
      <w:marTop w:val="0"/>
      <w:marBottom w:val="0"/>
      <w:divBdr>
        <w:top w:val="none" w:sz="0" w:space="0" w:color="auto"/>
        <w:left w:val="none" w:sz="0" w:space="0" w:color="auto"/>
        <w:bottom w:val="none" w:sz="0" w:space="0" w:color="auto"/>
        <w:right w:val="none" w:sz="0" w:space="0" w:color="auto"/>
      </w:divBdr>
    </w:div>
    <w:div w:id="1851139509">
      <w:bodyDiv w:val="1"/>
      <w:marLeft w:val="0"/>
      <w:marRight w:val="0"/>
      <w:marTop w:val="0"/>
      <w:marBottom w:val="0"/>
      <w:divBdr>
        <w:top w:val="none" w:sz="0" w:space="0" w:color="auto"/>
        <w:left w:val="none" w:sz="0" w:space="0" w:color="auto"/>
        <w:bottom w:val="none" w:sz="0" w:space="0" w:color="auto"/>
        <w:right w:val="none" w:sz="0" w:space="0" w:color="auto"/>
      </w:divBdr>
    </w:div>
    <w:div w:id="1851987931">
      <w:bodyDiv w:val="1"/>
      <w:marLeft w:val="0"/>
      <w:marRight w:val="0"/>
      <w:marTop w:val="0"/>
      <w:marBottom w:val="0"/>
      <w:divBdr>
        <w:top w:val="none" w:sz="0" w:space="0" w:color="auto"/>
        <w:left w:val="none" w:sz="0" w:space="0" w:color="auto"/>
        <w:bottom w:val="none" w:sz="0" w:space="0" w:color="auto"/>
        <w:right w:val="none" w:sz="0" w:space="0" w:color="auto"/>
      </w:divBdr>
    </w:div>
    <w:div w:id="1852446829">
      <w:bodyDiv w:val="1"/>
      <w:marLeft w:val="0"/>
      <w:marRight w:val="0"/>
      <w:marTop w:val="0"/>
      <w:marBottom w:val="0"/>
      <w:divBdr>
        <w:top w:val="none" w:sz="0" w:space="0" w:color="auto"/>
        <w:left w:val="none" w:sz="0" w:space="0" w:color="auto"/>
        <w:bottom w:val="none" w:sz="0" w:space="0" w:color="auto"/>
        <w:right w:val="none" w:sz="0" w:space="0" w:color="auto"/>
      </w:divBdr>
    </w:div>
    <w:div w:id="1858038296">
      <w:bodyDiv w:val="1"/>
      <w:marLeft w:val="0"/>
      <w:marRight w:val="0"/>
      <w:marTop w:val="0"/>
      <w:marBottom w:val="0"/>
      <w:divBdr>
        <w:top w:val="none" w:sz="0" w:space="0" w:color="auto"/>
        <w:left w:val="none" w:sz="0" w:space="0" w:color="auto"/>
        <w:bottom w:val="none" w:sz="0" w:space="0" w:color="auto"/>
        <w:right w:val="none" w:sz="0" w:space="0" w:color="auto"/>
      </w:divBdr>
    </w:div>
    <w:div w:id="1858424635">
      <w:bodyDiv w:val="1"/>
      <w:marLeft w:val="0"/>
      <w:marRight w:val="0"/>
      <w:marTop w:val="0"/>
      <w:marBottom w:val="0"/>
      <w:divBdr>
        <w:top w:val="none" w:sz="0" w:space="0" w:color="auto"/>
        <w:left w:val="none" w:sz="0" w:space="0" w:color="auto"/>
        <w:bottom w:val="none" w:sz="0" w:space="0" w:color="auto"/>
        <w:right w:val="none" w:sz="0" w:space="0" w:color="auto"/>
      </w:divBdr>
    </w:div>
    <w:div w:id="1858959052">
      <w:bodyDiv w:val="1"/>
      <w:marLeft w:val="0"/>
      <w:marRight w:val="0"/>
      <w:marTop w:val="0"/>
      <w:marBottom w:val="0"/>
      <w:divBdr>
        <w:top w:val="none" w:sz="0" w:space="0" w:color="auto"/>
        <w:left w:val="none" w:sz="0" w:space="0" w:color="auto"/>
        <w:bottom w:val="none" w:sz="0" w:space="0" w:color="auto"/>
        <w:right w:val="none" w:sz="0" w:space="0" w:color="auto"/>
      </w:divBdr>
    </w:div>
    <w:div w:id="1859273768">
      <w:bodyDiv w:val="1"/>
      <w:marLeft w:val="0"/>
      <w:marRight w:val="0"/>
      <w:marTop w:val="0"/>
      <w:marBottom w:val="0"/>
      <w:divBdr>
        <w:top w:val="none" w:sz="0" w:space="0" w:color="auto"/>
        <w:left w:val="none" w:sz="0" w:space="0" w:color="auto"/>
        <w:bottom w:val="none" w:sz="0" w:space="0" w:color="auto"/>
        <w:right w:val="none" w:sz="0" w:space="0" w:color="auto"/>
      </w:divBdr>
    </w:div>
    <w:div w:id="1859924773">
      <w:bodyDiv w:val="1"/>
      <w:marLeft w:val="0"/>
      <w:marRight w:val="0"/>
      <w:marTop w:val="0"/>
      <w:marBottom w:val="0"/>
      <w:divBdr>
        <w:top w:val="none" w:sz="0" w:space="0" w:color="auto"/>
        <w:left w:val="none" w:sz="0" w:space="0" w:color="auto"/>
        <w:bottom w:val="none" w:sz="0" w:space="0" w:color="auto"/>
        <w:right w:val="none" w:sz="0" w:space="0" w:color="auto"/>
      </w:divBdr>
    </w:div>
    <w:div w:id="1862473917">
      <w:bodyDiv w:val="1"/>
      <w:marLeft w:val="0"/>
      <w:marRight w:val="0"/>
      <w:marTop w:val="0"/>
      <w:marBottom w:val="0"/>
      <w:divBdr>
        <w:top w:val="none" w:sz="0" w:space="0" w:color="auto"/>
        <w:left w:val="none" w:sz="0" w:space="0" w:color="auto"/>
        <w:bottom w:val="none" w:sz="0" w:space="0" w:color="auto"/>
        <w:right w:val="none" w:sz="0" w:space="0" w:color="auto"/>
      </w:divBdr>
    </w:div>
    <w:div w:id="1863281677">
      <w:bodyDiv w:val="1"/>
      <w:marLeft w:val="0"/>
      <w:marRight w:val="0"/>
      <w:marTop w:val="0"/>
      <w:marBottom w:val="0"/>
      <w:divBdr>
        <w:top w:val="none" w:sz="0" w:space="0" w:color="auto"/>
        <w:left w:val="none" w:sz="0" w:space="0" w:color="auto"/>
        <w:bottom w:val="none" w:sz="0" w:space="0" w:color="auto"/>
        <w:right w:val="none" w:sz="0" w:space="0" w:color="auto"/>
      </w:divBdr>
    </w:div>
    <w:div w:id="1864243328">
      <w:bodyDiv w:val="1"/>
      <w:marLeft w:val="0"/>
      <w:marRight w:val="0"/>
      <w:marTop w:val="0"/>
      <w:marBottom w:val="0"/>
      <w:divBdr>
        <w:top w:val="none" w:sz="0" w:space="0" w:color="auto"/>
        <w:left w:val="none" w:sz="0" w:space="0" w:color="auto"/>
        <w:bottom w:val="none" w:sz="0" w:space="0" w:color="auto"/>
        <w:right w:val="none" w:sz="0" w:space="0" w:color="auto"/>
      </w:divBdr>
    </w:div>
    <w:div w:id="1864708203">
      <w:bodyDiv w:val="1"/>
      <w:marLeft w:val="0"/>
      <w:marRight w:val="0"/>
      <w:marTop w:val="0"/>
      <w:marBottom w:val="0"/>
      <w:divBdr>
        <w:top w:val="none" w:sz="0" w:space="0" w:color="auto"/>
        <w:left w:val="none" w:sz="0" w:space="0" w:color="auto"/>
        <w:bottom w:val="none" w:sz="0" w:space="0" w:color="auto"/>
        <w:right w:val="none" w:sz="0" w:space="0" w:color="auto"/>
      </w:divBdr>
    </w:div>
    <w:div w:id="1865827723">
      <w:bodyDiv w:val="1"/>
      <w:marLeft w:val="0"/>
      <w:marRight w:val="0"/>
      <w:marTop w:val="0"/>
      <w:marBottom w:val="0"/>
      <w:divBdr>
        <w:top w:val="none" w:sz="0" w:space="0" w:color="auto"/>
        <w:left w:val="none" w:sz="0" w:space="0" w:color="auto"/>
        <w:bottom w:val="none" w:sz="0" w:space="0" w:color="auto"/>
        <w:right w:val="none" w:sz="0" w:space="0" w:color="auto"/>
      </w:divBdr>
    </w:div>
    <w:div w:id="1867281741">
      <w:bodyDiv w:val="1"/>
      <w:marLeft w:val="0"/>
      <w:marRight w:val="0"/>
      <w:marTop w:val="0"/>
      <w:marBottom w:val="0"/>
      <w:divBdr>
        <w:top w:val="none" w:sz="0" w:space="0" w:color="auto"/>
        <w:left w:val="none" w:sz="0" w:space="0" w:color="auto"/>
        <w:bottom w:val="none" w:sz="0" w:space="0" w:color="auto"/>
        <w:right w:val="none" w:sz="0" w:space="0" w:color="auto"/>
      </w:divBdr>
    </w:div>
    <w:div w:id="1868371761">
      <w:bodyDiv w:val="1"/>
      <w:marLeft w:val="0"/>
      <w:marRight w:val="0"/>
      <w:marTop w:val="0"/>
      <w:marBottom w:val="0"/>
      <w:divBdr>
        <w:top w:val="none" w:sz="0" w:space="0" w:color="auto"/>
        <w:left w:val="none" w:sz="0" w:space="0" w:color="auto"/>
        <w:bottom w:val="none" w:sz="0" w:space="0" w:color="auto"/>
        <w:right w:val="none" w:sz="0" w:space="0" w:color="auto"/>
      </w:divBdr>
    </w:div>
    <w:div w:id="1868832644">
      <w:bodyDiv w:val="1"/>
      <w:marLeft w:val="0"/>
      <w:marRight w:val="0"/>
      <w:marTop w:val="0"/>
      <w:marBottom w:val="0"/>
      <w:divBdr>
        <w:top w:val="none" w:sz="0" w:space="0" w:color="auto"/>
        <w:left w:val="none" w:sz="0" w:space="0" w:color="auto"/>
        <w:bottom w:val="none" w:sz="0" w:space="0" w:color="auto"/>
        <w:right w:val="none" w:sz="0" w:space="0" w:color="auto"/>
      </w:divBdr>
    </w:div>
    <w:div w:id="1869949615">
      <w:bodyDiv w:val="1"/>
      <w:marLeft w:val="0"/>
      <w:marRight w:val="0"/>
      <w:marTop w:val="0"/>
      <w:marBottom w:val="0"/>
      <w:divBdr>
        <w:top w:val="none" w:sz="0" w:space="0" w:color="auto"/>
        <w:left w:val="none" w:sz="0" w:space="0" w:color="auto"/>
        <w:bottom w:val="none" w:sz="0" w:space="0" w:color="auto"/>
        <w:right w:val="none" w:sz="0" w:space="0" w:color="auto"/>
      </w:divBdr>
    </w:div>
    <w:div w:id="1870021222">
      <w:bodyDiv w:val="1"/>
      <w:marLeft w:val="0"/>
      <w:marRight w:val="0"/>
      <w:marTop w:val="0"/>
      <w:marBottom w:val="0"/>
      <w:divBdr>
        <w:top w:val="none" w:sz="0" w:space="0" w:color="auto"/>
        <w:left w:val="none" w:sz="0" w:space="0" w:color="auto"/>
        <w:bottom w:val="none" w:sz="0" w:space="0" w:color="auto"/>
        <w:right w:val="none" w:sz="0" w:space="0" w:color="auto"/>
      </w:divBdr>
    </w:div>
    <w:div w:id="1870559074">
      <w:bodyDiv w:val="1"/>
      <w:marLeft w:val="0"/>
      <w:marRight w:val="0"/>
      <w:marTop w:val="0"/>
      <w:marBottom w:val="0"/>
      <w:divBdr>
        <w:top w:val="none" w:sz="0" w:space="0" w:color="auto"/>
        <w:left w:val="none" w:sz="0" w:space="0" w:color="auto"/>
        <w:bottom w:val="none" w:sz="0" w:space="0" w:color="auto"/>
        <w:right w:val="none" w:sz="0" w:space="0" w:color="auto"/>
      </w:divBdr>
    </w:div>
    <w:div w:id="1871604579">
      <w:bodyDiv w:val="1"/>
      <w:marLeft w:val="0"/>
      <w:marRight w:val="0"/>
      <w:marTop w:val="0"/>
      <w:marBottom w:val="0"/>
      <w:divBdr>
        <w:top w:val="none" w:sz="0" w:space="0" w:color="auto"/>
        <w:left w:val="none" w:sz="0" w:space="0" w:color="auto"/>
        <w:bottom w:val="none" w:sz="0" w:space="0" w:color="auto"/>
        <w:right w:val="none" w:sz="0" w:space="0" w:color="auto"/>
      </w:divBdr>
    </w:div>
    <w:div w:id="1871918058">
      <w:bodyDiv w:val="1"/>
      <w:marLeft w:val="0"/>
      <w:marRight w:val="0"/>
      <w:marTop w:val="0"/>
      <w:marBottom w:val="0"/>
      <w:divBdr>
        <w:top w:val="none" w:sz="0" w:space="0" w:color="auto"/>
        <w:left w:val="none" w:sz="0" w:space="0" w:color="auto"/>
        <w:bottom w:val="none" w:sz="0" w:space="0" w:color="auto"/>
        <w:right w:val="none" w:sz="0" w:space="0" w:color="auto"/>
      </w:divBdr>
    </w:div>
    <w:div w:id="1872181904">
      <w:bodyDiv w:val="1"/>
      <w:marLeft w:val="0"/>
      <w:marRight w:val="0"/>
      <w:marTop w:val="0"/>
      <w:marBottom w:val="0"/>
      <w:divBdr>
        <w:top w:val="none" w:sz="0" w:space="0" w:color="auto"/>
        <w:left w:val="none" w:sz="0" w:space="0" w:color="auto"/>
        <w:bottom w:val="none" w:sz="0" w:space="0" w:color="auto"/>
        <w:right w:val="none" w:sz="0" w:space="0" w:color="auto"/>
      </w:divBdr>
    </w:div>
    <w:div w:id="1872834948">
      <w:bodyDiv w:val="1"/>
      <w:marLeft w:val="0"/>
      <w:marRight w:val="0"/>
      <w:marTop w:val="0"/>
      <w:marBottom w:val="0"/>
      <w:divBdr>
        <w:top w:val="none" w:sz="0" w:space="0" w:color="auto"/>
        <w:left w:val="none" w:sz="0" w:space="0" w:color="auto"/>
        <w:bottom w:val="none" w:sz="0" w:space="0" w:color="auto"/>
        <w:right w:val="none" w:sz="0" w:space="0" w:color="auto"/>
      </w:divBdr>
    </w:div>
    <w:div w:id="1872910661">
      <w:bodyDiv w:val="1"/>
      <w:marLeft w:val="0"/>
      <w:marRight w:val="0"/>
      <w:marTop w:val="0"/>
      <w:marBottom w:val="0"/>
      <w:divBdr>
        <w:top w:val="none" w:sz="0" w:space="0" w:color="auto"/>
        <w:left w:val="none" w:sz="0" w:space="0" w:color="auto"/>
        <w:bottom w:val="none" w:sz="0" w:space="0" w:color="auto"/>
        <w:right w:val="none" w:sz="0" w:space="0" w:color="auto"/>
      </w:divBdr>
    </w:div>
    <w:div w:id="1873300491">
      <w:bodyDiv w:val="1"/>
      <w:marLeft w:val="0"/>
      <w:marRight w:val="0"/>
      <w:marTop w:val="0"/>
      <w:marBottom w:val="0"/>
      <w:divBdr>
        <w:top w:val="none" w:sz="0" w:space="0" w:color="auto"/>
        <w:left w:val="none" w:sz="0" w:space="0" w:color="auto"/>
        <w:bottom w:val="none" w:sz="0" w:space="0" w:color="auto"/>
        <w:right w:val="none" w:sz="0" w:space="0" w:color="auto"/>
      </w:divBdr>
    </w:div>
    <w:div w:id="1875271291">
      <w:bodyDiv w:val="1"/>
      <w:marLeft w:val="0"/>
      <w:marRight w:val="0"/>
      <w:marTop w:val="0"/>
      <w:marBottom w:val="0"/>
      <w:divBdr>
        <w:top w:val="none" w:sz="0" w:space="0" w:color="auto"/>
        <w:left w:val="none" w:sz="0" w:space="0" w:color="auto"/>
        <w:bottom w:val="none" w:sz="0" w:space="0" w:color="auto"/>
        <w:right w:val="none" w:sz="0" w:space="0" w:color="auto"/>
      </w:divBdr>
    </w:div>
    <w:div w:id="1875313444">
      <w:bodyDiv w:val="1"/>
      <w:marLeft w:val="0"/>
      <w:marRight w:val="0"/>
      <w:marTop w:val="0"/>
      <w:marBottom w:val="0"/>
      <w:divBdr>
        <w:top w:val="none" w:sz="0" w:space="0" w:color="auto"/>
        <w:left w:val="none" w:sz="0" w:space="0" w:color="auto"/>
        <w:bottom w:val="none" w:sz="0" w:space="0" w:color="auto"/>
        <w:right w:val="none" w:sz="0" w:space="0" w:color="auto"/>
      </w:divBdr>
    </w:div>
    <w:div w:id="1876237888">
      <w:bodyDiv w:val="1"/>
      <w:marLeft w:val="0"/>
      <w:marRight w:val="0"/>
      <w:marTop w:val="0"/>
      <w:marBottom w:val="0"/>
      <w:divBdr>
        <w:top w:val="none" w:sz="0" w:space="0" w:color="auto"/>
        <w:left w:val="none" w:sz="0" w:space="0" w:color="auto"/>
        <w:bottom w:val="none" w:sz="0" w:space="0" w:color="auto"/>
        <w:right w:val="none" w:sz="0" w:space="0" w:color="auto"/>
      </w:divBdr>
    </w:div>
    <w:div w:id="1876385426">
      <w:bodyDiv w:val="1"/>
      <w:marLeft w:val="0"/>
      <w:marRight w:val="0"/>
      <w:marTop w:val="0"/>
      <w:marBottom w:val="0"/>
      <w:divBdr>
        <w:top w:val="none" w:sz="0" w:space="0" w:color="auto"/>
        <w:left w:val="none" w:sz="0" w:space="0" w:color="auto"/>
        <w:bottom w:val="none" w:sz="0" w:space="0" w:color="auto"/>
        <w:right w:val="none" w:sz="0" w:space="0" w:color="auto"/>
      </w:divBdr>
    </w:div>
    <w:div w:id="1879852754">
      <w:bodyDiv w:val="1"/>
      <w:marLeft w:val="0"/>
      <w:marRight w:val="0"/>
      <w:marTop w:val="0"/>
      <w:marBottom w:val="0"/>
      <w:divBdr>
        <w:top w:val="none" w:sz="0" w:space="0" w:color="auto"/>
        <w:left w:val="none" w:sz="0" w:space="0" w:color="auto"/>
        <w:bottom w:val="none" w:sz="0" w:space="0" w:color="auto"/>
        <w:right w:val="none" w:sz="0" w:space="0" w:color="auto"/>
      </w:divBdr>
    </w:div>
    <w:div w:id="1879926434">
      <w:bodyDiv w:val="1"/>
      <w:marLeft w:val="0"/>
      <w:marRight w:val="0"/>
      <w:marTop w:val="0"/>
      <w:marBottom w:val="0"/>
      <w:divBdr>
        <w:top w:val="none" w:sz="0" w:space="0" w:color="auto"/>
        <w:left w:val="none" w:sz="0" w:space="0" w:color="auto"/>
        <w:bottom w:val="none" w:sz="0" w:space="0" w:color="auto"/>
        <w:right w:val="none" w:sz="0" w:space="0" w:color="auto"/>
      </w:divBdr>
    </w:div>
    <w:div w:id="1880043667">
      <w:bodyDiv w:val="1"/>
      <w:marLeft w:val="0"/>
      <w:marRight w:val="0"/>
      <w:marTop w:val="0"/>
      <w:marBottom w:val="0"/>
      <w:divBdr>
        <w:top w:val="none" w:sz="0" w:space="0" w:color="auto"/>
        <w:left w:val="none" w:sz="0" w:space="0" w:color="auto"/>
        <w:bottom w:val="none" w:sz="0" w:space="0" w:color="auto"/>
        <w:right w:val="none" w:sz="0" w:space="0" w:color="auto"/>
      </w:divBdr>
    </w:div>
    <w:div w:id="1881283007">
      <w:bodyDiv w:val="1"/>
      <w:marLeft w:val="0"/>
      <w:marRight w:val="0"/>
      <w:marTop w:val="0"/>
      <w:marBottom w:val="0"/>
      <w:divBdr>
        <w:top w:val="none" w:sz="0" w:space="0" w:color="auto"/>
        <w:left w:val="none" w:sz="0" w:space="0" w:color="auto"/>
        <w:bottom w:val="none" w:sz="0" w:space="0" w:color="auto"/>
        <w:right w:val="none" w:sz="0" w:space="0" w:color="auto"/>
      </w:divBdr>
    </w:div>
    <w:div w:id="1881359042">
      <w:bodyDiv w:val="1"/>
      <w:marLeft w:val="0"/>
      <w:marRight w:val="0"/>
      <w:marTop w:val="0"/>
      <w:marBottom w:val="0"/>
      <w:divBdr>
        <w:top w:val="none" w:sz="0" w:space="0" w:color="auto"/>
        <w:left w:val="none" w:sz="0" w:space="0" w:color="auto"/>
        <w:bottom w:val="none" w:sz="0" w:space="0" w:color="auto"/>
        <w:right w:val="none" w:sz="0" w:space="0" w:color="auto"/>
      </w:divBdr>
    </w:div>
    <w:div w:id="1881699218">
      <w:bodyDiv w:val="1"/>
      <w:marLeft w:val="0"/>
      <w:marRight w:val="0"/>
      <w:marTop w:val="0"/>
      <w:marBottom w:val="0"/>
      <w:divBdr>
        <w:top w:val="none" w:sz="0" w:space="0" w:color="auto"/>
        <w:left w:val="none" w:sz="0" w:space="0" w:color="auto"/>
        <w:bottom w:val="none" w:sz="0" w:space="0" w:color="auto"/>
        <w:right w:val="none" w:sz="0" w:space="0" w:color="auto"/>
      </w:divBdr>
    </w:div>
    <w:div w:id="1881745094">
      <w:bodyDiv w:val="1"/>
      <w:marLeft w:val="0"/>
      <w:marRight w:val="0"/>
      <w:marTop w:val="0"/>
      <w:marBottom w:val="0"/>
      <w:divBdr>
        <w:top w:val="none" w:sz="0" w:space="0" w:color="auto"/>
        <w:left w:val="none" w:sz="0" w:space="0" w:color="auto"/>
        <w:bottom w:val="none" w:sz="0" w:space="0" w:color="auto"/>
        <w:right w:val="none" w:sz="0" w:space="0" w:color="auto"/>
      </w:divBdr>
    </w:div>
    <w:div w:id="1886485565">
      <w:bodyDiv w:val="1"/>
      <w:marLeft w:val="0"/>
      <w:marRight w:val="0"/>
      <w:marTop w:val="0"/>
      <w:marBottom w:val="0"/>
      <w:divBdr>
        <w:top w:val="none" w:sz="0" w:space="0" w:color="auto"/>
        <w:left w:val="none" w:sz="0" w:space="0" w:color="auto"/>
        <w:bottom w:val="none" w:sz="0" w:space="0" w:color="auto"/>
        <w:right w:val="none" w:sz="0" w:space="0" w:color="auto"/>
      </w:divBdr>
    </w:div>
    <w:div w:id="1889679834">
      <w:bodyDiv w:val="1"/>
      <w:marLeft w:val="0"/>
      <w:marRight w:val="0"/>
      <w:marTop w:val="0"/>
      <w:marBottom w:val="0"/>
      <w:divBdr>
        <w:top w:val="none" w:sz="0" w:space="0" w:color="auto"/>
        <w:left w:val="none" w:sz="0" w:space="0" w:color="auto"/>
        <w:bottom w:val="none" w:sz="0" w:space="0" w:color="auto"/>
        <w:right w:val="none" w:sz="0" w:space="0" w:color="auto"/>
      </w:divBdr>
    </w:div>
    <w:div w:id="1889993499">
      <w:bodyDiv w:val="1"/>
      <w:marLeft w:val="0"/>
      <w:marRight w:val="0"/>
      <w:marTop w:val="0"/>
      <w:marBottom w:val="0"/>
      <w:divBdr>
        <w:top w:val="none" w:sz="0" w:space="0" w:color="auto"/>
        <w:left w:val="none" w:sz="0" w:space="0" w:color="auto"/>
        <w:bottom w:val="none" w:sz="0" w:space="0" w:color="auto"/>
        <w:right w:val="none" w:sz="0" w:space="0" w:color="auto"/>
      </w:divBdr>
    </w:div>
    <w:div w:id="1890334452">
      <w:bodyDiv w:val="1"/>
      <w:marLeft w:val="0"/>
      <w:marRight w:val="0"/>
      <w:marTop w:val="0"/>
      <w:marBottom w:val="0"/>
      <w:divBdr>
        <w:top w:val="none" w:sz="0" w:space="0" w:color="auto"/>
        <w:left w:val="none" w:sz="0" w:space="0" w:color="auto"/>
        <w:bottom w:val="none" w:sz="0" w:space="0" w:color="auto"/>
        <w:right w:val="none" w:sz="0" w:space="0" w:color="auto"/>
      </w:divBdr>
    </w:div>
    <w:div w:id="1890725343">
      <w:bodyDiv w:val="1"/>
      <w:marLeft w:val="0"/>
      <w:marRight w:val="0"/>
      <w:marTop w:val="0"/>
      <w:marBottom w:val="0"/>
      <w:divBdr>
        <w:top w:val="none" w:sz="0" w:space="0" w:color="auto"/>
        <w:left w:val="none" w:sz="0" w:space="0" w:color="auto"/>
        <w:bottom w:val="none" w:sz="0" w:space="0" w:color="auto"/>
        <w:right w:val="none" w:sz="0" w:space="0" w:color="auto"/>
      </w:divBdr>
    </w:div>
    <w:div w:id="1891767203">
      <w:bodyDiv w:val="1"/>
      <w:marLeft w:val="0"/>
      <w:marRight w:val="0"/>
      <w:marTop w:val="0"/>
      <w:marBottom w:val="0"/>
      <w:divBdr>
        <w:top w:val="none" w:sz="0" w:space="0" w:color="auto"/>
        <w:left w:val="none" w:sz="0" w:space="0" w:color="auto"/>
        <w:bottom w:val="none" w:sz="0" w:space="0" w:color="auto"/>
        <w:right w:val="none" w:sz="0" w:space="0" w:color="auto"/>
      </w:divBdr>
    </w:div>
    <w:div w:id="1892810802">
      <w:bodyDiv w:val="1"/>
      <w:marLeft w:val="0"/>
      <w:marRight w:val="0"/>
      <w:marTop w:val="0"/>
      <w:marBottom w:val="0"/>
      <w:divBdr>
        <w:top w:val="none" w:sz="0" w:space="0" w:color="auto"/>
        <w:left w:val="none" w:sz="0" w:space="0" w:color="auto"/>
        <w:bottom w:val="none" w:sz="0" w:space="0" w:color="auto"/>
        <w:right w:val="none" w:sz="0" w:space="0" w:color="auto"/>
      </w:divBdr>
    </w:div>
    <w:div w:id="1895576042">
      <w:bodyDiv w:val="1"/>
      <w:marLeft w:val="0"/>
      <w:marRight w:val="0"/>
      <w:marTop w:val="0"/>
      <w:marBottom w:val="0"/>
      <w:divBdr>
        <w:top w:val="none" w:sz="0" w:space="0" w:color="auto"/>
        <w:left w:val="none" w:sz="0" w:space="0" w:color="auto"/>
        <w:bottom w:val="none" w:sz="0" w:space="0" w:color="auto"/>
        <w:right w:val="none" w:sz="0" w:space="0" w:color="auto"/>
      </w:divBdr>
    </w:div>
    <w:div w:id="1896892295">
      <w:bodyDiv w:val="1"/>
      <w:marLeft w:val="0"/>
      <w:marRight w:val="0"/>
      <w:marTop w:val="0"/>
      <w:marBottom w:val="0"/>
      <w:divBdr>
        <w:top w:val="none" w:sz="0" w:space="0" w:color="auto"/>
        <w:left w:val="none" w:sz="0" w:space="0" w:color="auto"/>
        <w:bottom w:val="none" w:sz="0" w:space="0" w:color="auto"/>
        <w:right w:val="none" w:sz="0" w:space="0" w:color="auto"/>
      </w:divBdr>
    </w:div>
    <w:div w:id="1899973899">
      <w:bodyDiv w:val="1"/>
      <w:marLeft w:val="0"/>
      <w:marRight w:val="0"/>
      <w:marTop w:val="0"/>
      <w:marBottom w:val="0"/>
      <w:divBdr>
        <w:top w:val="none" w:sz="0" w:space="0" w:color="auto"/>
        <w:left w:val="none" w:sz="0" w:space="0" w:color="auto"/>
        <w:bottom w:val="none" w:sz="0" w:space="0" w:color="auto"/>
        <w:right w:val="none" w:sz="0" w:space="0" w:color="auto"/>
      </w:divBdr>
    </w:div>
    <w:div w:id="1900554078">
      <w:bodyDiv w:val="1"/>
      <w:marLeft w:val="0"/>
      <w:marRight w:val="0"/>
      <w:marTop w:val="0"/>
      <w:marBottom w:val="0"/>
      <w:divBdr>
        <w:top w:val="none" w:sz="0" w:space="0" w:color="auto"/>
        <w:left w:val="none" w:sz="0" w:space="0" w:color="auto"/>
        <w:bottom w:val="none" w:sz="0" w:space="0" w:color="auto"/>
        <w:right w:val="none" w:sz="0" w:space="0" w:color="auto"/>
      </w:divBdr>
    </w:div>
    <w:div w:id="1900938328">
      <w:bodyDiv w:val="1"/>
      <w:marLeft w:val="0"/>
      <w:marRight w:val="0"/>
      <w:marTop w:val="0"/>
      <w:marBottom w:val="0"/>
      <w:divBdr>
        <w:top w:val="none" w:sz="0" w:space="0" w:color="auto"/>
        <w:left w:val="none" w:sz="0" w:space="0" w:color="auto"/>
        <w:bottom w:val="none" w:sz="0" w:space="0" w:color="auto"/>
        <w:right w:val="none" w:sz="0" w:space="0" w:color="auto"/>
      </w:divBdr>
    </w:div>
    <w:div w:id="1901400826">
      <w:bodyDiv w:val="1"/>
      <w:marLeft w:val="0"/>
      <w:marRight w:val="0"/>
      <w:marTop w:val="0"/>
      <w:marBottom w:val="0"/>
      <w:divBdr>
        <w:top w:val="none" w:sz="0" w:space="0" w:color="auto"/>
        <w:left w:val="none" w:sz="0" w:space="0" w:color="auto"/>
        <w:bottom w:val="none" w:sz="0" w:space="0" w:color="auto"/>
        <w:right w:val="none" w:sz="0" w:space="0" w:color="auto"/>
      </w:divBdr>
    </w:div>
    <w:div w:id="1901556084">
      <w:bodyDiv w:val="1"/>
      <w:marLeft w:val="0"/>
      <w:marRight w:val="0"/>
      <w:marTop w:val="0"/>
      <w:marBottom w:val="0"/>
      <w:divBdr>
        <w:top w:val="none" w:sz="0" w:space="0" w:color="auto"/>
        <w:left w:val="none" w:sz="0" w:space="0" w:color="auto"/>
        <w:bottom w:val="none" w:sz="0" w:space="0" w:color="auto"/>
        <w:right w:val="none" w:sz="0" w:space="0" w:color="auto"/>
      </w:divBdr>
    </w:div>
    <w:div w:id="1901939473">
      <w:bodyDiv w:val="1"/>
      <w:marLeft w:val="0"/>
      <w:marRight w:val="0"/>
      <w:marTop w:val="0"/>
      <w:marBottom w:val="0"/>
      <w:divBdr>
        <w:top w:val="none" w:sz="0" w:space="0" w:color="auto"/>
        <w:left w:val="none" w:sz="0" w:space="0" w:color="auto"/>
        <w:bottom w:val="none" w:sz="0" w:space="0" w:color="auto"/>
        <w:right w:val="none" w:sz="0" w:space="0" w:color="auto"/>
      </w:divBdr>
    </w:div>
    <w:div w:id="1903640171">
      <w:bodyDiv w:val="1"/>
      <w:marLeft w:val="0"/>
      <w:marRight w:val="0"/>
      <w:marTop w:val="0"/>
      <w:marBottom w:val="0"/>
      <w:divBdr>
        <w:top w:val="none" w:sz="0" w:space="0" w:color="auto"/>
        <w:left w:val="none" w:sz="0" w:space="0" w:color="auto"/>
        <w:bottom w:val="none" w:sz="0" w:space="0" w:color="auto"/>
        <w:right w:val="none" w:sz="0" w:space="0" w:color="auto"/>
      </w:divBdr>
    </w:div>
    <w:div w:id="1903708060">
      <w:bodyDiv w:val="1"/>
      <w:marLeft w:val="0"/>
      <w:marRight w:val="0"/>
      <w:marTop w:val="0"/>
      <w:marBottom w:val="0"/>
      <w:divBdr>
        <w:top w:val="none" w:sz="0" w:space="0" w:color="auto"/>
        <w:left w:val="none" w:sz="0" w:space="0" w:color="auto"/>
        <w:bottom w:val="none" w:sz="0" w:space="0" w:color="auto"/>
        <w:right w:val="none" w:sz="0" w:space="0" w:color="auto"/>
      </w:divBdr>
    </w:div>
    <w:div w:id="1903831019">
      <w:bodyDiv w:val="1"/>
      <w:marLeft w:val="0"/>
      <w:marRight w:val="0"/>
      <w:marTop w:val="0"/>
      <w:marBottom w:val="0"/>
      <w:divBdr>
        <w:top w:val="none" w:sz="0" w:space="0" w:color="auto"/>
        <w:left w:val="none" w:sz="0" w:space="0" w:color="auto"/>
        <w:bottom w:val="none" w:sz="0" w:space="0" w:color="auto"/>
        <w:right w:val="none" w:sz="0" w:space="0" w:color="auto"/>
      </w:divBdr>
    </w:div>
    <w:div w:id="1904027323">
      <w:bodyDiv w:val="1"/>
      <w:marLeft w:val="0"/>
      <w:marRight w:val="0"/>
      <w:marTop w:val="0"/>
      <w:marBottom w:val="0"/>
      <w:divBdr>
        <w:top w:val="none" w:sz="0" w:space="0" w:color="auto"/>
        <w:left w:val="none" w:sz="0" w:space="0" w:color="auto"/>
        <w:bottom w:val="none" w:sz="0" w:space="0" w:color="auto"/>
        <w:right w:val="none" w:sz="0" w:space="0" w:color="auto"/>
      </w:divBdr>
    </w:div>
    <w:div w:id="1904875124">
      <w:bodyDiv w:val="1"/>
      <w:marLeft w:val="0"/>
      <w:marRight w:val="0"/>
      <w:marTop w:val="0"/>
      <w:marBottom w:val="0"/>
      <w:divBdr>
        <w:top w:val="none" w:sz="0" w:space="0" w:color="auto"/>
        <w:left w:val="none" w:sz="0" w:space="0" w:color="auto"/>
        <w:bottom w:val="none" w:sz="0" w:space="0" w:color="auto"/>
        <w:right w:val="none" w:sz="0" w:space="0" w:color="auto"/>
      </w:divBdr>
    </w:div>
    <w:div w:id="1905723523">
      <w:bodyDiv w:val="1"/>
      <w:marLeft w:val="0"/>
      <w:marRight w:val="0"/>
      <w:marTop w:val="0"/>
      <w:marBottom w:val="0"/>
      <w:divBdr>
        <w:top w:val="none" w:sz="0" w:space="0" w:color="auto"/>
        <w:left w:val="none" w:sz="0" w:space="0" w:color="auto"/>
        <w:bottom w:val="none" w:sz="0" w:space="0" w:color="auto"/>
        <w:right w:val="none" w:sz="0" w:space="0" w:color="auto"/>
      </w:divBdr>
    </w:div>
    <w:div w:id="1906141275">
      <w:bodyDiv w:val="1"/>
      <w:marLeft w:val="0"/>
      <w:marRight w:val="0"/>
      <w:marTop w:val="0"/>
      <w:marBottom w:val="0"/>
      <w:divBdr>
        <w:top w:val="none" w:sz="0" w:space="0" w:color="auto"/>
        <w:left w:val="none" w:sz="0" w:space="0" w:color="auto"/>
        <w:bottom w:val="none" w:sz="0" w:space="0" w:color="auto"/>
        <w:right w:val="none" w:sz="0" w:space="0" w:color="auto"/>
      </w:divBdr>
    </w:div>
    <w:div w:id="1906646000">
      <w:bodyDiv w:val="1"/>
      <w:marLeft w:val="0"/>
      <w:marRight w:val="0"/>
      <w:marTop w:val="0"/>
      <w:marBottom w:val="0"/>
      <w:divBdr>
        <w:top w:val="none" w:sz="0" w:space="0" w:color="auto"/>
        <w:left w:val="none" w:sz="0" w:space="0" w:color="auto"/>
        <w:bottom w:val="none" w:sz="0" w:space="0" w:color="auto"/>
        <w:right w:val="none" w:sz="0" w:space="0" w:color="auto"/>
      </w:divBdr>
    </w:div>
    <w:div w:id="1907060302">
      <w:bodyDiv w:val="1"/>
      <w:marLeft w:val="0"/>
      <w:marRight w:val="0"/>
      <w:marTop w:val="0"/>
      <w:marBottom w:val="0"/>
      <w:divBdr>
        <w:top w:val="none" w:sz="0" w:space="0" w:color="auto"/>
        <w:left w:val="none" w:sz="0" w:space="0" w:color="auto"/>
        <w:bottom w:val="none" w:sz="0" w:space="0" w:color="auto"/>
        <w:right w:val="none" w:sz="0" w:space="0" w:color="auto"/>
      </w:divBdr>
    </w:div>
    <w:div w:id="1908223387">
      <w:bodyDiv w:val="1"/>
      <w:marLeft w:val="0"/>
      <w:marRight w:val="0"/>
      <w:marTop w:val="0"/>
      <w:marBottom w:val="0"/>
      <w:divBdr>
        <w:top w:val="none" w:sz="0" w:space="0" w:color="auto"/>
        <w:left w:val="none" w:sz="0" w:space="0" w:color="auto"/>
        <w:bottom w:val="none" w:sz="0" w:space="0" w:color="auto"/>
        <w:right w:val="none" w:sz="0" w:space="0" w:color="auto"/>
      </w:divBdr>
    </w:div>
    <w:div w:id="1908682507">
      <w:bodyDiv w:val="1"/>
      <w:marLeft w:val="0"/>
      <w:marRight w:val="0"/>
      <w:marTop w:val="0"/>
      <w:marBottom w:val="0"/>
      <w:divBdr>
        <w:top w:val="none" w:sz="0" w:space="0" w:color="auto"/>
        <w:left w:val="none" w:sz="0" w:space="0" w:color="auto"/>
        <w:bottom w:val="none" w:sz="0" w:space="0" w:color="auto"/>
        <w:right w:val="none" w:sz="0" w:space="0" w:color="auto"/>
      </w:divBdr>
    </w:div>
    <w:div w:id="1910193774">
      <w:bodyDiv w:val="1"/>
      <w:marLeft w:val="0"/>
      <w:marRight w:val="0"/>
      <w:marTop w:val="0"/>
      <w:marBottom w:val="0"/>
      <w:divBdr>
        <w:top w:val="none" w:sz="0" w:space="0" w:color="auto"/>
        <w:left w:val="none" w:sz="0" w:space="0" w:color="auto"/>
        <w:bottom w:val="none" w:sz="0" w:space="0" w:color="auto"/>
        <w:right w:val="none" w:sz="0" w:space="0" w:color="auto"/>
      </w:divBdr>
    </w:div>
    <w:div w:id="1911848349">
      <w:bodyDiv w:val="1"/>
      <w:marLeft w:val="0"/>
      <w:marRight w:val="0"/>
      <w:marTop w:val="0"/>
      <w:marBottom w:val="0"/>
      <w:divBdr>
        <w:top w:val="none" w:sz="0" w:space="0" w:color="auto"/>
        <w:left w:val="none" w:sz="0" w:space="0" w:color="auto"/>
        <w:bottom w:val="none" w:sz="0" w:space="0" w:color="auto"/>
        <w:right w:val="none" w:sz="0" w:space="0" w:color="auto"/>
      </w:divBdr>
    </w:div>
    <w:div w:id="1911883486">
      <w:bodyDiv w:val="1"/>
      <w:marLeft w:val="0"/>
      <w:marRight w:val="0"/>
      <w:marTop w:val="0"/>
      <w:marBottom w:val="0"/>
      <w:divBdr>
        <w:top w:val="none" w:sz="0" w:space="0" w:color="auto"/>
        <w:left w:val="none" w:sz="0" w:space="0" w:color="auto"/>
        <w:bottom w:val="none" w:sz="0" w:space="0" w:color="auto"/>
        <w:right w:val="none" w:sz="0" w:space="0" w:color="auto"/>
      </w:divBdr>
    </w:div>
    <w:div w:id="1912084231">
      <w:bodyDiv w:val="1"/>
      <w:marLeft w:val="0"/>
      <w:marRight w:val="0"/>
      <w:marTop w:val="0"/>
      <w:marBottom w:val="0"/>
      <w:divBdr>
        <w:top w:val="none" w:sz="0" w:space="0" w:color="auto"/>
        <w:left w:val="none" w:sz="0" w:space="0" w:color="auto"/>
        <w:bottom w:val="none" w:sz="0" w:space="0" w:color="auto"/>
        <w:right w:val="none" w:sz="0" w:space="0" w:color="auto"/>
      </w:divBdr>
    </w:div>
    <w:div w:id="1913007434">
      <w:bodyDiv w:val="1"/>
      <w:marLeft w:val="0"/>
      <w:marRight w:val="0"/>
      <w:marTop w:val="0"/>
      <w:marBottom w:val="0"/>
      <w:divBdr>
        <w:top w:val="none" w:sz="0" w:space="0" w:color="auto"/>
        <w:left w:val="none" w:sz="0" w:space="0" w:color="auto"/>
        <w:bottom w:val="none" w:sz="0" w:space="0" w:color="auto"/>
        <w:right w:val="none" w:sz="0" w:space="0" w:color="auto"/>
      </w:divBdr>
    </w:div>
    <w:div w:id="1913198612">
      <w:bodyDiv w:val="1"/>
      <w:marLeft w:val="0"/>
      <w:marRight w:val="0"/>
      <w:marTop w:val="0"/>
      <w:marBottom w:val="0"/>
      <w:divBdr>
        <w:top w:val="none" w:sz="0" w:space="0" w:color="auto"/>
        <w:left w:val="none" w:sz="0" w:space="0" w:color="auto"/>
        <w:bottom w:val="none" w:sz="0" w:space="0" w:color="auto"/>
        <w:right w:val="none" w:sz="0" w:space="0" w:color="auto"/>
      </w:divBdr>
    </w:div>
    <w:div w:id="1913351404">
      <w:bodyDiv w:val="1"/>
      <w:marLeft w:val="0"/>
      <w:marRight w:val="0"/>
      <w:marTop w:val="0"/>
      <w:marBottom w:val="0"/>
      <w:divBdr>
        <w:top w:val="none" w:sz="0" w:space="0" w:color="auto"/>
        <w:left w:val="none" w:sz="0" w:space="0" w:color="auto"/>
        <w:bottom w:val="none" w:sz="0" w:space="0" w:color="auto"/>
        <w:right w:val="none" w:sz="0" w:space="0" w:color="auto"/>
      </w:divBdr>
    </w:div>
    <w:div w:id="1913736557">
      <w:bodyDiv w:val="1"/>
      <w:marLeft w:val="0"/>
      <w:marRight w:val="0"/>
      <w:marTop w:val="0"/>
      <w:marBottom w:val="0"/>
      <w:divBdr>
        <w:top w:val="none" w:sz="0" w:space="0" w:color="auto"/>
        <w:left w:val="none" w:sz="0" w:space="0" w:color="auto"/>
        <w:bottom w:val="none" w:sz="0" w:space="0" w:color="auto"/>
        <w:right w:val="none" w:sz="0" w:space="0" w:color="auto"/>
      </w:divBdr>
    </w:div>
    <w:div w:id="1914657571">
      <w:bodyDiv w:val="1"/>
      <w:marLeft w:val="0"/>
      <w:marRight w:val="0"/>
      <w:marTop w:val="0"/>
      <w:marBottom w:val="0"/>
      <w:divBdr>
        <w:top w:val="none" w:sz="0" w:space="0" w:color="auto"/>
        <w:left w:val="none" w:sz="0" w:space="0" w:color="auto"/>
        <w:bottom w:val="none" w:sz="0" w:space="0" w:color="auto"/>
        <w:right w:val="none" w:sz="0" w:space="0" w:color="auto"/>
      </w:divBdr>
    </w:div>
    <w:div w:id="1915117385">
      <w:bodyDiv w:val="1"/>
      <w:marLeft w:val="0"/>
      <w:marRight w:val="0"/>
      <w:marTop w:val="0"/>
      <w:marBottom w:val="0"/>
      <w:divBdr>
        <w:top w:val="none" w:sz="0" w:space="0" w:color="auto"/>
        <w:left w:val="none" w:sz="0" w:space="0" w:color="auto"/>
        <w:bottom w:val="none" w:sz="0" w:space="0" w:color="auto"/>
        <w:right w:val="none" w:sz="0" w:space="0" w:color="auto"/>
      </w:divBdr>
    </w:div>
    <w:div w:id="1915623245">
      <w:bodyDiv w:val="1"/>
      <w:marLeft w:val="0"/>
      <w:marRight w:val="0"/>
      <w:marTop w:val="0"/>
      <w:marBottom w:val="0"/>
      <w:divBdr>
        <w:top w:val="none" w:sz="0" w:space="0" w:color="auto"/>
        <w:left w:val="none" w:sz="0" w:space="0" w:color="auto"/>
        <w:bottom w:val="none" w:sz="0" w:space="0" w:color="auto"/>
        <w:right w:val="none" w:sz="0" w:space="0" w:color="auto"/>
      </w:divBdr>
    </w:div>
    <w:div w:id="1916281225">
      <w:bodyDiv w:val="1"/>
      <w:marLeft w:val="0"/>
      <w:marRight w:val="0"/>
      <w:marTop w:val="0"/>
      <w:marBottom w:val="0"/>
      <w:divBdr>
        <w:top w:val="none" w:sz="0" w:space="0" w:color="auto"/>
        <w:left w:val="none" w:sz="0" w:space="0" w:color="auto"/>
        <w:bottom w:val="none" w:sz="0" w:space="0" w:color="auto"/>
        <w:right w:val="none" w:sz="0" w:space="0" w:color="auto"/>
      </w:divBdr>
    </w:div>
    <w:div w:id="1916931968">
      <w:bodyDiv w:val="1"/>
      <w:marLeft w:val="0"/>
      <w:marRight w:val="0"/>
      <w:marTop w:val="0"/>
      <w:marBottom w:val="0"/>
      <w:divBdr>
        <w:top w:val="none" w:sz="0" w:space="0" w:color="auto"/>
        <w:left w:val="none" w:sz="0" w:space="0" w:color="auto"/>
        <w:bottom w:val="none" w:sz="0" w:space="0" w:color="auto"/>
        <w:right w:val="none" w:sz="0" w:space="0" w:color="auto"/>
      </w:divBdr>
    </w:div>
    <w:div w:id="1917199732">
      <w:bodyDiv w:val="1"/>
      <w:marLeft w:val="0"/>
      <w:marRight w:val="0"/>
      <w:marTop w:val="0"/>
      <w:marBottom w:val="0"/>
      <w:divBdr>
        <w:top w:val="none" w:sz="0" w:space="0" w:color="auto"/>
        <w:left w:val="none" w:sz="0" w:space="0" w:color="auto"/>
        <w:bottom w:val="none" w:sz="0" w:space="0" w:color="auto"/>
        <w:right w:val="none" w:sz="0" w:space="0" w:color="auto"/>
      </w:divBdr>
    </w:div>
    <w:div w:id="1918438102">
      <w:bodyDiv w:val="1"/>
      <w:marLeft w:val="0"/>
      <w:marRight w:val="0"/>
      <w:marTop w:val="0"/>
      <w:marBottom w:val="0"/>
      <w:divBdr>
        <w:top w:val="none" w:sz="0" w:space="0" w:color="auto"/>
        <w:left w:val="none" w:sz="0" w:space="0" w:color="auto"/>
        <w:bottom w:val="none" w:sz="0" w:space="0" w:color="auto"/>
        <w:right w:val="none" w:sz="0" w:space="0" w:color="auto"/>
      </w:divBdr>
    </w:div>
    <w:div w:id="1918517994">
      <w:bodyDiv w:val="1"/>
      <w:marLeft w:val="0"/>
      <w:marRight w:val="0"/>
      <w:marTop w:val="0"/>
      <w:marBottom w:val="0"/>
      <w:divBdr>
        <w:top w:val="none" w:sz="0" w:space="0" w:color="auto"/>
        <w:left w:val="none" w:sz="0" w:space="0" w:color="auto"/>
        <w:bottom w:val="none" w:sz="0" w:space="0" w:color="auto"/>
        <w:right w:val="none" w:sz="0" w:space="0" w:color="auto"/>
      </w:divBdr>
    </w:div>
    <w:div w:id="1918903209">
      <w:bodyDiv w:val="1"/>
      <w:marLeft w:val="0"/>
      <w:marRight w:val="0"/>
      <w:marTop w:val="0"/>
      <w:marBottom w:val="0"/>
      <w:divBdr>
        <w:top w:val="none" w:sz="0" w:space="0" w:color="auto"/>
        <w:left w:val="none" w:sz="0" w:space="0" w:color="auto"/>
        <w:bottom w:val="none" w:sz="0" w:space="0" w:color="auto"/>
        <w:right w:val="none" w:sz="0" w:space="0" w:color="auto"/>
      </w:divBdr>
    </w:div>
    <w:div w:id="1920745721">
      <w:bodyDiv w:val="1"/>
      <w:marLeft w:val="0"/>
      <w:marRight w:val="0"/>
      <w:marTop w:val="0"/>
      <w:marBottom w:val="0"/>
      <w:divBdr>
        <w:top w:val="none" w:sz="0" w:space="0" w:color="auto"/>
        <w:left w:val="none" w:sz="0" w:space="0" w:color="auto"/>
        <w:bottom w:val="none" w:sz="0" w:space="0" w:color="auto"/>
        <w:right w:val="none" w:sz="0" w:space="0" w:color="auto"/>
      </w:divBdr>
    </w:div>
    <w:div w:id="1922596860">
      <w:bodyDiv w:val="1"/>
      <w:marLeft w:val="0"/>
      <w:marRight w:val="0"/>
      <w:marTop w:val="0"/>
      <w:marBottom w:val="0"/>
      <w:divBdr>
        <w:top w:val="none" w:sz="0" w:space="0" w:color="auto"/>
        <w:left w:val="none" w:sz="0" w:space="0" w:color="auto"/>
        <w:bottom w:val="none" w:sz="0" w:space="0" w:color="auto"/>
        <w:right w:val="none" w:sz="0" w:space="0" w:color="auto"/>
      </w:divBdr>
    </w:div>
    <w:div w:id="1923372950">
      <w:bodyDiv w:val="1"/>
      <w:marLeft w:val="0"/>
      <w:marRight w:val="0"/>
      <w:marTop w:val="0"/>
      <w:marBottom w:val="0"/>
      <w:divBdr>
        <w:top w:val="none" w:sz="0" w:space="0" w:color="auto"/>
        <w:left w:val="none" w:sz="0" w:space="0" w:color="auto"/>
        <w:bottom w:val="none" w:sz="0" w:space="0" w:color="auto"/>
        <w:right w:val="none" w:sz="0" w:space="0" w:color="auto"/>
      </w:divBdr>
    </w:div>
    <w:div w:id="1923374470">
      <w:bodyDiv w:val="1"/>
      <w:marLeft w:val="0"/>
      <w:marRight w:val="0"/>
      <w:marTop w:val="0"/>
      <w:marBottom w:val="0"/>
      <w:divBdr>
        <w:top w:val="none" w:sz="0" w:space="0" w:color="auto"/>
        <w:left w:val="none" w:sz="0" w:space="0" w:color="auto"/>
        <w:bottom w:val="none" w:sz="0" w:space="0" w:color="auto"/>
        <w:right w:val="none" w:sz="0" w:space="0" w:color="auto"/>
      </w:divBdr>
    </w:div>
    <w:div w:id="1923759338">
      <w:bodyDiv w:val="1"/>
      <w:marLeft w:val="0"/>
      <w:marRight w:val="0"/>
      <w:marTop w:val="0"/>
      <w:marBottom w:val="0"/>
      <w:divBdr>
        <w:top w:val="none" w:sz="0" w:space="0" w:color="auto"/>
        <w:left w:val="none" w:sz="0" w:space="0" w:color="auto"/>
        <w:bottom w:val="none" w:sz="0" w:space="0" w:color="auto"/>
        <w:right w:val="none" w:sz="0" w:space="0" w:color="auto"/>
      </w:divBdr>
    </w:div>
    <w:div w:id="1924338036">
      <w:bodyDiv w:val="1"/>
      <w:marLeft w:val="0"/>
      <w:marRight w:val="0"/>
      <w:marTop w:val="0"/>
      <w:marBottom w:val="0"/>
      <w:divBdr>
        <w:top w:val="none" w:sz="0" w:space="0" w:color="auto"/>
        <w:left w:val="none" w:sz="0" w:space="0" w:color="auto"/>
        <w:bottom w:val="none" w:sz="0" w:space="0" w:color="auto"/>
        <w:right w:val="none" w:sz="0" w:space="0" w:color="auto"/>
      </w:divBdr>
    </w:div>
    <w:div w:id="1925261790">
      <w:bodyDiv w:val="1"/>
      <w:marLeft w:val="0"/>
      <w:marRight w:val="0"/>
      <w:marTop w:val="0"/>
      <w:marBottom w:val="0"/>
      <w:divBdr>
        <w:top w:val="none" w:sz="0" w:space="0" w:color="auto"/>
        <w:left w:val="none" w:sz="0" w:space="0" w:color="auto"/>
        <w:bottom w:val="none" w:sz="0" w:space="0" w:color="auto"/>
        <w:right w:val="none" w:sz="0" w:space="0" w:color="auto"/>
      </w:divBdr>
    </w:div>
    <w:div w:id="1927153762">
      <w:bodyDiv w:val="1"/>
      <w:marLeft w:val="0"/>
      <w:marRight w:val="0"/>
      <w:marTop w:val="0"/>
      <w:marBottom w:val="0"/>
      <w:divBdr>
        <w:top w:val="none" w:sz="0" w:space="0" w:color="auto"/>
        <w:left w:val="none" w:sz="0" w:space="0" w:color="auto"/>
        <w:bottom w:val="none" w:sz="0" w:space="0" w:color="auto"/>
        <w:right w:val="none" w:sz="0" w:space="0" w:color="auto"/>
      </w:divBdr>
    </w:div>
    <w:div w:id="1928272071">
      <w:bodyDiv w:val="1"/>
      <w:marLeft w:val="0"/>
      <w:marRight w:val="0"/>
      <w:marTop w:val="0"/>
      <w:marBottom w:val="0"/>
      <w:divBdr>
        <w:top w:val="none" w:sz="0" w:space="0" w:color="auto"/>
        <w:left w:val="none" w:sz="0" w:space="0" w:color="auto"/>
        <w:bottom w:val="none" w:sz="0" w:space="0" w:color="auto"/>
        <w:right w:val="none" w:sz="0" w:space="0" w:color="auto"/>
      </w:divBdr>
    </w:div>
    <w:div w:id="1929271902">
      <w:bodyDiv w:val="1"/>
      <w:marLeft w:val="0"/>
      <w:marRight w:val="0"/>
      <w:marTop w:val="0"/>
      <w:marBottom w:val="0"/>
      <w:divBdr>
        <w:top w:val="none" w:sz="0" w:space="0" w:color="auto"/>
        <w:left w:val="none" w:sz="0" w:space="0" w:color="auto"/>
        <w:bottom w:val="none" w:sz="0" w:space="0" w:color="auto"/>
        <w:right w:val="none" w:sz="0" w:space="0" w:color="auto"/>
      </w:divBdr>
    </w:div>
    <w:div w:id="1930458988">
      <w:bodyDiv w:val="1"/>
      <w:marLeft w:val="0"/>
      <w:marRight w:val="0"/>
      <w:marTop w:val="0"/>
      <w:marBottom w:val="0"/>
      <w:divBdr>
        <w:top w:val="none" w:sz="0" w:space="0" w:color="auto"/>
        <w:left w:val="none" w:sz="0" w:space="0" w:color="auto"/>
        <w:bottom w:val="none" w:sz="0" w:space="0" w:color="auto"/>
        <w:right w:val="none" w:sz="0" w:space="0" w:color="auto"/>
      </w:divBdr>
    </w:div>
    <w:div w:id="1931426308">
      <w:bodyDiv w:val="1"/>
      <w:marLeft w:val="0"/>
      <w:marRight w:val="0"/>
      <w:marTop w:val="0"/>
      <w:marBottom w:val="0"/>
      <w:divBdr>
        <w:top w:val="none" w:sz="0" w:space="0" w:color="auto"/>
        <w:left w:val="none" w:sz="0" w:space="0" w:color="auto"/>
        <w:bottom w:val="none" w:sz="0" w:space="0" w:color="auto"/>
        <w:right w:val="none" w:sz="0" w:space="0" w:color="auto"/>
      </w:divBdr>
    </w:div>
    <w:div w:id="1931768881">
      <w:bodyDiv w:val="1"/>
      <w:marLeft w:val="0"/>
      <w:marRight w:val="0"/>
      <w:marTop w:val="0"/>
      <w:marBottom w:val="0"/>
      <w:divBdr>
        <w:top w:val="none" w:sz="0" w:space="0" w:color="auto"/>
        <w:left w:val="none" w:sz="0" w:space="0" w:color="auto"/>
        <w:bottom w:val="none" w:sz="0" w:space="0" w:color="auto"/>
        <w:right w:val="none" w:sz="0" w:space="0" w:color="auto"/>
      </w:divBdr>
    </w:div>
    <w:div w:id="1931960203">
      <w:bodyDiv w:val="1"/>
      <w:marLeft w:val="0"/>
      <w:marRight w:val="0"/>
      <w:marTop w:val="0"/>
      <w:marBottom w:val="0"/>
      <w:divBdr>
        <w:top w:val="none" w:sz="0" w:space="0" w:color="auto"/>
        <w:left w:val="none" w:sz="0" w:space="0" w:color="auto"/>
        <w:bottom w:val="none" w:sz="0" w:space="0" w:color="auto"/>
        <w:right w:val="none" w:sz="0" w:space="0" w:color="auto"/>
      </w:divBdr>
    </w:div>
    <w:div w:id="1932083873">
      <w:bodyDiv w:val="1"/>
      <w:marLeft w:val="0"/>
      <w:marRight w:val="0"/>
      <w:marTop w:val="0"/>
      <w:marBottom w:val="0"/>
      <w:divBdr>
        <w:top w:val="none" w:sz="0" w:space="0" w:color="auto"/>
        <w:left w:val="none" w:sz="0" w:space="0" w:color="auto"/>
        <w:bottom w:val="none" w:sz="0" w:space="0" w:color="auto"/>
        <w:right w:val="none" w:sz="0" w:space="0" w:color="auto"/>
      </w:divBdr>
    </w:div>
    <w:div w:id="1932202318">
      <w:bodyDiv w:val="1"/>
      <w:marLeft w:val="0"/>
      <w:marRight w:val="0"/>
      <w:marTop w:val="0"/>
      <w:marBottom w:val="0"/>
      <w:divBdr>
        <w:top w:val="none" w:sz="0" w:space="0" w:color="auto"/>
        <w:left w:val="none" w:sz="0" w:space="0" w:color="auto"/>
        <w:bottom w:val="none" w:sz="0" w:space="0" w:color="auto"/>
        <w:right w:val="none" w:sz="0" w:space="0" w:color="auto"/>
      </w:divBdr>
    </w:div>
    <w:div w:id="1932854231">
      <w:bodyDiv w:val="1"/>
      <w:marLeft w:val="0"/>
      <w:marRight w:val="0"/>
      <w:marTop w:val="0"/>
      <w:marBottom w:val="0"/>
      <w:divBdr>
        <w:top w:val="none" w:sz="0" w:space="0" w:color="auto"/>
        <w:left w:val="none" w:sz="0" w:space="0" w:color="auto"/>
        <w:bottom w:val="none" w:sz="0" w:space="0" w:color="auto"/>
        <w:right w:val="none" w:sz="0" w:space="0" w:color="auto"/>
      </w:divBdr>
    </w:div>
    <w:div w:id="1933200284">
      <w:bodyDiv w:val="1"/>
      <w:marLeft w:val="0"/>
      <w:marRight w:val="0"/>
      <w:marTop w:val="0"/>
      <w:marBottom w:val="0"/>
      <w:divBdr>
        <w:top w:val="none" w:sz="0" w:space="0" w:color="auto"/>
        <w:left w:val="none" w:sz="0" w:space="0" w:color="auto"/>
        <w:bottom w:val="none" w:sz="0" w:space="0" w:color="auto"/>
        <w:right w:val="none" w:sz="0" w:space="0" w:color="auto"/>
      </w:divBdr>
    </w:div>
    <w:div w:id="1933662854">
      <w:bodyDiv w:val="1"/>
      <w:marLeft w:val="0"/>
      <w:marRight w:val="0"/>
      <w:marTop w:val="0"/>
      <w:marBottom w:val="0"/>
      <w:divBdr>
        <w:top w:val="none" w:sz="0" w:space="0" w:color="auto"/>
        <w:left w:val="none" w:sz="0" w:space="0" w:color="auto"/>
        <w:bottom w:val="none" w:sz="0" w:space="0" w:color="auto"/>
        <w:right w:val="none" w:sz="0" w:space="0" w:color="auto"/>
      </w:divBdr>
    </w:div>
    <w:div w:id="1933852634">
      <w:bodyDiv w:val="1"/>
      <w:marLeft w:val="0"/>
      <w:marRight w:val="0"/>
      <w:marTop w:val="0"/>
      <w:marBottom w:val="0"/>
      <w:divBdr>
        <w:top w:val="none" w:sz="0" w:space="0" w:color="auto"/>
        <w:left w:val="none" w:sz="0" w:space="0" w:color="auto"/>
        <w:bottom w:val="none" w:sz="0" w:space="0" w:color="auto"/>
        <w:right w:val="none" w:sz="0" w:space="0" w:color="auto"/>
      </w:divBdr>
    </w:div>
    <w:div w:id="1934315855">
      <w:bodyDiv w:val="1"/>
      <w:marLeft w:val="0"/>
      <w:marRight w:val="0"/>
      <w:marTop w:val="0"/>
      <w:marBottom w:val="0"/>
      <w:divBdr>
        <w:top w:val="none" w:sz="0" w:space="0" w:color="auto"/>
        <w:left w:val="none" w:sz="0" w:space="0" w:color="auto"/>
        <w:bottom w:val="none" w:sz="0" w:space="0" w:color="auto"/>
        <w:right w:val="none" w:sz="0" w:space="0" w:color="auto"/>
      </w:divBdr>
    </w:div>
    <w:div w:id="1935162240">
      <w:bodyDiv w:val="1"/>
      <w:marLeft w:val="0"/>
      <w:marRight w:val="0"/>
      <w:marTop w:val="0"/>
      <w:marBottom w:val="0"/>
      <w:divBdr>
        <w:top w:val="none" w:sz="0" w:space="0" w:color="auto"/>
        <w:left w:val="none" w:sz="0" w:space="0" w:color="auto"/>
        <w:bottom w:val="none" w:sz="0" w:space="0" w:color="auto"/>
        <w:right w:val="none" w:sz="0" w:space="0" w:color="auto"/>
      </w:divBdr>
    </w:div>
    <w:div w:id="1935237058">
      <w:bodyDiv w:val="1"/>
      <w:marLeft w:val="0"/>
      <w:marRight w:val="0"/>
      <w:marTop w:val="0"/>
      <w:marBottom w:val="0"/>
      <w:divBdr>
        <w:top w:val="none" w:sz="0" w:space="0" w:color="auto"/>
        <w:left w:val="none" w:sz="0" w:space="0" w:color="auto"/>
        <w:bottom w:val="none" w:sz="0" w:space="0" w:color="auto"/>
        <w:right w:val="none" w:sz="0" w:space="0" w:color="auto"/>
      </w:divBdr>
    </w:div>
    <w:div w:id="1935362311">
      <w:bodyDiv w:val="1"/>
      <w:marLeft w:val="0"/>
      <w:marRight w:val="0"/>
      <w:marTop w:val="0"/>
      <w:marBottom w:val="0"/>
      <w:divBdr>
        <w:top w:val="none" w:sz="0" w:space="0" w:color="auto"/>
        <w:left w:val="none" w:sz="0" w:space="0" w:color="auto"/>
        <w:bottom w:val="none" w:sz="0" w:space="0" w:color="auto"/>
        <w:right w:val="none" w:sz="0" w:space="0" w:color="auto"/>
      </w:divBdr>
    </w:div>
    <w:div w:id="1935555001">
      <w:bodyDiv w:val="1"/>
      <w:marLeft w:val="0"/>
      <w:marRight w:val="0"/>
      <w:marTop w:val="0"/>
      <w:marBottom w:val="0"/>
      <w:divBdr>
        <w:top w:val="none" w:sz="0" w:space="0" w:color="auto"/>
        <w:left w:val="none" w:sz="0" w:space="0" w:color="auto"/>
        <w:bottom w:val="none" w:sz="0" w:space="0" w:color="auto"/>
        <w:right w:val="none" w:sz="0" w:space="0" w:color="auto"/>
      </w:divBdr>
    </w:div>
    <w:div w:id="1935699660">
      <w:bodyDiv w:val="1"/>
      <w:marLeft w:val="0"/>
      <w:marRight w:val="0"/>
      <w:marTop w:val="0"/>
      <w:marBottom w:val="0"/>
      <w:divBdr>
        <w:top w:val="none" w:sz="0" w:space="0" w:color="auto"/>
        <w:left w:val="none" w:sz="0" w:space="0" w:color="auto"/>
        <w:bottom w:val="none" w:sz="0" w:space="0" w:color="auto"/>
        <w:right w:val="none" w:sz="0" w:space="0" w:color="auto"/>
      </w:divBdr>
    </w:div>
    <w:div w:id="1936788683">
      <w:bodyDiv w:val="1"/>
      <w:marLeft w:val="0"/>
      <w:marRight w:val="0"/>
      <w:marTop w:val="0"/>
      <w:marBottom w:val="0"/>
      <w:divBdr>
        <w:top w:val="none" w:sz="0" w:space="0" w:color="auto"/>
        <w:left w:val="none" w:sz="0" w:space="0" w:color="auto"/>
        <w:bottom w:val="none" w:sz="0" w:space="0" w:color="auto"/>
        <w:right w:val="none" w:sz="0" w:space="0" w:color="auto"/>
      </w:divBdr>
    </w:div>
    <w:div w:id="1937594059">
      <w:bodyDiv w:val="1"/>
      <w:marLeft w:val="0"/>
      <w:marRight w:val="0"/>
      <w:marTop w:val="0"/>
      <w:marBottom w:val="0"/>
      <w:divBdr>
        <w:top w:val="none" w:sz="0" w:space="0" w:color="auto"/>
        <w:left w:val="none" w:sz="0" w:space="0" w:color="auto"/>
        <w:bottom w:val="none" w:sz="0" w:space="0" w:color="auto"/>
        <w:right w:val="none" w:sz="0" w:space="0" w:color="auto"/>
      </w:divBdr>
    </w:div>
    <w:div w:id="1938244818">
      <w:bodyDiv w:val="1"/>
      <w:marLeft w:val="0"/>
      <w:marRight w:val="0"/>
      <w:marTop w:val="0"/>
      <w:marBottom w:val="0"/>
      <w:divBdr>
        <w:top w:val="none" w:sz="0" w:space="0" w:color="auto"/>
        <w:left w:val="none" w:sz="0" w:space="0" w:color="auto"/>
        <w:bottom w:val="none" w:sz="0" w:space="0" w:color="auto"/>
        <w:right w:val="none" w:sz="0" w:space="0" w:color="auto"/>
      </w:divBdr>
    </w:div>
    <w:div w:id="1939488301">
      <w:bodyDiv w:val="1"/>
      <w:marLeft w:val="0"/>
      <w:marRight w:val="0"/>
      <w:marTop w:val="0"/>
      <w:marBottom w:val="0"/>
      <w:divBdr>
        <w:top w:val="none" w:sz="0" w:space="0" w:color="auto"/>
        <w:left w:val="none" w:sz="0" w:space="0" w:color="auto"/>
        <w:bottom w:val="none" w:sz="0" w:space="0" w:color="auto"/>
        <w:right w:val="none" w:sz="0" w:space="0" w:color="auto"/>
      </w:divBdr>
    </w:div>
    <w:div w:id="1939556885">
      <w:bodyDiv w:val="1"/>
      <w:marLeft w:val="0"/>
      <w:marRight w:val="0"/>
      <w:marTop w:val="0"/>
      <w:marBottom w:val="0"/>
      <w:divBdr>
        <w:top w:val="none" w:sz="0" w:space="0" w:color="auto"/>
        <w:left w:val="none" w:sz="0" w:space="0" w:color="auto"/>
        <w:bottom w:val="none" w:sz="0" w:space="0" w:color="auto"/>
        <w:right w:val="none" w:sz="0" w:space="0" w:color="auto"/>
      </w:divBdr>
    </w:div>
    <w:div w:id="1939561337">
      <w:bodyDiv w:val="1"/>
      <w:marLeft w:val="0"/>
      <w:marRight w:val="0"/>
      <w:marTop w:val="0"/>
      <w:marBottom w:val="0"/>
      <w:divBdr>
        <w:top w:val="none" w:sz="0" w:space="0" w:color="auto"/>
        <w:left w:val="none" w:sz="0" w:space="0" w:color="auto"/>
        <w:bottom w:val="none" w:sz="0" w:space="0" w:color="auto"/>
        <w:right w:val="none" w:sz="0" w:space="0" w:color="auto"/>
      </w:divBdr>
    </w:div>
    <w:div w:id="1940212847">
      <w:bodyDiv w:val="1"/>
      <w:marLeft w:val="0"/>
      <w:marRight w:val="0"/>
      <w:marTop w:val="0"/>
      <w:marBottom w:val="0"/>
      <w:divBdr>
        <w:top w:val="none" w:sz="0" w:space="0" w:color="auto"/>
        <w:left w:val="none" w:sz="0" w:space="0" w:color="auto"/>
        <w:bottom w:val="none" w:sz="0" w:space="0" w:color="auto"/>
        <w:right w:val="none" w:sz="0" w:space="0" w:color="auto"/>
      </w:divBdr>
    </w:div>
    <w:div w:id="1941446339">
      <w:bodyDiv w:val="1"/>
      <w:marLeft w:val="0"/>
      <w:marRight w:val="0"/>
      <w:marTop w:val="0"/>
      <w:marBottom w:val="0"/>
      <w:divBdr>
        <w:top w:val="none" w:sz="0" w:space="0" w:color="auto"/>
        <w:left w:val="none" w:sz="0" w:space="0" w:color="auto"/>
        <w:bottom w:val="none" w:sz="0" w:space="0" w:color="auto"/>
        <w:right w:val="none" w:sz="0" w:space="0" w:color="auto"/>
      </w:divBdr>
    </w:div>
    <w:div w:id="1942227033">
      <w:bodyDiv w:val="1"/>
      <w:marLeft w:val="0"/>
      <w:marRight w:val="0"/>
      <w:marTop w:val="0"/>
      <w:marBottom w:val="0"/>
      <w:divBdr>
        <w:top w:val="none" w:sz="0" w:space="0" w:color="auto"/>
        <w:left w:val="none" w:sz="0" w:space="0" w:color="auto"/>
        <w:bottom w:val="none" w:sz="0" w:space="0" w:color="auto"/>
        <w:right w:val="none" w:sz="0" w:space="0" w:color="auto"/>
      </w:divBdr>
    </w:div>
    <w:div w:id="1942294967">
      <w:bodyDiv w:val="1"/>
      <w:marLeft w:val="0"/>
      <w:marRight w:val="0"/>
      <w:marTop w:val="0"/>
      <w:marBottom w:val="0"/>
      <w:divBdr>
        <w:top w:val="none" w:sz="0" w:space="0" w:color="auto"/>
        <w:left w:val="none" w:sz="0" w:space="0" w:color="auto"/>
        <w:bottom w:val="none" w:sz="0" w:space="0" w:color="auto"/>
        <w:right w:val="none" w:sz="0" w:space="0" w:color="auto"/>
      </w:divBdr>
    </w:div>
    <w:div w:id="1942562999">
      <w:bodyDiv w:val="1"/>
      <w:marLeft w:val="0"/>
      <w:marRight w:val="0"/>
      <w:marTop w:val="0"/>
      <w:marBottom w:val="0"/>
      <w:divBdr>
        <w:top w:val="none" w:sz="0" w:space="0" w:color="auto"/>
        <w:left w:val="none" w:sz="0" w:space="0" w:color="auto"/>
        <w:bottom w:val="none" w:sz="0" w:space="0" w:color="auto"/>
        <w:right w:val="none" w:sz="0" w:space="0" w:color="auto"/>
      </w:divBdr>
    </w:div>
    <w:div w:id="1944216325">
      <w:bodyDiv w:val="1"/>
      <w:marLeft w:val="0"/>
      <w:marRight w:val="0"/>
      <w:marTop w:val="0"/>
      <w:marBottom w:val="0"/>
      <w:divBdr>
        <w:top w:val="none" w:sz="0" w:space="0" w:color="auto"/>
        <w:left w:val="none" w:sz="0" w:space="0" w:color="auto"/>
        <w:bottom w:val="none" w:sz="0" w:space="0" w:color="auto"/>
        <w:right w:val="none" w:sz="0" w:space="0" w:color="auto"/>
      </w:divBdr>
    </w:div>
    <w:div w:id="1944456804">
      <w:bodyDiv w:val="1"/>
      <w:marLeft w:val="0"/>
      <w:marRight w:val="0"/>
      <w:marTop w:val="0"/>
      <w:marBottom w:val="0"/>
      <w:divBdr>
        <w:top w:val="none" w:sz="0" w:space="0" w:color="auto"/>
        <w:left w:val="none" w:sz="0" w:space="0" w:color="auto"/>
        <w:bottom w:val="none" w:sz="0" w:space="0" w:color="auto"/>
        <w:right w:val="none" w:sz="0" w:space="0" w:color="auto"/>
      </w:divBdr>
    </w:div>
    <w:div w:id="1945963940">
      <w:bodyDiv w:val="1"/>
      <w:marLeft w:val="0"/>
      <w:marRight w:val="0"/>
      <w:marTop w:val="0"/>
      <w:marBottom w:val="0"/>
      <w:divBdr>
        <w:top w:val="none" w:sz="0" w:space="0" w:color="auto"/>
        <w:left w:val="none" w:sz="0" w:space="0" w:color="auto"/>
        <w:bottom w:val="none" w:sz="0" w:space="0" w:color="auto"/>
        <w:right w:val="none" w:sz="0" w:space="0" w:color="auto"/>
      </w:divBdr>
    </w:div>
    <w:div w:id="1946962078">
      <w:bodyDiv w:val="1"/>
      <w:marLeft w:val="0"/>
      <w:marRight w:val="0"/>
      <w:marTop w:val="0"/>
      <w:marBottom w:val="0"/>
      <w:divBdr>
        <w:top w:val="none" w:sz="0" w:space="0" w:color="auto"/>
        <w:left w:val="none" w:sz="0" w:space="0" w:color="auto"/>
        <w:bottom w:val="none" w:sz="0" w:space="0" w:color="auto"/>
        <w:right w:val="none" w:sz="0" w:space="0" w:color="auto"/>
      </w:divBdr>
    </w:div>
    <w:div w:id="1947230052">
      <w:bodyDiv w:val="1"/>
      <w:marLeft w:val="0"/>
      <w:marRight w:val="0"/>
      <w:marTop w:val="0"/>
      <w:marBottom w:val="0"/>
      <w:divBdr>
        <w:top w:val="none" w:sz="0" w:space="0" w:color="auto"/>
        <w:left w:val="none" w:sz="0" w:space="0" w:color="auto"/>
        <w:bottom w:val="none" w:sz="0" w:space="0" w:color="auto"/>
        <w:right w:val="none" w:sz="0" w:space="0" w:color="auto"/>
      </w:divBdr>
    </w:div>
    <w:div w:id="1948925273">
      <w:bodyDiv w:val="1"/>
      <w:marLeft w:val="0"/>
      <w:marRight w:val="0"/>
      <w:marTop w:val="0"/>
      <w:marBottom w:val="0"/>
      <w:divBdr>
        <w:top w:val="none" w:sz="0" w:space="0" w:color="auto"/>
        <w:left w:val="none" w:sz="0" w:space="0" w:color="auto"/>
        <w:bottom w:val="none" w:sz="0" w:space="0" w:color="auto"/>
        <w:right w:val="none" w:sz="0" w:space="0" w:color="auto"/>
      </w:divBdr>
    </w:div>
    <w:div w:id="1949195786">
      <w:bodyDiv w:val="1"/>
      <w:marLeft w:val="0"/>
      <w:marRight w:val="0"/>
      <w:marTop w:val="0"/>
      <w:marBottom w:val="0"/>
      <w:divBdr>
        <w:top w:val="none" w:sz="0" w:space="0" w:color="auto"/>
        <w:left w:val="none" w:sz="0" w:space="0" w:color="auto"/>
        <w:bottom w:val="none" w:sz="0" w:space="0" w:color="auto"/>
        <w:right w:val="none" w:sz="0" w:space="0" w:color="auto"/>
      </w:divBdr>
    </w:div>
    <w:div w:id="1950426029">
      <w:bodyDiv w:val="1"/>
      <w:marLeft w:val="0"/>
      <w:marRight w:val="0"/>
      <w:marTop w:val="0"/>
      <w:marBottom w:val="0"/>
      <w:divBdr>
        <w:top w:val="none" w:sz="0" w:space="0" w:color="auto"/>
        <w:left w:val="none" w:sz="0" w:space="0" w:color="auto"/>
        <w:bottom w:val="none" w:sz="0" w:space="0" w:color="auto"/>
        <w:right w:val="none" w:sz="0" w:space="0" w:color="auto"/>
      </w:divBdr>
    </w:div>
    <w:div w:id="1950550808">
      <w:bodyDiv w:val="1"/>
      <w:marLeft w:val="0"/>
      <w:marRight w:val="0"/>
      <w:marTop w:val="0"/>
      <w:marBottom w:val="0"/>
      <w:divBdr>
        <w:top w:val="none" w:sz="0" w:space="0" w:color="auto"/>
        <w:left w:val="none" w:sz="0" w:space="0" w:color="auto"/>
        <w:bottom w:val="none" w:sz="0" w:space="0" w:color="auto"/>
        <w:right w:val="none" w:sz="0" w:space="0" w:color="auto"/>
      </w:divBdr>
    </w:div>
    <w:div w:id="1951010134">
      <w:bodyDiv w:val="1"/>
      <w:marLeft w:val="0"/>
      <w:marRight w:val="0"/>
      <w:marTop w:val="0"/>
      <w:marBottom w:val="0"/>
      <w:divBdr>
        <w:top w:val="none" w:sz="0" w:space="0" w:color="auto"/>
        <w:left w:val="none" w:sz="0" w:space="0" w:color="auto"/>
        <w:bottom w:val="none" w:sz="0" w:space="0" w:color="auto"/>
        <w:right w:val="none" w:sz="0" w:space="0" w:color="auto"/>
      </w:divBdr>
    </w:div>
    <w:div w:id="1951232204">
      <w:bodyDiv w:val="1"/>
      <w:marLeft w:val="0"/>
      <w:marRight w:val="0"/>
      <w:marTop w:val="0"/>
      <w:marBottom w:val="0"/>
      <w:divBdr>
        <w:top w:val="none" w:sz="0" w:space="0" w:color="auto"/>
        <w:left w:val="none" w:sz="0" w:space="0" w:color="auto"/>
        <w:bottom w:val="none" w:sz="0" w:space="0" w:color="auto"/>
        <w:right w:val="none" w:sz="0" w:space="0" w:color="auto"/>
      </w:divBdr>
    </w:div>
    <w:div w:id="1951862570">
      <w:bodyDiv w:val="1"/>
      <w:marLeft w:val="0"/>
      <w:marRight w:val="0"/>
      <w:marTop w:val="0"/>
      <w:marBottom w:val="0"/>
      <w:divBdr>
        <w:top w:val="none" w:sz="0" w:space="0" w:color="auto"/>
        <w:left w:val="none" w:sz="0" w:space="0" w:color="auto"/>
        <w:bottom w:val="none" w:sz="0" w:space="0" w:color="auto"/>
        <w:right w:val="none" w:sz="0" w:space="0" w:color="auto"/>
      </w:divBdr>
    </w:div>
    <w:div w:id="1952660970">
      <w:bodyDiv w:val="1"/>
      <w:marLeft w:val="0"/>
      <w:marRight w:val="0"/>
      <w:marTop w:val="0"/>
      <w:marBottom w:val="0"/>
      <w:divBdr>
        <w:top w:val="none" w:sz="0" w:space="0" w:color="auto"/>
        <w:left w:val="none" w:sz="0" w:space="0" w:color="auto"/>
        <w:bottom w:val="none" w:sz="0" w:space="0" w:color="auto"/>
        <w:right w:val="none" w:sz="0" w:space="0" w:color="auto"/>
      </w:divBdr>
    </w:div>
    <w:div w:id="1952932061">
      <w:bodyDiv w:val="1"/>
      <w:marLeft w:val="0"/>
      <w:marRight w:val="0"/>
      <w:marTop w:val="0"/>
      <w:marBottom w:val="0"/>
      <w:divBdr>
        <w:top w:val="none" w:sz="0" w:space="0" w:color="auto"/>
        <w:left w:val="none" w:sz="0" w:space="0" w:color="auto"/>
        <w:bottom w:val="none" w:sz="0" w:space="0" w:color="auto"/>
        <w:right w:val="none" w:sz="0" w:space="0" w:color="auto"/>
      </w:divBdr>
    </w:div>
    <w:div w:id="1953315674">
      <w:bodyDiv w:val="1"/>
      <w:marLeft w:val="0"/>
      <w:marRight w:val="0"/>
      <w:marTop w:val="0"/>
      <w:marBottom w:val="0"/>
      <w:divBdr>
        <w:top w:val="none" w:sz="0" w:space="0" w:color="auto"/>
        <w:left w:val="none" w:sz="0" w:space="0" w:color="auto"/>
        <w:bottom w:val="none" w:sz="0" w:space="0" w:color="auto"/>
        <w:right w:val="none" w:sz="0" w:space="0" w:color="auto"/>
      </w:divBdr>
    </w:div>
    <w:div w:id="1953511195">
      <w:bodyDiv w:val="1"/>
      <w:marLeft w:val="0"/>
      <w:marRight w:val="0"/>
      <w:marTop w:val="0"/>
      <w:marBottom w:val="0"/>
      <w:divBdr>
        <w:top w:val="none" w:sz="0" w:space="0" w:color="auto"/>
        <w:left w:val="none" w:sz="0" w:space="0" w:color="auto"/>
        <w:bottom w:val="none" w:sz="0" w:space="0" w:color="auto"/>
        <w:right w:val="none" w:sz="0" w:space="0" w:color="auto"/>
      </w:divBdr>
    </w:div>
    <w:div w:id="1953779214">
      <w:bodyDiv w:val="1"/>
      <w:marLeft w:val="0"/>
      <w:marRight w:val="0"/>
      <w:marTop w:val="0"/>
      <w:marBottom w:val="0"/>
      <w:divBdr>
        <w:top w:val="none" w:sz="0" w:space="0" w:color="auto"/>
        <w:left w:val="none" w:sz="0" w:space="0" w:color="auto"/>
        <w:bottom w:val="none" w:sz="0" w:space="0" w:color="auto"/>
        <w:right w:val="none" w:sz="0" w:space="0" w:color="auto"/>
      </w:divBdr>
    </w:div>
    <w:div w:id="1954287989">
      <w:bodyDiv w:val="1"/>
      <w:marLeft w:val="0"/>
      <w:marRight w:val="0"/>
      <w:marTop w:val="0"/>
      <w:marBottom w:val="0"/>
      <w:divBdr>
        <w:top w:val="none" w:sz="0" w:space="0" w:color="auto"/>
        <w:left w:val="none" w:sz="0" w:space="0" w:color="auto"/>
        <w:bottom w:val="none" w:sz="0" w:space="0" w:color="auto"/>
        <w:right w:val="none" w:sz="0" w:space="0" w:color="auto"/>
      </w:divBdr>
    </w:div>
    <w:div w:id="1954507470">
      <w:bodyDiv w:val="1"/>
      <w:marLeft w:val="0"/>
      <w:marRight w:val="0"/>
      <w:marTop w:val="0"/>
      <w:marBottom w:val="0"/>
      <w:divBdr>
        <w:top w:val="none" w:sz="0" w:space="0" w:color="auto"/>
        <w:left w:val="none" w:sz="0" w:space="0" w:color="auto"/>
        <w:bottom w:val="none" w:sz="0" w:space="0" w:color="auto"/>
        <w:right w:val="none" w:sz="0" w:space="0" w:color="auto"/>
      </w:divBdr>
    </w:div>
    <w:div w:id="1955406615">
      <w:bodyDiv w:val="1"/>
      <w:marLeft w:val="0"/>
      <w:marRight w:val="0"/>
      <w:marTop w:val="0"/>
      <w:marBottom w:val="0"/>
      <w:divBdr>
        <w:top w:val="none" w:sz="0" w:space="0" w:color="auto"/>
        <w:left w:val="none" w:sz="0" w:space="0" w:color="auto"/>
        <w:bottom w:val="none" w:sz="0" w:space="0" w:color="auto"/>
        <w:right w:val="none" w:sz="0" w:space="0" w:color="auto"/>
      </w:divBdr>
    </w:div>
    <w:div w:id="1955751370">
      <w:bodyDiv w:val="1"/>
      <w:marLeft w:val="0"/>
      <w:marRight w:val="0"/>
      <w:marTop w:val="0"/>
      <w:marBottom w:val="0"/>
      <w:divBdr>
        <w:top w:val="none" w:sz="0" w:space="0" w:color="auto"/>
        <w:left w:val="none" w:sz="0" w:space="0" w:color="auto"/>
        <w:bottom w:val="none" w:sz="0" w:space="0" w:color="auto"/>
        <w:right w:val="none" w:sz="0" w:space="0" w:color="auto"/>
      </w:divBdr>
    </w:div>
    <w:div w:id="1955791966">
      <w:bodyDiv w:val="1"/>
      <w:marLeft w:val="0"/>
      <w:marRight w:val="0"/>
      <w:marTop w:val="0"/>
      <w:marBottom w:val="0"/>
      <w:divBdr>
        <w:top w:val="none" w:sz="0" w:space="0" w:color="auto"/>
        <w:left w:val="none" w:sz="0" w:space="0" w:color="auto"/>
        <w:bottom w:val="none" w:sz="0" w:space="0" w:color="auto"/>
        <w:right w:val="none" w:sz="0" w:space="0" w:color="auto"/>
      </w:divBdr>
    </w:div>
    <w:div w:id="1956136668">
      <w:bodyDiv w:val="1"/>
      <w:marLeft w:val="0"/>
      <w:marRight w:val="0"/>
      <w:marTop w:val="0"/>
      <w:marBottom w:val="0"/>
      <w:divBdr>
        <w:top w:val="none" w:sz="0" w:space="0" w:color="auto"/>
        <w:left w:val="none" w:sz="0" w:space="0" w:color="auto"/>
        <w:bottom w:val="none" w:sz="0" w:space="0" w:color="auto"/>
        <w:right w:val="none" w:sz="0" w:space="0" w:color="auto"/>
      </w:divBdr>
    </w:div>
    <w:div w:id="1956253591">
      <w:bodyDiv w:val="1"/>
      <w:marLeft w:val="0"/>
      <w:marRight w:val="0"/>
      <w:marTop w:val="0"/>
      <w:marBottom w:val="0"/>
      <w:divBdr>
        <w:top w:val="none" w:sz="0" w:space="0" w:color="auto"/>
        <w:left w:val="none" w:sz="0" w:space="0" w:color="auto"/>
        <w:bottom w:val="none" w:sz="0" w:space="0" w:color="auto"/>
        <w:right w:val="none" w:sz="0" w:space="0" w:color="auto"/>
      </w:divBdr>
    </w:div>
    <w:div w:id="1957565913">
      <w:bodyDiv w:val="1"/>
      <w:marLeft w:val="0"/>
      <w:marRight w:val="0"/>
      <w:marTop w:val="0"/>
      <w:marBottom w:val="0"/>
      <w:divBdr>
        <w:top w:val="none" w:sz="0" w:space="0" w:color="auto"/>
        <w:left w:val="none" w:sz="0" w:space="0" w:color="auto"/>
        <w:bottom w:val="none" w:sz="0" w:space="0" w:color="auto"/>
        <w:right w:val="none" w:sz="0" w:space="0" w:color="auto"/>
      </w:divBdr>
    </w:div>
    <w:div w:id="1958101813">
      <w:bodyDiv w:val="1"/>
      <w:marLeft w:val="0"/>
      <w:marRight w:val="0"/>
      <w:marTop w:val="0"/>
      <w:marBottom w:val="0"/>
      <w:divBdr>
        <w:top w:val="none" w:sz="0" w:space="0" w:color="auto"/>
        <w:left w:val="none" w:sz="0" w:space="0" w:color="auto"/>
        <w:bottom w:val="none" w:sz="0" w:space="0" w:color="auto"/>
        <w:right w:val="none" w:sz="0" w:space="0" w:color="auto"/>
      </w:divBdr>
    </w:div>
    <w:div w:id="1960262466">
      <w:bodyDiv w:val="1"/>
      <w:marLeft w:val="0"/>
      <w:marRight w:val="0"/>
      <w:marTop w:val="0"/>
      <w:marBottom w:val="0"/>
      <w:divBdr>
        <w:top w:val="none" w:sz="0" w:space="0" w:color="auto"/>
        <w:left w:val="none" w:sz="0" w:space="0" w:color="auto"/>
        <w:bottom w:val="none" w:sz="0" w:space="0" w:color="auto"/>
        <w:right w:val="none" w:sz="0" w:space="0" w:color="auto"/>
      </w:divBdr>
    </w:div>
    <w:div w:id="1960796650">
      <w:bodyDiv w:val="1"/>
      <w:marLeft w:val="0"/>
      <w:marRight w:val="0"/>
      <w:marTop w:val="0"/>
      <w:marBottom w:val="0"/>
      <w:divBdr>
        <w:top w:val="none" w:sz="0" w:space="0" w:color="auto"/>
        <w:left w:val="none" w:sz="0" w:space="0" w:color="auto"/>
        <w:bottom w:val="none" w:sz="0" w:space="0" w:color="auto"/>
        <w:right w:val="none" w:sz="0" w:space="0" w:color="auto"/>
      </w:divBdr>
    </w:div>
    <w:div w:id="1961838038">
      <w:bodyDiv w:val="1"/>
      <w:marLeft w:val="0"/>
      <w:marRight w:val="0"/>
      <w:marTop w:val="0"/>
      <w:marBottom w:val="0"/>
      <w:divBdr>
        <w:top w:val="none" w:sz="0" w:space="0" w:color="auto"/>
        <w:left w:val="none" w:sz="0" w:space="0" w:color="auto"/>
        <w:bottom w:val="none" w:sz="0" w:space="0" w:color="auto"/>
        <w:right w:val="none" w:sz="0" w:space="0" w:color="auto"/>
      </w:divBdr>
    </w:div>
    <w:div w:id="1963610617">
      <w:bodyDiv w:val="1"/>
      <w:marLeft w:val="0"/>
      <w:marRight w:val="0"/>
      <w:marTop w:val="0"/>
      <w:marBottom w:val="0"/>
      <w:divBdr>
        <w:top w:val="none" w:sz="0" w:space="0" w:color="auto"/>
        <w:left w:val="none" w:sz="0" w:space="0" w:color="auto"/>
        <w:bottom w:val="none" w:sz="0" w:space="0" w:color="auto"/>
        <w:right w:val="none" w:sz="0" w:space="0" w:color="auto"/>
      </w:divBdr>
    </w:div>
    <w:div w:id="1968315470">
      <w:bodyDiv w:val="1"/>
      <w:marLeft w:val="0"/>
      <w:marRight w:val="0"/>
      <w:marTop w:val="0"/>
      <w:marBottom w:val="0"/>
      <w:divBdr>
        <w:top w:val="none" w:sz="0" w:space="0" w:color="auto"/>
        <w:left w:val="none" w:sz="0" w:space="0" w:color="auto"/>
        <w:bottom w:val="none" w:sz="0" w:space="0" w:color="auto"/>
        <w:right w:val="none" w:sz="0" w:space="0" w:color="auto"/>
      </w:divBdr>
    </w:div>
    <w:div w:id="1968702103">
      <w:bodyDiv w:val="1"/>
      <w:marLeft w:val="0"/>
      <w:marRight w:val="0"/>
      <w:marTop w:val="0"/>
      <w:marBottom w:val="0"/>
      <w:divBdr>
        <w:top w:val="none" w:sz="0" w:space="0" w:color="auto"/>
        <w:left w:val="none" w:sz="0" w:space="0" w:color="auto"/>
        <w:bottom w:val="none" w:sz="0" w:space="0" w:color="auto"/>
        <w:right w:val="none" w:sz="0" w:space="0" w:color="auto"/>
      </w:divBdr>
    </w:div>
    <w:div w:id="1969626723">
      <w:bodyDiv w:val="1"/>
      <w:marLeft w:val="0"/>
      <w:marRight w:val="0"/>
      <w:marTop w:val="0"/>
      <w:marBottom w:val="0"/>
      <w:divBdr>
        <w:top w:val="none" w:sz="0" w:space="0" w:color="auto"/>
        <w:left w:val="none" w:sz="0" w:space="0" w:color="auto"/>
        <w:bottom w:val="none" w:sz="0" w:space="0" w:color="auto"/>
        <w:right w:val="none" w:sz="0" w:space="0" w:color="auto"/>
      </w:divBdr>
    </w:div>
    <w:div w:id="1969971996">
      <w:bodyDiv w:val="1"/>
      <w:marLeft w:val="0"/>
      <w:marRight w:val="0"/>
      <w:marTop w:val="0"/>
      <w:marBottom w:val="0"/>
      <w:divBdr>
        <w:top w:val="none" w:sz="0" w:space="0" w:color="auto"/>
        <w:left w:val="none" w:sz="0" w:space="0" w:color="auto"/>
        <w:bottom w:val="none" w:sz="0" w:space="0" w:color="auto"/>
        <w:right w:val="none" w:sz="0" w:space="0" w:color="auto"/>
      </w:divBdr>
    </w:div>
    <w:div w:id="1970471481">
      <w:bodyDiv w:val="1"/>
      <w:marLeft w:val="0"/>
      <w:marRight w:val="0"/>
      <w:marTop w:val="0"/>
      <w:marBottom w:val="0"/>
      <w:divBdr>
        <w:top w:val="none" w:sz="0" w:space="0" w:color="auto"/>
        <w:left w:val="none" w:sz="0" w:space="0" w:color="auto"/>
        <w:bottom w:val="none" w:sz="0" w:space="0" w:color="auto"/>
        <w:right w:val="none" w:sz="0" w:space="0" w:color="auto"/>
      </w:divBdr>
    </w:div>
    <w:div w:id="1970822060">
      <w:bodyDiv w:val="1"/>
      <w:marLeft w:val="0"/>
      <w:marRight w:val="0"/>
      <w:marTop w:val="0"/>
      <w:marBottom w:val="0"/>
      <w:divBdr>
        <w:top w:val="none" w:sz="0" w:space="0" w:color="auto"/>
        <w:left w:val="none" w:sz="0" w:space="0" w:color="auto"/>
        <w:bottom w:val="none" w:sz="0" w:space="0" w:color="auto"/>
        <w:right w:val="none" w:sz="0" w:space="0" w:color="auto"/>
      </w:divBdr>
    </w:div>
    <w:div w:id="1971663339">
      <w:bodyDiv w:val="1"/>
      <w:marLeft w:val="0"/>
      <w:marRight w:val="0"/>
      <w:marTop w:val="0"/>
      <w:marBottom w:val="0"/>
      <w:divBdr>
        <w:top w:val="none" w:sz="0" w:space="0" w:color="auto"/>
        <w:left w:val="none" w:sz="0" w:space="0" w:color="auto"/>
        <w:bottom w:val="none" w:sz="0" w:space="0" w:color="auto"/>
        <w:right w:val="none" w:sz="0" w:space="0" w:color="auto"/>
      </w:divBdr>
    </w:div>
    <w:div w:id="1972860021">
      <w:bodyDiv w:val="1"/>
      <w:marLeft w:val="0"/>
      <w:marRight w:val="0"/>
      <w:marTop w:val="0"/>
      <w:marBottom w:val="0"/>
      <w:divBdr>
        <w:top w:val="none" w:sz="0" w:space="0" w:color="auto"/>
        <w:left w:val="none" w:sz="0" w:space="0" w:color="auto"/>
        <w:bottom w:val="none" w:sz="0" w:space="0" w:color="auto"/>
        <w:right w:val="none" w:sz="0" w:space="0" w:color="auto"/>
      </w:divBdr>
    </w:div>
    <w:div w:id="1974092832">
      <w:bodyDiv w:val="1"/>
      <w:marLeft w:val="0"/>
      <w:marRight w:val="0"/>
      <w:marTop w:val="0"/>
      <w:marBottom w:val="0"/>
      <w:divBdr>
        <w:top w:val="none" w:sz="0" w:space="0" w:color="auto"/>
        <w:left w:val="none" w:sz="0" w:space="0" w:color="auto"/>
        <w:bottom w:val="none" w:sz="0" w:space="0" w:color="auto"/>
        <w:right w:val="none" w:sz="0" w:space="0" w:color="auto"/>
      </w:divBdr>
    </w:div>
    <w:div w:id="1974872802">
      <w:bodyDiv w:val="1"/>
      <w:marLeft w:val="0"/>
      <w:marRight w:val="0"/>
      <w:marTop w:val="0"/>
      <w:marBottom w:val="0"/>
      <w:divBdr>
        <w:top w:val="none" w:sz="0" w:space="0" w:color="auto"/>
        <w:left w:val="none" w:sz="0" w:space="0" w:color="auto"/>
        <w:bottom w:val="none" w:sz="0" w:space="0" w:color="auto"/>
        <w:right w:val="none" w:sz="0" w:space="0" w:color="auto"/>
      </w:divBdr>
    </w:div>
    <w:div w:id="1974944476">
      <w:bodyDiv w:val="1"/>
      <w:marLeft w:val="0"/>
      <w:marRight w:val="0"/>
      <w:marTop w:val="0"/>
      <w:marBottom w:val="0"/>
      <w:divBdr>
        <w:top w:val="none" w:sz="0" w:space="0" w:color="auto"/>
        <w:left w:val="none" w:sz="0" w:space="0" w:color="auto"/>
        <w:bottom w:val="none" w:sz="0" w:space="0" w:color="auto"/>
        <w:right w:val="none" w:sz="0" w:space="0" w:color="auto"/>
      </w:divBdr>
    </w:div>
    <w:div w:id="1975213895">
      <w:bodyDiv w:val="1"/>
      <w:marLeft w:val="0"/>
      <w:marRight w:val="0"/>
      <w:marTop w:val="0"/>
      <w:marBottom w:val="0"/>
      <w:divBdr>
        <w:top w:val="none" w:sz="0" w:space="0" w:color="auto"/>
        <w:left w:val="none" w:sz="0" w:space="0" w:color="auto"/>
        <w:bottom w:val="none" w:sz="0" w:space="0" w:color="auto"/>
        <w:right w:val="none" w:sz="0" w:space="0" w:color="auto"/>
      </w:divBdr>
    </w:div>
    <w:div w:id="1977758386">
      <w:bodyDiv w:val="1"/>
      <w:marLeft w:val="0"/>
      <w:marRight w:val="0"/>
      <w:marTop w:val="0"/>
      <w:marBottom w:val="0"/>
      <w:divBdr>
        <w:top w:val="none" w:sz="0" w:space="0" w:color="auto"/>
        <w:left w:val="none" w:sz="0" w:space="0" w:color="auto"/>
        <w:bottom w:val="none" w:sz="0" w:space="0" w:color="auto"/>
        <w:right w:val="none" w:sz="0" w:space="0" w:color="auto"/>
      </w:divBdr>
    </w:div>
    <w:div w:id="1979727493">
      <w:bodyDiv w:val="1"/>
      <w:marLeft w:val="0"/>
      <w:marRight w:val="0"/>
      <w:marTop w:val="0"/>
      <w:marBottom w:val="0"/>
      <w:divBdr>
        <w:top w:val="none" w:sz="0" w:space="0" w:color="auto"/>
        <w:left w:val="none" w:sz="0" w:space="0" w:color="auto"/>
        <w:bottom w:val="none" w:sz="0" w:space="0" w:color="auto"/>
        <w:right w:val="none" w:sz="0" w:space="0" w:color="auto"/>
      </w:divBdr>
    </w:div>
    <w:div w:id="1979796470">
      <w:bodyDiv w:val="1"/>
      <w:marLeft w:val="0"/>
      <w:marRight w:val="0"/>
      <w:marTop w:val="0"/>
      <w:marBottom w:val="0"/>
      <w:divBdr>
        <w:top w:val="none" w:sz="0" w:space="0" w:color="auto"/>
        <w:left w:val="none" w:sz="0" w:space="0" w:color="auto"/>
        <w:bottom w:val="none" w:sz="0" w:space="0" w:color="auto"/>
        <w:right w:val="none" w:sz="0" w:space="0" w:color="auto"/>
      </w:divBdr>
    </w:div>
    <w:div w:id="1979842643">
      <w:bodyDiv w:val="1"/>
      <w:marLeft w:val="0"/>
      <w:marRight w:val="0"/>
      <w:marTop w:val="0"/>
      <w:marBottom w:val="0"/>
      <w:divBdr>
        <w:top w:val="none" w:sz="0" w:space="0" w:color="auto"/>
        <w:left w:val="none" w:sz="0" w:space="0" w:color="auto"/>
        <w:bottom w:val="none" w:sz="0" w:space="0" w:color="auto"/>
        <w:right w:val="none" w:sz="0" w:space="0" w:color="auto"/>
      </w:divBdr>
    </w:div>
    <w:div w:id="1980726854">
      <w:bodyDiv w:val="1"/>
      <w:marLeft w:val="0"/>
      <w:marRight w:val="0"/>
      <w:marTop w:val="0"/>
      <w:marBottom w:val="0"/>
      <w:divBdr>
        <w:top w:val="none" w:sz="0" w:space="0" w:color="auto"/>
        <w:left w:val="none" w:sz="0" w:space="0" w:color="auto"/>
        <w:bottom w:val="none" w:sz="0" w:space="0" w:color="auto"/>
        <w:right w:val="none" w:sz="0" w:space="0" w:color="auto"/>
      </w:divBdr>
    </w:div>
    <w:div w:id="1983196614">
      <w:bodyDiv w:val="1"/>
      <w:marLeft w:val="0"/>
      <w:marRight w:val="0"/>
      <w:marTop w:val="0"/>
      <w:marBottom w:val="0"/>
      <w:divBdr>
        <w:top w:val="none" w:sz="0" w:space="0" w:color="auto"/>
        <w:left w:val="none" w:sz="0" w:space="0" w:color="auto"/>
        <w:bottom w:val="none" w:sz="0" w:space="0" w:color="auto"/>
        <w:right w:val="none" w:sz="0" w:space="0" w:color="auto"/>
      </w:divBdr>
    </w:div>
    <w:div w:id="1983536683">
      <w:bodyDiv w:val="1"/>
      <w:marLeft w:val="0"/>
      <w:marRight w:val="0"/>
      <w:marTop w:val="0"/>
      <w:marBottom w:val="0"/>
      <w:divBdr>
        <w:top w:val="none" w:sz="0" w:space="0" w:color="auto"/>
        <w:left w:val="none" w:sz="0" w:space="0" w:color="auto"/>
        <w:bottom w:val="none" w:sz="0" w:space="0" w:color="auto"/>
        <w:right w:val="none" w:sz="0" w:space="0" w:color="auto"/>
      </w:divBdr>
    </w:div>
    <w:div w:id="1983609796">
      <w:bodyDiv w:val="1"/>
      <w:marLeft w:val="0"/>
      <w:marRight w:val="0"/>
      <w:marTop w:val="0"/>
      <w:marBottom w:val="0"/>
      <w:divBdr>
        <w:top w:val="none" w:sz="0" w:space="0" w:color="auto"/>
        <w:left w:val="none" w:sz="0" w:space="0" w:color="auto"/>
        <w:bottom w:val="none" w:sz="0" w:space="0" w:color="auto"/>
        <w:right w:val="none" w:sz="0" w:space="0" w:color="auto"/>
      </w:divBdr>
    </w:div>
    <w:div w:id="1984652283">
      <w:bodyDiv w:val="1"/>
      <w:marLeft w:val="0"/>
      <w:marRight w:val="0"/>
      <w:marTop w:val="0"/>
      <w:marBottom w:val="0"/>
      <w:divBdr>
        <w:top w:val="none" w:sz="0" w:space="0" w:color="auto"/>
        <w:left w:val="none" w:sz="0" w:space="0" w:color="auto"/>
        <w:bottom w:val="none" w:sz="0" w:space="0" w:color="auto"/>
        <w:right w:val="none" w:sz="0" w:space="0" w:color="auto"/>
      </w:divBdr>
    </w:div>
    <w:div w:id="1984894029">
      <w:bodyDiv w:val="1"/>
      <w:marLeft w:val="0"/>
      <w:marRight w:val="0"/>
      <w:marTop w:val="0"/>
      <w:marBottom w:val="0"/>
      <w:divBdr>
        <w:top w:val="none" w:sz="0" w:space="0" w:color="auto"/>
        <w:left w:val="none" w:sz="0" w:space="0" w:color="auto"/>
        <w:bottom w:val="none" w:sz="0" w:space="0" w:color="auto"/>
        <w:right w:val="none" w:sz="0" w:space="0" w:color="auto"/>
      </w:divBdr>
    </w:div>
    <w:div w:id="1985044570">
      <w:bodyDiv w:val="1"/>
      <w:marLeft w:val="0"/>
      <w:marRight w:val="0"/>
      <w:marTop w:val="0"/>
      <w:marBottom w:val="0"/>
      <w:divBdr>
        <w:top w:val="none" w:sz="0" w:space="0" w:color="auto"/>
        <w:left w:val="none" w:sz="0" w:space="0" w:color="auto"/>
        <w:bottom w:val="none" w:sz="0" w:space="0" w:color="auto"/>
        <w:right w:val="none" w:sz="0" w:space="0" w:color="auto"/>
      </w:divBdr>
    </w:div>
    <w:div w:id="1985699712">
      <w:bodyDiv w:val="1"/>
      <w:marLeft w:val="0"/>
      <w:marRight w:val="0"/>
      <w:marTop w:val="0"/>
      <w:marBottom w:val="0"/>
      <w:divBdr>
        <w:top w:val="none" w:sz="0" w:space="0" w:color="auto"/>
        <w:left w:val="none" w:sz="0" w:space="0" w:color="auto"/>
        <w:bottom w:val="none" w:sz="0" w:space="0" w:color="auto"/>
        <w:right w:val="none" w:sz="0" w:space="0" w:color="auto"/>
      </w:divBdr>
    </w:div>
    <w:div w:id="1986280351">
      <w:bodyDiv w:val="1"/>
      <w:marLeft w:val="0"/>
      <w:marRight w:val="0"/>
      <w:marTop w:val="0"/>
      <w:marBottom w:val="0"/>
      <w:divBdr>
        <w:top w:val="none" w:sz="0" w:space="0" w:color="auto"/>
        <w:left w:val="none" w:sz="0" w:space="0" w:color="auto"/>
        <w:bottom w:val="none" w:sz="0" w:space="0" w:color="auto"/>
        <w:right w:val="none" w:sz="0" w:space="0" w:color="auto"/>
      </w:divBdr>
    </w:div>
    <w:div w:id="1986468983">
      <w:bodyDiv w:val="1"/>
      <w:marLeft w:val="0"/>
      <w:marRight w:val="0"/>
      <w:marTop w:val="0"/>
      <w:marBottom w:val="0"/>
      <w:divBdr>
        <w:top w:val="none" w:sz="0" w:space="0" w:color="auto"/>
        <w:left w:val="none" w:sz="0" w:space="0" w:color="auto"/>
        <w:bottom w:val="none" w:sz="0" w:space="0" w:color="auto"/>
        <w:right w:val="none" w:sz="0" w:space="0" w:color="auto"/>
      </w:divBdr>
    </w:div>
    <w:div w:id="1987052350">
      <w:bodyDiv w:val="1"/>
      <w:marLeft w:val="0"/>
      <w:marRight w:val="0"/>
      <w:marTop w:val="0"/>
      <w:marBottom w:val="0"/>
      <w:divBdr>
        <w:top w:val="none" w:sz="0" w:space="0" w:color="auto"/>
        <w:left w:val="none" w:sz="0" w:space="0" w:color="auto"/>
        <w:bottom w:val="none" w:sz="0" w:space="0" w:color="auto"/>
        <w:right w:val="none" w:sz="0" w:space="0" w:color="auto"/>
      </w:divBdr>
    </w:div>
    <w:div w:id="1987124330">
      <w:bodyDiv w:val="1"/>
      <w:marLeft w:val="0"/>
      <w:marRight w:val="0"/>
      <w:marTop w:val="0"/>
      <w:marBottom w:val="0"/>
      <w:divBdr>
        <w:top w:val="none" w:sz="0" w:space="0" w:color="auto"/>
        <w:left w:val="none" w:sz="0" w:space="0" w:color="auto"/>
        <w:bottom w:val="none" w:sz="0" w:space="0" w:color="auto"/>
        <w:right w:val="none" w:sz="0" w:space="0" w:color="auto"/>
      </w:divBdr>
    </w:div>
    <w:div w:id="1987467558">
      <w:bodyDiv w:val="1"/>
      <w:marLeft w:val="0"/>
      <w:marRight w:val="0"/>
      <w:marTop w:val="0"/>
      <w:marBottom w:val="0"/>
      <w:divBdr>
        <w:top w:val="none" w:sz="0" w:space="0" w:color="auto"/>
        <w:left w:val="none" w:sz="0" w:space="0" w:color="auto"/>
        <w:bottom w:val="none" w:sz="0" w:space="0" w:color="auto"/>
        <w:right w:val="none" w:sz="0" w:space="0" w:color="auto"/>
      </w:divBdr>
    </w:div>
    <w:div w:id="1988432416">
      <w:bodyDiv w:val="1"/>
      <w:marLeft w:val="0"/>
      <w:marRight w:val="0"/>
      <w:marTop w:val="0"/>
      <w:marBottom w:val="0"/>
      <w:divBdr>
        <w:top w:val="none" w:sz="0" w:space="0" w:color="auto"/>
        <w:left w:val="none" w:sz="0" w:space="0" w:color="auto"/>
        <w:bottom w:val="none" w:sz="0" w:space="0" w:color="auto"/>
        <w:right w:val="none" w:sz="0" w:space="0" w:color="auto"/>
      </w:divBdr>
    </w:div>
    <w:div w:id="1989312174">
      <w:bodyDiv w:val="1"/>
      <w:marLeft w:val="0"/>
      <w:marRight w:val="0"/>
      <w:marTop w:val="0"/>
      <w:marBottom w:val="0"/>
      <w:divBdr>
        <w:top w:val="none" w:sz="0" w:space="0" w:color="auto"/>
        <w:left w:val="none" w:sz="0" w:space="0" w:color="auto"/>
        <w:bottom w:val="none" w:sz="0" w:space="0" w:color="auto"/>
        <w:right w:val="none" w:sz="0" w:space="0" w:color="auto"/>
      </w:divBdr>
    </w:div>
    <w:div w:id="1989942199">
      <w:bodyDiv w:val="1"/>
      <w:marLeft w:val="0"/>
      <w:marRight w:val="0"/>
      <w:marTop w:val="0"/>
      <w:marBottom w:val="0"/>
      <w:divBdr>
        <w:top w:val="none" w:sz="0" w:space="0" w:color="auto"/>
        <w:left w:val="none" w:sz="0" w:space="0" w:color="auto"/>
        <w:bottom w:val="none" w:sz="0" w:space="0" w:color="auto"/>
        <w:right w:val="none" w:sz="0" w:space="0" w:color="auto"/>
      </w:divBdr>
    </w:div>
    <w:div w:id="1990672172">
      <w:bodyDiv w:val="1"/>
      <w:marLeft w:val="0"/>
      <w:marRight w:val="0"/>
      <w:marTop w:val="0"/>
      <w:marBottom w:val="0"/>
      <w:divBdr>
        <w:top w:val="none" w:sz="0" w:space="0" w:color="auto"/>
        <w:left w:val="none" w:sz="0" w:space="0" w:color="auto"/>
        <w:bottom w:val="none" w:sz="0" w:space="0" w:color="auto"/>
        <w:right w:val="none" w:sz="0" w:space="0" w:color="auto"/>
      </w:divBdr>
    </w:div>
    <w:div w:id="1992370224">
      <w:bodyDiv w:val="1"/>
      <w:marLeft w:val="0"/>
      <w:marRight w:val="0"/>
      <w:marTop w:val="0"/>
      <w:marBottom w:val="0"/>
      <w:divBdr>
        <w:top w:val="none" w:sz="0" w:space="0" w:color="auto"/>
        <w:left w:val="none" w:sz="0" w:space="0" w:color="auto"/>
        <w:bottom w:val="none" w:sz="0" w:space="0" w:color="auto"/>
        <w:right w:val="none" w:sz="0" w:space="0" w:color="auto"/>
      </w:divBdr>
    </w:div>
    <w:div w:id="1992904841">
      <w:bodyDiv w:val="1"/>
      <w:marLeft w:val="0"/>
      <w:marRight w:val="0"/>
      <w:marTop w:val="0"/>
      <w:marBottom w:val="0"/>
      <w:divBdr>
        <w:top w:val="none" w:sz="0" w:space="0" w:color="auto"/>
        <w:left w:val="none" w:sz="0" w:space="0" w:color="auto"/>
        <w:bottom w:val="none" w:sz="0" w:space="0" w:color="auto"/>
        <w:right w:val="none" w:sz="0" w:space="0" w:color="auto"/>
      </w:divBdr>
    </w:div>
    <w:div w:id="1994483635">
      <w:bodyDiv w:val="1"/>
      <w:marLeft w:val="0"/>
      <w:marRight w:val="0"/>
      <w:marTop w:val="0"/>
      <w:marBottom w:val="0"/>
      <w:divBdr>
        <w:top w:val="none" w:sz="0" w:space="0" w:color="auto"/>
        <w:left w:val="none" w:sz="0" w:space="0" w:color="auto"/>
        <w:bottom w:val="none" w:sz="0" w:space="0" w:color="auto"/>
        <w:right w:val="none" w:sz="0" w:space="0" w:color="auto"/>
      </w:divBdr>
    </w:div>
    <w:div w:id="1995330802">
      <w:bodyDiv w:val="1"/>
      <w:marLeft w:val="0"/>
      <w:marRight w:val="0"/>
      <w:marTop w:val="0"/>
      <w:marBottom w:val="0"/>
      <w:divBdr>
        <w:top w:val="none" w:sz="0" w:space="0" w:color="auto"/>
        <w:left w:val="none" w:sz="0" w:space="0" w:color="auto"/>
        <w:bottom w:val="none" w:sz="0" w:space="0" w:color="auto"/>
        <w:right w:val="none" w:sz="0" w:space="0" w:color="auto"/>
      </w:divBdr>
    </w:div>
    <w:div w:id="1995639834">
      <w:bodyDiv w:val="1"/>
      <w:marLeft w:val="0"/>
      <w:marRight w:val="0"/>
      <w:marTop w:val="0"/>
      <w:marBottom w:val="0"/>
      <w:divBdr>
        <w:top w:val="none" w:sz="0" w:space="0" w:color="auto"/>
        <w:left w:val="none" w:sz="0" w:space="0" w:color="auto"/>
        <w:bottom w:val="none" w:sz="0" w:space="0" w:color="auto"/>
        <w:right w:val="none" w:sz="0" w:space="0" w:color="auto"/>
      </w:divBdr>
    </w:div>
    <w:div w:id="1995984600">
      <w:bodyDiv w:val="1"/>
      <w:marLeft w:val="0"/>
      <w:marRight w:val="0"/>
      <w:marTop w:val="0"/>
      <w:marBottom w:val="0"/>
      <w:divBdr>
        <w:top w:val="none" w:sz="0" w:space="0" w:color="auto"/>
        <w:left w:val="none" w:sz="0" w:space="0" w:color="auto"/>
        <w:bottom w:val="none" w:sz="0" w:space="0" w:color="auto"/>
        <w:right w:val="none" w:sz="0" w:space="0" w:color="auto"/>
      </w:divBdr>
    </w:div>
    <w:div w:id="1996257880">
      <w:bodyDiv w:val="1"/>
      <w:marLeft w:val="0"/>
      <w:marRight w:val="0"/>
      <w:marTop w:val="0"/>
      <w:marBottom w:val="0"/>
      <w:divBdr>
        <w:top w:val="none" w:sz="0" w:space="0" w:color="auto"/>
        <w:left w:val="none" w:sz="0" w:space="0" w:color="auto"/>
        <w:bottom w:val="none" w:sz="0" w:space="0" w:color="auto"/>
        <w:right w:val="none" w:sz="0" w:space="0" w:color="auto"/>
      </w:divBdr>
    </w:div>
    <w:div w:id="1997217731">
      <w:bodyDiv w:val="1"/>
      <w:marLeft w:val="0"/>
      <w:marRight w:val="0"/>
      <w:marTop w:val="0"/>
      <w:marBottom w:val="0"/>
      <w:divBdr>
        <w:top w:val="none" w:sz="0" w:space="0" w:color="auto"/>
        <w:left w:val="none" w:sz="0" w:space="0" w:color="auto"/>
        <w:bottom w:val="none" w:sz="0" w:space="0" w:color="auto"/>
        <w:right w:val="none" w:sz="0" w:space="0" w:color="auto"/>
      </w:divBdr>
    </w:div>
    <w:div w:id="1997224198">
      <w:bodyDiv w:val="1"/>
      <w:marLeft w:val="0"/>
      <w:marRight w:val="0"/>
      <w:marTop w:val="0"/>
      <w:marBottom w:val="0"/>
      <w:divBdr>
        <w:top w:val="none" w:sz="0" w:space="0" w:color="auto"/>
        <w:left w:val="none" w:sz="0" w:space="0" w:color="auto"/>
        <w:bottom w:val="none" w:sz="0" w:space="0" w:color="auto"/>
        <w:right w:val="none" w:sz="0" w:space="0" w:color="auto"/>
      </w:divBdr>
    </w:div>
    <w:div w:id="1997370012">
      <w:bodyDiv w:val="1"/>
      <w:marLeft w:val="0"/>
      <w:marRight w:val="0"/>
      <w:marTop w:val="0"/>
      <w:marBottom w:val="0"/>
      <w:divBdr>
        <w:top w:val="none" w:sz="0" w:space="0" w:color="auto"/>
        <w:left w:val="none" w:sz="0" w:space="0" w:color="auto"/>
        <w:bottom w:val="none" w:sz="0" w:space="0" w:color="auto"/>
        <w:right w:val="none" w:sz="0" w:space="0" w:color="auto"/>
      </w:divBdr>
    </w:div>
    <w:div w:id="1997412565">
      <w:bodyDiv w:val="1"/>
      <w:marLeft w:val="0"/>
      <w:marRight w:val="0"/>
      <w:marTop w:val="0"/>
      <w:marBottom w:val="0"/>
      <w:divBdr>
        <w:top w:val="none" w:sz="0" w:space="0" w:color="auto"/>
        <w:left w:val="none" w:sz="0" w:space="0" w:color="auto"/>
        <w:bottom w:val="none" w:sz="0" w:space="0" w:color="auto"/>
        <w:right w:val="none" w:sz="0" w:space="0" w:color="auto"/>
      </w:divBdr>
    </w:div>
    <w:div w:id="1998027519">
      <w:bodyDiv w:val="1"/>
      <w:marLeft w:val="0"/>
      <w:marRight w:val="0"/>
      <w:marTop w:val="0"/>
      <w:marBottom w:val="0"/>
      <w:divBdr>
        <w:top w:val="none" w:sz="0" w:space="0" w:color="auto"/>
        <w:left w:val="none" w:sz="0" w:space="0" w:color="auto"/>
        <w:bottom w:val="none" w:sz="0" w:space="0" w:color="auto"/>
        <w:right w:val="none" w:sz="0" w:space="0" w:color="auto"/>
      </w:divBdr>
    </w:div>
    <w:div w:id="1998342432">
      <w:bodyDiv w:val="1"/>
      <w:marLeft w:val="0"/>
      <w:marRight w:val="0"/>
      <w:marTop w:val="0"/>
      <w:marBottom w:val="0"/>
      <w:divBdr>
        <w:top w:val="none" w:sz="0" w:space="0" w:color="auto"/>
        <w:left w:val="none" w:sz="0" w:space="0" w:color="auto"/>
        <w:bottom w:val="none" w:sz="0" w:space="0" w:color="auto"/>
        <w:right w:val="none" w:sz="0" w:space="0" w:color="auto"/>
      </w:divBdr>
    </w:div>
    <w:div w:id="1998682857">
      <w:bodyDiv w:val="1"/>
      <w:marLeft w:val="0"/>
      <w:marRight w:val="0"/>
      <w:marTop w:val="0"/>
      <w:marBottom w:val="0"/>
      <w:divBdr>
        <w:top w:val="none" w:sz="0" w:space="0" w:color="auto"/>
        <w:left w:val="none" w:sz="0" w:space="0" w:color="auto"/>
        <w:bottom w:val="none" w:sz="0" w:space="0" w:color="auto"/>
        <w:right w:val="none" w:sz="0" w:space="0" w:color="auto"/>
      </w:divBdr>
    </w:div>
    <w:div w:id="1998683478">
      <w:bodyDiv w:val="1"/>
      <w:marLeft w:val="0"/>
      <w:marRight w:val="0"/>
      <w:marTop w:val="0"/>
      <w:marBottom w:val="0"/>
      <w:divBdr>
        <w:top w:val="none" w:sz="0" w:space="0" w:color="auto"/>
        <w:left w:val="none" w:sz="0" w:space="0" w:color="auto"/>
        <w:bottom w:val="none" w:sz="0" w:space="0" w:color="auto"/>
        <w:right w:val="none" w:sz="0" w:space="0" w:color="auto"/>
      </w:divBdr>
    </w:div>
    <w:div w:id="1999843995">
      <w:bodyDiv w:val="1"/>
      <w:marLeft w:val="0"/>
      <w:marRight w:val="0"/>
      <w:marTop w:val="0"/>
      <w:marBottom w:val="0"/>
      <w:divBdr>
        <w:top w:val="none" w:sz="0" w:space="0" w:color="auto"/>
        <w:left w:val="none" w:sz="0" w:space="0" w:color="auto"/>
        <w:bottom w:val="none" w:sz="0" w:space="0" w:color="auto"/>
        <w:right w:val="none" w:sz="0" w:space="0" w:color="auto"/>
      </w:divBdr>
    </w:div>
    <w:div w:id="2001738610">
      <w:bodyDiv w:val="1"/>
      <w:marLeft w:val="0"/>
      <w:marRight w:val="0"/>
      <w:marTop w:val="0"/>
      <w:marBottom w:val="0"/>
      <w:divBdr>
        <w:top w:val="none" w:sz="0" w:space="0" w:color="auto"/>
        <w:left w:val="none" w:sz="0" w:space="0" w:color="auto"/>
        <w:bottom w:val="none" w:sz="0" w:space="0" w:color="auto"/>
        <w:right w:val="none" w:sz="0" w:space="0" w:color="auto"/>
      </w:divBdr>
    </w:div>
    <w:div w:id="2002654719">
      <w:bodyDiv w:val="1"/>
      <w:marLeft w:val="0"/>
      <w:marRight w:val="0"/>
      <w:marTop w:val="0"/>
      <w:marBottom w:val="0"/>
      <w:divBdr>
        <w:top w:val="none" w:sz="0" w:space="0" w:color="auto"/>
        <w:left w:val="none" w:sz="0" w:space="0" w:color="auto"/>
        <w:bottom w:val="none" w:sz="0" w:space="0" w:color="auto"/>
        <w:right w:val="none" w:sz="0" w:space="0" w:color="auto"/>
      </w:divBdr>
    </w:div>
    <w:div w:id="2003315408">
      <w:bodyDiv w:val="1"/>
      <w:marLeft w:val="0"/>
      <w:marRight w:val="0"/>
      <w:marTop w:val="0"/>
      <w:marBottom w:val="0"/>
      <w:divBdr>
        <w:top w:val="none" w:sz="0" w:space="0" w:color="auto"/>
        <w:left w:val="none" w:sz="0" w:space="0" w:color="auto"/>
        <w:bottom w:val="none" w:sz="0" w:space="0" w:color="auto"/>
        <w:right w:val="none" w:sz="0" w:space="0" w:color="auto"/>
      </w:divBdr>
    </w:div>
    <w:div w:id="2003895078">
      <w:bodyDiv w:val="1"/>
      <w:marLeft w:val="0"/>
      <w:marRight w:val="0"/>
      <w:marTop w:val="0"/>
      <w:marBottom w:val="0"/>
      <w:divBdr>
        <w:top w:val="none" w:sz="0" w:space="0" w:color="auto"/>
        <w:left w:val="none" w:sz="0" w:space="0" w:color="auto"/>
        <w:bottom w:val="none" w:sz="0" w:space="0" w:color="auto"/>
        <w:right w:val="none" w:sz="0" w:space="0" w:color="auto"/>
      </w:divBdr>
    </w:div>
    <w:div w:id="2003969249">
      <w:bodyDiv w:val="1"/>
      <w:marLeft w:val="0"/>
      <w:marRight w:val="0"/>
      <w:marTop w:val="0"/>
      <w:marBottom w:val="0"/>
      <w:divBdr>
        <w:top w:val="none" w:sz="0" w:space="0" w:color="auto"/>
        <w:left w:val="none" w:sz="0" w:space="0" w:color="auto"/>
        <w:bottom w:val="none" w:sz="0" w:space="0" w:color="auto"/>
        <w:right w:val="none" w:sz="0" w:space="0" w:color="auto"/>
      </w:divBdr>
    </w:div>
    <w:div w:id="2005476620">
      <w:bodyDiv w:val="1"/>
      <w:marLeft w:val="0"/>
      <w:marRight w:val="0"/>
      <w:marTop w:val="0"/>
      <w:marBottom w:val="0"/>
      <w:divBdr>
        <w:top w:val="none" w:sz="0" w:space="0" w:color="auto"/>
        <w:left w:val="none" w:sz="0" w:space="0" w:color="auto"/>
        <w:bottom w:val="none" w:sz="0" w:space="0" w:color="auto"/>
        <w:right w:val="none" w:sz="0" w:space="0" w:color="auto"/>
      </w:divBdr>
    </w:div>
    <w:div w:id="2005619305">
      <w:bodyDiv w:val="1"/>
      <w:marLeft w:val="0"/>
      <w:marRight w:val="0"/>
      <w:marTop w:val="0"/>
      <w:marBottom w:val="0"/>
      <w:divBdr>
        <w:top w:val="none" w:sz="0" w:space="0" w:color="auto"/>
        <w:left w:val="none" w:sz="0" w:space="0" w:color="auto"/>
        <w:bottom w:val="none" w:sz="0" w:space="0" w:color="auto"/>
        <w:right w:val="none" w:sz="0" w:space="0" w:color="auto"/>
      </w:divBdr>
    </w:div>
    <w:div w:id="2005744570">
      <w:bodyDiv w:val="1"/>
      <w:marLeft w:val="0"/>
      <w:marRight w:val="0"/>
      <w:marTop w:val="0"/>
      <w:marBottom w:val="0"/>
      <w:divBdr>
        <w:top w:val="none" w:sz="0" w:space="0" w:color="auto"/>
        <w:left w:val="none" w:sz="0" w:space="0" w:color="auto"/>
        <w:bottom w:val="none" w:sz="0" w:space="0" w:color="auto"/>
        <w:right w:val="none" w:sz="0" w:space="0" w:color="auto"/>
      </w:divBdr>
    </w:div>
    <w:div w:id="2005891453">
      <w:bodyDiv w:val="1"/>
      <w:marLeft w:val="0"/>
      <w:marRight w:val="0"/>
      <w:marTop w:val="0"/>
      <w:marBottom w:val="0"/>
      <w:divBdr>
        <w:top w:val="none" w:sz="0" w:space="0" w:color="auto"/>
        <w:left w:val="none" w:sz="0" w:space="0" w:color="auto"/>
        <w:bottom w:val="none" w:sz="0" w:space="0" w:color="auto"/>
        <w:right w:val="none" w:sz="0" w:space="0" w:color="auto"/>
      </w:divBdr>
    </w:div>
    <w:div w:id="2006275689">
      <w:bodyDiv w:val="1"/>
      <w:marLeft w:val="0"/>
      <w:marRight w:val="0"/>
      <w:marTop w:val="0"/>
      <w:marBottom w:val="0"/>
      <w:divBdr>
        <w:top w:val="none" w:sz="0" w:space="0" w:color="auto"/>
        <w:left w:val="none" w:sz="0" w:space="0" w:color="auto"/>
        <w:bottom w:val="none" w:sz="0" w:space="0" w:color="auto"/>
        <w:right w:val="none" w:sz="0" w:space="0" w:color="auto"/>
      </w:divBdr>
    </w:div>
    <w:div w:id="2007829214">
      <w:bodyDiv w:val="1"/>
      <w:marLeft w:val="0"/>
      <w:marRight w:val="0"/>
      <w:marTop w:val="0"/>
      <w:marBottom w:val="0"/>
      <w:divBdr>
        <w:top w:val="none" w:sz="0" w:space="0" w:color="auto"/>
        <w:left w:val="none" w:sz="0" w:space="0" w:color="auto"/>
        <w:bottom w:val="none" w:sz="0" w:space="0" w:color="auto"/>
        <w:right w:val="none" w:sz="0" w:space="0" w:color="auto"/>
      </w:divBdr>
    </w:div>
    <w:div w:id="2007899493">
      <w:bodyDiv w:val="1"/>
      <w:marLeft w:val="0"/>
      <w:marRight w:val="0"/>
      <w:marTop w:val="0"/>
      <w:marBottom w:val="0"/>
      <w:divBdr>
        <w:top w:val="none" w:sz="0" w:space="0" w:color="auto"/>
        <w:left w:val="none" w:sz="0" w:space="0" w:color="auto"/>
        <w:bottom w:val="none" w:sz="0" w:space="0" w:color="auto"/>
        <w:right w:val="none" w:sz="0" w:space="0" w:color="auto"/>
      </w:divBdr>
    </w:div>
    <w:div w:id="2009090817">
      <w:bodyDiv w:val="1"/>
      <w:marLeft w:val="0"/>
      <w:marRight w:val="0"/>
      <w:marTop w:val="0"/>
      <w:marBottom w:val="0"/>
      <w:divBdr>
        <w:top w:val="none" w:sz="0" w:space="0" w:color="auto"/>
        <w:left w:val="none" w:sz="0" w:space="0" w:color="auto"/>
        <w:bottom w:val="none" w:sz="0" w:space="0" w:color="auto"/>
        <w:right w:val="none" w:sz="0" w:space="0" w:color="auto"/>
      </w:divBdr>
    </w:div>
    <w:div w:id="2009164816">
      <w:bodyDiv w:val="1"/>
      <w:marLeft w:val="0"/>
      <w:marRight w:val="0"/>
      <w:marTop w:val="0"/>
      <w:marBottom w:val="0"/>
      <w:divBdr>
        <w:top w:val="none" w:sz="0" w:space="0" w:color="auto"/>
        <w:left w:val="none" w:sz="0" w:space="0" w:color="auto"/>
        <w:bottom w:val="none" w:sz="0" w:space="0" w:color="auto"/>
        <w:right w:val="none" w:sz="0" w:space="0" w:color="auto"/>
      </w:divBdr>
    </w:div>
    <w:div w:id="2009405596">
      <w:bodyDiv w:val="1"/>
      <w:marLeft w:val="0"/>
      <w:marRight w:val="0"/>
      <w:marTop w:val="0"/>
      <w:marBottom w:val="0"/>
      <w:divBdr>
        <w:top w:val="none" w:sz="0" w:space="0" w:color="auto"/>
        <w:left w:val="none" w:sz="0" w:space="0" w:color="auto"/>
        <w:bottom w:val="none" w:sz="0" w:space="0" w:color="auto"/>
        <w:right w:val="none" w:sz="0" w:space="0" w:color="auto"/>
      </w:divBdr>
    </w:div>
    <w:div w:id="2009475575">
      <w:bodyDiv w:val="1"/>
      <w:marLeft w:val="0"/>
      <w:marRight w:val="0"/>
      <w:marTop w:val="0"/>
      <w:marBottom w:val="0"/>
      <w:divBdr>
        <w:top w:val="none" w:sz="0" w:space="0" w:color="auto"/>
        <w:left w:val="none" w:sz="0" w:space="0" w:color="auto"/>
        <w:bottom w:val="none" w:sz="0" w:space="0" w:color="auto"/>
        <w:right w:val="none" w:sz="0" w:space="0" w:color="auto"/>
      </w:divBdr>
    </w:div>
    <w:div w:id="2010861486">
      <w:bodyDiv w:val="1"/>
      <w:marLeft w:val="0"/>
      <w:marRight w:val="0"/>
      <w:marTop w:val="0"/>
      <w:marBottom w:val="0"/>
      <w:divBdr>
        <w:top w:val="none" w:sz="0" w:space="0" w:color="auto"/>
        <w:left w:val="none" w:sz="0" w:space="0" w:color="auto"/>
        <w:bottom w:val="none" w:sz="0" w:space="0" w:color="auto"/>
        <w:right w:val="none" w:sz="0" w:space="0" w:color="auto"/>
      </w:divBdr>
    </w:div>
    <w:div w:id="2011173137">
      <w:bodyDiv w:val="1"/>
      <w:marLeft w:val="0"/>
      <w:marRight w:val="0"/>
      <w:marTop w:val="0"/>
      <w:marBottom w:val="0"/>
      <w:divBdr>
        <w:top w:val="none" w:sz="0" w:space="0" w:color="auto"/>
        <w:left w:val="none" w:sz="0" w:space="0" w:color="auto"/>
        <w:bottom w:val="none" w:sz="0" w:space="0" w:color="auto"/>
        <w:right w:val="none" w:sz="0" w:space="0" w:color="auto"/>
      </w:divBdr>
    </w:div>
    <w:div w:id="2011562763">
      <w:bodyDiv w:val="1"/>
      <w:marLeft w:val="0"/>
      <w:marRight w:val="0"/>
      <w:marTop w:val="0"/>
      <w:marBottom w:val="0"/>
      <w:divBdr>
        <w:top w:val="none" w:sz="0" w:space="0" w:color="auto"/>
        <w:left w:val="none" w:sz="0" w:space="0" w:color="auto"/>
        <w:bottom w:val="none" w:sz="0" w:space="0" w:color="auto"/>
        <w:right w:val="none" w:sz="0" w:space="0" w:color="auto"/>
      </w:divBdr>
    </w:div>
    <w:div w:id="2011831072">
      <w:bodyDiv w:val="1"/>
      <w:marLeft w:val="0"/>
      <w:marRight w:val="0"/>
      <w:marTop w:val="0"/>
      <w:marBottom w:val="0"/>
      <w:divBdr>
        <w:top w:val="none" w:sz="0" w:space="0" w:color="auto"/>
        <w:left w:val="none" w:sz="0" w:space="0" w:color="auto"/>
        <w:bottom w:val="none" w:sz="0" w:space="0" w:color="auto"/>
        <w:right w:val="none" w:sz="0" w:space="0" w:color="auto"/>
      </w:divBdr>
    </w:div>
    <w:div w:id="2011981962">
      <w:bodyDiv w:val="1"/>
      <w:marLeft w:val="0"/>
      <w:marRight w:val="0"/>
      <w:marTop w:val="0"/>
      <w:marBottom w:val="0"/>
      <w:divBdr>
        <w:top w:val="none" w:sz="0" w:space="0" w:color="auto"/>
        <w:left w:val="none" w:sz="0" w:space="0" w:color="auto"/>
        <w:bottom w:val="none" w:sz="0" w:space="0" w:color="auto"/>
        <w:right w:val="none" w:sz="0" w:space="0" w:color="auto"/>
      </w:divBdr>
    </w:div>
    <w:div w:id="2012488355">
      <w:bodyDiv w:val="1"/>
      <w:marLeft w:val="0"/>
      <w:marRight w:val="0"/>
      <w:marTop w:val="0"/>
      <w:marBottom w:val="0"/>
      <w:divBdr>
        <w:top w:val="none" w:sz="0" w:space="0" w:color="auto"/>
        <w:left w:val="none" w:sz="0" w:space="0" w:color="auto"/>
        <w:bottom w:val="none" w:sz="0" w:space="0" w:color="auto"/>
        <w:right w:val="none" w:sz="0" w:space="0" w:color="auto"/>
      </w:divBdr>
    </w:div>
    <w:div w:id="2013028817">
      <w:bodyDiv w:val="1"/>
      <w:marLeft w:val="0"/>
      <w:marRight w:val="0"/>
      <w:marTop w:val="0"/>
      <w:marBottom w:val="0"/>
      <w:divBdr>
        <w:top w:val="none" w:sz="0" w:space="0" w:color="auto"/>
        <w:left w:val="none" w:sz="0" w:space="0" w:color="auto"/>
        <w:bottom w:val="none" w:sz="0" w:space="0" w:color="auto"/>
        <w:right w:val="none" w:sz="0" w:space="0" w:color="auto"/>
      </w:divBdr>
    </w:div>
    <w:div w:id="2013217881">
      <w:bodyDiv w:val="1"/>
      <w:marLeft w:val="0"/>
      <w:marRight w:val="0"/>
      <w:marTop w:val="0"/>
      <w:marBottom w:val="0"/>
      <w:divBdr>
        <w:top w:val="none" w:sz="0" w:space="0" w:color="auto"/>
        <w:left w:val="none" w:sz="0" w:space="0" w:color="auto"/>
        <w:bottom w:val="none" w:sz="0" w:space="0" w:color="auto"/>
        <w:right w:val="none" w:sz="0" w:space="0" w:color="auto"/>
      </w:divBdr>
    </w:div>
    <w:div w:id="2013949551">
      <w:bodyDiv w:val="1"/>
      <w:marLeft w:val="0"/>
      <w:marRight w:val="0"/>
      <w:marTop w:val="0"/>
      <w:marBottom w:val="0"/>
      <w:divBdr>
        <w:top w:val="none" w:sz="0" w:space="0" w:color="auto"/>
        <w:left w:val="none" w:sz="0" w:space="0" w:color="auto"/>
        <w:bottom w:val="none" w:sz="0" w:space="0" w:color="auto"/>
        <w:right w:val="none" w:sz="0" w:space="0" w:color="auto"/>
      </w:divBdr>
    </w:div>
    <w:div w:id="2014188707">
      <w:bodyDiv w:val="1"/>
      <w:marLeft w:val="0"/>
      <w:marRight w:val="0"/>
      <w:marTop w:val="0"/>
      <w:marBottom w:val="0"/>
      <w:divBdr>
        <w:top w:val="none" w:sz="0" w:space="0" w:color="auto"/>
        <w:left w:val="none" w:sz="0" w:space="0" w:color="auto"/>
        <w:bottom w:val="none" w:sz="0" w:space="0" w:color="auto"/>
        <w:right w:val="none" w:sz="0" w:space="0" w:color="auto"/>
      </w:divBdr>
    </w:div>
    <w:div w:id="2014603871">
      <w:bodyDiv w:val="1"/>
      <w:marLeft w:val="0"/>
      <w:marRight w:val="0"/>
      <w:marTop w:val="0"/>
      <w:marBottom w:val="0"/>
      <w:divBdr>
        <w:top w:val="none" w:sz="0" w:space="0" w:color="auto"/>
        <w:left w:val="none" w:sz="0" w:space="0" w:color="auto"/>
        <w:bottom w:val="none" w:sz="0" w:space="0" w:color="auto"/>
        <w:right w:val="none" w:sz="0" w:space="0" w:color="auto"/>
      </w:divBdr>
    </w:div>
    <w:div w:id="2019960126">
      <w:bodyDiv w:val="1"/>
      <w:marLeft w:val="0"/>
      <w:marRight w:val="0"/>
      <w:marTop w:val="0"/>
      <w:marBottom w:val="0"/>
      <w:divBdr>
        <w:top w:val="none" w:sz="0" w:space="0" w:color="auto"/>
        <w:left w:val="none" w:sz="0" w:space="0" w:color="auto"/>
        <w:bottom w:val="none" w:sz="0" w:space="0" w:color="auto"/>
        <w:right w:val="none" w:sz="0" w:space="0" w:color="auto"/>
      </w:divBdr>
    </w:div>
    <w:div w:id="2021394325">
      <w:bodyDiv w:val="1"/>
      <w:marLeft w:val="0"/>
      <w:marRight w:val="0"/>
      <w:marTop w:val="0"/>
      <w:marBottom w:val="0"/>
      <w:divBdr>
        <w:top w:val="none" w:sz="0" w:space="0" w:color="auto"/>
        <w:left w:val="none" w:sz="0" w:space="0" w:color="auto"/>
        <w:bottom w:val="none" w:sz="0" w:space="0" w:color="auto"/>
        <w:right w:val="none" w:sz="0" w:space="0" w:color="auto"/>
      </w:divBdr>
    </w:div>
    <w:div w:id="2021396282">
      <w:bodyDiv w:val="1"/>
      <w:marLeft w:val="0"/>
      <w:marRight w:val="0"/>
      <w:marTop w:val="0"/>
      <w:marBottom w:val="0"/>
      <w:divBdr>
        <w:top w:val="none" w:sz="0" w:space="0" w:color="auto"/>
        <w:left w:val="none" w:sz="0" w:space="0" w:color="auto"/>
        <w:bottom w:val="none" w:sz="0" w:space="0" w:color="auto"/>
        <w:right w:val="none" w:sz="0" w:space="0" w:color="auto"/>
      </w:divBdr>
    </w:div>
    <w:div w:id="2021659086">
      <w:bodyDiv w:val="1"/>
      <w:marLeft w:val="0"/>
      <w:marRight w:val="0"/>
      <w:marTop w:val="0"/>
      <w:marBottom w:val="0"/>
      <w:divBdr>
        <w:top w:val="none" w:sz="0" w:space="0" w:color="auto"/>
        <w:left w:val="none" w:sz="0" w:space="0" w:color="auto"/>
        <w:bottom w:val="none" w:sz="0" w:space="0" w:color="auto"/>
        <w:right w:val="none" w:sz="0" w:space="0" w:color="auto"/>
      </w:divBdr>
    </w:div>
    <w:div w:id="2022195843">
      <w:bodyDiv w:val="1"/>
      <w:marLeft w:val="0"/>
      <w:marRight w:val="0"/>
      <w:marTop w:val="0"/>
      <w:marBottom w:val="0"/>
      <w:divBdr>
        <w:top w:val="none" w:sz="0" w:space="0" w:color="auto"/>
        <w:left w:val="none" w:sz="0" w:space="0" w:color="auto"/>
        <w:bottom w:val="none" w:sz="0" w:space="0" w:color="auto"/>
        <w:right w:val="none" w:sz="0" w:space="0" w:color="auto"/>
      </w:divBdr>
    </w:div>
    <w:div w:id="2023360923">
      <w:bodyDiv w:val="1"/>
      <w:marLeft w:val="0"/>
      <w:marRight w:val="0"/>
      <w:marTop w:val="0"/>
      <w:marBottom w:val="0"/>
      <w:divBdr>
        <w:top w:val="none" w:sz="0" w:space="0" w:color="auto"/>
        <w:left w:val="none" w:sz="0" w:space="0" w:color="auto"/>
        <w:bottom w:val="none" w:sz="0" w:space="0" w:color="auto"/>
        <w:right w:val="none" w:sz="0" w:space="0" w:color="auto"/>
      </w:divBdr>
    </w:div>
    <w:div w:id="2023580253">
      <w:bodyDiv w:val="1"/>
      <w:marLeft w:val="0"/>
      <w:marRight w:val="0"/>
      <w:marTop w:val="0"/>
      <w:marBottom w:val="0"/>
      <w:divBdr>
        <w:top w:val="none" w:sz="0" w:space="0" w:color="auto"/>
        <w:left w:val="none" w:sz="0" w:space="0" w:color="auto"/>
        <w:bottom w:val="none" w:sz="0" w:space="0" w:color="auto"/>
        <w:right w:val="none" w:sz="0" w:space="0" w:color="auto"/>
      </w:divBdr>
    </w:div>
    <w:div w:id="2024283541">
      <w:bodyDiv w:val="1"/>
      <w:marLeft w:val="0"/>
      <w:marRight w:val="0"/>
      <w:marTop w:val="0"/>
      <w:marBottom w:val="0"/>
      <w:divBdr>
        <w:top w:val="none" w:sz="0" w:space="0" w:color="auto"/>
        <w:left w:val="none" w:sz="0" w:space="0" w:color="auto"/>
        <w:bottom w:val="none" w:sz="0" w:space="0" w:color="auto"/>
        <w:right w:val="none" w:sz="0" w:space="0" w:color="auto"/>
      </w:divBdr>
    </w:div>
    <w:div w:id="2024430453">
      <w:bodyDiv w:val="1"/>
      <w:marLeft w:val="0"/>
      <w:marRight w:val="0"/>
      <w:marTop w:val="0"/>
      <w:marBottom w:val="0"/>
      <w:divBdr>
        <w:top w:val="none" w:sz="0" w:space="0" w:color="auto"/>
        <w:left w:val="none" w:sz="0" w:space="0" w:color="auto"/>
        <w:bottom w:val="none" w:sz="0" w:space="0" w:color="auto"/>
        <w:right w:val="none" w:sz="0" w:space="0" w:color="auto"/>
      </w:divBdr>
    </w:div>
    <w:div w:id="2024817221">
      <w:bodyDiv w:val="1"/>
      <w:marLeft w:val="0"/>
      <w:marRight w:val="0"/>
      <w:marTop w:val="0"/>
      <w:marBottom w:val="0"/>
      <w:divBdr>
        <w:top w:val="none" w:sz="0" w:space="0" w:color="auto"/>
        <w:left w:val="none" w:sz="0" w:space="0" w:color="auto"/>
        <w:bottom w:val="none" w:sz="0" w:space="0" w:color="auto"/>
        <w:right w:val="none" w:sz="0" w:space="0" w:color="auto"/>
      </w:divBdr>
    </w:div>
    <w:div w:id="2025548152">
      <w:bodyDiv w:val="1"/>
      <w:marLeft w:val="0"/>
      <w:marRight w:val="0"/>
      <w:marTop w:val="0"/>
      <w:marBottom w:val="0"/>
      <w:divBdr>
        <w:top w:val="none" w:sz="0" w:space="0" w:color="auto"/>
        <w:left w:val="none" w:sz="0" w:space="0" w:color="auto"/>
        <w:bottom w:val="none" w:sz="0" w:space="0" w:color="auto"/>
        <w:right w:val="none" w:sz="0" w:space="0" w:color="auto"/>
      </w:divBdr>
    </w:div>
    <w:div w:id="2025747036">
      <w:bodyDiv w:val="1"/>
      <w:marLeft w:val="0"/>
      <w:marRight w:val="0"/>
      <w:marTop w:val="0"/>
      <w:marBottom w:val="0"/>
      <w:divBdr>
        <w:top w:val="none" w:sz="0" w:space="0" w:color="auto"/>
        <w:left w:val="none" w:sz="0" w:space="0" w:color="auto"/>
        <w:bottom w:val="none" w:sz="0" w:space="0" w:color="auto"/>
        <w:right w:val="none" w:sz="0" w:space="0" w:color="auto"/>
      </w:divBdr>
    </w:div>
    <w:div w:id="2025789862">
      <w:bodyDiv w:val="1"/>
      <w:marLeft w:val="0"/>
      <w:marRight w:val="0"/>
      <w:marTop w:val="0"/>
      <w:marBottom w:val="0"/>
      <w:divBdr>
        <w:top w:val="none" w:sz="0" w:space="0" w:color="auto"/>
        <w:left w:val="none" w:sz="0" w:space="0" w:color="auto"/>
        <w:bottom w:val="none" w:sz="0" w:space="0" w:color="auto"/>
        <w:right w:val="none" w:sz="0" w:space="0" w:color="auto"/>
      </w:divBdr>
    </w:div>
    <w:div w:id="2026900111">
      <w:bodyDiv w:val="1"/>
      <w:marLeft w:val="0"/>
      <w:marRight w:val="0"/>
      <w:marTop w:val="0"/>
      <w:marBottom w:val="0"/>
      <w:divBdr>
        <w:top w:val="none" w:sz="0" w:space="0" w:color="auto"/>
        <w:left w:val="none" w:sz="0" w:space="0" w:color="auto"/>
        <w:bottom w:val="none" w:sz="0" w:space="0" w:color="auto"/>
        <w:right w:val="none" w:sz="0" w:space="0" w:color="auto"/>
      </w:divBdr>
    </w:div>
    <w:div w:id="2026973756">
      <w:bodyDiv w:val="1"/>
      <w:marLeft w:val="0"/>
      <w:marRight w:val="0"/>
      <w:marTop w:val="0"/>
      <w:marBottom w:val="0"/>
      <w:divBdr>
        <w:top w:val="none" w:sz="0" w:space="0" w:color="auto"/>
        <w:left w:val="none" w:sz="0" w:space="0" w:color="auto"/>
        <w:bottom w:val="none" w:sz="0" w:space="0" w:color="auto"/>
        <w:right w:val="none" w:sz="0" w:space="0" w:color="auto"/>
      </w:divBdr>
    </w:div>
    <w:div w:id="2028485130">
      <w:bodyDiv w:val="1"/>
      <w:marLeft w:val="0"/>
      <w:marRight w:val="0"/>
      <w:marTop w:val="0"/>
      <w:marBottom w:val="0"/>
      <w:divBdr>
        <w:top w:val="none" w:sz="0" w:space="0" w:color="auto"/>
        <w:left w:val="none" w:sz="0" w:space="0" w:color="auto"/>
        <w:bottom w:val="none" w:sz="0" w:space="0" w:color="auto"/>
        <w:right w:val="none" w:sz="0" w:space="0" w:color="auto"/>
      </w:divBdr>
    </w:div>
    <w:div w:id="2028829196">
      <w:bodyDiv w:val="1"/>
      <w:marLeft w:val="0"/>
      <w:marRight w:val="0"/>
      <w:marTop w:val="0"/>
      <w:marBottom w:val="0"/>
      <w:divBdr>
        <w:top w:val="none" w:sz="0" w:space="0" w:color="auto"/>
        <w:left w:val="none" w:sz="0" w:space="0" w:color="auto"/>
        <w:bottom w:val="none" w:sz="0" w:space="0" w:color="auto"/>
        <w:right w:val="none" w:sz="0" w:space="0" w:color="auto"/>
      </w:divBdr>
    </w:div>
    <w:div w:id="2029328306">
      <w:bodyDiv w:val="1"/>
      <w:marLeft w:val="0"/>
      <w:marRight w:val="0"/>
      <w:marTop w:val="0"/>
      <w:marBottom w:val="0"/>
      <w:divBdr>
        <w:top w:val="none" w:sz="0" w:space="0" w:color="auto"/>
        <w:left w:val="none" w:sz="0" w:space="0" w:color="auto"/>
        <w:bottom w:val="none" w:sz="0" w:space="0" w:color="auto"/>
        <w:right w:val="none" w:sz="0" w:space="0" w:color="auto"/>
      </w:divBdr>
    </w:div>
    <w:div w:id="2031249679">
      <w:bodyDiv w:val="1"/>
      <w:marLeft w:val="0"/>
      <w:marRight w:val="0"/>
      <w:marTop w:val="0"/>
      <w:marBottom w:val="0"/>
      <w:divBdr>
        <w:top w:val="none" w:sz="0" w:space="0" w:color="auto"/>
        <w:left w:val="none" w:sz="0" w:space="0" w:color="auto"/>
        <w:bottom w:val="none" w:sz="0" w:space="0" w:color="auto"/>
        <w:right w:val="none" w:sz="0" w:space="0" w:color="auto"/>
      </w:divBdr>
    </w:div>
    <w:div w:id="2032297013">
      <w:bodyDiv w:val="1"/>
      <w:marLeft w:val="0"/>
      <w:marRight w:val="0"/>
      <w:marTop w:val="0"/>
      <w:marBottom w:val="0"/>
      <w:divBdr>
        <w:top w:val="none" w:sz="0" w:space="0" w:color="auto"/>
        <w:left w:val="none" w:sz="0" w:space="0" w:color="auto"/>
        <w:bottom w:val="none" w:sz="0" w:space="0" w:color="auto"/>
        <w:right w:val="none" w:sz="0" w:space="0" w:color="auto"/>
      </w:divBdr>
    </w:div>
    <w:div w:id="2032995607">
      <w:bodyDiv w:val="1"/>
      <w:marLeft w:val="0"/>
      <w:marRight w:val="0"/>
      <w:marTop w:val="0"/>
      <w:marBottom w:val="0"/>
      <w:divBdr>
        <w:top w:val="none" w:sz="0" w:space="0" w:color="auto"/>
        <w:left w:val="none" w:sz="0" w:space="0" w:color="auto"/>
        <w:bottom w:val="none" w:sz="0" w:space="0" w:color="auto"/>
        <w:right w:val="none" w:sz="0" w:space="0" w:color="auto"/>
      </w:divBdr>
    </w:div>
    <w:div w:id="2035499779">
      <w:bodyDiv w:val="1"/>
      <w:marLeft w:val="0"/>
      <w:marRight w:val="0"/>
      <w:marTop w:val="0"/>
      <w:marBottom w:val="0"/>
      <w:divBdr>
        <w:top w:val="none" w:sz="0" w:space="0" w:color="auto"/>
        <w:left w:val="none" w:sz="0" w:space="0" w:color="auto"/>
        <w:bottom w:val="none" w:sz="0" w:space="0" w:color="auto"/>
        <w:right w:val="none" w:sz="0" w:space="0" w:color="auto"/>
      </w:divBdr>
    </w:div>
    <w:div w:id="2037535002">
      <w:bodyDiv w:val="1"/>
      <w:marLeft w:val="0"/>
      <w:marRight w:val="0"/>
      <w:marTop w:val="0"/>
      <w:marBottom w:val="0"/>
      <w:divBdr>
        <w:top w:val="none" w:sz="0" w:space="0" w:color="auto"/>
        <w:left w:val="none" w:sz="0" w:space="0" w:color="auto"/>
        <w:bottom w:val="none" w:sz="0" w:space="0" w:color="auto"/>
        <w:right w:val="none" w:sz="0" w:space="0" w:color="auto"/>
      </w:divBdr>
    </w:div>
    <w:div w:id="2041931847">
      <w:bodyDiv w:val="1"/>
      <w:marLeft w:val="0"/>
      <w:marRight w:val="0"/>
      <w:marTop w:val="0"/>
      <w:marBottom w:val="0"/>
      <w:divBdr>
        <w:top w:val="none" w:sz="0" w:space="0" w:color="auto"/>
        <w:left w:val="none" w:sz="0" w:space="0" w:color="auto"/>
        <w:bottom w:val="none" w:sz="0" w:space="0" w:color="auto"/>
        <w:right w:val="none" w:sz="0" w:space="0" w:color="auto"/>
      </w:divBdr>
    </w:div>
    <w:div w:id="2042321128">
      <w:bodyDiv w:val="1"/>
      <w:marLeft w:val="0"/>
      <w:marRight w:val="0"/>
      <w:marTop w:val="0"/>
      <w:marBottom w:val="0"/>
      <w:divBdr>
        <w:top w:val="none" w:sz="0" w:space="0" w:color="auto"/>
        <w:left w:val="none" w:sz="0" w:space="0" w:color="auto"/>
        <w:bottom w:val="none" w:sz="0" w:space="0" w:color="auto"/>
        <w:right w:val="none" w:sz="0" w:space="0" w:color="auto"/>
      </w:divBdr>
    </w:div>
    <w:div w:id="2043240085">
      <w:bodyDiv w:val="1"/>
      <w:marLeft w:val="0"/>
      <w:marRight w:val="0"/>
      <w:marTop w:val="0"/>
      <w:marBottom w:val="0"/>
      <w:divBdr>
        <w:top w:val="none" w:sz="0" w:space="0" w:color="auto"/>
        <w:left w:val="none" w:sz="0" w:space="0" w:color="auto"/>
        <w:bottom w:val="none" w:sz="0" w:space="0" w:color="auto"/>
        <w:right w:val="none" w:sz="0" w:space="0" w:color="auto"/>
      </w:divBdr>
    </w:div>
    <w:div w:id="2044358488">
      <w:bodyDiv w:val="1"/>
      <w:marLeft w:val="0"/>
      <w:marRight w:val="0"/>
      <w:marTop w:val="0"/>
      <w:marBottom w:val="0"/>
      <w:divBdr>
        <w:top w:val="none" w:sz="0" w:space="0" w:color="auto"/>
        <w:left w:val="none" w:sz="0" w:space="0" w:color="auto"/>
        <w:bottom w:val="none" w:sz="0" w:space="0" w:color="auto"/>
        <w:right w:val="none" w:sz="0" w:space="0" w:color="auto"/>
      </w:divBdr>
    </w:div>
    <w:div w:id="2044671530">
      <w:bodyDiv w:val="1"/>
      <w:marLeft w:val="0"/>
      <w:marRight w:val="0"/>
      <w:marTop w:val="0"/>
      <w:marBottom w:val="0"/>
      <w:divBdr>
        <w:top w:val="none" w:sz="0" w:space="0" w:color="auto"/>
        <w:left w:val="none" w:sz="0" w:space="0" w:color="auto"/>
        <w:bottom w:val="none" w:sz="0" w:space="0" w:color="auto"/>
        <w:right w:val="none" w:sz="0" w:space="0" w:color="auto"/>
      </w:divBdr>
    </w:div>
    <w:div w:id="2044866747">
      <w:bodyDiv w:val="1"/>
      <w:marLeft w:val="0"/>
      <w:marRight w:val="0"/>
      <w:marTop w:val="0"/>
      <w:marBottom w:val="0"/>
      <w:divBdr>
        <w:top w:val="none" w:sz="0" w:space="0" w:color="auto"/>
        <w:left w:val="none" w:sz="0" w:space="0" w:color="auto"/>
        <w:bottom w:val="none" w:sz="0" w:space="0" w:color="auto"/>
        <w:right w:val="none" w:sz="0" w:space="0" w:color="auto"/>
      </w:divBdr>
    </w:div>
    <w:div w:id="2045594355">
      <w:bodyDiv w:val="1"/>
      <w:marLeft w:val="0"/>
      <w:marRight w:val="0"/>
      <w:marTop w:val="0"/>
      <w:marBottom w:val="0"/>
      <w:divBdr>
        <w:top w:val="none" w:sz="0" w:space="0" w:color="auto"/>
        <w:left w:val="none" w:sz="0" w:space="0" w:color="auto"/>
        <w:bottom w:val="none" w:sz="0" w:space="0" w:color="auto"/>
        <w:right w:val="none" w:sz="0" w:space="0" w:color="auto"/>
      </w:divBdr>
    </w:div>
    <w:div w:id="2045865013">
      <w:bodyDiv w:val="1"/>
      <w:marLeft w:val="0"/>
      <w:marRight w:val="0"/>
      <w:marTop w:val="0"/>
      <w:marBottom w:val="0"/>
      <w:divBdr>
        <w:top w:val="none" w:sz="0" w:space="0" w:color="auto"/>
        <w:left w:val="none" w:sz="0" w:space="0" w:color="auto"/>
        <w:bottom w:val="none" w:sz="0" w:space="0" w:color="auto"/>
        <w:right w:val="none" w:sz="0" w:space="0" w:color="auto"/>
      </w:divBdr>
    </w:div>
    <w:div w:id="2045979280">
      <w:bodyDiv w:val="1"/>
      <w:marLeft w:val="0"/>
      <w:marRight w:val="0"/>
      <w:marTop w:val="0"/>
      <w:marBottom w:val="0"/>
      <w:divBdr>
        <w:top w:val="none" w:sz="0" w:space="0" w:color="auto"/>
        <w:left w:val="none" w:sz="0" w:space="0" w:color="auto"/>
        <w:bottom w:val="none" w:sz="0" w:space="0" w:color="auto"/>
        <w:right w:val="none" w:sz="0" w:space="0" w:color="auto"/>
      </w:divBdr>
    </w:div>
    <w:div w:id="2048022853">
      <w:bodyDiv w:val="1"/>
      <w:marLeft w:val="0"/>
      <w:marRight w:val="0"/>
      <w:marTop w:val="0"/>
      <w:marBottom w:val="0"/>
      <w:divBdr>
        <w:top w:val="none" w:sz="0" w:space="0" w:color="auto"/>
        <w:left w:val="none" w:sz="0" w:space="0" w:color="auto"/>
        <w:bottom w:val="none" w:sz="0" w:space="0" w:color="auto"/>
        <w:right w:val="none" w:sz="0" w:space="0" w:color="auto"/>
      </w:divBdr>
    </w:div>
    <w:div w:id="2048025914">
      <w:bodyDiv w:val="1"/>
      <w:marLeft w:val="0"/>
      <w:marRight w:val="0"/>
      <w:marTop w:val="0"/>
      <w:marBottom w:val="0"/>
      <w:divBdr>
        <w:top w:val="none" w:sz="0" w:space="0" w:color="auto"/>
        <w:left w:val="none" w:sz="0" w:space="0" w:color="auto"/>
        <w:bottom w:val="none" w:sz="0" w:space="0" w:color="auto"/>
        <w:right w:val="none" w:sz="0" w:space="0" w:color="auto"/>
      </w:divBdr>
    </w:div>
    <w:div w:id="2049210285">
      <w:bodyDiv w:val="1"/>
      <w:marLeft w:val="0"/>
      <w:marRight w:val="0"/>
      <w:marTop w:val="0"/>
      <w:marBottom w:val="0"/>
      <w:divBdr>
        <w:top w:val="none" w:sz="0" w:space="0" w:color="auto"/>
        <w:left w:val="none" w:sz="0" w:space="0" w:color="auto"/>
        <w:bottom w:val="none" w:sz="0" w:space="0" w:color="auto"/>
        <w:right w:val="none" w:sz="0" w:space="0" w:color="auto"/>
      </w:divBdr>
    </w:div>
    <w:div w:id="2049408567">
      <w:bodyDiv w:val="1"/>
      <w:marLeft w:val="0"/>
      <w:marRight w:val="0"/>
      <w:marTop w:val="0"/>
      <w:marBottom w:val="0"/>
      <w:divBdr>
        <w:top w:val="none" w:sz="0" w:space="0" w:color="auto"/>
        <w:left w:val="none" w:sz="0" w:space="0" w:color="auto"/>
        <w:bottom w:val="none" w:sz="0" w:space="0" w:color="auto"/>
        <w:right w:val="none" w:sz="0" w:space="0" w:color="auto"/>
      </w:divBdr>
    </w:div>
    <w:div w:id="2049648940">
      <w:bodyDiv w:val="1"/>
      <w:marLeft w:val="0"/>
      <w:marRight w:val="0"/>
      <w:marTop w:val="0"/>
      <w:marBottom w:val="0"/>
      <w:divBdr>
        <w:top w:val="none" w:sz="0" w:space="0" w:color="auto"/>
        <w:left w:val="none" w:sz="0" w:space="0" w:color="auto"/>
        <w:bottom w:val="none" w:sz="0" w:space="0" w:color="auto"/>
        <w:right w:val="none" w:sz="0" w:space="0" w:color="auto"/>
      </w:divBdr>
    </w:div>
    <w:div w:id="2049913016">
      <w:bodyDiv w:val="1"/>
      <w:marLeft w:val="0"/>
      <w:marRight w:val="0"/>
      <w:marTop w:val="0"/>
      <w:marBottom w:val="0"/>
      <w:divBdr>
        <w:top w:val="none" w:sz="0" w:space="0" w:color="auto"/>
        <w:left w:val="none" w:sz="0" w:space="0" w:color="auto"/>
        <w:bottom w:val="none" w:sz="0" w:space="0" w:color="auto"/>
        <w:right w:val="none" w:sz="0" w:space="0" w:color="auto"/>
      </w:divBdr>
    </w:div>
    <w:div w:id="2052219352">
      <w:bodyDiv w:val="1"/>
      <w:marLeft w:val="0"/>
      <w:marRight w:val="0"/>
      <w:marTop w:val="0"/>
      <w:marBottom w:val="0"/>
      <w:divBdr>
        <w:top w:val="none" w:sz="0" w:space="0" w:color="auto"/>
        <w:left w:val="none" w:sz="0" w:space="0" w:color="auto"/>
        <w:bottom w:val="none" w:sz="0" w:space="0" w:color="auto"/>
        <w:right w:val="none" w:sz="0" w:space="0" w:color="auto"/>
      </w:divBdr>
    </w:div>
    <w:div w:id="2054453339">
      <w:bodyDiv w:val="1"/>
      <w:marLeft w:val="0"/>
      <w:marRight w:val="0"/>
      <w:marTop w:val="0"/>
      <w:marBottom w:val="0"/>
      <w:divBdr>
        <w:top w:val="none" w:sz="0" w:space="0" w:color="auto"/>
        <w:left w:val="none" w:sz="0" w:space="0" w:color="auto"/>
        <w:bottom w:val="none" w:sz="0" w:space="0" w:color="auto"/>
        <w:right w:val="none" w:sz="0" w:space="0" w:color="auto"/>
      </w:divBdr>
    </w:div>
    <w:div w:id="2054689567">
      <w:bodyDiv w:val="1"/>
      <w:marLeft w:val="0"/>
      <w:marRight w:val="0"/>
      <w:marTop w:val="0"/>
      <w:marBottom w:val="0"/>
      <w:divBdr>
        <w:top w:val="none" w:sz="0" w:space="0" w:color="auto"/>
        <w:left w:val="none" w:sz="0" w:space="0" w:color="auto"/>
        <w:bottom w:val="none" w:sz="0" w:space="0" w:color="auto"/>
        <w:right w:val="none" w:sz="0" w:space="0" w:color="auto"/>
      </w:divBdr>
    </w:div>
    <w:div w:id="2055501715">
      <w:bodyDiv w:val="1"/>
      <w:marLeft w:val="0"/>
      <w:marRight w:val="0"/>
      <w:marTop w:val="0"/>
      <w:marBottom w:val="0"/>
      <w:divBdr>
        <w:top w:val="none" w:sz="0" w:space="0" w:color="auto"/>
        <w:left w:val="none" w:sz="0" w:space="0" w:color="auto"/>
        <w:bottom w:val="none" w:sz="0" w:space="0" w:color="auto"/>
        <w:right w:val="none" w:sz="0" w:space="0" w:color="auto"/>
      </w:divBdr>
    </w:div>
    <w:div w:id="2055619315">
      <w:bodyDiv w:val="1"/>
      <w:marLeft w:val="0"/>
      <w:marRight w:val="0"/>
      <w:marTop w:val="0"/>
      <w:marBottom w:val="0"/>
      <w:divBdr>
        <w:top w:val="none" w:sz="0" w:space="0" w:color="auto"/>
        <w:left w:val="none" w:sz="0" w:space="0" w:color="auto"/>
        <w:bottom w:val="none" w:sz="0" w:space="0" w:color="auto"/>
        <w:right w:val="none" w:sz="0" w:space="0" w:color="auto"/>
      </w:divBdr>
    </w:div>
    <w:div w:id="2057701851">
      <w:bodyDiv w:val="1"/>
      <w:marLeft w:val="0"/>
      <w:marRight w:val="0"/>
      <w:marTop w:val="0"/>
      <w:marBottom w:val="0"/>
      <w:divBdr>
        <w:top w:val="none" w:sz="0" w:space="0" w:color="auto"/>
        <w:left w:val="none" w:sz="0" w:space="0" w:color="auto"/>
        <w:bottom w:val="none" w:sz="0" w:space="0" w:color="auto"/>
        <w:right w:val="none" w:sz="0" w:space="0" w:color="auto"/>
      </w:divBdr>
    </w:div>
    <w:div w:id="2057703195">
      <w:bodyDiv w:val="1"/>
      <w:marLeft w:val="0"/>
      <w:marRight w:val="0"/>
      <w:marTop w:val="0"/>
      <w:marBottom w:val="0"/>
      <w:divBdr>
        <w:top w:val="none" w:sz="0" w:space="0" w:color="auto"/>
        <w:left w:val="none" w:sz="0" w:space="0" w:color="auto"/>
        <w:bottom w:val="none" w:sz="0" w:space="0" w:color="auto"/>
        <w:right w:val="none" w:sz="0" w:space="0" w:color="auto"/>
      </w:divBdr>
    </w:div>
    <w:div w:id="2057851939">
      <w:bodyDiv w:val="1"/>
      <w:marLeft w:val="0"/>
      <w:marRight w:val="0"/>
      <w:marTop w:val="0"/>
      <w:marBottom w:val="0"/>
      <w:divBdr>
        <w:top w:val="none" w:sz="0" w:space="0" w:color="auto"/>
        <w:left w:val="none" w:sz="0" w:space="0" w:color="auto"/>
        <w:bottom w:val="none" w:sz="0" w:space="0" w:color="auto"/>
        <w:right w:val="none" w:sz="0" w:space="0" w:color="auto"/>
      </w:divBdr>
    </w:div>
    <w:div w:id="2058039855">
      <w:bodyDiv w:val="1"/>
      <w:marLeft w:val="0"/>
      <w:marRight w:val="0"/>
      <w:marTop w:val="0"/>
      <w:marBottom w:val="0"/>
      <w:divBdr>
        <w:top w:val="none" w:sz="0" w:space="0" w:color="auto"/>
        <w:left w:val="none" w:sz="0" w:space="0" w:color="auto"/>
        <w:bottom w:val="none" w:sz="0" w:space="0" w:color="auto"/>
        <w:right w:val="none" w:sz="0" w:space="0" w:color="auto"/>
      </w:divBdr>
    </w:div>
    <w:div w:id="2058046179">
      <w:bodyDiv w:val="1"/>
      <w:marLeft w:val="0"/>
      <w:marRight w:val="0"/>
      <w:marTop w:val="0"/>
      <w:marBottom w:val="0"/>
      <w:divBdr>
        <w:top w:val="none" w:sz="0" w:space="0" w:color="auto"/>
        <w:left w:val="none" w:sz="0" w:space="0" w:color="auto"/>
        <w:bottom w:val="none" w:sz="0" w:space="0" w:color="auto"/>
        <w:right w:val="none" w:sz="0" w:space="0" w:color="auto"/>
      </w:divBdr>
    </w:div>
    <w:div w:id="2060014201">
      <w:bodyDiv w:val="1"/>
      <w:marLeft w:val="0"/>
      <w:marRight w:val="0"/>
      <w:marTop w:val="0"/>
      <w:marBottom w:val="0"/>
      <w:divBdr>
        <w:top w:val="none" w:sz="0" w:space="0" w:color="auto"/>
        <w:left w:val="none" w:sz="0" w:space="0" w:color="auto"/>
        <w:bottom w:val="none" w:sz="0" w:space="0" w:color="auto"/>
        <w:right w:val="none" w:sz="0" w:space="0" w:color="auto"/>
      </w:divBdr>
    </w:div>
    <w:div w:id="2060745293">
      <w:bodyDiv w:val="1"/>
      <w:marLeft w:val="0"/>
      <w:marRight w:val="0"/>
      <w:marTop w:val="0"/>
      <w:marBottom w:val="0"/>
      <w:divBdr>
        <w:top w:val="none" w:sz="0" w:space="0" w:color="auto"/>
        <w:left w:val="none" w:sz="0" w:space="0" w:color="auto"/>
        <w:bottom w:val="none" w:sz="0" w:space="0" w:color="auto"/>
        <w:right w:val="none" w:sz="0" w:space="0" w:color="auto"/>
      </w:divBdr>
    </w:div>
    <w:div w:id="2060939303">
      <w:bodyDiv w:val="1"/>
      <w:marLeft w:val="0"/>
      <w:marRight w:val="0"/>
      <w:marTop w:val="0"/>
      <w:marBottom w:val="0"/>
      <w:divBdr>
        <w:top w:val="none" w:sz="0" w:space="0" w:color="auto"/>
        <w:left w:val="none" w:sz="0" w:space="0" w:color="auto"/>
        <w:bottom w:val="none" w:sz="0" w:space="0" w:color="auto"/>
        <w:right w:val="none" w:sz="0" w:space="0" w:color="auto"/>
      </w:divBdr>
    </w:div>
    <w:div w:id="2061057043">
      <w:bodyDiv w:val="1"/>
      <w:marLeft w:val="0"/>
      <w:marRight w:val="0"/>
      <w:marTop w:val="0"/>
      <w:marBottom w:val="0"/>
      <w:divBdr>
        <w:top w:val="none" w:sz="0" w:space="0" w:color="auto"/>
        <w:left w:val="none" w:sz="0" w:space="0" w:color="auto"/>
        <w:bottom w:val="none" w:sz="0" w:space="0" w:color="auto"/>
        <w:right w:val="none" w:sz="0" w:space="0" w:color="auto"/>
      </w:divBdr>
    </w:div>
    <w:div w:id="2061780191">
      <w:bodyDiv w:val="1"/>
      <w:marLeft w:val="0"/>
      <w:marRight w:val="0"/>
      <w:marTop w:val="0"/>
      <w:marBottom w:val="0"/>
      <w:divBdr>
        <w:top w:val="none" w:sz="0" w:space="0" w:color="auto"/>
        <w:left w:val="none" w:sz="0" w:space="0" w:color="auto"/>
        <w:bottom w:val="none" w:sz="0" w:space="0" w:color="auto"/>
        <w:right w:val="none" w:sz="0" w:space="0" w:color="auto"/>
      </w:divBdr>
    </w:div>
    <w:div w:id="2062098389">
      <w:bodyDiv w:val="1"/>
      <w:marLeft w:val="0"/>
      <w:marRight w:val="0"/>
      <w:marTop w:val="0"/>
      <w:marBottom w:val="0"/>
      <w:divBdr>
        <w:top w:val="none" w:sz="0" w:space="0" w:color="auto"/>
        <w:left w:val="none" w:sz="0" w:space="0" w:color="auto"/>
        <w:bottom w:val="none" w:sz="0" w:space="0" w:color="auto"/>
        <w:right w:val="none" w:sz="0" w:space="0" w:color="auto"/>
      </w:divBdr>
    </w:div>
    <w:div w:id="2062364496">
      <w:bodyDiv w:val="1"/>
      <w:marLeft w:val="0"/>
      <w:marRight w:val="0"/>
      <w:marTop w:val="0"/>
      <w:marBottom w:val="0"/>
      <w:divBdr>
        <w:top w:val="none" w:sz="0" w:space="0" w:color="auto"/>
        <w:left w:val="none" w:sz="0" w:space="0" w:color="auto"/>
        <w:bottom w:val="none" w:sz="0" w:space="0" w:color="auto"/>
        <w:right w:val="none" w:sz="0" w:space="0" w:color="auto"/>
      </w:divBdr>
    </w:div>
    <w:div w:id="2062435040">
      <w:bodyDiv w:val="1"/>
      <w:marLeft w:val="0"/>
      <w:marRight w:val="0"/>
      <w:marTop w:val="0"/>
      <w:marBottom w:val="0"/>
      <w:divBdr>
        <w:top w:val="none" w:sz="0" w:space="0" w:color="auto"/>
        <w:left w:val="none" w:sz="0" w:space="0" w:color="auto"/>
        <w:bottom w:val="none" w:sz="0" w:space="0" w:color="auto"/>
        <w:right w:val="none" w:sz="0" w:space="0" w:color="auto"/>
      </w:divBdr>
    </w:div>
    <w:div w:id="2062706485">
      <w:bodyDiv w:val="1"/>
      <w:marLeft w:val="0"/>
      <w:marRight w:val="0"/>
      <w:marTop w:val="0"/>
      <w:marBottom w:val="0"/>
      <w:divBdr>
        <w:top w:val="none" w:sz="0" w:space="0" w:color="auto"/>
        <w:left w:val="none" w:sz="0" w:space="0" w:color="auto"/>
        <w:bottom w:val="none" w:sz="0" w:space="0" w:color="auto"/>
        <w:right w:val="none" w:sz="0" w:space="0" w:color="auto"/>
      </w:divBdr>
    </w:div>
    <w:div w:id="2063558840">
      <w:bodyDiv w:val="1"/>
      <w:marLeft w:val="0"/>
      <w:marRight w:val="0"/>
      <w:marTop w:val="0"/>
      <w:marBottom w:val="0"/>
      <w:divBdr>
        <w:top w:val="none" w:sz="0" w:space="0" w:color="auto"/>
        <w:left w:val="none" w:sz="0" w:space="0" w:color="auto"/>
        <w:bottom w:val="none" w:sz="0" w:space="0" w:color="auto"/>
        <w:right w:val="none" w:sz="0" w:space="0" w:color="auto"/>
      </w:divBdr>
    </w:div>
    <w:div w:id="2064600376">
      <w:bodyDiv w:val="1"/>
      <w:marLeft w:val="0"/>
      <w:marRight w:val="0"/>
      <w:marTop w:val="0"/>
      <w:marBottom w:val="0"/>
      <w:divBdr>
        <w:top w:val="none" w:sz="0" w:space="0" w:color="auto"/>
        <w:left w:val="none" w:sz="0" w:space="0" w:color="auto"/>
        <w:bottom w:val="none" w:sz="0" w:space="0" w:color="auto"/>
        <w:right w:val="none" w:sz="0" w:space="0" w:color="auto"/>
      </w:divBdr>
    </w:div>
    <w:div w:id="2064980380">
      <w:bodyDiv w:val="1"/>
      <w:marLeft w:val="0"/>
      <w:marRight w:val="0"/>
      <w:marTop w:val="0"/>
      <w:marBottom w:val="0"/>
      <w:divBdr>
        <w:top w:val="none" w:sz="0" w:space="0" w:color="auto"/>
        <w:left w:val="none" w:sz="0" w:space="0" w:color="auto"/>
        <w:bottom w:val="none" w:sz="0" w:space="0" w:color="auto"/>
        <w:right w:val="none" w:sz="0" w:space="0" w:color="auto"/>
      </w:divBdr>
    </w:div>
    <w:div w:id="2065564865">
      <w:bodyDiv w:val="1"/>
      <w:marLeft w:val="0"/>
      <w:marRight w:val="0"/>
      <w:marTop w:val="0"/>
      <w:marBottom w:val="0"/>
      <w:divBdr>
        <w:top w:val="none" w:sz="0" w:space="0" w:color="auto"/>
        <w:left w:val="none" w:sz="0" w:space="0" w:color="auto"/>
        <w:bottom w:val="none" w:sz="0" w:space="0" w:color="auto"/>
        <w:right w:val="none" w:sz="0" w:space="0" w:color="auto"/>
      </w:divBdr>
    </w:div>
    <w:div w:id="2065641183">
      <w:bodyDiv w:val="1"/>
      <w:marLeft w:val="0"/>
      <w:marRight w:val="0"/>
      <w:marTop w:val="0"/>
      <w:marBottom w:val="0"/>
      <w:divBdr>
        <w:top w:val="none" w:sz="0" w:space="0" w:color="auto"/>
        <w:left w:val="none" w:sz="0" w:space="0" w:color="auto"/>
        <w:bottom w:val="none" w:sz="0" w:space="0" w:color="auto"/>
        <w:right w:val="none" w:sz="0" w:space="0" w:color="auto"/>
      </w:divBdr>
    </w:div>
    <w:div w:id="2067222970">
      <w:bodyDiv w:val="1"/>
      <w:marLeft w:val="0"/>
      <w:marRight w:val="0"/>
      <w:marTop w:val="0"/>
      <w:marBottom w:val="0"/>
      <w:divBdr>
        <w:top w:val="none" w:sz="0" w:space="0" w:color="auto"/>
        <w:left w:val="none" w:sz="0" w:space="0" w:color="auto"/>
        <w:bottom w:val="none" w:sz="0" w:space="0" w:color="auto"/>
        <w:right w:val="none" w:sz="0" w:space="0" w:color="auto"/>
      </w:divBdr>
    </w:div>
    <w:div w:id="2067364735">
      <w:bodyDiv w:val="1"/>
      <w:marLeft w:val="0"/>
      <w:marRight w:val="0"/>
      <w:marTop w:val="0"/>
      <w:marBottom w:val="0"/>
      <w:divBdr>
        <w:top w:val="none" w:sz="0" w:space="0" w:color="auto"/>
        <w:left w:val="none" w:sz="0" w:space="0" w:color="auto"/>
        <w:bottom w:val="none" w:sz="0" w:space="0" w:color="auto"/>
        <w:right w:val="none" w:sz="0" w:space="0" w:color="auto"/>
      </w:divBdr>
    </w:div>
    <w:div w:id="2067953621">
      <w:bodyDiv w:val="1"/>
      <w:marLeft w:val="0"/>
      <w:marRight w:val="0"/>
      <w:marTop w:val="0"/>
      <w:marBottom w:val="0"/>
      <w:divBdr>
        <w:top w:val="none" w:sz="0" w:space="0" w:color="auto"/>
        <w:left w:val="none" w:sz="0" w:space="0" w:color="auto"/>
        <w:bottom w:val="none" w:sz="0" w:space="0" w:color="auto"/>
        <w:right w:val="none" w:sz="0" w:space="0" w:color="auto"/>
      </w:divBdr>
    </w:div>
    <w:div w:id="2068452900">
      <w:bodyDiv w:val="1"/>
      <w:marLeft w:val="0"/>
      <w:marRight w:val="0"/>
      <w:marTop w:val="0"/>
      <w:marBottom w:val="0"/>
      <w:divBdr>
        <w:top w:val="none" w:sz="0" w:space="0" w:color="auto"/>
        <w:left w:val="none" w:sz="0" w:space="0" w:color="auto"/>
        <w:bottom w:val="none" w:sz="0" w:space="0" w:color="auto"/>
        <w:right w:val="none" w:sz="0" w:space="0" w:color="auto"/>
      </w:divBdr>
    </w:div>
    <w:div w:id="2070807615">
      <w:bodyDiv w:val="1"/>
      <w:marLeft w:val="0"/>
      <w:marRight w:val="0"/>
      <w:marTop w:val="0"/>
      <w:marBottom w:val="0"/>
      <w:divBdr>
        <w:top w:val="none" w:sz="0" w:space="0" w:color="auto"/>
        <w:left w:val="none" w:sz="0" w:space="0" w:color="auto"/>
        <w:bottom w:val="none" w:sz="0" w:space="0" w:color="auto"/>
        <w:right w:val="none" w:sz="0" w:space="0" w:color="auto"/>
      </w:divBdr>
    </w:div>
    <w:div w:id="2070807979">
      <w:bodyDiv w:val="1"/>
      <w:marLeft w:val="0"/>
      <w:marRight w:val="0"/>
      <w:marTop w:val="0"/>
      <w:marBottom w:val="0"/>
      <w:divBdr>
        <w:top w:val="none" w:sz="0" w:space="0" w:color="auto"/>
        <w:left w:val="none" w:sz="0" w:space="0" w:color="auto"/>
        <w:bottom w:val="none" w:sz="0" w:space="0" w:color="auto"/>
        <w:right w:val="none" w:sz="0" w:space="0" w:color="auto"/>
      </w:divBdr>
    </w:div>
    <w:div w:id="2071075084">
      <w:bodyDiv w:val="1"/>
      <w:marLeft w:val="0"/>
      <w:marRight w:val="0"/>
      <w:marTop w:val="0"/>
      <w:marBottom w:val="0"/>
      <w:divBdr>
        <w:top w:val="none" w:sz="0" w:space="0" w:color="auto"/>
        <w:left w:val="none" w:sz="0" w:space="0" w:color="auto"/>
        <w:bottom w:val="none" w:sz="0" w:space="0" w:color="auto"/>
        <w:right w:val="none" w:sz="0" w:space="0" w:color="auto"/>
      </w:divBdr>
    </w:div>
    <w:div w:id="2071535296">
      <w:bodyDiv w:val="1"/>
      <w:marLeft w:val="0"/>
      <w:marRight w:val="0"/>
      <w:marTop w:val="0"/>
      <w:marBottom w:val="0"/>
      <w:divBdr>
        <w:top w:val="none" w:sz="0" w:space="0" w:color="auto"/>
        <w:left w:val="none" w:sz="0" w:space="0" w:color="auto"/>
        <w:bottom w:val="none" w:sz="0" w:space="0" w:color="auto"/>
        <w:right w:val="none" w:sz="0" w:space="0" w:color="auto"/>
      </w:divBdr>
    </w:div>
    <w:div w:id="2072655340">
      <w:bodyDiv w:val="1"/>
      <w:marLeft w:val="0"/>
      <w:marRight w:val="0"/>
      <w:marTop w:val="0"/>
      <w:marBottom w:val="0"/>
      <w:divBdr>
        <w:top w:val="none" w:sz="0" w:space="0" w:color="auto"/>
        <w:left w:val="none" w:sz="0" w:space="0" w:color="auto"/>
        <w:bottom w:val="none" w:sz="0" w:space="0" w:color="auto"/>
        <w:right w:val="none" w:sz="0" w:space="0" w:color="auto"/>
      </w:divBdr>
    </w:div>
    <w:div w:id="2074237254">
      <w:bodyDiv w:val="1"/>
      <w:marLeft w:val="0"/>
      <w:marRight w:val="0"/>
      <w:marTop w:val="0"/>
      <w:marBottom w:val="0"/>
      <w:divBdr>
        <w:top w:val="none" w:sz="0" w:space="0" w:color="auto"/>
        <w:left w:val="none" w:sz="0" w:space="0" w:color="auto"/>
        <w:bottom w:val="none" w:sz="0" w:space="0" w:color="auto"/>
        <w:right w:val="none" w:sz="0" w:space="0" w:color="auto"/>
      </w:divBdr>
    </w:div>
    <w:div w:id="2076202385">
      <w:bodyDiv w:val="1"/>
      <w:marLeft w:val="0"/>
      <w:marRight w:val="0"/>
      <w:marTop w:val="0"/>
      <w:marBottom w:val="0"/>
      <w:divBdr>
        <w:top w:val="none" w:sz="0" w:space="0" w:color="auto"/>
        <w:left w:val="none" w:sz="0" w:space="0" w:color="auto"/>
        <w:bottom w:val="none" w:sz="0" w:space="0" w:color="auto"/>
        <w:right w:val="none" w:sz="0" w:space="0" w:color="auto"/>
      </w:divBdr>
    </w:div>
    <w:div w:id="2076274389">
      <w:bodyDiv w:val="1"/>
      <w:marLeft w:val="0"/>
      <w:marRight w:val="0"/>
      <w:marTop w:val="0"/>
      <w:marBottom w:val="0"/>
      <w:divBdr>
        <w:top w:val="none" w:sz="0" w:space="0" w:color="auto"/>
        <w:left w:val="none" w:sz="0" w:space="0" w:color="auto"/>
        <w:bottom w:val="none" w:sz="0" w:space="0" w:color="auto"/>
        <w:right w:val="none" w:sz="0" w:space="0" w:color="auto"/>
      </w:divBdr>
    </w:div>
    <w:div w:id="2076852907">
      <w:bodyDiv w:val="1"/>
      <w:marLeft w:val="0"/>
      <w:marRight w:val="0"/>
      <w:marTop w:val="0"/>
      <w:marBottom w:val="0"/>
      <w:divBdr>
        <w:top w:val="none" w:sz="0" w:space="0" w:color="auto"/>
        <w:left w:val="none" w:sz="0" w:space="0" w:color="auto"/>
        <w:bottom w:val="none" w:sz="0" w:space="0" w:color="auto"/>
        <w:right w:val="none" w:sz="0" w:space="0" w:color="auto"/>
      </w:divBdr>
    </w:div>
    <w:div w:id="2076927248">
      <w:bodyDiv w:val="1"/>
      <w:marLeft w:val="0"/>
      <w:marRight w:val="0"/>
      <w:marTop w:val="0"/>
      <w:marBottom w:val="0"/>
      <w:divBdr>
        <w:top w:val="none" w:sz="0" w:space="0" w:color="auto"/>
        <w:left w:val="none" w:sz="0" w:space="0" w:color="auto"/>
        <w:bottom w:val="none" w:sz="0" w:space="0" w:color="auto"/>
        <w:right w:val="none" w:sz="0" w:space="0" w:color="auto"/>
      </w:divBdr>
    </w:div>
    <w:div w:id="2080403870">
      <w:bodyDiv w:val="1"/>
      <w:marLeft w:val="0"/>
      <w:marRight w:val="0"/>
      <w:marTop w:val="0"/>
      <w:marBottom w:val="0"/>
      <w:divBdr>
        <w:top w:val="none" w:sz="0" w:space="0" w:color="auto"/>
        <w:left w:val="none" w:sz="0" w:space="0" w:color="auto"/>
        <w:bottom w:val="none" w:sz="0" w:space="0" w:color="auto"/>
        <w:right w:val="none" w:sz="0" w:space="0" w:color="auto"/>
      </w:divBdr>
    </w:div>
    <w:div w:id="2080668750">
      <w:bodyDiv w:val="1"/>
      <w:marLeft w:val="0"/>
      <w:marRight w:val="0"/>
      <w:marTop w:val="0"/>
      <w:marBottom w:val="0"/>
      <w:divBdr>
        <w:top w:val="none" w:sz="0" w:space="0" w:color="auto"/>
        <w:left w:val="none" w:sz="0" w:space="0" w:color="auto"/>
        <w:bottom w:val="none" w:sz="0" w:space="0" w:color="auto"/>
        <w:right w:val="none" w:sz="0" w:space="0" w:color="auto"/>
      </w:divBdr>
    </w:div>
    <w:div w:id="2081560598">
      <w:bodyDiv w:val="1"/>
      <w:marLeft w:val="0"/>
      <w:marRight w:val="0"/>
      <w:marTop w:val="0"/>
      <w:marBottom w:val="0"/>
      <w:divBdr>
        <w:top w:val="none" w:sz="0" w:space="0" w:color="auto"/>
        <w:left w:val="none" w:sz="0" w:space="0" w:color="auto"/>
        <w:bottom w:val="none" w:sz="0" w:space="0" w:color="auto"/>
        <w:right w:val="none" w:sz="0" w:space="0" w:color="auto"/>
      </w:divBdr>
    </w:div>
    <w:div w:id="2084328497">
      <w:bodyDiv w:val="1"/>
      <w:marLeft w:val="0"/>
      <w:marRight w:val="0"/>
      <w:marTop w:val="0"/>
      <w:marBottom w:val="0"/>
      <w:divBdr>
        <w:top w:val="none" w:sz="0" w:space="0" w:color="auto"/>
        <w:left w:val="none" w:sz="0" w:space="0" w:color="auto"/>
        <w:bottom w:val="none" w:sz="0" w:space="0" w:color="auto"/>
        <w:right w:val="none" w:sz="0" w:space="0" w:color="auto"/>
      </w:divBdr>
    </w:div>
    <w:div w:id="2085452562">
      <w:bodyDiv w:val="1"/>
      <w:marLeft w:val="0"/>
      <w:marRight w:val="0"/>
      <w:marTop w:val="0"/>
      <w:marBottom w:val="0"/>
      <w:divBdr>
        <w:top w:val="none" w:sz="0" w:space="0" w:color="auto"/>
        <w:left w:val="none" w:sz="0" w:space="0" w:color="auto"/>
        <w:bottom w:val="none" w:sz="0" w:space="0" w:color="auto"/>
        <w:right w:val="none" w:sz="0" w:space="0" w:color="auto"/>
      </w:divBdr>
    </w:div>
    <w:div w:id="2087604247">
      <w:bodyDiv w:val="1"/>
      <w:marLeft w:val="0"/>
      <w:marRight w:val="0"/>
      <w:marTop w:val="0"/>
      <w:marBottom w:val="0"/>
      <w:divBdr>
        <w:top w:val="none" w:sz="0" w:space="0" w:color="auto"/>
        <w:left w:val="none" w:sz="0" w:space="0" w:color="auto"/>
        <w:bottom w:val="none" w:sz="0" w:space="0" w:color="auto"/>
        <w:right w:val="none" w:sz="0" w:space="0" w:color="auto"/>
      </w:divBdr>
    </w:div>
    <w:div w:id="2088651716">
      <w:bodyDiv w:val="1"/>
      <w:marLeft w:val="0"/>
      <w:marRight w:val="0"/>
      <w:marTop w:val="0"/>
      <w:marBottom w:val="0"/>
      <w:divBdr>
        <w:top w:val="none" w:sz="0" w:space="0" w:color="auto"/>
        <w:left w:val="none" w:sz="0" w:space="0" w:color="auto"/>
        <w:bottom w:val="none" w:sz="0" w:space="0" w:color="auto"/>
        <w:right w:val="none" w:sz="0" w:space="0" w:color="auto"/>
      </w:divBdr>
    </w:div>
    <w:div w:id="2088723735">
      <w:bodyDiv w:val="1"/>
      <w:marLeft w:val="0"/>
      <w:marRight w:val="0"/>
      <w:marTop w:val="0"/>
      <w:marBottom w:val="0"/>
      <w:divBdr>
        <w:top w:val="none" w:sz="0" w:space="0" w:color="auto"/>
        <w:left w:val="none" w:sz="0" w:space="0" w:color="auto"/>
        <w:bottom w:val="none" w:sz="0" w:space="0" w:color="auto"/>
        <w:right w:val="none" w:sz="0" w:space="0" w:color="auto"/>
      </w:divBdr>
    </w:div>
    <w:div w:id="2088916934">
      <w:bodyDiv w:val="1"/>
      <w:marLeft w:val="0"/>
      <w:marRight w:val="0"/>
      <w:marTop w:val="0"/>
      <w:marBottom w:val="0"/>
      <w:divBdr>
        <w:top w:val="none" w:sz="0" w:space="0" w:color="auto"/>
        <w:left w:val="none" w:sz="0" w:space="0" w:color="auto"/>
        <w:bottom w:val="none" w:sz="0" w:space="0" w:color="auto"/>
        <w:right w:val="none" w:sz="0" w:space="0" w:color="auto"/>
      </w:divBdr>
    </w:div>
    <w:div w:id="2089643932">
      <w:bodyDiv w:val="1"/>
      <w:marLeft w:val="0"/>
      <w:marRight w:val="0"/>
      <w:marTop w:val="0"/>
      <w:marBottom w:val="0"/>
      <w:divBdr>
        <w:top w:val="none" w:sz="0" w:space="0" w:color="auto"/>
        <w:left w:val="none" w:sz="0" w:space="0" w:color="auto"/>
        <w:bottom w:val="none" w:sz="0" w:space="0" w:color="auto"/>
        <w:right w:val="none" w:sz="0" w:space="0" w:color="auto"/>
      </w:divBdr>
    </w:div>
    <w:div w:id="2090232439">
      <w:bodyDiv w:val="1"/>
      <w:marLeft w:val="0"/>
      <w:marRight w:val="0"/>
      <w:marTop w:val="0"/>
      <w:marBottom w:val="0"/>
      <w:divBdr>
        <w:top w:val="none" w:sz="0" w:space="0" w:color="auto"/>
        <w:left w:val="none" w:sz="0" w:space="0" w:color="auto"/>
        <w:bottom w:val="none" w:sz="0" w:space="0" w:color="auto"/>
        <w:right w:val="none" w:sz="0" w:space="0" w:color="auto"/>
      </w:divBdr>
    </w:div>
    <w:div w:id="2090956584">
      <w:bodyDiv w:val="1"/>
      <w:marLeft w:val="0"/>
      <w:marRight w:val="0"/>
      <w:marTop w:val="0"/>
      <w:marBottom w:val="0"/>
      <w:divBdr>
        <w:top w:val="none" w:sz="0" w:space="0" w:color="auto"/>
        <w:left w:val="none" w:sz="0" w:space="0" w:color="auto"/>
        <w:bottom w:val="none" w:sz="0" w:space="0" w:color="auto"/>
        <w:right w:val="none" w:sz="0" w:space="0" w:color="auto"/>
      </w:divBdr>
    </w:div>
    <w:div w:id="2091123298">
      <w:bodyDiv w:val="1"/>
      <w:marLeft w:val="0"/>
      <w:marRight w:val="0"/>
      <w:marTop w:val="0"/>
      <w:marBottom w:val="0"/>
      <w:divBdr>
        <w:top w:val="none" w:sz="0" w:space="0" w:color="auto"/>
        <w:left w:val="none" w:sz="0" w:space="0" w:color="auto"/>
        <w:bottom w:val="none" w:sz="0" w:space="0" w:color="auto"/>
        <w:right w:val="none" w:sz="0" w:space="0" w:color="auto"/>
      </w:divBdr>
    </w:div>
    <w:div w:id="2092001327">
      <w:bodyDiv w:val="1"/>
      <w:marLeft w:val="0"/>
      <w:marRight w:val="0"/>
      <w:marTop w:val="0"/>
      <w:marBottom w:val="0"/>
      <w:divBdr>
        <w:top w:val="none" w:sz="0" w:space="0" w:color="auto"/>
        <w:left w:val="none" w:sz="0" w:space="0" w:color="auto"/>
        <w:bottom w:val="none" w:sz="0" w:space="0" w:color="auto"/>
        <w:right w:val="none" w:sz="0" w:space="0" w:color="auto"/>
      </w:divBdr>
    </w:div>
    <w:div w:id="2093502005">
      <w:bodyDiv w:val="1"/>
      <w:marLeft w:val="0"/>
      <w:marRight w:val="0"/>
      <w:marTop w:val="0"/>
      <w:marBottom w:val="0"/>
      <w:divBdr>
        <w:top w:val="none" w:sz="0" w:space="0" w:color="auto"/>
        <w:left w:val="none" w:sz="0" w:space="0" w:color="auto"/>
        <w:bottom w:val="none" w:sz="0" w:space="0" w:color="auto"/>
        <w:right w:val="none" w:sz="0" w:space="0" w:color="auto"/>
      </w:divBdr>
    </w:div>
    <w:div w:id="2093551996">
      <w:bodyDiv w:val="1"/>
      <w:marLeft w:val="0"/>
      <w:marRight w:val="0"/>
      <w:marTop w:val="0"/>
      <w:marBottom w:val="0"/>
      <w:divBdr>
        <w:top w:val="none" w:sz="0" w:space="0" w:color="auto"/>
        <w:left w:val="none" w:sz="0" w:space="0" w:color="auto"/>
        <w:bottom w:val="none" w:sz="0" w:space="0" w:color="auto"/>
        <w:right w:val="none" w:sz="0" w:space="0" w:color="auto"/>
      </w:divBdr>
    </w:div>
    <w:div w:id="2093552072">
      <w:bodyDiv w:val="1"/>
      <w:marLeft w:val="0"/>
      <w:marRight w:val="0"/>
      <w:marTop w:val="0"/>
      <w:marBottom w:val="0"/>
      <w:divBdr>
        <w:top w:val="none" w:sz="0" w:space="0" w:color="auto"/>
        <w:left w:val="none" w:sz="0" w:space="0" w:color="auto"/>
        <w:bottom w:val="none" w:sz="0" w:space="0" w:color="auto"/>
        <w:right w:val="none" w:sz="0" w:space="0" w:color="auto"/>
      </w:divBdr>
    </w:div>
    <w:div w:id="2097827311">
      <w:bodyDiv w:val="1"/>
      <w:marLeft w:val="0"/>
      <w:marRight w:val="0"/>
      <w:marTop w:val="0"/>
      <w:marBottom w:val="0"/>
      <w:divBdr>
        <w:top w:val="none" w:sz="0" w:space="0" w:color="auto"/>
        <w:left w:val="none" w:sz="0" w:space="0" w:color="auto"/>
        <w:bottom w:val="none" w:sz="0" w:space="0" w:color="auto"/>
        <w:right w:val="none" w:sz="0" w:space="0" w:color="auto"/>
      </w:divBdr>
    </w:div>
    <w:div w:id="2097896772">
      <w:bodyDiv w:val="1"/>
      <w:marLeft w:val="0"/>
      <w:marRight w:val="0"/>
      <w:marTop w:val="0"/>
      <w:marBottom w:val="0"/>
      <w:divBdr>
        <w:top w:val="none" w:sz="0" w:space="0" w:color="auto"/>
        <w:left w:val="none" w:sz="0" w:space="0" w:color="auto"/>
        <w:bottom w:val="none" w:sz="0" w:space="0" w:color="auto"/>
        <w:right w:val="none" w:sz="0" w:space="0" w:color="auto"/>
      </w:divBdr>
    </w:div>
    <w:div w:id="2098286927">
      <w:bodyDiv w:val="1"/>
      <w:marLeft w:val="0"/>
      <w:marRight w:val="0"/>
      <w:marTop w:val="0"/>
      <w:marBottom w:val="0"/>
      <w:divBdr>
        <w:top w:val="none" w:sz="0" w:space="0" w:color="auto"/>
        <w:left w:val="none" w:sz="0" w:space="0" w:color="auto"/>
        <w:bottom w:val="none" w:sz="0" w:space="0" w:color="auto"/>
        <w:right w:val="none" w:sz="0" w:space="0" w:color="auto"/>
      </w:divBdr>
    </w:div>
    <w:div w:id="2099673655">
      <w:bodyDiv w:val="1"/>
      <w:marLeft w:val="0"/>
      <w:marRight w:val="0"/>
      <w:marTop w:val="0"/>
      <w:marBottom w:val="0"/>
      <w:divBdr>
        <w:top w:val="none" w:sz="0" w:space="0" w:color="auto"/>
        <w:left w:val="none" w:sz="0" w:space="0" w:color="auto"/>
        <w:bottom w:val="none" w:sz="0" w:space="0" w:color="auto"/>
        <w:right w:val="none" w:sz="0" w:space="0" w:color="auto"/>
      </w:divBdr>
    </w:div>
    <w:div w:id="2101830274">
      <w:bodyDiv w:val="1"/>
      <w:marLeft w:val="0"/>
      <w:marRight w:val="0"/>
      <w:marTop w:val="0"/>
      <w:marBottom w:val="0"/>
      <w:divBdr>
        <w:top w:val="none" w:sz="0" w:space="0" w:color="auto"/>
        <w:left w:val="none" w:sz="0" w:space="0" w:color="auto"/>
        <w:bottom w:val="none" w:sz="0" w:space="0" w:color="auto"/>
        <w:right w:val="none" w:sz="0" w:space="0" w:color="auto"/>
      </w:divBdr>
    </w:div>
    <w:div w:id="2102414040">
      <w:bodyDiv w:val="1"/>
      <w:marLeft w:val="0"/>
      <w:marRight w:val="0"/>
      <w:marTop w:val="0"/>
      <w:marBottom w:val="0"/>
      <w:divBdr>
        <w:top w:val="none" w:sz="0" w:space="0" w:color="auto"/>
        <w:left w:val="none" w:sz="0" w:space="0" w:color="auto"/>
        <w:bottom w:val="none" w:sz="0" w:space="0" w:color="auto"/>
        <w:right w:val="none" w:sz="0" w:space="0" w:color="auto"/>
      </w:divBdr>
    </w:div>
    <w:div w:id="2102674151">
      <w:bodyDiv w:val="1"/>
      <w:marLeft w:val="0"/>
      <w:marRight w:val="0"/>
      <w:marTop w:val="0"/>
      <w:marBottom w:val="0"/>
      <w:divBdr>
        <w:top w:val="none" w:sz="0" w:space="0" w:color="auto"/>
        <w:left w:val="none" w:sz="0" w:space="0" w:color="auto"/>
        <w:bottom w:val="none" w:sz="0" w:space="0" w:color="auto"/>
        <w:right w:val="none" w:sz="0" w:space="0" w:color="auto"/>
      </w:divBdr>
    </w:div>
    <w:div w:id="2102989717">
      <w:bodyDiv w:val="1"/>
      <w:marLeft w:val="0"/>
      <w:marRight w:val="0"/>
      <w:marTop w:val="0"/>
      <w:marBottom w:val="0"/>
      <w:divBdr>
        <w:top w:val="none" w:sz="0" w:space="0" w:color="auto"/>
        <w:left w:val="none" w:sz="0" w:space="0" w:color="auto"/>
        <w:bottom w:val="none" w:sz="0" w:space="0" w:color="auto"/>
        <w:right w:val="none" w:sz="0" w:space="0" w:color="auto"/>
      </w:divBdr>
    </w:div>
    <w:div w:id="2104455365">
      <w:bodyDiv w:val="1"/>
      <w:marLeft w:val="0"/>
      <w:marRight w:val="0"/>
      <w:marTop w:val="0"/>
      <w:marBottom w:val="0"/>
      <w:divBdr>
        <w:top w:val="none" w:sz="0" w:space="0" w:color="auto"/>
        <w:left w:val="none" w:sz="0" w:space="0" w:color="auto"/>
        <w:bottom w:val="none" w:sz="0" w:space="0" w:color="auto"/>
        <w:right w:val="none" w:sz="0" w:space="0" w:color="auto"/>
      </w:divBdr>
    </w:div>
    <w:div w:id="2105494165">
      <w:bodyDiv w:val="1"/>
      <w:marLeft w:val="0"/>
      <w:marRight w:val="0"/>
      <w:marTop w:val="0"/>
      <w:marBottom w:val="0"/>
      <w:divBdr>
        <w:top w:val="none" w:sz="0" w:space="0" w:color="auto"/>
        <w:left w:val="none" w:sz="0" w:space="0" w:color="auto"/>
        <w:bottom w:val="none" w:sz="0" w:space="0" w:color="auto"/>
        <w:right w:val="none" w:sz="0" w:space="0" w:color="auto"/>
      </w:divBdr>
    </w:div>
    <w:div w:id="2105608502">
      <w:bodyDiv w:val="1"/>
      <w:marLeft w:val="0"/>
      <w:marRight w:val="0"/>
      <w:marTop w:val="0"/>
      <w:marBottom w:val="0"/>
      <w:divBdr>
        <w:top w:val="none" w:sz="0" w:space="0" w:color="auto"/>
        <w:left w:val="none" w:sz="0" w:space="0" w:color="auto"/>
        <w:bottom w:val="none" w:sz="0" w:space="0" w:color="auto"/>
        <w:right w:val="none" w:sz="0" w:space="0" w:color="auto"/>
      </w:divBdr>
    </w:div>
    <w:div w:id="2105684772">
      <w:bodyDiv w:val="1"/>
      <w:marLeft w:val="0"/>
      <w:marRight w:val="0"/>
      <w:marTop w:val="0"/>
      <w:marBottom w:val="0"/>
      <w:divBdr>
        <w:top w:val="none" w:sz="0" w:space="0" w:color="auto"/>
        <w:left w:val="none" w:sz="0" w:space="0" w:color="auto"/>
        <w:bottom w:val="none" w:sz="0" w:space="0" w:color="auto"/>
        <w:right w:val="none" w:sz="0" w:space="0" w:color="auto"/>
      </w:divBdr>
    </w:div>
    <w:div w:id="2105806335">
      <w:bodyDiv w:val="1"/>
      <w:marLeft w:val="0"/>
      <w:marRight w:val="0"/>
      <w:marTop w:val="0"/>
      <w:marBottom w:val="0"/>
      <w:divBdr>
        <w:top w:val="none" w:sz="0" w:space="0" w:color="auto"/>
        <w:left w:val="none" w:sz="0" w:space="0" w:color="auto"/>
        <w:bottom w:val="none" w:sz="0" w:space="0" w:color="auto"/>
        <w:right w:val="none" w:sz="0" w:space="0" w:color="auto"/>
      </w:divBdr>
    </w:div>
    <w:div w:id="2106222608">
      <w:bodyDiv w:val="1"/>
      <w:marLeft w:val="0"/>
      <w:marRight w:val="0"/>
      <w:marTop w:val="0"/>
      <w:marBottom w:val="0"/>
      <w:divBdr>
        <w:top w:val="none" w:sz="0" w:space="0" w:color="auto"/>
        <w:left w:val="none" w:sz="0" w:space="0" w:color="auto"/>
        <w:bottom w:val="none" w:sz="0" w:space="0" w:color="auto"/>
        <w:right w:val="none" w:sz="0" w:space="0" w:color="auto"/>
      </w:divBdr>
    </w:div>
    <w:div w:id="2106682440">
      <w:bodyDiv w:val="1"/>
      <w:marLeft w:val="0"/>
      <w:marRight w:val="0"/>
      <w:marTop w:val="0"/>
      <w:marBottom w:val="0"/>
      <w:divBdr>
        <w:top w:val="none" w:sz="0" w:space="0" w:color="auto"/>
        <w:left w:val="none" w:sz="0" w:space="0" w:color="auto"/>
        <w:bottom w:val="none" w:sz="0" w:space="0" w:color="auto"/>
        <w:right w:val="none" w:sz="0" w:space="0" w:color="auto"/>
      </w:divBdr>
    </w:div>
    <w:div w:id="2106726191">
      <w:bodyDiv w:val="1"/>
      <w:marLeft w:val="0"/>
      <w:marRight w:val="0"/>
      <w:marTop w:val="0"/>
      <w:marBottom w:val="0"/>
      <w:divBdr>
        <w:top w:val="none" w:sz="0" w:space="0" w:color="auto"/>
        <w:left w:val="none" w:sz="0" w:space="0" w:color="auto"/>
        <w:bottom w:val="none" w:sz="0" w:space="0" w:color="auto"/>
        <w:right w:val="none" w:sz="0" w:space="0" w:color="auto"/>
      </w:divBdr>
    </w:div>
    <w:div w:id="2107462408">
      <w:bodyDiv w:val="1"/>
      <w:marLeft w:val="0"/>
      <w:marRight w:val="0"/>
      <w:marTop w:val="0"/>
      <w:marBottom w:val="0"/>
      <w:divBdr>
        <w:top w:val="none" w:sz="0" w:space="0" w:color="auto"/>
        <w:left w:val="none" w:sz="0" w:space="0" w:color="auto"/>
        <w:bottom w:val="none" w:sz="0" w:space="0" w:color="auto"/>
        <w:right w:val="none" w:sz="0" w:space="0" w:color="auto"/>
      </w:divBdr>
    </w:div>
    <w:div w:id="2108035221">
      <w:bodyDiv w:val="1"/>
      <w:marLeft w:val="0"/>
      <w:marRight w:val="0"/>
      <w:marTop w:val="0"/>
      <w:marBottom w:val="0"/>
      <w:divBdr>
        <w:top w:val="none" w:sz="0" w:space="0" w:color="auto"/>
        <w:left w:val="none" w:sz="0" w:space="0" w:color="auto"/>
        <w:bottom w:val="none" w:sz="0" w:space="0" w:color="auto"/>
        <w:right w:val="none" w:sz="0" w:space="0" w:color="auto"/>
      </w:divBdr>
    </w:div>
    <w:div w:id="2108495547">
      <w:bodyDiv w:val="1"/>
      <w:marLeft w:val="0"/>
      <w:marRight w:val="0"/>
      <w:marTop w:val="0"/>
      <w:marBottom w:val="0"/>
      <w:divBdr>
        <w:top w:val="none" w:sz="0" w:space="0" w:color="auto"/>
        <w:left w:val="none" w:sz="0" w:space="0" w:color="auto"/>
        <w:bottom w:val="none" w:sz="0" w:space="0" w:color="auto"/>
        <w:right w:val="none" w:sz="0" w:space="0" w:color="auto"/>
      </w:divBdr>
    </w:div>
    <w:div w:id="2108961657">
      <w:bodyDiv w:val="1"/>
      <w:marLeft w:val="0"/>
      <w:marRight w:val="0"/>
      <w:marTop w:val="0"/>
      <w:marBottom w:val="0"/>
      <w:divBdr>
        <w:top w:val="none" w:sz="0" w:space="0" w:color="auto"/>
        <w:left w:val="none" w:sz="0" w:space="0" w:color="auto"/>
        <w:bottom w:val="none" w:sz="0" w:space="0" w:color="auto"/>
        <w:right w:val="none" w:sz="0" w:space="0" w:color="auto"/>
      </w:divBdr>
    </w:div>
    <w:div w:id="2109278462">
      <w:bodyDiv w:val="1"/>
      <w:marLeft w:val="0"/>
      <w:marRight w:val="0"/>
      <w:marTop w:val="0"/>
      <w:marBottom w:val="0"/>
      <w:divBdr>
        <w:top w:val="none" w:sz="0" w:space="0" w:color="auto"/>
        <w:left w:val="none" w:sz="0" w:space="0" w:color="auto"/>
        <w:bottom w:val="none" w:sz="0" w:space="0" w:color="auto"/>
        <w:right w:val="none" w:sz="0" w:space="0" w:color="auto"/>
      </w:divBdr>
    </w:div>
    <w:div w:id="2110154788">
      <w:bodyDiv w:val="1"/>
      <w:marLeft w:val="0"/>
      <w:marRight w:val="0"/>
      <w:marTop w:val="0"/>
      <w:marBottom w:val="0"/>
      <w:divBdr>
        <w:top w:val="none" w:sz="0" w:space="0" w:color="auto"/>
        <w:left w:val="none" w:sz="0" w:space="0" w:color="auto"/>
        <w:bottom w:val="none" w:sz="0" w:space="0" w:color="auto"/>
        <w:right w:val="none" w:sz="0" w:space="0" w:color="auto"/>
      </w:divBdr>
    </w:div>
    <w:div w:id="2110159568">
      <w:bodyDiv w:val="1"/>
      <w:marLeft w:val="0"/>
      <w:marRight w:val="0"/>
      <w:marTop w:val="0"/>
      <w:marBottom w:val="0"/>
      <w:divBdr>
        <w:top w:val="none" w:sz="0" w:space="0" w:color="auto"/>
        <w:left w:val="none" w:sz="0" w:space="0" w:color="auto"/>
        <w:bottom w:val="none" w:sz="0" w:space="0" w:color="auto"/>
        <w:right w:val="none" w:sz="0" w:space="0" w:color="auto"/>
      </w:divBdr>
    </w:div>
    <w:div w:id="2110226049">
      <w:bodyDiv w:val="1"/>
      <w:marLeft w:val="0"/>
      <w:marRight w:val="0"/>
      <w:marTop w:val="0"/>
      <w:marBottom w:val="0"/>
      <w:divBdr>
        <w:top w:val="none" w:sz="0" w:space="0" w:color="auto"/>
        <w:left w:val="none" w:sz="0" w:space="0" w:color="auto"/>
        <w:bottom w:val="none" w:sz="0" w:space="0" w:color="auto"/>
        <w:right w:val="none" w:sz="0" w:space="0" w:color="auto"/>
      </w:divBdr>
    </w:div>
    <w:div w:id="2110656356">
      <w:bodyDiv w:val="1"/>
      <w:marLeft w:val="0"/>
      <w:marRight w:val="0"/>
      <w:marTop w:val="0"/>
      <w:marBottom w:val="0"/>
      <w:divBdr>
        <w:top w:val="none" w:sz="0" w:space="0" w:color="auto"/>
        <w:left w:val="none" w:sz="0" w:space="0" w:color="auto"/>
        <w:bottom w:val="none" w:sz="0" w:space="0" w:color="auto"/>
        <w:right w:val="none" w:sz="0" w:space="0" w:color="auto"/>
      </w:divBdr>
    </w:div>
    <w:div w:id="2114204280">
      <w:bodyDiv w:val="1"/>
      <w:marLeft w:val="0"/>
      <w:marRight w:val="0"/>
      <w:marTop w:val="0"/>
      <w:marBottom w:val="0"/>
      <w:divBdr>
        <w:top w:val="none" w:sz="0" w:space="0" w:color="auto"/>
        <w:left w:val="none" w:sz="0" w:space="0" w:color="auto"/>
        <w:bottom w:val="none" w:sz="0" w:space="0" w:color="auto"/>
        <w:right w:val="none" w:sz="0" w:space="0" w:color="auto"/>
      </w:divBdr>
    </w:div>
    <w:div w:id="2114663363">
      <w:bodyDiv w:val="1"/>
      <w:marLeft w:val="0"/>
      <w:marRight w:val="0"/>
      <w:marTop w:val="0"/>
      <w:marBottom w:val="0"/>
      <w:divBdr>
        <w:top w:val="none" w:sz="0" w:space="0" w:color="auto"/>
        <w:left w:val="none" w:sz="0" w:space="0" w:color="auto"/>
        <w:bottom w:val="none" w:sz="0" w:space="0" w:color="auto"/>
        <w:right w:val="none" w:sz="0" w:space="0" w:color="auto"/>
      </w:divBdr>
    </w:div>
    <w:div w:id="2114861031">
      <w:bodyDiv w:val="1"/>
      <w:marLeft w:val="0"/>
      <w:marRight w:val="0"/>
      <w:marTop w:val="0"/>
      <w:marBottom w:val="0"/>
      <w:divBdr>
        <w:top w:val="none" w:sz="0" w:space="0" w:color="auto"/>
        <w:left w:val="none" w:sz="0" w:space="0" w:color="auto"/>
        <w:bottom w:val="none" w:sz="0" w:space="0" w:color="auto"/>
        <w:right w:val="none" w:sz="0" w:space="0" w:color="auto"/>
      </w:divBdr>
    </w:div>
    <w:div w:id="2115055769">
      <w:bodyDiv w:val="1"/>
      <w:marLeft w:val="0"/>
      <w:marRight w:val="0"/>
      <w:marTop w:val="0"/>
      <w:marBottom w:val="0"/>
      <w:divBdr>
        <w:top w:val="none" w:sz="0" w:space="0" w:color="auto"/>
        <w:left w:val="none" w:sz="0" w:space="0" w:color="auto"/>
        <w:bottom w:val="none" w:sz="0" w:space="0" w:color="auto"/>
        <w:right w:val="none" w:sz="0" w:space="0" w:color="auto"/>
      </w:divBdr>
    </w:div>
    <w:div w:id="2115242525">
      <w:bodyDiv w:val="1"/>
      <w:marLeft w:val="0"/>
      <w:marRight w:val="0"/>
      <w:marTop w:val="0"/>
      <w:marBottom w:val="0"/>
      <w:divBdr>
        <w:top w:val="none" w:sz="0" w:space="0" w:color="auto"/>
        <w:left w:val="none" w:sz="0" w:space="0" w:color="auto"/>
        <w:bottom w:val="none" w:sz="0" w:space="0" w:color="auto"/>
        <w:right w:val="none" w:sz="0" w:space="0" w:color="auto"/>
      </w:divBdr>
    </w:div>
    <w:div w:id="2116096982">
      <w:bodyDiv w:val="1"/>
      <w:marLeft w:val="0"/>
      <w:marRight w:val="0"/>
      <w:marTop w:val="0"/>
      <w:marBottom w:val="0"/>
      <w:divBdr>
        <w:top w:val="none" w:sz="0" w:space="0" w:color="auto"/>
        <w:left w:val="none" w:sz="0" w:space="0" w:color="auto"/>
        <w:bottom w:val="none" w:sz="0" w:space="0" w:color="auto"/>
        <w:right w:val="none" w:sz="0" w:space="0" w:color="auto"/>
      </w:divBdr>
    </w:div>
    <w:div w:id="2118483172">
      <w:bodyDiv w:val="1"/>
      <w:marLeft w:val="0"/>
      <w:marRight w:val="0"/>
      <w:marTop w:val="0"/>
      <w:marBottom w:val="0"/>
      <w:divBdr>
        <w:top w:val="none" w:sz="0" w:space="0" w:color="auto"/>
        <w:left w:val="none" w:sz="0" w:space="0" w:color="auto"/>
        <w:bottom w:val="none" w:sz="0" w:space="0" w:color="auto"/>
        <w:right w:val="none" w:sz="0" w:space="0" w:color="auto"/>
      </w:divBdr>
    </w:div>
    <w:div w:id="2119331845">
      <w:bodyDiv w:val="1"/>
      <w:marLeft w:val="0"/>
      <w:marRight w:val="0"/>
      <w:marTop w:val="0"/>
      <w:marBottom w:val="0"/>
      <w:divBdr>
        <w:top w:val="none" w:sz="0" w:space="0" w:color="auto"/>
        <w:left w:val="none" w:sz="0" w:space="0" w:color="auto"/>
        <w:bottom w:val="none" w:sz="0" w:space="0" w:color="auto"/>
        <w:right w:val="none" w:sz="0" w:space="0" w:color="auto"/>
      </w:divBdr>
    </w:div>
    <w:div w:id="2119716892">
      <w:bodyDiv w:val="1"/>
      <w:marLeft w:val="0"/>
      <w:marRight w:val="0"/>
      <w:marTop w:val="0"/>
      <w:marBottom w:val="0"/>
      <w:divBdr>
        <w:top w:val="none" w:sz="0" w:space="0" w:color="auto"/>
        <w:left w:val="none" w:sz="0" w:space="0" w:color="auto"/>
        <w:bottom w:val="none" w:sz="0" w:space="0" w:color="auto"/>
        <w:right w:val="none" w:sz="0" w:space="0" w:color="auto"/>
      </w:divBdr>
    </w:div>
    <w:div w:id="2121803490">
      <w:bodyDiv w:val="1"/>
      <w:marLeft w:val="0"/>
      <w:marRight w:val="0"/>
      <w:marTop w:val="0"/>
      <w:marBottom w:val="0"/>
      <w:divBdr>
        <w:top w:val="none" w:sz="0" w:space="0" w:color="auto"/>
        <w:left w:val="none" w:sz="0" w:space="0" w:color="auto"/>
        <w:bottom w:val="none" w:sz="0" w:space="0" w:color="auto"/>
        <w:right w:val="none" w:sz="0" w:space="0" w:color="auto"/>
      </w:divBdr>
    </w:div>
    <w:div w:id="2124034639">
      <w:bodyDiv w:val="1"/>
      <w:marLeft w:val="0"/>
      <w:marRight w:val="0"/>
      <w:marTop w:val="0"/>
      <w:marBottom w:val="0"/>
      <w:divBdr>
        <w:top w:val="none" w:sz="0" w:space="0" w:color="auto"/>
        <w:left w:val="none" w:sz="0" w:space="0" w:color="auto"/>
        <w:bottom w:val="none" w:sz="0" w:space="0" w:color="auto"/>
        <w:right w:val="none" w:sz="0" w:space="0" w:color="auto"/>
      </w:divBdr>
    </w:div>
    <w:div w:id="2124766274">
      <w:bodyDiv w:val="1"/>
      <w:marLeft w:val="0"/>
      <w:marRight w:val="0"/>
      <w:marTop w:val="0"/>
      <w:marBottom w:val="0"/>
      <w:divBdr>
        <w:top w:val="none" w:sz="0" w:space="0" w:color="auto"/>
        <w:left w:val="none" w:sz="0" w:space="0" w:color="auto"/>
        <w:bottom w:val="none" w:sz="0" w:space="0" w:color="auto"/>
        <w:right w:val="none" w:sz="0" w:space="0" w:color="auto"/>
      </w:divBdr>
    </w:div>
    <w:div w:id="2125490107">
      <w:bodyDiv w:val="1"/>
      <w:marLeft w:val="0"/>
      <w:marRight w:val="0"/>
      <w:marTop w:val="0"/>
      <w:marBottom w:val="0"/>
      <w:divBdr>
        <w:top w:val="none" w:sz="0" w:space="0" w:color="auto"/>
        <w:left w:val="none" w:sz="0" w:space="0" w:color="auto"/>
        <w:bottom w:val="none" w:sz="0" w:space="0" w:color="auto"/>
        <w:right w:val="none" w:sz="0" w:space="0" w:color="auto"/>
      </w:divBdr>
    </w:div>
    <w:div w:id="2126187867">
      <w:bodyDiv w:val="1"/>
      <w:marLeft w:val="0"/>
      <w:marRight w:val="0"/>
      <w:marTop w:val="0"/>
      <w:marBottom w:val="0"/>
      <w:divBdr>
        <w:top w:val="none" w:sz="0" w:space="0" w:color="auto"/>
        <w:left w:val="none" w:sz="0" w:space="0" w:color="auto"/>
        <w:bottom w:val="none" w:sz="0" w:space="0" w:color="auto"/>
        <w:right w:val="none" w:sz="0" w:space="0" w:color="auto"/>
      </w:divBdr>
    </w:div>
    <w:div w:id="2126609249">
      <w:bodyDiv w:val="1"/>
      <w:marLeft w:val="0"/>
      <w:marRight w:val="0"/>
      <w:marTop w:val="0"/>
      <w:marBottom w:val="0"/>
      <w:divBdr>
        <w:top w:val="none" w:sz="0" w:space="0" w:color="auto"/>
        <w:left w:val="none" w:sz="0" w:space="0" w:color="auto"/>
        <w:bottom w:val="none" w:sz="0" w:space="0" w:color="auto"/>
        <w:right w:val="none" w:sz="0" w:space="0" w:color="auto"/>
      </w:divBdr>
    </w:div>
    <w:div w:id="2127769249">
      <w:bodyDiv w:val="1"/>
      <w:marLeft w:val="0"/>
      <w:marRight w:val="0"/>
      <w:marTop w:val="0"/>
      <w:marBottom w:val="0"/>
      <w:divBdr>
        <w:top w:val="none" w:sz="0" w:space="0" w:color="auto"/>
        <w:left w:val="none" w:sz="0" w:space="0" w:color="auto"/>
        <w:bottom w:val="none" w:sz="0" w:space="0" w:color="auto"/>
        <w:right w:val="none" w:sz="0" w:space="0" w:color="auto"/>
      </w:divBdr>
    </w:div>
    <w:div w:id="2127848983">
      <w:bodyDiv w:val="1"/>
      <w:marLeft w:val="0"/>
      <w:marRight w:val="0"/>
      <w:marTop w:val="0"/>
      <w:marBottom w:val="0"/>
      <w:divBdr>
        <w:top w:val="none" w:sz="0" w:space="0" w:color="auto"/>
        <w:left w:val="none" w:sz="0" w:space="0" w:color="auto"/>
        <w:bottom w:val="none" w:sz="0" w:space="0" w:color="auto"/>
        <w:right w:val="none" w:sz="0" w:space="0" w:color="auto"/>
      </w:divBdr>
    </w:div>
    <w:div w:id="2128809865">
      <w:bodyDiv w:val="1"/>
      <w:marLeft w:val="0"/>
      <w:marRight w:val="0"/>
      <w:marTop w:val="0"/>
      <w:marBottom w:val="0"/>
      <w:divBdr>
        <w:top w:val="none" w:sz="0" w:space="0" w:color="auto"/>
        <w:left w:val="none" w:sz="0" w:space="0" w:color="auto"/>
        <w:bottom w:val="none" w:sz="0" w:space="0" w:color="auto"/>
        <w:right w:val="none" w:sz="0" w:space="0" w:color="auto"/>
      </w:divBdr>
    </w:div>
    <w:div w:id="2129660024">
      <w:bodyDiv w:val="1"/>
      <w:marLeft w:val="0"/>
      <w:marRight w:val="0"/>
      <w:marTop w:val="0"/>
      <w:marBottom w:val="0"/>
      <w:divBdr>
        <w:top w:val="none" w:sz="0" w:space="0" w:color="auto"/>
        <w:left w:val="none" w:sz="0" w:space="0" w:color="auto"/>
        <w:bottom w:val="none" w:sz="0" w:space="0" w:color="auto"/>
        <w:right w:val="none" w:sz="0" w:space="0" w:color="auto"/>
      </w:divBdr>
    </w:div>
    <w:div w:id="2130079852">
      <w:bodyDiv w:val="1"/>
      <w:marLeft w:val="0"/>
      <w:marRight w:val="0"/>
      <w:marTop w:val="0"/>
      <w:marBottom w:val="0"/>
      <w:divBdr>
        <w:top w:val="none" w:sz="0" w:space="0" w:color="auto"/>
        <w:left w:val="none" w:sz="0" w:space="0" w:color="auto"/>
        <w:bottom w:val="none" w:sz="0" w:space="0" w:color="auto"/>
        <w:right w:val="none" w:sz="0" w:space="0" w:color="auto"/>
      </w:divBdr>
    </w:div>
    <w:div w:id="2130662446">
      <w:bodyDiv w:val="1"/>
      <w:marLeft w:val="0"/>
      <w:marRight w:val="0"/>
      <w:marTop w:val="0"/>
      <w:marBottom w:val="0"/>
      <w:divBdr>
        <w:top w:val="none" w:sz="0" w:space="0" w:color="auto"/>
        <w:left w:val="none" w:sz="0" w:space="0" w:color="auto"/>
        <w:bottom w:val="none" w:sz="0" w:space="0" w:color="auto"/>
        <w:right w:val="none" w:sz="0" w:space="0" w:color="auto"/>
      </w:divBdr>
    </w:div>
    <w:div w:id="2131774961">
      <w:bodyDiv w:val="1"/>
      <w:marLeft w:val="0"/>
      <w:marRight w:val="0"/>
      <w:marTop w:val="0"/>
      <w:marBottom w:val="0"/>
      <w:divBdr>
        <w:top w:val="none" w:sz="0" w:space="0" w:color="auto"/>
        <w:left w:val="none" w:sz="0" w:space="0" w:color="auto"/>
        <w:bottom w:val="none" w:sz="0" w:space="0" w:color="auto"/>
        <w:right w:val="none" w:sz="0" w:space="0" w:color="auto"/>
      </w:divBdr>
    </w:div>
    <w:div w:id="2132674430">
      <w:bodyDiv w:val="1"/>
      <w:marLeft w:val="0"/>
      <w:marRight w:val="0"/>
      <w:marTop w:val="0"/>
      <w:marBottom w:val="0"/>
      <w:divBdr>
        <w:top w:val="none" w:sz="0" w:space="0" w:color="auto"/>
        <w:left w:val="none" w:sz="0" w:space="0" w:color="auto"/>
        <w:bottom w:val="none" w:sz="0" w:space="0" w:color="auto"/>
        <w:right w:val="none" w:sz="0" w:space="0" w:color="auto"/>
      </w:divBdr>
    </w:div>
    <w:div w:id="2133551641">
      <w:bodyDiv w:val="1"/>
      <w:marLeft w:val="0"/>
      <w:marRight w:val="0"/>
      <w:marTop w:val="0"/>
      <w:marBottom w:val="0"/>
      <w:divBdr>
        <w:top w:val="none" w:sz="0" w:space="0" w:color="auto"/>
        <w:left w:val="none" w:sz="0" w:space="0" w:color="auto"/>
        <w:bottom w:val="none" w:sz="0" w:space="0" w:color="auto"/>
        <w:right w:val="none" w:sz="0" w:space="0" w:color="auto"/>
      </w:divBdr>
    </w:div>
    <w:div w:id="2134202179">
      <w:bodyDiv w:val="1"/>
      <w:marLeft w:val="0"/>
      <w:marRight w:val="0"/>
      <w:marTop w:val="0"/>
      <w:marBottom w:val="0"/>
      <w:divBdr>
        <w:top w:val="none" w:sz="0" w:space="0" w:color="auto"/>
        <w:left w:val="none" w:sz="0" w:space="0" w:color="auto"/>
        <w:bottom w:val="none" w:sz="0" w:space="0" w:color="auto"/>
        <w:right w:val="none" w:sz="0" w:space="0" w:color="auto"/>
      </w:divBdr>
    </w:div>
    <w:div w:id="2135438811">
      <w:bodyDiv w:val="1"/>
      <w:marLeft w:val="0"/>
      <w:marRight w:val="0"/>
      <w:marTop w:val="0"/>
      <w:marBottom w:val="0"/>
      <w:divBdr>
        <w:top w:val="none" w:sz="0" w:space="0" w:color="auto"/>
        <w:left w:val="none" w:sz="0" w:space="0" w:color="auto"/>
        <w:bottom w:val="none" w:sz="0" w:space="0" w:color="auto"/>
        <w:right w:val="none" w:sz="0" w:space="0" w:color="auto"/>
      </w:divBdr>
    </w:div>
    <w:div w:id="2139295479">
      <w:bodyDiv w:val="1"/>
      <w:marLeft w:val="0"/>
      <w:marRight w:val="0"/>
      <w:marTop w:val="0"/>
      <w:marBottom w:val="0"/>
      <w:divBdr>
        <w:top w:val="none" w:sz="0" w:space="0" w:color="auto"/>
        <w:left w:val="none" w:sz="0" w:space="0" w:color="auto"/>
        <w:bottom w:val="none" w:sz="0" w:space="0" w:color="auto"/>
        <w:right w:val="none" w:sz="0" w:space="0" w:color="auto"/>
      </w:divBdr>
    </w:div>
    <w:div w:id="2141217907">
      <w:bodyDiv w:val="1"/>
      <w:marLeft w:val="0"/>
      <w:marRight w:val="0"/>
      <w:marTop w:val="0"/>
      <w:marBottom w:val="0"/>
      <w:divBdr>
        <w:top w:val="none" w:sz="0" w:space="0" w:color="auto"/>
        <w:left w:val="none" w:sz="0" w:space="0" w:color="auto"/>
        <w:bottom w:val="none" w:sz="0" w:space="0" w:color="auto"/>
        <w:right w:val="none" w:sz="0" w:space="0" w:color="auto"/>
      </w:divBdr>
    </w:div>
    <w:div w:id="2141415682">
      <w:bodyDiv w:val="1"/>
      <w:marLeft w:val="0"/>
      <w:marRight w:val="0"/>
      <w:marTop w:val="0"/>
      <w:marBottom w:val="0"/>
      <w:divBdr>
        <w:top w:val="none" w:sz="0" w:space="0" w:color="auto"/>
        <w:left w:val="none" w:sz="0" w:space="0" w:color="auto"/>
        <w:bottom w:val="none" w:sz="0" w:space="0" w:color="auto"/>
        <w:right w:val="none" w:sz="0" w:space="0" w:color="auto"/>
      </w:divBdr>
    </w:div>
    <w:div w:id="2141725593">
      <w:bodyDiv w:val="1"/>
      <w:marLeft w:val="0"/>
      <w:marRight w:val="0"/>
      <w:marTop w:val="0"/>
      <w:marBottom w:val="0"/>
      <w:divBdr>
        <w:top w:val="none" w:sz="0" w:space="0" w:color="auto"/>
        <w:left w:val="none" w:sz="0" w:space="0" w:color="auto"/>
        <w:bottom w:val="none" w:sz="0" w:space="0" w:color="auto"/>
        <w:right w:val="none" w:sz="0" w:space="0" w:color="auto"/>
      </w:divBdr>
    </w:div>
    <w:div w:id="2143576175">
      <w:bodyDiv w:val="1"/>
      <w:marLeft w:val="0"/>
      <w:marRight w:val="0"/>
      <w:marTop w:val="0"/>
      <w:marBottom w:val="0"/>
      <w:divBdr>
        <w:top w:val="none" w:sz="0" w:space="0" w:color="auto"/>
        <w:left w:val="none" w:sz="0" w:space="0" w:color="auto"/>
        <w:bottom w:val="none" w:sz="0" w:space="0" w:color="auto"/>
        <w:right w:val="none" w:sz="0" w:space="0" w:color="auto"/>
      </w:divBdr>
    </w:div>
    <w:div w:id="2143763267">
      <w:bodyDiv w:val="1"/>
      <w:marLeft w:val="0"/>
      <w:marRight w:val="0"/>
      <w:marTop w:val="0"/>
      <w:marBottom w:val="0"/>
      <w:divBdr>
        <w:top w:val="none" w:sz="0" w:space="0" w:color="auto"/>
        <w:left w:val="none" w:sz="0" w:space="0" w:color="auto"/>
        <w:bottom w:val="none" w:sz="0" w:space="0" w:color="auto"/>
        <w:right w:val="none" w:sz="0" w:space="0" w:color="auto"/>
      </w:divBdr>
    </w:div>
    <w:div w:id="2144884757">
      <w:bodyDiv w:val="1"/>
      <w:marLeft w:val="0"/>
      <w:marRight w:val="0"/>
      <w:marTop w:val="0"/>
      <w:marBottom w:val="0"/>
      <w:divBdr>
        <w:top w:val="none" w:sz="0" w:space="0" w:color="auto"/>
        <w:left w:val="none" w:sz="0" w:space="0" w:color="auto"/>
        <w:bottom w:val="none" w:sz="0" w:space="0" w:color="auto"/>
        <w:right w:val="none" w:sz="0" w:space="0" w:color="auto"/>
      </w:divBdr>
    </w:div>
    <w:div w:id="2145196778">
      <w:bodyDiv w:val="1"/>
      <w:marLeft w:val="0"/>
      <w:marRight w:val="0"/>
      <w:marTop w:val="0"/>
      <w:marBottom w:val="0"/>
      <w:divBdr>
        <w:top w:val="none" w:sz="0" w:space="0" w:color="auto"/>
        <w:left w:val="none" w:sz="0" w:space="0" w:color="auto"/>
        <w:bottom w:val="none" w:sz="0" w:space="0" w:color="auto"/>
        <w:right w:val="none" w:sz="0" w:space="0" w:color="auto"/>
      </w:divBdr>
    </w:div>
    <w:div w:id="2145349565">
      <w:bodyDiv w:val="1"/>
      <w:marLeft w:val="0"/>
      <w:marRight w:val="0"/>
      <w:marTop w:val="0"/>
      <w:marBottom w:val="0"/>
      <w:divBdr>
        <w:top w:val="none" w:sz="0" w:space="0" w:color="auto"/>
        <w:left w:val="none" w:sz="0" w:space="0" w:color="auto"/>
        <w:bottom w:val="none" w:sz="0" w:space="0" w:color="auto"/>
        <w:right w:val="none" w:sz="0" w:space="0" w:color="auto"/>
      </w:divBdr>
    </w:div>
    <w:div w:id="2146845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cid:42b79406-9727-45f0-a80e-2f30bb08a16d" TargetMode="External"/><Relationship Id="rId18" Type="http://schemas.openxmlformats.org/officeDocument/2006/relationships/image" Target="media/image4.jpeg"/><Relationship Id="rId26" Type="http://schemas.openxmlformats.org/officeDocument/2006/relationships/image" Target="media/image12.emf"/><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jpeg"/><Relationship Id="rId42" Type="http://schemas.openxmlformats.org/officeDocument/2006/relationships/image" Target="media/image28.emf"/><Relationship Id="rId47" Type="http://schemas.openxmlformats.org/officeDocument/2006/relationships/image" Target="media/image33.png"/><Relationship Id="rId50" Type="http://schemas.openxmlformats.org/officeDocument/2006/relationships/image" Target="media/image36.emf"/><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davey@pegasus-economics.com.au"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8" Type="http://schemas.openxmlformats.org/officeDocument/2006/relationships/settings" Target="settings.xml"/><Relationship Id="rId51" Type="http://schemas.openxmlformats.org/officeDocument/2006/relationships/image" Target="media/image37.jpe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3.jpeg"/><Relationship Id="rId25" Type="http://schemas.openxmlformats.org/officeDocument/2006/relationships/image" Target="media/image11.emf"/><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image" Target="media/image32.emf"/><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4.emf"/><Relationship Id="rId36" Type="http://schemas.openxmlformats.org/officeDocument/2006/relationships/image" Target="media/image22.png"/><Relationship Id="rId49" Type="http://schemas.openxmlformats.org/officeDocument/2006/relationships/image" Target="media/image35.png"/></Relationships>
</file>

<file path=word/_rels/footnotes.xml.rels><?xml version="1.0" encoding="UTF-8" standalone="yes"?>
<Relationships xmlns="http://schemas.openxmlformats.org/package/2006/relationships"><Relationship Id="rId1" Type="http://schemas.openxmlformats.org/officeDocument/2006/relationships/hyperlink" Target="https://www.parliament.act.gov.au/__data/assets/pdf_file/0010/2250991/Pegasus-Report-ACT-Budget-2023-24-Final-7July2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ACT151</b:Tag>
    <b:SourceType>Report</b:SourceType>
    <b:Guid>{F52A845C-A337-4D26-977F-7FC901A06CD0}</b:Guid>
    <b:Author>
      <b:Author>
        <b:Corporate>ACT Government</b:Corporate>
      </b:Author>
    </b:Author>
    <b:Title>Australian Capital Territory Budget 2015-16 - Budget Paper No. 3 Budget Outlook</b:Title>
    <b:Year>2015</b:Year>
    <b:City>Canberra</b:City>
    <b:RefOrder>35</b:RefOrder>
  </b:Source>
  <b:Source>
    <b:Tag>Placeholder2</b:Tag>
    <b:SourceType>Report</b:SourceType>
    <b:Guid>{22F5E7A2-12F6-43DC-9CCE-3D153A8310CC}</b:Guid>
    <b:Author>
      <b:Author>
        <b:Corporate>ACT Government</b:Corporate>
      </b:Author>
    </b:Author>
    <b:Title>Australian Capital Territory Budget 2016-17 for Canberra - Budget Paper 3: Budget Outlook</b:Title>
    <b:Year>2016</b:Year>
    <b:City>Canberra</b:City>
    <b:RefOrder>26</b:RefOrder>
  </b:Source>
  <b:Source>
    <b:Tag>Rea18</b:Tag>
    <b:SourceType>ArticleInAPeriodical</b:SourceType>
    <b:Guid>{DABEA1D5-4B15-472F-8262-2350B246E2B2}</b:Guid>
    <b:Title>Analysis ACT Tax reform Initiative</b:Title>
    <b:Year>2018</b:Year>
    <b:Pages>4-11</b:Pages>
    <b:Author>
      <b:Author>
        <b:NameList>
          <b:Person>
            <b:Last>Reardon</b:Last>
            <b:First>T</b:First>
          </b:Person>
          <b:Person>
            <b:Last>Hopkins</b:Last>
            <b:First>D</b:First>
          </b:Person>
        </b:NameList>
      </b:Author>
    </b:Author>
    <b:PeriodicalTitle>HIA National Outlook: A quarterly update on the housing &amp; renovation industry - Summer Edition 2018</b:PeriodicalTitle>
    <b:Month>February</b:Month>
    <b:Day>15</b:Day>
    <b:RefOrder>22</b:RefOrder>
  </b:Source>
  <b:Source>
    <b:Tag>ACT16</b:Tag>
    <b:SourceType>Report</b:SourceType>
    <b:Guid>{13C30E9F-785A-4424-A446-0E0F7765677E}</b:Guid>
    <b:Author>
      <b:Author>
        <b:Corporate>ACT Government</b:Corporate>
      </b:Author>
    </b:Author>
    <b:Title>Australian Capital Territory Budget 2018-19 - Budget Paper 3: Budget Outlook</b:Title>
    <b:Year>2018a</b:Year>
    <b:City>Canberra</b:City>
    <b:RefOrder>36</b:RefOrder>
  </b:Source>
  <b:Source>
    <b:Tag>ACT12</b:Tag>
    <b:SourceType>Report</b:SourceType>
    <b:Guid>{4F3DCEB9-44C5-4B68-98D5-4C244829A76F}</b:Guid>
    <b:Author>
      <b:Author>
        <b:Corporate>ACT Government</b:Corporate>
      </b:Author>
    </b:Author>
    <b:Title>Australian Capital Territory Budget 2012-13 Budget Paper No. 3: Budget Overview</b:Title>
    <b:Year>2012</b:Year>
    <b:City>Canberra</b:City>
    <b:RefOrder>21</b:RefOrder>
  </b:Source>
  <b:Source>
    <b:Tag>ACT19</b:Tag>
    <b:SourceType>Report</b:SourceType>
    <b:Guid>{21660FC3-A346-4F36-9BBB-00AC574881D3}</b:Guid>
    <b:Author>
      <b:Author>
        <b:Corporate>ACT Government</b:Corporate>
      </b:Author>
    </b:Author>
    <b:Title>Australian Capital Territory Budget 2019-20 Building for the Future - Budget Paper 3: Budget Outlook</b:Title>
    <b:Year>2019</b:Year>
    <b:City>Canberra</b:City>
    <b:RefOrder>37</b:RefOrder>
  </b:Source>
  <b:Source>
    <b:Tag>Aus176</b:Tag>
    <b:SourceType>Report</b:SourceType>
    <b:Guid>{D5B13B2D-59D5-430F-8EDA-1D39DB46BA74}</b:Guid>
    <b:Author>
      <b:Author>
        <b:Corporate>Australian Accounting Standards Board</b:Corporate>
      </b:Author>
    </b:Author>
    <b:Title>AASB 1059 Service Concession Arrangements: Grantor</b:Title>
    <b:Year>2017</b:Year>
    <b:City>Melbourne</b:City>
    <b:RefOrder>38</b:RefOrder>
  </b:Source>
  <b:Source>
    <b:Tag>Aus1811</b:Tag>
    <b:SourceType>Report</b:SourceType>
    <b:Guid>{3006CE30-284F-4619-B31D-CA28B52640FB}</b:Guid>
    <b:Author>
      <b:Author>
        <b:Corporate>Australian Accounting Standards Board</b:Corporate>
      </b:Author>
    </b:Author>
    <b:Title>AASB 2018-5 Amendments to Australian Accounting Standards – Deferral of AASB 1059</b:Title>
    <b:Year>2018</b:Year>
    <b:City>Melbourne</b:City>
    <b:RefOrder>39</b:RefOrder>
  </b:Source>
  <b:Source>
    <b:Tag>Aus164</b:Tag>
    <b:SourceType>Report</b:SourceType>
    <b:Guid>{ACA19886-18FE-488D-92DF-E397718726E2}</b:Guid>
    <b:Author>
      <b:Author>
        <b:Corporate>Australian Accounting Standards Board</b:Corporate>
      </b:Author>
    </b:Author>
    <b:Title>AASB 16 - Leases</b:Title>
    <b:Year>2016</b:Year>
    <b:City>Melbourne</b:City>
    <b:RefOrder>40</b:RefOrder>
  </b:Source>
  <b:Source>
    <b:Tag>Aus122</b:Tag>
    <b:SourceType>Report</b:SourceType>
    <b:Guid>{7C515468-8CCC-47A1-8CF3-0CE7D857DCF3}</b:Guid>
    <b:Author>
      <b:Author>
        <b:Corporate>Australian Accounting Standards Board</b:Corporate>
      </b:Author>
    </b:Author>
    <b:Title>AASB 1049 - Whole of Government and General Government Sector Financial Reporting</b:Title>
    <b:Year>2012</b:Year>
    <b:City>Melbourne</b:City>
    <b:RefOrder>41</b:RefOrder>
  </b:Source>
  <b:Source>
    <b:Tag>Aus101</b:Tag>
    <b:SourceType>Report</b:SourceType>
    <b:Guid>{4C91DD30-9CE7-49FF-B236-13407EAAB6D0}</b:Guid>
    <b:Author>
      <b:Author>
        <b:Corporate>Australian Accounting Standards Board</b:Corporate>
      </b:Author>
    </b:Author>
    <b:Title>AASB 9 - Financial Instruments</b:Title>
    <b:Year>2010</b:Year>
    <b:City>Melbourne</b:City>
    <b:RefOrder>42</b:RefOrder>
  </b:Source>
  <b:Source>
    <b:Tag>ACT20</b:Tag>
    <b:SourceType>Report</b:SourceType>
    <b:Guid>{2DC8AA42-FB9E-48A9-9D65-2FC31A3D152C}</b:Guid>
    <b:Author>
      <b:Author>
        <b:Corporate>ACT Government</b:Corporate>
      </b:Author>
    </b:Author>
    <b:Title>August 2020 Economic and Fiscal Update</b:Title>
    <b:Year>2020</b:Year>
    <b:City>Canberra</b:City>
    <b:RefOrder>43</b:RefOrder>
  </b:Source>
  <b:Source>
    <b:Tag>ACT21</b:Tag>
    <b:SourceType>Report</b:SourceType>
    <b:Guid>{32935EF6-5811-4A89-A3F0-BA36C8FC2235}</b:Guid>
    <b:Author>
      <b:Author>
        <b:Corporate>ACT Government</b:Corporate>
      </b:Author>
    </b:Author>
    <b:Title>Australian Capital Territory Budget 2020-21: Driving Canberra's Recovery - Budget Outlook</b:Title>
    <b:Year>2021</b:Year>
    <b:City>Canberra</b:City>
    <b:RefOrder>23</b:RefOrder>
  </b:Source>
  <b:Source>
    <b:Tag>ACT13</b:Tag>
    <b:SourceType>Report</b:SourceType>
    <b:Guid>{55DD062D-407F-424F-84F6-B8DE0D472755}</b:Guid>
    <b:Author>
      <b:Author>
        <b:Corporate>ACT Government</b:Corporate>
      </b:Author>
    </b:Author>
    <b:Title>Australian Capital Territory Budget 2013‐14 Budget Paper No. 3</b:Title>
    <b:Year>2013</b:Year>
    <b:City>Canberra</b:City>
    <b:RefOrder>44</b:RefOrder>
  </b:Source>
  <b:Source>
    <b:Tag>ACT14</b:Tag>
    <b:SourceType>Report</b:SourceType>
    <b:Guid>{553A24FC-F7E4-430A-A277-CA63AD400EC1}</b:Guid>
    <b:Author>
      <b:Author>
        <b:Corporate>ACT Government</b:Corporate>
      </b:Author>
    </b:Author>
    <b:Title>Australian Capital Territory Budget 2014-15 Budget Paper No. 3</b:Title>
    <b:Year>2014</b:Year>
    <b:City>Canberra</b:City>
    <b:RefOrder>45</b:RefOrder>
  </b:Source>
  <b:Source>
    <b:Tag>ACT18</b:Tag>
    <b:SourceType>Report</b:SourceType>
    <b:Guid>{E1BCBF65-6439-41BF-B9DB-707222F1A376}</b:Guid>
    <b:Author>
      <b:Author>
        <b:Corporate>ACT Government</b:Corporate>
      </b:Author>
    </b:Author>
    <b:Title>Australian Capital Territory Budget 2017-18 Budget Review</b:Title>
    <b:Year>2018</b:Year>
    <b:City>Canberra</b:City>
    <b:RefOrder>46</b:RefOrder>
  </b:Source>
  <b:Source>
    <b:Tag>Int11</b:Tag>
    <b:SourceType>Report</b:SourceType>
    <b:Guid>{6607399D-69CC-47B4-8465-865AB3C3D7EF}</b:Guid>
    <b:Title>IPSAS 32 - Service Concession Arrangements: Grantor</b:Title>
    <b:Year>2011</b:Year>
    <b:Author>
      <b:Author>
        <b:Corporate>International Public Sector Accounting Standards Board</b:Corporate>
      </b:Author>
    </b:Author>
    <b:City>London</b:City>
    <b:RefOrder>47</b:RefOrder>
  </b:Source>
  <b:Source>
    <b:Tag>ACT222</b:Tag>
    <b:SourceType>Report</b:SourceType>
    <b:Guid>{5A2A3CA7-C016-4C09-93F4-87FF2EC48765}</b:Guid>
    <b:Title>2022-23 Budget Outlook</b:Title>
    <b:Year>2022a</b:Year>
    <b:Author>
      <b:Author>
        <b:Corporate>ACT Government</b:Corporate>
      </b:Author>
    </b:Author>
    <b:City>Canberra</b:City>
    <b:RefOrder>48</b:RefOrder>
  </b:Source>
  <b:Source>
    <b:Tag>LiB21</b:Tag>
    <b:SourceType>JournalArticle</b:SourceType>
    <b:Guid>{44869FA1-0EB2-4E5D-B51A-239FA9ABC8EE}</b:Guid>
    <b:Title>Estimating quarterly gross state product</b:Title>
    <b:Year>2021</b:Year>
    <b:Author>
      <b:Author>
        <b:NameList>
          <b:Person>
            <b:Last>Li</b:Last>
            <b:First>B</b:First>
          </b:Person>
          <b:Person>
            <b:Last>Gao</b:Last>
            <b:First>G</b:First>
          </b:Person>
        </b:NameList>
      </b:Author>
    </b:Author>
    <b:JournalName>Victoria’s Economic Bulletin</b:JournalName>
    <b:Pages>1-11</b:Pages>
    <b:Volume>5: June 2021</b:Volume>
    <b:RefOrder>2</b:RefOrder>
  </b:Source>
  <b:Source>
    <b:Tag>Hen9a1</b:Tag>
    <b:SourceType>Report</b:SourceType>
    <b:Guid>{C2BF59FD-ACA6-4810-B016-8187FAFDA5E4}</b:Guid>
    <b:Author>
      <b:Author>
        <b:NameList>
          <b:Person>
            <b:Last>Henry</b:Last>
            <b:First>K</b:First>
          </b:Person>
          <b:Person>
            <b:Last>Harmer</b:Last>
            <b:First>J</b:First>
          </b:Person>
          <b:Person>
            <b:Last>Piggott</b:Last>
            <b:First>J</b:First>
          </b:Person>
          <b:Person>
            <b:Last>Ridout</b:Last>
            <b:First>H</b:First>
          </b:Person>
          <b:Person>
            <b:Last>Smith</b:Last>
            <b:First>G</b:First>
          </b:Person>
        </b:NameList>
      </b:Author>
    </b:Author>
    <b:Title>Australia’s future tax system: Report to the Treasurer, Part Two Detailed Analysis volume 1</b:Title>
    <b:Year>2009a</b:Year>
    <b:City>Canberra</b:City>
    <b:Publisher>Commonwealth of Australia</b:Publisher>
    <b:RefOrder>24</b:RefOrder>
  </b:Source>
  <b:Source>
    <b:Tag>Fre15</b:Tag>
    <b:SourceType>Report</b:SourceType>
    <b:Guid>{40EB2652-366C-420A-8E60-CA14F99863E8}</b:Guid>
    <b:Author>
      <b:Author>
        <b:NameList>
          <b:Person>
            <b:Last>Freebairn</b:Last>
            <b:First>J</b:First>
          </b:Person>
          <b:Person>
            <b:Last>Stewart</b:Last>
            <b:First>M</b:First>
          </b:Person>
          <b:Person>
            <b:Last>Liu</b:Last>
            <b:First>P</b:First>
            <b:Middle>X</b:Middle>
          </b:Person>
        </b:NameList>
      </b:Author>
    </b:Author>
    <b:Title>Reform of State Taxes in Australia: Rationale and Options</b:Title>
    <b:Year>2015</b:Year>
    <b:Publisher>Melbourne School of Government</b:Publisher>
    <b:City>Melbourne</b:City>
    <b:RefOrder>25</b:RefOrder>
  </b:Source>
  <b:Source>
    <b:Tag>ACT201</b:Tag>
    <b:SourceType>Report</b:SourceType>
    <b:Guid>{A86A0E92-BF65-4A16-9D7F-B8687665CF9D}</b:Guid>
    <b:Author>
      <b:Author>
        <b:Corporate>ACT Audit Office</b:Corporate>
      </b:Author>
    </b:Author>
    <b:Title>ACT Auditor-General's Report: Residential Land Supply and Release</b:Title>
    <b:Year>2020</b:Year>
    <b:City>Canberra</b:City>
    <b:ThesisType>Report No.4 / 2020</b:ThesisType>
    <b:RefOrder>49</b:RefOrder>
  </b:Source>
  <b:Source>
    <b:Tag>ACT221</b:Tag>
    <b:SourceType>Report</b:SourceType>
    <b:Guid>{4AA6243C-F40B-4919-BFBD-82EFE4E07832}</b:Guid>
    <b:Title>ACT Housing Strategy: Growing and Renewing Public Housing Program</b:Title>
    <b:Year>2022</b:Year>
    <b:Author>
      <b:Author>
        <b:Corporate>ACT Government</b:Corporate>
      </b:Author>
    </b:Author>
    <b:City>Canberra</b:City>
    <b:RefOrder>50</b:RefOrder>
  </b:Source>
  <b:Source>
    <b:Tag>ACT211</b:Tag>
    <b:SourceType>Report</b:SourceType>
    <b:Guid>{100B0B32-41DA-4222-AA2E-4C7D996D2390}</b:Guid>
    <b:Author>
      <b:Author>
        <b:Corporate>ACT Government</b:Corporate>
      </b:Author>
    </b:Author>
    <b:Title>Australian Capital Territory Budget 2021-22: Budget Outlook</b:Title>
    <b:Year>2021a</b:Year>
    <b:City>Canberra</b:City>
    <b:RefOrder>51</b:RefOrder>
  </b:Source>
  <b:Source>
    <b:Tag>Aus2114</b:Tag>
    <b:SourceType>DocumentFromInternetSite</b:SourceType>
    <b:Guid>{03A3F163-7530-4F92-9789-B418B2ACBAAC}</b:Guid>
    <b:Author>
      <b:Author>
        <b:Corporate>Australian Bureau of Statistics</b:Corporate>
      </b:Author>
    </b:Author>
    <b:Title>History and purpose of gross state product</b:Title>
    <b:Year>2021b</b:Year>
    <b:InternetSiteTitle>Australian Bureau of Statistics</b:InternetSiteTitle>
    <b:Month>July</b:Month>
    <b:Day>9</b:Day>
    <b:URL>https://www.abs.gov.au/statistics/detailed-methodology-information/concepts-sources-methods/australian-system-national-accounts-concepts-sources-and-methods/2020-21/chapter-21-state-accounts/history-and-purpose-gross-state-product</b:URL>
    <b:RefOrder>3</b:RefOrder>
  </b:Source>
  <b:Source>
    <b:Tag>ACT2b</b:Tag>
    <b:SourceType>Report</b:SourceType>
    <b:Guid>{73886803-9876-4B52-8DC5-BA2B0AE62A3A}</b:Guid>
    <b:Title>Australian Capital Territory Budget: Budget Statement I - Major Projects Canberra</b:Title>
    <b:Year>2022b</b:Year>
    <b:Author>
      <b:Author>
        <b:Corporate>ACT Government</b:Corporate>
      </b:Author>
    </b:Author>
    <b:City>Canberra</b:City>
    <b:RefOrder>52</b:RefOrder>
  </b:Source>
  <b:Source>
    <b:Tag>Mer21</b:Tag>
    <b:SourceType>Report</b:SourceType>
    <b:Guid>{70524C66-6A37-4C10-9A9F-3B893DFE6D0E}</b:Guid>
    <b:Title>PSS and CSS Long Term Cost Report</b:Title>
    <b:Year>2021</b:Year>
    <b:Author>
      <b:Author>
        <b:Corporate>Mercer Consulting (Australia) Pty Ltd</b:Corporate>
      </b:Author>
    </b:Author>
    <b:Publisher>Department of Finance</b:Publisher>
    <b:City>Canberra</b:City>
    <b:RefOrder>53</b:RefOrder>
  </b:Source>
  <b:Source>
    <b:Tag>ACT23</b:Tag>
    <b:SourceType>Report</b:SourceType>
    <b:Guid>{94905DCC-2E0F-4160-8E6D-2DD15E6B8E5B}</b:Guid>
    <b:Year>2023</b:Year>
    <b:Author>
      <b:Author>
        <b:Corporate>ACT Government</b:Corporate>
      </b:Author>
    </b:Author>
    <b:City>Canberra</b:City>
    <b:Title>2023-24 Budget Outlook</b:Title>
    <b:RefOrder>20</b:RefOrder>
  </b:Source>
  <b:Source>
    <b:Tag>New211</b:Tag>
    <b:SourceType>Report</b:SourceType>
    <b:Guid>{DDA2CE5F-8AD2-43F2-9993-9F7824630B78}</b:Guid>
    <b:Title>The Living Standards Framework (LSF) 2021</b:Title>
    <b:Year>2021</b:Year>
    <b:City>Wellington</b:City>
    <b:Author>
      <b:Author>
        <b:Corporate>New Zealand Treasury</b:Corporate>
      </b:Author>
    </b:Author>
    <b:InternetSiteTitle>New Zealand Treasury</b:InternetSiteTitle>
    <b:Month>October</b:Month>
    <b:Day>28</b:Day>
    <b:RefOrder>54</b:RefOrder>
  </b:Source>
  <b:Source>
    <b:Tag>Aus2222</b:Tag>
    <b:SourceType>DocumentFromInternetSite</b:SourceType>
    <b:Guid>{DA040B83-B8FF-493C-AB6F-6F0764DB5E0F}</b:Guid>
    <b:Title>Measuring what matters</b:Title>
    <b:Year>2022</b:Year>
    <b:Author>
      <b:Author>
        <b:Corporate>Australian Government The Treasury</b:Corporate>
      </b:Author>
    </b:Author>
    <b:InternetSiteTitle>Australian Government The Treasury</b:InternetSiteTitle>
    <b:Month>October</b:Month>
    <b:Day>25</b:Day>
    <b:URL>https://treasury.gov.au/consultation/measuring-what-matters-2022</b:URL>
    <b:RefOrder>55</b:RefOrder>
  </b:Source>
  <b:Source>
    <b:Tag>Car17</b:Tag>
    <b:SourceType>JournalArticle</b:SourceType>
    <b:Guid>{A954339A-25B3-4BC7-9BAF-8F2D6A0EA2F4}</b:Guid>
    <b:Author>
      <b:Author>
        <b:NameList>
          <b:Person>
            <b:Last>Carr</b:Last>
            <b:First>T</b:First>
          </b:Person>
          <b:Person>
            <b:Last>Fernandes</b:Last>
            <b:First>K</b:First>
          </b:Person>
          <b:Person>
            <b:Last>Rosewall</b:Last>
          </b:Person>
        </b:NameList>
      </b:Author>
    </b:Author>
    <b:Title>The Recent Economic Performance of the States</b:Title>
    <b:JournalName>Reserve Bank of Australia Bulletin</b:JournalName>
    <b:Year>2017</b:Year>
    <b:Pages>1-12</b:Pages>
    <b:Issue>March 2017</b:Issue>
    <b:RefOrder>4</b:RefOrder>
  </b:Source>
  <b:Source>
    <b:Tag>Aus231</b:Tag>
    <b:SourceType>DocumentFromInternetSite</b:SourceType>
    <b:Guid>{01822A86-D090-4AC7-991E-CE63F88CBBBC}</b:Guid>
    <b:Author>
      <b:Author>
        <b:Corporate>Australian Bureau of Statistics</b:Corporate>
      </b:Author>
    </b:Author>
    <b:Title>Australian National Accounts: State Accounts</b:Title>
    <b:Year>2023</b:Year>
    <b:City>Canb</b:City>
    <b:InternetSiteTitle>Australian Bureau of Statistics</b:InternetSiteTitle>
    <b:Month>November</b:Month>
    <b:Day>21</b:Day>
    <b:URL>https://www.abs.gov.au/statistics/economy/national-accounts/australian-national-accounts-state-accounts/latest-release</b:URL>
    <b:RefOrder>5</b:RefOrder>
  </b:Source>
  <b:Source>
    <b:Tag>Com23a</b:Tag>
    <b:SourceType>Report</b:SourceType>
    <b:Guid>{EE413C4C-62B7-41C6-A53E-F8CE73DC3F69}</b:Guid>
    <b:Author>
      <b:Author>
        <b:Corporate>Commonwealth of Australia</b:Corporate>
      </b:Author>
    </b:Author>
    <b:Title>Budget 2024-25: Budget Strategy and Outlook Budget Paper No. 1</b:Title>
    <b:Year>2024a</b:Year>
    <b:City>Canberra</b:City>
    <b:RefOrder>7</b:RefOrder>
  </b:Source>
  <b:Source>
    <b:Tag>ComA23</b:Tag>
    <b:SourceType>Report</b:SourceType>
    <b:Guid>{4032F51E-6AEC-4162-9BD8-69C1D1C0E632}</b:Guid>
    <b:Author>
      <b:Author>
        <b:Corporate>Commonwealth of Australia</b:Corporate>
      </b:Author>
    </b:Author>
    <b:Title>Budget 2023-24: Agency Resourcing Budget Paper No. 4</b:Title>
    <b:Year>2024</b:Year>
    <b:City>Canberra</b:City>
    <b:RefOrder>11</b:RefOrder>
  </b:Source>
  <b:Source>
    <b:Tag>Aus2221</b:Tag>
    <b:SourceType>Report</b:SourceType>
    <b:Guid>{947470F8-2605-485E-B528-788744BD04DC}</b:Guid>
    <b:Title>State of the Service Report: 2022-23</b:Title>
    <b:Year>2023</b:Year>
    <b:Author>
      <b:Author>
        <b:Corporate>Australian Public Service Commission</b:Corporate>
      </b:Author>
    </b:Author>
    <b:City>Canberra</b:City>
    <b:RefOrder>12</b:RefOrder>
  </b:Source>
  <b:Source>
    <b:Tag>Rio23</b:Tag>
    <b:SourceType>DocumentFromInternetSite</b:SourceType>
    <b:Guid>{DC4E43C3-ACD3-464B-9DA9-98972A1A3ABA}</b:Guid>
    <b:Title>APS bargaining package of pay and conditions – final offer</b:Title>
    <b:Year>2023</b:Year>
    <b:Author>
      <b:Author>
        <b:NameList>
          <b:Person>
            <b:Last>Riordan</b:Last>
            <b:First>P</b:First>
          </b:Person>
        </b:NameList>
      </b:Author>
    </b:Author>
    <b:InternetSiteTitle>Australian Public Service Commission</b:InternetSiteTitle>
    <b:Month>November</b:Month>
    <b:Day>23</b:Day>
    <b:URL>https://www.apsc.gov.au/aps-news/aps-bargaining-package-pay-and-conditions-final-offer#:~:text=The%20Commonwealth%20will%20improve%20its,as%20a%20one%2Doff%20payment.</b:URL>
    <b:RefOrder>14</b:RefOrder>
  </b:Source>
  <b:Source>
    <b:Tag>Aus2c1</b:Tag>
    <b:SourceType>DocumentFromInternetSite</b:SourceType>
    <b:Guid>{6C3F69A1-38B7-4DDA-8B3A-A4971A52A6DC}</b:Guid>
    <b:Title>National, state and territory population: December 2023</b:Title>
    <b:Year>2024e</b:Year>
    <b:Author>
      <b:Author>
        <b:Corporate>Australian Bureau of Statistics</b:Corporate>
      </b:Author>
    </b:Author>
    <b:InternetSiteTitle>Australian Bureau of Statistics</b:InternetSiteTitle>
    <b:Month>June</b:Month>
    <b:Day>13</b:Day>
    <b:URL>https://www.abs.gov.au/statistics/people/population/national-state-and-territory-population/dec-2023</b:URL>
    <b:RefOrder>17</b:RefOrder>
  </b:Source>
  <b:Source>
    <b:Tag>Cen23</b:Tag>
    <b:SourceType>Report</b:SourceType>
    <b:Guid>{6F16B811-158E-45F4-B390-71AF858F0DD5}</b:Guid>
    <b:Title>Budget 2024-25: State and Territory Population Projections, 2023-24 to 2027-28</b:Title>
    <b:Year>2024</b:Year>
    <b:Author>
      <b:Author>
        <b:Corporate>Centre for Population</b:Corporate>
      </b:Author>
    </b:Author>
    <b:City>Canberra</b:City>
    <b:RefOrder>18</b:RefOrder>
  </b:Source>
  <b:Source>
    <b:Tag>Res23</b:Tag>
    <b:SourceType>Report</b:SourceType>
    <b:Guid>{B642E537-06A0-43A8-A275-433025A94D99}</b:Guid>
    <b:Title>Statement on Monetary Policy May 2024</b:Title>
    <b:Year>2024</b:Year>
    <b:Author>
      <b:Author>
        <b:Corporate>Reserve Bank of Australia</b:Corporate>
      </b:Author>
    </b:Author>
    <b:City>Sydney</b:City>
    <b:RefOrder>16</b:RefOrder>
  </b:Source>
  <b:Source>
    <b:Tag>Placeholder1</b:Tag>
    <b:SourceType>DocumentFromInternetSite</b:SourceType>
    <b:Guid>{2E6CB336-4A0E-4371-AEE5-38E55AC9CA70}</b:Guid>
    <b:Author>
      <b:Author>
        <b:Corporate>Productivity Commission</b:Corporate>
      </b:Author>
    </b:Author>
    <b:Title>Report on Government Services 2024: Part G, Section 18 - Housing</b:Title>
    <b:InternetSiteTitle>Productivity Commission</b:InternetSiteTitle>
    <b:Year>2024</b:Year>
    <b:Month>May</b:Month>
    <b:Day>28</b:Day>
    <b:URL>https://www.pc.gov.au/ongoing/report-on-government-services/2024/housing-and-homelessness/housing</b:URL>
    <b:RefOrder>34</b:RefOrder>
  </b:Source>
  <b:Source>
    <b:Tag>ACT241</b:Tag>
    <b:SourceType>Report</b:SourceType>
    <b:Guid>{893C064A-ECDA-48F5-BA06-A9D6F63BF291}</b:Guid>
    <b:Title>Management of the Growing and Renewing Public Housing Program</b:Title>
    <b:Year>2024</b:Year>
    <b:Author>
      <b:Author>
        <b:Corporate>ACT Audit Office</b:Corporate>
      </b:Author>
    </b:Author>
    <b:City>Canberra</b:City>
    <b:ThesisType>ACT Auditor-General's Performance Audit Report</b:ThesisType>
    <b:StandardNumber>Report No. 3 / 2024</b:StandardNumber>
    <b:RefOrder>32</b:RefOrder>
  </b:Source>
  <b:Source>
    <b:Tag>ACT4a</b:Tag>
    <b:SourceType>JournalArticle</b:SourceType>
    <b:Guid>{67F05F36-855A-4664-BC46-900405C9B184}</b:Guid>
    <b:Title>Management of the Growing and Renewing Public Housing Program</b:Title>
    <b:Year>2024a</b:Year>
    <b:Author>
      <b:Author>
        <b:Corporate>ACT Audit Office</b:Corporate>
      </b:Author>
    </b:Author>
    <b:JournalName>Media Release</b:JournalName>
    <b:Pages>8 May</b:Pages>
    <b:RefOrder>33</b:RefOrder>
  </b:Source>
  <b:Source>
    <b:Tag>ACT24</b:Tag>
    <b:SourceType>Report</b:SourceType>
    <b:Guid>{3AE39AD5-9813-486C-9DA9-8D03B4C28B5D}</b:Guid>
    <b:Title>2024-25 Budget Outlook</b:Title>
    <b:Year>2024</b:Year>
    <b:Author>
      <b:Author>
        <b:Corporate>ACT Government</b:Corporate>
      </b:Author>
    </b:Author>
    <b:City>Canberra</b:City>
    <b:RefOrder>1</b:RefOrder>
  </b:Source>
  <b:Source>
    <b:Tag>Aus2e</b:Tag>
    <b:SourceType>DocumentFromInternetSite</b:SourceType>
    <b:Guid>{D40889B2-B8A6-407A-A3BA-1394C2FFAF4E}</b:Guid>
    <b:Author>
      <b:Author>
        <b:Corporate>Australian Bureau of Statistics</b:Corporate>
      </b:Author>
    </b:Author>
    <b:Title>Wage Price Index, Australia: March 2024</b:Title>
    <b:InternetSiteTitle>Australian Bureau of Statistics</b:InternetSiteTitle>
    <b:Year>2024f</b:Year>
    <b:Month>May</b:Month>
    <b:Day>15</b:Day>
    <b:URL>https://www.abs.gov.au/statistics/economy/price-indexes-and-inflation/wage-price-index-australia/mar-2024</b:URL>
    <b:RefOrder>13</b:RefOrder>
  </b:Source>
  <b:Source>
    <b:Tag>Rea24</b:Tag>
    <b:SourceType>InternetSite</b:SourceType>
    <b:Guid>{39F6C13E-E0AC-40C7-B57D-9E20529E72F9}</b:Guid>
    <b:Author>
      <b:Author>
        <b:NameList>
          <b:Person>
            <b:Last>Read</b:Last>
            <b:First>M</b:First>
          </b:Person>
        </b:NameList>
      </b:Author>
    </b:Author>
    <b:Title>August rate rise on the cards after inflation hits 4pc</b:Title>
    <b:InternetSiteTitle>The Australian Financial Review</b:InternetSiteTitle>
    <b:Year>2024</b:Year>
    <b:Month>June</b:Month>
    <b:Day>26</b:Day>
    <b:URL>https://www.afr.com/policy/economy/inflation-hits-six-month-high-raising-risk-of-a-rate-rise-20240626-p5jot7</b:URL>
    <b:RefOrder>56</b:RefOrder>
  </b:Source>
  <b:Source>
    <b:Tag>Aus2220</b:Tag>
    <b:SourceType>DocumentFromInternetSite</b:SourceType>
    <b:Guid>{0E64EF7C-F014-468B-8185-52F2974B1191}</b:Guid>
    <b:Title>Counts of Australian Businesses, including Entries and Exits: July 2019 to June 2023</b:Title>
    <b:Year>2023a</b:Year>
    <b:Author>
      <b:Author>
        <b:Corporate>Australian Bureau of Statistics</b:Corporate>
      </b:Author>
    </b:Author>
    <b:InternetSiteTitle>Australian Bureau of Statistics</b:InternetSiteTitle>
    <b:Month>August</b:Month>
    <b:Day>22</b:Day>
    <b:URL>https://www.abs.gov.au/statistics/economy/business-indicators/counts-australian-businesses-including-entries-and-exits/latest-release</b:URL>
    <b:RefOrder>9</b:RefOrder>
  </b:Source>
  <b:Source>
    <b:Tag>Cor24</b:Tag>
    <b:SourceType>Report</b:SourceType>
    <b:Guid>{CD6B8465-610E-41D1-9444-E0AD678DF65C}</b:Guid>
    <b:Author>
      <b:Author>
        <b:Corporate>CoreLogic</b:Corporate>
      </b:Author>
    </b:Author>
    <b:Title>Monthly Housing Chart Pack: Juen 2024</b:Title>
    <b:Year>2024</b:Year>
    <b:RefOrder>30</b:RefOrder>
  </b:Source>
  <b:Source>
    <b:Tag>Cor241</b:Tag>
    <b:SourceType>Report</b:SourceType>
    <b:Guid>{F4812748-D9B0-4B5B-8A65-41A107D660D8}</b:Guid>
    <b:Author>
      <b:Author>
        <b:Corporate>ANZ Bank and CoreLogic</b:Corporate>
      </b:Author>
    </b:Author>
    <b:Title>Housing Affordability Housing Affordability Report</b:Title>
    <b:Year>2024</b:Year>
    <b:RefOrder>29</b:RefOrder>
  </b:Source>
  <b:Source>
    <b:Tag>Aus229</b:Tag>
    <b:SourceType>DocumentFromInternetSite</b:SourceType>
    <b:Guid>{56A00E7E-C6BE-4E43-9973-80F35F066812}</b:Guid>
    <b:Author>
      <b:Author>
        <b:Corporate>Australian Bureau of Statistics</b:Corporate>
      </b:Author>
    </b:Author>
    <b:Title>Australian National Accounts: National Income, Expenditure and Product: March 2024</b:Title>
    <b:InternetSiteTitle>Australian Bureau of Statistics</b:InternetSiteTitle>
    <b:Year>2024</b:Year>
    <b:Month>June</b:Month>
    <b:Day>5</b:Day>
    <b:URL>https://www.abs.gov.au/statistics/economy/national-accounts/australian-national-accounts-national-income-expenditure-and-product/latest-release</b:URL>
    <b:RefOrder>6</b:RefOrder>
  </b:Source>
  <b:Source>
    <b:Tag>Aus2a2</b:Tag>
    <b:SourceType>DocumentFromInternetSite</b:SourceType>
    <b:Guid>{4AF71A1F-A173-4481-A625-DFE946C188BF}</b:Guid>
    <b:Author>
      <b:Author>
        <b:Corporate>Australian Bureau of Statistics</b:Corporate>
      </b:Author>
    </b:Author>
    <b:Title>Consumer Price Index, Australia: March 2024</b:Title>
    <b:InternetSiteTitle>Australian Bureau of Statistics</b:InternetSiteTitle>
    <b:Year>2024b</b:Year>
    <b:Month>April</b:Month>
    <b:Day>24</b:Day>
    <b:URL>https://www.abs.gov.au/statistics/economy/price-indexes-and-inflation/consumer-price-index-australia/mar-quarter-2024</b:URL>
    <b:RefOrder>15</b:RefOrder>
  </b:Source>
  <b:Source>
    <b:Tag>Aus2c</b:Tag>
    <b:SourceType>DocumentFromInternetSite</b:SourceType>
    <b:Guid>{C1E2BFFE-8A11-4A8B-9D5A-11DA73CED796}</b:Guid>
    <b:Author>
      <b:Author>
        <b:Corporate>Australian Bureau of Statistics</b:Corporate>
      </b:Author>
    </b:Author>
    <b:Title>Labour Force, Australia: May 2024</b:Title>
    <b:Year>2024c</b:Year>
    <b:InternetSiteTitle>Australian Bureau of Statistics</b:InternetSiteTitle>
    <b:Month>June</b:Month>
    <b:Day>13</b:Day>
    <b:URL>https://www.abs.gov.au/statistics/labour/employment-and-unemployment/labour-force-australia/may-2024</b:URL>
    <b:RefOrder>10</b:RefOrder>
  </b:Source>
  <b:Source>
    <b:Tag>Aus4c</b:Tag>
    <b:SourceType>InternetSite</b:SourceType>
    <b:Guid>{B1A620A4-06F4-4162-9586-1D3D78AE1124}</b:Guid>
    <b:Title>Monthly Consumer Price Index Indicator</b:Title>
    <b:Year>2024d</b:Year>
    <b:Month>June</b:Month>
    <b:Day>26</b:Day>
    <b:Author>
      <b:Author>
        <b:Corporate>Australian Bureau of Statistics</b:Corporate>
      </b:Author>
    </b:Author>
    <b:InternetSiteTitle>Australian Bureau of Statistics</b:InternetSiteTitle>
    <b:URL>https://www.abs.gov.au/statistics/economy/price-indexes-and-inflation/monthly-consumer-price-index-indicator/may-2024</b:URL>
    <b:RefOrder>8</b:RefOrder>
  </b:Source>
  <b:Source>
    <b:Tag>Aus4a</b:Tag>
    <b:SourceType>DocumentFromInternetSite</b:SourceType>
    <b:Guid>{69744473-DC61-4B8A-BF90-7ACC9EB56C81}</b:Guid>
    <b:Title>Average Weekly Earnings, Australia</b:Title>
    <b:Year>2024a</b:Year>
    <b:Author>
      <b:Author>
        <b:Corporate>Australian Bureau of Statistics</b:Corporate>
      </b:Author>
    </b:Author>
    <b:InternetSiteTitle>Australian Bureau of Statistics</b:InternetSiteTitle>
    <b:Month>February</b:Month>
    <b:Day>22</b:Day>
    <b:URL>https://www.abs.gov.au/statistics/labour/earnings-and-working-conditions/average-weekly-earnings-australia/nov-2023</b:URL>
    <b:RefOrder>28</b:RefOrder>
  </b:Source>
  <b:Source>
    <b:Tag>SGS23</b:Tag>
    <b:SourceType>Report</b:SourceType>
    <b:Guid>{AE8FC948-D6ED-441B-A48A-DAF2CC25F629}</b:Guid>
    <b:Title>Rental Affordability Index, November 2023</b:Title>
    <b:Year>2023</b:Year>
    <b:Author>
      <b:Author>
        <b:Corporate>SGS Economics and Planning Pty Ltd</b:Corporate>
      </b:Author>
    </b:Author>
    <b:City>Canberra</b:City>
    <b:RefOrder>31</b:RefOrder>
  </b:Source>
  <b:Source>
    <b:Tag>ACTW4a</b:Tag>
    <b:SourceType>Report</b:SourceType>
    <b:Guid>{6D289E6C-5CE3-472F-9918-7910A9CCD252}</b:Guid>
    <b:Author>
      <b:Author>
        <b:Corporate>ACT Government</b:Corporate>
      </b:Author>
    </b:Author>
    <b:Title>Australian Capital Territory Budget 2024-25: Women’s Budget Statement</b:Title>
    <b:Year>2024a</b:Year>
    <b:City>Canberra</b:City>
    <b:RefOrder>27</b:RefOrder>
  </b:Source>
  <b:Source>
    <b:Tag>Lin23</b:Tag>
    <b:SourceType>DocumentFromInternetSite</b:SourceType>
    <b:Guid>{1438E654-C51A-4004-A8AC-528C628C767D}</b:Guid>
    <b:Author>
      <b:Author>
        <b:NameList>
          <b:Person>
            <b:Last>Lindell</b:Last>
            <b:First>J</b:First>
          </b:Person>
        </b:NameList>
      </b:Author>
    </b:Author>
    <b:Title>S&amp;P Global downgrades ACT's credit rating to AA+ after slower budget recovery</b:Title>
    <b:InternetSiteTitle>The Canberra Times </b:InternetSiteTitle>
    <b:Year>2023</b:Year>
    <b:Month>September</b:Month>
    <b:Day>8</b:Day>
    <b:URL>S&amp;P Global downgrades ACT's credit rating to AA+ after slower budget recovery</b:URL>
    <b:RefOrder>19</b:RefOrder>
  </b:Source>
</b:Sources>
</file>

<file path=customXml/item5.xml><?xml version="1.0" encoding="utf-8"?>
<ct:contentTypeSchema xmlns:ct="http://schemas.microsoft.com/office/2006/metadata/contentType" xmlns:ma="http://schemas.microsoft.com/office/2006/metadata/properties/metaAttributes" ct:_="" ma:_="" ma:contentTypeName="Document" ma:contentTypeID="0x010100BEAD06E4C0B9624D99891CE69118BC83" ma:contentTypeVersion="12" ma:contentTypeDescription="Create a new document." ma:contentTypeScope="" ma:versionID="641ef1959f2bd696fbdf581b3a5421bb">
  <xsd:schema xmlns:xsd="http://www.w3.org/2001/XMLSchema" xmlns:xs="http://www.w3.org/2001/XMLSchema" xmlns:p="http://schemas.microsoft.com/office/2006/metadata/properties" xmlns:ns3="a803de6f-5bc2-4d50-842c-084aed8589a3" xmlns:ns4="cff59ca4-8326-4d29-826b-bafde653c9f2" targetNamespace="http://schemas.microsoft.com/office/2006/metadata/properties" ma:root="true" ma:fieldsID="9dd40e1ff7d023cb274b1d5993ef648e" ns3:_="" ns4:_="">
    <xsd:import namespace="a803de6f-5bc2-4d50-842c-084aed8589a3"/>
    <xsd:import namespace="cff59ca4-8326-4d29-826b-bafde653c9f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EventHashCode" minOccurs="0"/>
                <xsd:element ref="ns4:MediaServiceGenerationTime" minOccurs="0"/>
                <xsd:element ref="ns4:MediaServiceAutoTags" minOccurs="0"/>
                <xsd:element ref="ns4:MediaServiceDateTaken"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03de6f-5bc2-4d50-842c-084aed8589a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f59ca4-8326-4d29-826b-bafde653c9f2"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871CB6A-4F09-4DDD-A991-C1A4A84A309B}">
  <ds:schemaRefs>
    <ds:schemaRef ds:uri="http://schemas.microsoft.com/sharepoint/v3/contenttype/forms"/>
  </ds:schemaRefs>
</ds:datastoreItem>
</file>

<file path=customXml/itemProps3.xml><?xml version="1.0" encoding="utf-8"?>
<ds:datastoreItem xmlns:ds="http://schemas.openxmlformats.org/officeDocument/2006/customXml" ds:itemID="{44DC3AB3-1BBE-4199-981E-43A5AEA737E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03307AB-5F1F-4A31-B844-2C5C630CB50F}">
  <ds:schemaRefs>
    <ds:schemaRef ds:uri="http://schemas.openxmlformats.org/officeDocument/2006/bibliography"/>
  </ds:schemaRefs>
</ds:datastoreItem>
</file>

<file path=customXml/itemProps5.xml><?xml version="1.0" encoding="utf-8"?>
<ds:datastoreItem xmlns:ds="http://schemas.openxmlformats.org/officeDocument/2006/customXml" ds:itemID="{C6D147A5-32D4-4C81-A002-A22DD1B1A4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03de6f-5bc2-4d50-842c-084aed8589a3"/>
    <ds:schemaRef ds:uri="cff59ca4-8326-4d29-826b-bafde653c9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79</Pages>
  <Words>25563</Words>
  <Characters>145713</Characters>
  <Application>Microsoft Office Word</Application>
  <DocSecurity>0</DocSecurity>
  <Lines>1214</Lines>
  <Paragraphs>341</Paragraphs>
  <ScaleCrop>false</ScaleCrop>
  <HeadingPairs>
    <vt:vector size="2" baseType="variant">
      <vt:variant>
        <vt:lpstr>Title</vt:lpstr>
      </vt:variant>
      <vt:variant>
        <vt:i4>1</vt:i4>
      </vt:variant>
    </vt:vector>
  </HeadingPairs>
  <TitlesOfParts>
    <vt:vector size="1" baseType="lpstr">
      <vt:lpstr>Review of the ACT Budget 2024-25</vt:lpstr>
    </vt:vector>
  </TitlesOfParts>
  <Company>Pegasus Economics</Company>
  <LinksUpToDate>false</LinksUpToDate>
  <CharactersWithSpaces>170935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the ACT Budget 2024-25</dc:title>
  <dc:creator>Alistair Davey, Brett Kaufmann, Roger Fisher and Susan Antcliff</dc:creator>
  <cp:lastModifiedBy>Alistair Davey</cp:lastModifiedBy>
  <cp:revision>5</cp:revision>
  <cp:lastPrinted>2024-07-15T05:16:00Z</cp:lastPrinted>
  <dcterms:created xsi:type="dcterms:W3CDTF">2024-07-15T05:15:00Z</dcterms:created>
  <dcterms:modified xsi:type="dcterms:W3CDTF">2024-07-15T05:17:00Z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0x010100BEAD06E4C0B9624D99891CE69118BC83</vt:lpwstr>
  </property>
</Properties>
</file>