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90B3"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7ACAF9BD" w14:textId="77777777" w:rsidR="00D228D5" w:rsidRDefault="00D228D5" w:rsidP="00B75FBA">
      <w:pPr>
        <w:spacing w:after="0" w:line="240" w:lineRule="auto"/>
        <w:jc w:val="right"/>
        <w:rPr>
          <w:sz w:val="20"/>
          <w:szCs w:val="20"/>
        </w:rPr>
      </w:pPr>
    </w:p>
    <w:p w14:paraId="273E67A3" w14:textId="77777777" w:rsidR="00D228D5" w:rsidRDefault="00D228D5" w:rsidP="00B75FBA">
      <w:pPr>
        <w:spacing w:after="0" w:line="240" w:lineRule="auto"/>
        <w:jc w:val="right"/>
        <w:rPr>
          <w:sz w:val="20"/>
          <w:szCs w:val="20"/>
        </w:rPr>
      </w:pPr>
    </w:p>
    <w:p w14:paraId="35C13339" w14:textId="77777777" w:rsidR="00D228D5" w:rsidRDefault="00D228D5" w:rsidP="00B75FBA">
      <w:pPr>
        <w:spacing w:after="0" w:line="240" w:lineRule="auto"/>
        <w:jc w:val="right"/>
        <w:rPr>
          <w:sz w:val="20"/>
          <w:szCs w:val="20"/>
        </w:rPr>
      </w:pPr>
    </w:p>
    <w:p w14:paraId="3FB2E856" w14:textId="201A8DDE" w:rsidR="00E06613" w:rsidRDefault="00B75FBA" w:rsidP="00B75FBA">
      <w:pPr>
        <w:spacing w:after="0" w:line="240" w:lineRule="auto"/>
        <w:jc w:val="right"/>
        <w:rPr>
          <w:sz w:val="24"/>
          <w:szCs w:val="24"/>
        </w:rPr>
      </w:pPr>
      <w:r w:rsidRPr="00A05B96">
        <w:rPr>
          <w:sz w:val="20"/>
          <w:szCs w:val="20"/>
        </w:rPr>
        <w:t xml:space="preserve">Our ref: </w:t>
      </w:r>
      <w:r>
        <w:rPr>
          <w:sz w:val="20"/>
          <w:szCs w:val="20"/>
        </w:rPr>
        <w:t>CMTEDD2024/1086</w:t>
      </w:r>
    </w:p>
    <w:p w14:paraId="7C78F917" w14:textId="62A57CD4" w:rsidR="00AD7D31" w:rsidRDefault="00345799" w:rsidP="00AD7D31">
      <w:pPr>
        <w:spacing w:after="0" w:line="240" w:lineRule="auto"/>
        <w:rPr>
          <w:sz w:val="24"/>
          <w:szCs w:val="24"/>
        </w:rPr>
      </w:pPr>
      <w:r>
        <w:rPr>
          <w:sz w:val="24"/>
          <w:szCs w:val="24"/>
        </w:rPr>
        <w:t>Peter Cain</w:t>
      </w:r>
      <w:r w:rsidR="00B75FBA">
        <w:rPr>
          <w:sz w:val="24"/>
          <w:szCs w:val="24"/>
        </w:rPr>
        <w:t xml:space="preserve"> MLA</w:t>
      </w:r>
    </w:p>
    <w:p w14:paraId="5B66A7D0" w14:textId="5D3A3671" w:rsidR="00345799" w:rsidRDefault="00345799" w:rsidP="00AD7D31">
      <w:pPr>
        <w:spacing w:after="0" w:line="240" w:lineRule="auto"/>
        <w:rPr>
          <w:sz w:val="24"/>
          <w:szCs w:val="24"/>
        </w:rPr>
      </w:pPr>
      <w:r>
        <w:rPr>
          <w:sz w:val="24"/>
          <w:szCs w:val="24"/>
        </w:rPr>
        <w:t>Chair</w:t>
      </w:r>
    </w:p>
    <w:p w14:paraId="592314E7" w14:textId="173B8CA4" w:rsidR="00345799" w:rsidRDefault="00345799" w:rsidP="00AD7D31">
      <w:pPr>
        <w:spacing w:after="0" w:line="240" w:lineRule="auto"/>
        <w:rPr>
          <w:sz w:val="24"/>
          <w:szCs w:val="24"/>
        </w:rPr>
      </w:pPr>
      <w:r>
        <w:rPr>
          <w:sz w:val="24"/>
          <w:szCs w:val="24"/>
        </w:rPr>
        <w:t>Standing Committee on Justice and Community Safety (Legislative Scrutiny Role)</w:t>
      </w:r>
    </w:p>
    <w:p w14:paraId="560EF198" w14:textId="03DB6124" w:rsidR="00345799" w:rsidRDefault="004F3482" w:rsidP="00AD7D31">
      <w:pPr>
        <w:spacing w:after="0" w:line="240" w:lineRule="auto"/>
        <w:rPr>
          <w:sz w:val="24"/>
          <w:szCs w:val="24"/>
        </w:rPr>
      </w:pPr>
      <w:hyperlink r:id="rId11" w:history="1">
        <w:r w:rsidR="00B75FBA" w:rsidRPr="00F079AA">
          <w:rPr>
            <w:rStyle w:val="Hyperlink"/>
            <w:sz w:val="24"/>
            <w:szCs w:val="24"/>
          </w:rPr>
          <w:t>scrutiny@parliament.act.gov.au</w:t>
        </w:r>
      </w:hyperlink>
    </w:p>
    <w:p w14:paraId="47F8D62D" w14:textId="77777777" w:rsidR="00B91F55" w:rsidRPr="00A031A0" w:rsidRDefault="00B91F55" w:rsidP="00AD7D31">
      <w:pPr>
        <w:spacing w:after="0" w:line="240" w:lineRule="auto"/>
        <w:rPr>
          <w:sz w:val="24"/>
          <w:szCs w:val="24"/>
        </w:rPr>
      </w:pPr>
    </w:p>
    <w:p w14:paraId="26AB4BD0" w14:textId="77777777" w:rsidR="00D228D5" w:rsidRDefault="00D228D5" w:rsidP="00AD7D31">
      <w:pPr>
        <w:spacing w:after="0" w:line="240" w:lineRule="auto"/>
        <w:rPr>
          <w:sz w:val="24"/>
          <w:szCs w:val="24"/>
          <w:lang w:val="en-US"/>
        </w:rPr>
      </w:pPr>
    </w:p>
    <w:p w14:paraId="303D48B3" w14:textId="0E9935A2" w:rsidR="00AD7D31" w:rsidRPr="00A031A0" w:rsidRDefault="00AD7D31" w:rsidP="00AD7D31">
      <w:pPr>
        <w:spacing w:after="0" w:line="240" w:lineRule="auto"/>
        <w:rPr>
          <w:sz w:val="24"/>
          <w:szCs w:val="24"/>
        </w:rPr>
      </w:pPr>
      <w:r w:rsidRPr="00A031A0">
        <w:rPr>
          <w:sz w:val="24"/>
          <w:szCs w:val="24"/>
          <w:lang w:val="en-US"/>
        </w:rPr>
        <w:t xml:space="preserve">Dear </w:t>
      </w:r>
      <w:r w:rsidR="00836B03">
        <w:rPr>
          <w:sz w:val="24"/>
          <w:szCs w:val="24"/>
          <w:lang w:val="en-US"/>
        </w:rPr>
        <w:t>Mr Cain</w:t>
      </w:r>
    </w:p>
    <w:p w14:paraId="0B25EBDD" w14:textId="3D036773" w:rsidR="00836B03" w:rsidRDefault="00AD7D31" w:rsidP="00D228D5">
      <w:pPr>
        <w:spacing w:before="240" w:after="0" w:line="240" w:lineRule="auto"/>
        <w:rPr>
          <w:sz w:val="24"/>
          <w:szCs w:val="24"/>
        </w:rPr>
      </w:pPr>
      <w:r w:rsidRPr="00A031A0">
        <w:rPr>
          <w:sz w:val="24"/>
          <w:szCs w:val="24"/>
        </w:rPr>
        <w:t xml:space="preserve">Thank you for </w:t>
      </w:r>
      <w:r w:rsidR="00505AEA">
        <w:rPr>
          <w:sz w:val="24"/>
          <w:szCs w:val="24"/>
        </w:rPr>
        <w:t xml:space="preserve">Scrutiny Report No. 39, published on 12 March 2024. The Committee made comments in relation to four guidelines made by the Motor Accident Injuries (MAI) Commission under the </w:t>
      </w:r>
      <w:r w:rsidR="00505AEA">
        <w:rPr>
          <w:i/>
          <w:iCs/>
          <w:sz w:val="24"/>
          <w:szCs w:val="24"/>
        </w:rPr>
        <w:t>Motor Accident Injuries Act 2019</w:t>
      </w:r>
      <w:r w:rsidR="003142F7">
        <w:rPr>
          <w:i/>
          <w:iCs/>
          <w:sz w:val="24"/>
          <w:szCs w:val="24"/>
        </w:rPr>
        <w:t xml:space="preserve"> </w:t>
      </w:r>
      <w:r w:rsidR="003142F7">
        <w:rPr>
          <w:sz w:val="24"/>
          <w:szCs w:val="24"/>
        </w:rPr>
        <w:t>(MAI Act)</w:t>
      </w:r>
      <w:r w:rsidR="00505AEA">
        <w:rPr>
          <w:sz w:val="24"/>
          <w:szCs w:val="24"/>
        </w:rPr>
        <w:t xml:space="preserve">. I am advised by the MAI Commission </w:t>
      </w:r>
      <w:r w:rsidR="00836B03">
        <w:rPr>
          <w:sz w:val="24"/>
          <w:szCs w:val="24"/>
        </w:rPr>
        <w:t>that the</w:t>
      </w:r>
      <w:r w:rsidR="00516B49">
        <w:rPr>
          <w:sz w:val="24"/>
          <w:szCs w:val="24"/>
        </w:rPr>
        <w:t xml:space="preserve">y </w:t>
      </w:r>
      <w:r w:rsidR="00345799">
        <w:rPr>
          <w:sz w:val="24"/>
          <w:szCs w:val="24"/>
        </w:rPr>
        <w:t>w</w:t>
      </w:r>
      <w:r w:rsidR="00516B49">
        <w:rPr>
          <w:sz w:val="24"/>
          <w:szCs w:val="24"/>
        </w:rPr>
        <w:t>ere</w:t>
      </w:r>
      <w:r w:rsidR="00345799">
        <w:rPr>
          <w:sz w:val="24"/>
          <w:szCs w:val="24"/>
        </w:rPr>
        <w:t xml:space="preserve"> unaware that the Committee</w:t>
      </w:r>
      <w:r w:rsidR="00DD25D8">
        <w:rPr>
          <w:sz w:val="24"/>
          <w:szCs w:val="24"/>
        </w:rPr>
        <w:t>’s</w:t>
      </w:r>
      <w:r w:rsidR="00345799">
        <w:rPr>
          <w:sz w:val="24"/>
          <w:szCs w:val="24"/>
        </w:rPr>
        <w:t xml:space="preserve"> </w:t>
      </w:r>
      <w:r w:rsidR="00DD25D8">
        <w:rPr>
          <w:sz w:val="24"/>
          <w:szCs w:val="24"/>
        </w:rPr>
        <w:t xml:space="preserve">role </w:t>
      </w:r>
      <w:r w:rsidR="00345799">
        <w:rPr>
          <w:sz w:val="24"/>
          <w:szCs w:val="24"/>
        </w:rPr>
        <w:t xml:space="preserve">had recently been </w:t>
      </w:r>
      <w:r w:rsidR="00DD25D8">
        <w:rPr>
          <w:sz w:val="24"/>
          <w:szCs w:val="24"/>
        </w:rPr>
        <w:t>expanded under section 38</w:t>
      </w:r>
      <w:r w:rsidR="00516B49">
        <w:rPr>
          <w:sz w:val="24"/>
          <w:szCs w:val="24"/>
        </w:rPr>
        <w:t xml:space="preserve"> of the</w:t>
      </w:r>
      <w:r w:rsidR="00DD25D8">
        <w:rPr>
          <w:sz w:val="24"/>
          <w:szCs w:val="24"/>
        </w:rPr>
        <w:t xml:space="preserve"> </w:t>
      </w:r>
      <w:r w:rsidR="00516B49">
        <w:rPr>
          <w:i/>
          <w:iCs/>
          <w:sz w:val="24"/>
          <w:szCs w:val="24"/>
        </w:rPr>
        <w:t xml:space="preserve">Human Rights Act 2004 </w:t>
      </w:r>
      <w:r w:rsidR="00516B49">
        <w:rPr>
          <w:sz w:val="24"/>
          <w:szCs w:val="24"/>
        </w:rPr>
        <w:t>(HRA)</w:t>
      </w:r>
      <w:r w:rsidR="00B31244">
        <w:rPr>
          <w:sz w:val="24"/>
          <w:szCs w:val="24"/>
        </w:rPr>
        <w:t>, and</w:t>
      </w:r>
      <w:r w:rsidR="00955A1C">
        <w:rPr>
          <w:sz w:val="24"/>
          <w:szCs w:val="24"/>
        </w:rPr>
        <w:t xml:space="preserve"> that</w:t>
      </w:r>
      <w:r w:rsidR="00B31244">
        <w:rPr>
          <w:sz w:val="24"/>
          <w:szCs w:val="24"/>
        </w:rPr>
        <w:t xml:space="preserve"> t</w:t>
      </w:r>
      <w:r w:rsidR="0048027A">
        <w:rPr>
          <w:sz w:val="24"/>
          <w:szCs w:val="24"/>
        </w:rPr>
        <w:t xml:space="preserve">his </w:t>
      </w:r>
      <w:r w:rsidR="00955A1C">
        <w:rPr>
          <w:sz w:val="24"/>
          <w:szCs w:val="24"/>
        </w:rPr>
        <w:t xml:space="preserve">legislative </w:t>
      </w:r>
      <w:r w:rsidR="0048027A">
        <w:rPr>
          <w:sz w:val="24"/>
          <w:szCs w:val="24"/>
        </w:rPr>
        <w:t xml:space="preserve">change has formalised the </w:t>
      </w:r>
      <w:r w:rsidR="00516B49">
        <w:rPr>
          <w:sz w:val="24"/>
          <w:szCs w:val="24"/>
        </w:rPr>
        <w:t>Committee</w:t>
      </w:r>
      <w:r w:rsidR="0048027A">
        <w:rPr>
          <w:sz w:val="24"/>
          <w:szCs w:val="24"/>
        </w:rPr>
        <w:t>’s role</w:t>
      </w:r>
      <w:r w:rsidR="00B31244">
        <w:rPr>
          <w:sz w:val="24"/>
          <w:szCs w:val="24"/>
        </w:rPr>
        <w:t xml:space="preserve"> with HRA considerations for </w:t>
      </w:r>
      <w:r w:rsidR="00516B49">
        <w:rPr>
          <w:sz w:val="24"/>
          <w:szCs w:val="24"/>
        </w:rPr>
        <w:t>subordinate laws</w:t>
      </w:r>
      <w:r w:rsidR="00B31244">
        <w:rPr>
          <w:sz w:val="24"/>
          <w:szCs w:val="24"/>
        </w:rPr>
        <w:t>. While noting the Committee’s comments related to disallowable instruments, in the future t</w:t>
      </w:r>
      <w:r w:rsidR="00516B49">
        <w:rPr>
          <w:sz w:val="24"/>
          <w:szCs w:val="24"/>
        </w:rPr>
        <w:t xml:space="preserve">he Commission </w:t>
      </w:r>
      <w:r w:rsidR="00B31244">
        <w:rPr>
          <w:sz w:val="24"/>
          <w:szCs w:val="24"/>
        </w:rPr>
        <w:t xml:space="preserve">will </w:t>
      </w:r>
      <w:r w:rsidR="00345799">
        <w:rPr>
          <w:sz w:val="24"/>
          <w:szCs w:val="24"/>
        </w:rPr>
        <w:t xml:space="preserve">document </w:t>
      </w:r>
      <w:r w:rsidR="00516B49">
        <w:rPr>
          <w:sz w:val="24"/>
          <w:szCs w:val="24"/>
        </w:rPr>
        <w:t xml:space="preserve">any applicable HRA considerations </w:t>
      </w:r>
      <w:r w:rsidR="00345799">
        <w:rPr>
          <w:sz w:val="24"/>
          <w:szCs w:val="24"/>
        </w:rPr>
        <w:t>in</w:t>
      </w:r>
      <w:r w:rsidR="00516B49">
        <w:rPr>
          <w:sz w:val="24"/>
          <w:szCs w:val="24"/>
        </w:rPr>
        <w:t xml:space="preserve"> </w:t>
      </w:r>
      <w:r w:rsidR="00B31244">
        <w:rPr>
          <w:sz w:val="24"/>
          <w:szCs w:val="24"/>
        </w:rPr>
        <w:t>all its</w:t>
      </w:r>
      <w:r w:rsidR="00497148">
        <w:rPr>
          <w:sz w:val="24"/>
          <w:szCs w:val="24"/>
        </w:rPr>
        <w:t xml:space="preserve"> legislative</w:t>
      </w:r>
      <w:r w:rsidR="00345799">
        <w:rPr>
          <w:sz w:val="24"/>
          <w:szCs w:val="24"/>
        </w:rPr>
        <w:t xml:space="preserve"> explanatory statements. T</w:t>
      </w:r>
      <w:r w:rsidR="005C41D0">
        <w:rPr>
          <w:sz w:val="24"/>
          <w:szCs w:val="24"/>
        </w:rPr>
        <w:t xml:space="preserve">he MAI Commission offers the following comments in relation to each of the guidelines. </w:t>
      </w:r>
    </w:p>
    <w:p w14:paraId="7D4A033B" w14:textId="52F923D5" w:rsidR="00FA71DE" w:rsidRPr="007B2FF2" w:rsidRDefault="005C41D0" w:rsidP="00D228D5">
      <w:pPr>
        <w:spacing w:before="240" w:after="0" w:line="240" w:lineRule="auto"/>
        <w:ind w:right="83"/>
        <w:rPr>
          <w:b/>
          <w:bCs/>
          <w:sz w:val="24"/>
          <w:szCs w:val="24"/>
          <w:u w:val="single"/>
        </w:rPr>
      </w:pPr>
      <w:r w:rsidRPr="007B2FF2">
        <w:rPr>
          <w:b/>
          <w:bCs/>
          <w:sz w:val="24"/>
          <w:szCs w:val="24"/>
          <w:u w:val="single"/>
        </w:rPr>
        <w:t>Motor Accident Injuries (Significant Occupational Impact Assessment) Guidelines 2023 (DI2023-243)</w:t>
      </w:r>
      <w:r w:rsidR="00FA71DE" w:rsidRPr="007B2FF2">
        <w:rPr>
          <w:b/>
          <w:bCs/>
          <w:sz w:val="24"/>
          <w:szCs w:val="24"/>
          <w:u w:val="single"/>
        </w:rPr>
        <w:t xml:space="preserve"> and Motor Accident Injuries (Significant Occupational Injuries Assessment Referral) Guidelines 2023 (DI2023-313) </w:t>
      </w:r>
    </w:p>
    <w:p w14:paraId="7F9AD181" w14:textId="77777777" w:rsidR="00C734EF" w:rsidRDefault="005C41D0" w:rsidP="00D228D5">
      <w:pPr>
        <w:spacing w:before="240" w:after="0" w:line="240" w:lineRule="auto"/>
        <w:rPr>
          <w:sz w:val="24"/>
          <w:szCs w:val="24"/>
        </w:rPr>
      </w:pPr>
      <w:r>
        <w:rPr>
          <w:sz w:val="24"/>
          <w:szCs w:val="24"/>
        </w:rPr>
        <w:t>The right to work and work-related rights are not engaged by the</w:t>
      </w:r>
      <w:r w:rsidR="00545E38">
        <w:rPr>
          <w:sz w:val="24"/>
          <w:szCs w:val="24"/>
        </w:rPr>
        <w:t xml:space="preserve"> significant occupational impact (SOI) assessment</w:t>
      </w:r>
      <w:r>
        <w:rPr>
          <w:sz w:val="24"/>
          <w:szCs w:val="24"/>
        </w:rPr>
        <w:t xml:space="preserve"> guidelines. </w:t>
      </w:r>
      <w:r w:rsidR="00993315">
        <w:rPr>
          <w:sz w:val="24"/>
          <w:szCs w:val="24"/>
        </w:rPr>
        <w:t>The scheme’s principles and key processes</w:t>
      </w:r>
      <w:r w:rsidR="00955A1C">
        <w:rPr>
          <w:sz w:val="24"/>
          <w:szCs w:val="24"/>
        </w:rPr>
        <w:t>, including for a SOI assessment,</w:t>
      </w:r>
      <w:r w:rsidR="00993315">
        <w:rPr>
          <w:sz w:val="24"/>
          <w:szCs w:val="24"/>
        </w:rPr>
        <w:t xml:space="preserve"> are contained in the</w:t>
      </w:r>
      <w:r w:rsidR="003142F7">
        <w:rPr>
          <w:sz w:val="24"/>
          <w:szCs w:val="24"/>
        </w:rPr>
        <w:t xml:space="preserve"> MAI Act. </w:t>
      </w:r>
      <w:r w:rsidR="00993315">
        <w:rPr>
          <w:sz w:val="24"/>
          <w:szCs w:val="24"/>
        </w:rPr>
        <w:t xml:space="preserve">The </w:t>
      </w:r>
      <w:r w:rsidR="00545E38">
        <w:rPr>
          <w:sz w:val="24"/>
          <w:szCs w:val="24"/>
        </w:rPr>
        <w:t xml:space="preserve">SOI </w:t>
      </w:r>
      <w:r w:rsidR="00993315">
        <w:rPr>
          <w:sz w:val="24"/>
          <w:szCs w:val="24"/>
        </w:rPr>
        <w:t xml:space="preserve">guidelines provide for the procedural and technical matters that flow from these principles. </w:t>
      </w:r>
      <w:r w:rsidR="003142F7">
        <w:rPr>
          <w:sz w:val="24"/>
          <w:szCs w:val="24"/>
        </w:rPr>
        <w:t xml:space="preserve">Section 27B of the HRA </w:t>
      </w:r>
      <w:r w:rsidR="004F1108">
        <w:rPr>
          <w:sz w:val="24"/>
          <w:szCs w:val="24"/>
        </w:rPr>
        <w:t xml:space="preserve">(the right to work) </w:t>
      </w:r>
      <w:r w:rsidR="003142F7">
        <w:rPr>
          <w:sz w:val="24"/>
          <w:szCs w:val="24"/>
        </w:rPr>
        <w:t xml:space="preserve">is not engaged as the assessment does not interfere with </w:t>
      </w:r>
      <w:r w:rsidR="0088358D">
        <w:rPr>
          <w:sz w:val="24"/>
          <w:szCs w:val="24"/>
        </w:rPr>
        <w:t>that</w:t>
      </w:r>
      <w:r w:rsidR="003142F7">
        <w:rPr>
          <w:sz w:val="24"/>
          <w:szCs w:val="24"/>
        </w:rPr>
        <w:t xml:space="preserve"> right</w:t>
      </w:r>
      <w:r w:rsidR="0088358D">
        <w:rPr>
          <w:sz w:val="24"/>
          <w:szCs w:val="24"/>
        </w:rPr>
        <w:t>. This is</w:t>
      </w:r>
      <w:r w:rsidR="003142F7">
        <w:rPr>
          <w:sz w:val="24"/>
          <w:szCs w:val="24"/>
        </w:rPr>
        <w:t xml:space="preserve"> because </w:t>
      </w:r>
      <w:r w:rsidR="00F504D3">
        <w:rPr>
          <w:sz w:val="24"/>
          <w:szCs w:val="24"/>
        </w:rPr>
        <w:t>the assessment</w:t>
      </w:r>
      <w:r w:rsidR="003142F7">
        <w:rPr>
          <w:sz w:val="24"/>
          <w:szCs w:val="24"/>
        </w:rPr>
        <w:t xml:space="preserve"> is not about </w:t>
      </w:r>
      <w:r w:rsidR="00545E38">
        <w:rPr>
          <w:sz w:val="24"/>
          <w:szCs w:val="24"/>
        </w:rPr>
        <w:t>a person’s</w:t>
      </w:r>
      <w:r w:rsidR="003142F7">
        <w:rPr>
          <w:sz w:val="24"/>
          <w:szCs w:val="24"/>
        </w:rPr>
        <w:t xml:space="preserve"> right to work but what effect the injuries from the motor accident had on the</w:t>
      </w:r>
      <w:r w:rsidR="00545E38">
        <w:rPr>
          <w:sz w:val="24"/>
          <w:szCs w:val="24"/>
        </w:rPr>
        <w:t>ir</w:t>
      </w:r>
      <w:r w:rsidR="003142F7">
        <w:rPr>
          <w:sz w:val="24"/>
          <w:szCs w:val="24"/>
        </w:rPr>
        <w:t xml:space="preserve"> ability to work in their chosen field. </w:t>
      </w:r>
    </w:p>
    <w:p w14:paraId="2BA0F672" w14:textId="77777777" w:rsidR="00C734EF" w:rsidRDefault="00C734EF" w:rsidP="00D228D5">
      <w:pPr>
        <w:spacing w:before="240" w:after="0" w:line="240" w:lineRule="auto"/>
        <w:rPr>
          <w:sz w:val="24"/>
          <w:szCs w:val="24"/>
        </w:rPr>
      </w:pPr>
    </w:p>
    <w:p w14:paraId="28528B2F" w14:textId="71643061" w:rsidR="005C41D0" w:rsidRDefault="00577E0E" w:rsidP="00D228D5">
      <w:pPr>
        <w:spacing w:before="240" w:after="0" w:line="240" w:lineRule="auto"/>
        <w:rPr>
          <w:sz w:val="24"/>
          <w:szCs w:val="24"/>
        </w:rPr>
      </w:pPr>
      <w:r>
        <w:rPr>
          <w:sz w:val="24"/>
          <w:szCs w:val="24"/>
        </w:rPr>
        <w:lastRenderedPageBreak/>
        <w:t xml:space="preserve">The assessment is only relevant </w:t>
      </w:r>
      <w:r w:rsidR="004F1108">
        <w:rPr>
          <w:sz w:val="24"/>
          <w:szCs w:val="24"/>
        </w:rPr>
        <w:t>and necessary to ascertain whe</w:t>
      </w:r>
      <w:r>
        <w:rPr>
          <w:sz w:val="24"/>
          <w:szCs w:val="24"/>
        </w:rPr>
        <w:t xml:space="preserve">ther an injured person meets one of the thresholds for a common law claim. </w:t>
      </w:r>
      <w:r w:rsidR="003142F7">
        <w:rPr>
          <w:sz w:val="24"/>
          <w:szCs w:val="24"/>
        </w:rPr>
        <w:t>The guidelines specify what it is</w:t>
      </w:r>
      <w:r w:rsidR="002E3A31">
        <w:rPr>
          <w:sz w:val="24"/>
          <w:szCs w:val="24"/>
        </w:rPr>
        <w:t xml:space="preserve"> that</w:t>
      </w:r>
      <w:r w:rsidR="003142F7">
        <w:rPr>
          <w:sz w:val="24"/>
          <w:szCs w:val="24"/>
        </w:rPr>
        <w:t xml:space="preserve"> the assessor is to assess and </w:t>
      </w:r>
      <w:r w:rsidR="0088358D">
        <w:rPr>
          <w:sz w:val="24"/>
          <w:szCs w:val="24"/>
        </w:rPr>
        <w:t>are</w:t>
      </w:r>
      <w:r w:rsidR="003142F7">
        <w:rPr>
          <w:sz w:val="24"/>
          <w:szCs w:val="24"/>
        </w:rPr>
        <w:t xml:space="preserve"> very clear in what they are confirming with respect to the assessment. An assessor is not asked, nor should they, to opine on whether the injuries will compound, worsen or manifest over time. </w:t>
      </w:r>
      <w:r w:rsidR="004F1108">
        <w:rPr>
          <w:sz w:val="24"/>
          <w:szCs w:val="24"/>
        </w:rPr>
        <w:t>If after the assessor confirms that the injured person has experienced a significant occupational impact from their motor accident injuries,</w:t>
      </w:r>
      <w:r w:rsidR="004F1108" w:rsidDel="004F1108">
        <w:rPr>
          <w:sz w:val="24"/>
          <w:szCs w:val="24"/>
        </w:rPr>
        <w:t xml:space="preserve"> </w:t>
      </w:r>
      <w:r w:rsidR="004F1108">
        <w:rPr>
          <w:sz w:val="24"/>
          <w:szCs w:val="24"/>
        </w:rPr>
        <w:t>then the expertise of</w:t>
      </w:r>
      <w:r w:rsidR="003142F7">
        <w:rPr>
          <w:sz w:val="24"/>
          <w:szCs w:val="24"/>
        </w:rPr>
        <w:t xml:space="preserve"> other</w:t>
      </w:r>
      <w:r w:rsidR="004F1108">
        <w:rPr>
          <w:sz w:val="24"/>
          <w:szCs w:val="24"/>
        </w:rPr>
        <w:t>s</w:t>
      </w:r>
      <w:r w:rsidR="003142F7">
        <w:rPr>
          <w:sz w:val="24"/>
          <w:szCs w:val="24"/>
        </w:rPr>
        <w:t xml:space="preserve"> can be called upon during the common law claim. </w:t>
      </w:r>
    </w:p>
    <w:p w14:paraId="6D0D2313" w14:textId="7D499A03" w:rsidR="005C41D0" w:rsidRDefault="00FA71DE" w:rsidP="00D228D5">
      <w:pPr>
        <w:spacing w:before="240" w:after="0" w:line="240" w:lineRule="auto"/>
        <w:ind w:right="-59"/>
        <w:rPr>
          <w:sz w:val="24"/>
          <w:szCs w:val="24"/>
        </w:rPr>
      </w:pPr>
      <w:r>
        <w:rPr>
          <w:sz w:val="24"/>
          <w:szCs w:val="24"/>
        </w:rPr>
        <w:t>The SOI referral guidelines were originally to form part of the SOI guidelines. F</w:t>
      </w:r>
      <w:r w:rsidR="00AF30B1">
        <w:rPr>
          <w:sz w:val="24"/>
          <w:szCs w:val="24"/>
        </w:rPr>
        <w:t>eedback f</w:t>
      </w:r>
      <w:r>
        <w:rPr>
          <w:sz w:val="24"/>
          <w:szCs w:val="24"/>
        </w:rPr>
        <w:t>ollowing a consultation process in early 2023</w:t>
      </w:r>
      <w:r w:rsidR="00AF30B1">
        <w:rPr>
          <w:sz w:val="24"/>
          <w:szCs w:val="24"/>
        </w:rPr>
        <w:t xml:space="preserve"> </w:t>
      </w:r>
      <w:r>
        <w:rPr>
          <w:sz w:val="24"/>
          <w:szCs w:val="24"/>
        </w:rPr>
        <w:t xml:space="preserve">suggested the referral processes be </w:t>
      </w:r>
      <w:r w:rsidR="00AF30B1">
        <w:rPr>
          <w:sz w:val="24"/>
          <w:szCs w:val="24"/>
        </w:rPr>
        <w:t xml:space="preserve">in a </w:t>
      </w:r>
      <w:r>
        <w:rPr>
          <w:sz w:val="24"/>
          <w:szCs w:val="24"/>
        </w:rPr>
        <w:t>separate</w:t>
      </w:r>
      <w:r w:rsidR="00AF30B1">
        <w:rPr>
          <w:sz w:val="24"/>
          <w:szCs w:val="24"/>
        </w:rPr>
        <w:t xml:space="preserve"> guideline. </w:t>
      </w:r>
      <w:r w:rsidR="004F1108">
        <w:rPr>
          <w:sz w:val="24"/>
          <w:szCs w:val="24"/>
        </w:rPr>
        <w:t>With the development of the guidelines, t</w:t>
      </w:r>
      <w:r w:rsidR="00BD204D">
        <w:rPr>
          <w:sz w:val="24"/>
          <w:szCs w:val="24"/>
        </w:rPr>
        <w:t>he right to privacy</w:t>
      </w:r>
      <w:r w:rsidR="00AF30B1">
        <w:rPr>
          <w:sz w:val="24"/>
          <w:szCs w:val="24"/>
        </w:rPr>
        <w:t xml:space="preserve"> (section 12, HRA)</w:t>
      </w:r>
      <w:r w:rsidR="00BD204D">
        <w:rPr>
          <w:sz w:val="24"/>
          <w:szCs w:val="24"/>
        </w:rPr>
        <w:t xml:space="preserve"> was considered,</w:t>
      </w:r>
      <w:r w:rsidR="00AF30B1">
        <w:rPr>
          <w:sz w:val="24"/>
          <w:szCs w:val="24"/>
        </w:rPr>
        <w:t xml:space="preserve"> </w:t>
      </w:r>
      <w:r w:rsidR="004F1108">
        <w:rPr>
          <w:sz w:val="24"/>
          <w:szCs w:val="24"/>
        </w:rPr>
        <w:t>as</w:t>
      </w:r>
      <w:r w:rsidR="002D7657">
        <w:rPr>
          <w:sz w:val="24"/>
          <w:szCs w:val="24"/>
        </w:rPr>
        <w:t xml:space="preserve"> </w:t>
      </w:r>
      <w:r w:rsidR="00AF30B1">
        <w:rPr>
          <w:sz w:val="24"/>
          <w:szCs w:val="24"/>
        </w:rPr>
        <w:t xml:space="preserve">a limitation on the right to privacy </w:t>
      </w:r>
      <w:r w:rsidR="004F1108">
        <w:rPr>
          <w:sz w:val="24"/>
          <w:szCs w:val="24"/>
        </w:rPr>
        <w:t xml:space="preserve">was </w:t>
      </w:r>
      <w:r w:rsidR="00AF30B1">
        <w:rPr>
          <w:sz w:val="24"/>
          <w:szCs w:val="24"/>
        </w:rPr>
        <w:t xml:space="preserve">noted in </w:t>
      </w:r>
      <w:r w:rsidR="00BD204D">
        <w:rPr>
          <w:sz w:val="24"/>
          <w:szCs w:val="24"/>
        </w:rPr>
        <w:t>the explanatory statement</w:t>
      </w:r>
      <w:r w:rsidR="00AF30B1">
        <w:rPr>
          <w:sz w:val="24"/>
          <w:szCs w:val="24"/>
        </w:rPr>
        <w:t>s</w:t>
      </w:r>
      <w:r w:rsidR="00BD204D">
        <w:rPr>
          <w:sz w:val="24"/>
          <w:szCs w:val="24"/>
        </w:rPr>
        <w:t xml:space="preserve"> to the </w:t>
      </w:r>
      <w:r w:rsidR="00BD204D">
        <w:rPr>
          <w:i/>
          <w:iCs/>
          <w:sz w:val="24"/>
          <w:szCs w:val="24"/>
        </w:rPr>
        <w:t>Motor Accident Injuries Amendment Bill 2023</w:t>
      </w:r>
      <w:r w:rsidR="004A1AA1">
        <w:rPr>
          <w:i/>
          <w:iCs/>
          <w:sz w:val="24"/>
          <w:szCs w:val="24"/>
        </w:rPr>
        <w:t xml:space="preserve"> </w:t>
      </w:r>
      <w:r w:rsidR="004A1AA1">
        <w:rPr>
          <w:sz w:val="24"/>
          <w:szCs w:val="24"/>
        </w:rPr>
        <w:t>(the Bill)</w:t>
      </w:r>
      <w:r w:rsidR="00AF30B1">
        <w:rPr>
          <w:sz w:val="24"/>
          <w:szCs w:val="24"/>
        </w:rPr>
        <w:t xml:space="preserve"> and the MAI Act</w:t>
      </w:r>
      <w:r w:rsidR="00BD204D">
        <w:rPr>
          <w:sz w:val="24"/>
          <w:szCs w:val="24"/>
        </w:rPr>
        <w:t>. Personal information, in the form of work and employment information, needs to be provided to enable the independent assessor to complete a</w:t>
      </w:r>
      <w:r w:rsidR="0081009A">
        <w:rPr>
          <w:sz w:val="24"/>
          <w:szCs w:val="24"/>
        </w:rPr>
        <w:t xml:space="preserve"> SOI</w:t>
      </w:r>
      <w:r w:rsidR="00BD204D">
        <w:rPr>
          <w:sz w:val="24"/>
          <w:szCs w:val="24"/>
        </w:rPr>
        <w:t xml:space="preserve"> assessment. The MAI Act and the guidelines require that consent is obtained for a referral for a SOI assessment, so that a person is fully informed and can engage in the assessment. </w:t>
      </w:r>
      <w:r w:rsidR="00AF30B1">
        <w:rPr>
          <w:sz w:val="24"/>
          <w:szCs w:val="24"/>
        </w:rPr>
        <w:t>The guidelines utilise reasonable and objective criteria and adopt the least restrictive means to achieve the purpose.</w:t>
      </w:r>
    </w:p>
    <w:p w14:paraId="3852CA42" w14:textId="1331C299" w:rsidR="00FA71DE" w:rsidRDefault="00FA71DE" w:rsidP="00D228D5">
      <w:pPr>
        <w:spacing w:before="240" w:after="0" w:line="240" w:lineRule="auto"/>
        <w:rPr>
          <w:sz w:val="24"/>
          <w:szCs w:val="24"/>
        </w:rPr>
      </w:pPr>
      <w:r>
        <w:rPr>
          <w:sz w:val="24"/>
          <w:szCs w:val="24"/>
        </w:rPr>
        <w:t xml:space="preserve">The Committee has suggested the right to life, protected by section 9 of the HRA, </w:t>
      </w:r>
      <w:r w:rsidR="005E6339">
        <w:rPr>
          <w:sz w:val="24"/>
          <w:szCs w:val="24"/>
        </w:rPr>
        <w:t>should have been referenced</w:t>
      </w:r>
      <w:r>
        <w:rPr>
          <w:sz w:val="24"/>
          <w:szCs w:val="24"/>
        </w:rPr>
        <w:t xml:space="preserve"> with respect to the SOI referral guidelines. </w:t>
      </w:r>
      <w:r w:rsidR="00B31244">
        <w:rPr>
          <w:sz w:val="24"/>
          <w:szCs w:val="24"/>
        </w:rPr>
        <w:t xml:space="preserve">Noting the discussion below about the protective nature of section 9, it is unclear to the Commission this section is, in fact, engaged as the </w:t>
      </w:r>
      <w:r>
        <w:rPr>
          <w:sz w:val="24"/>
          <w:szCs w:val="24"/>
        </w:rPr>
        <w:t>SOI referral guidelines do not influence</w:t>
      </w:r>
      <w:r w:rsidR="009B3B35">
        <w:rPr>
          <w:sz w:val="24"/>
          <w:szCs w:val="24"/>
        </w:rPr>
        <w:t xml:space="preserve"> or interfere in </w:t>
      </w:r>
      <w:r>
        <w:rPr>
          <w:sz w:val="24"/>
          <w:szCs w:val="24"/>
        </w:rPr>
        <w:t>the receipt of medical services</w:t>
      </w:r>
      <w:r w:rsidR="009B3B35">
        <w:rPr>
          <w:sz w:val="24"/>
          <w:szCs w:val="24"/>
        </w:rPr>
        <w:t>.</w:t>
      </w:r>
      <w:r>
        <w:rPr>
          <w:sz w:val="24"/>
          <w:szCs w:val="24"/>
        </w:rPr>
        <w:t xml:space="preserve"> </w:t>
      </w:r>
    </w:p>
    <w:p w14:paraId="4A76653D" w14:textId="77777777" w:rsidR="00FA49A2" w:rsidRPr="00C734EF" w:rsidRDefault="005C41D0" w:rsidP="00D228D5">
      <w:pPr>
        <w:spacing w:before="240" w:after="0" w:line="240" w:lineRule="auto"/>
        <w:rPr>
          <w:b/>
          <w:bCs/>
          <w:sz w:val="24"/>
          <w:szCs w:val="24"/>
          <w:u w:val="single"/>
        </w:rPr>
      </w:pPr>
      <w:r w:rsidRPr="00C734EF">
        <w:rPr>
          <w:b/>
          <w:bCs/>
          <w:sz w:val="24"/>
          <w:szCs w:val="24"/>
          <w:u w:val="single"/>
        </w:rPr>
        <w:t>Motor Accident Injuries (Treatment and Care) Guidelines 2023 (DI2023-310)</w:t>
      </w:r>
      <w:r w:rsidR="00FA49A2" w:rsidRPr="00C734EF">
        <w:rPr>
          <w:b/>
          <w:bCs/>
          <w:sz w:val="24"/>
          <w:szCs w:val="24"/>
          <w:u w:val="single"/>
        </w:rPr>
        <w:t xml:space="preserve"> and Motor Accident Injuries (Quality of Life Benefit) Guidelines 2023 (DI2023-311)</w:t>
      </w:r>
    </w:p>
    <w:p w14:paraId="06BE6ACF" w14:textId="03E0B335" w:rsidR="00122657" w:rsidRDefault="00122657" w:rsidP="00D228D5">
      <w:pPr>
        <w:spacing w:before="240" w:after="0" w:line="240" w:lineRule="auto"/>
        <w:ind w:right="-342"/>
        <w:rPr>
          <w:sz w:val="24"/>
          <w:szCs w:val="24"/>
        </w:rPr>
      </w:pPr>
      <w:r>
        <w:rPr>
          <w:sz w:val="24"/>
          <w:szCs w:val="24"/>
        </w:rPr>
        <w:t>The Committee suggests that the right to life, section 9</w:t>
      </w:r>
      <w:r w:rsidR="00350470">
        <w:rPr>
          <w:sz w:val="24"/>
          <w:szCs w:val="24"/>
        </w:rPr>
        <w:t xml:space="preserve"> of the</w:t>
      </w:r>
      <w:r>
        <w:rPr>
          <w:sz w:val="24"/>
          <w:szCs w:val="24"/>
        </w:rPr>
        <w:t xml:space="preserve"> HRA, may have human rights impacts relating to the </w:t>
      </w:r>
      <w:r w:rsidR="00071134">
        <w:rPr>
          <w:sz w:val="24"/>
          <w:szCs w:val="24"/>
        </w:rPr>
        <w:t>treatment and care (</w:t>
      </w:r>
      <w:r>
        <w:rPr>
          <w:sz w:val="24"/>
          <w:szCs w:val="24"/>
        </w:rPr>
        <w:t>T&amp;C</w:t>
      </w:r>
      <w:r w:rsidR="00071134">
        <w:rPr>
          <w:sz w:val="24"/>
          <w:szCs w:val="24"/>
        </w:rPr>
        <w:t>)</w:t>
      </w:r>
      <w:r>
        <w:rPr>
          <w:sz w:val="24"/>
          <w:szCs w:val="24"/>
        </w:rPr>
        <w:t xml:space="preserve"> and </w:t>
      </w:r>
      <w:r w:rsidR="00071134">
        <w:rPr>
          <w:sz w:val="24"/>
          <w:szCs w:val="24"/>
        </w:rPr>
        <w:t>quality of life (</w:t>
      </w:r>
      <w:r>
        <w:rPr>
          <w:sz w:val="24"/>
          <w:szCs w:val="24"/>
        </w:rPr>
        <w:t>QOL</w:t>
      </w:r>
      <w:r w:rsidR="00071134">
        <w:rPr>
          <w:sz w:val="24"/>
          <w:szCs w:val="24"/>
        </w:rPr>
        <w:t>)</w:t>
      </w:r>
      <w:r>
        <w:rPr>
          <w:sz w:val="24"/>
          <w:szCs w:val="24"/>
        </w:rPr>
        <w:t xml:space="preserve"> benefit guidelines. Regarding the T&amp;C guidelines, the Committee says this is due to the guidelines influencing the T&amp;C that is paid for by an insurer. For the QOL benefit guidelines it was related to the information and support given to applicants. </w:t>
      </w:r>
    </w:p>
    <w:p w14:paraId="039D3F39" w14:textId="63CFC073" w:rsidR="00122657" w:rsidRDefault="00122657" w:rsidP="00D228D5">
      <w:pPr>
        <w:spacing w:before="240" w:after="0" w:line="240" w:lineRule="auto"/>
        <w:rPr>
          <w:sz w:val="24"/>
          <w:szCs w:val="24"/>
        </w:rPr>
      </w:pPr>
      <w:r>
        <w:rPr>
          <w:sz w:val="24"/>
          <w:szCs w:val="24"/>
        </w:rPr>
        <w:t>It is not apparent to the MAI Commission from the words of section 9 how this section may be said to be engaged given it</w:t>
      </w:r>
      <w:r w:rsidR="00C10BF3">
        <w:rPr>
          <w:sz w:val="24"/>
          <w:szCs w:val="24"/>
        </w:rPr>
        <w:t xml:space="preserve"> i</w:t>
      </w:r>
      <w:r>
        <w:rPr>
          <w:sz w:val="24"/>
          <w:szCs w:val="24"/>
        </w:rPr>
        <w:t xml:space="preserve">s simply that everyone has a right to life. The Commission understands section 9 has also been interpreted to include a protective aspect, e.g., </w:t>
      </w:r>
      <w:r w:rsidR="00450070">
        <w:rPr>
          <w:sz w:val="24"/>
          <w:szCs w:val="24"/>
        </w:rPr>
        <w:t xml:space="preserve">a </w:t>
      </w:r>
      <w:r>
        <w:rPr>
          <w:sz w:val="24"/>
          <w:szCs w:val="24"/>
        </w:rPr>
        <w:t xml:space="preserve">government’s obligation to safeguard life, including protecting and promoting the health and well-being of Canberrans. </w:t>
      </w:r>
    </w:p>
    <w:p w14:paraId="0F10AD82" w14:textId="0A056502" w:rsidR="004A1AA1" w:rsidRDefault="00545E38" w:rsidP="00D228D5">
      <w:pPr>
        <w:spacing w:before="240" w:after="0" w:line="240" w:lineRule="auto"/>
        <w:rPr>
          <w:sz w:val="24"/>
          <w:szCs w:val="24"/>
        </w:rPr>
      </w:pPr>
      <w:r>
        <w:rPr>
          <w:sz w:val="24"/>
          <w:szCs w:val="24"/>
        </w:rPr>
        <w:t>The T&amp;C guidelines give effect to the scheme’s principles and key processes with respect to guidance given to insurers about their obligations to pay T&amp;C benefits</w:t>
      </w:r>
      <w:r w:rsidR="00350470">
        <w:rPr>
          <w:sz w:val="24"/>
          <w:szCs w:val="24"/>
        </w:rPr>
        <w:t>. This</w:t>
      </w:r>
      <w:r>
        <w:rPr>
          <w:sz w:val="24"/>
          <w:szCs w:val="24"/>
        </w:rPr>
        <w:t xml:space="preserve"> includ</w:t>
      </w:r>
      <w:r w:rsidR="00350470">
        <w:rPr>
          <w:sz w:val="24"/>
          <w:szCs w:val="24"/>
        </w:rPr>
        <w:t>es</w:t>
      </w:r>
      <w:r>
        <w:rPr>
          <w:sz w:val="24"/>
          <w:szCs w:val="24"/>
        </w:rPr>
        <w:t xml:space="preserve"> making decisions about whether the T&amp;C is reasonable and necessary, and verifying T&amp;C expenses. </w:t>
      </w:r>
      <w:r w:rsidR="00D00728">
        <w:rPr>
          <w:sz w:val="24"/>
          <w:szCs w:val="24"/>
        </w:rPr>
        <w:t xml:space="preserve">The guidelines were largely remade, with some </w:t>
      </w:r>
      <w:r w:rsidR="00394426">
        <w:rPr>
          <w:sz w:val="24"/>
          <w:szCs w:val="24"/>
        </w:rPr>
        <w:t>updates</w:t>
      </w:r>
      <w:r w:rsidR="00D00728">
        <w:rPr>
          <w:sz w:val="24"/>
          <w:szCs w:val="24"/>
        </w:rPr>
        <w:t xml:space="preserve"> as outlined in the explanatory statement, but not </w:t>
      </w:r>
      <w:r w:rsidR="00C10BF3">
        <w:rPr>
          <w:sz w:val="24"/>
          <w:szCs w:val="24"/>
        </w:rPr>
        <w:t xml:space="preserve">enough </w:t>
      </w:r>
      <w:r w:rsidR="002E3A31">
        <w:rPr>
          <w:sz w:val="24"/>
          <w:szCs w:val="24"/>
        </w:rPr>
        <w:t>to</w:t>
      </w:r>
      <w:r w:rsidR="00D00728">
        <w:rPr>
          <w:sz w:val="24"/>
          <w:szCs w:val="24"/>
        </w:rPr>
        <w:t xml:space="preserve"> requir</w:t>
      </w:r>
      <w:r w:rsidR="002E3A31">
        <w:rPr>
          <w:sz w:val="24"/>
          <w:szCs w:val="24"/>
        </w:rPr>
        <w:t xml:space="preserve">e </w:t>
      </w:r>
      <w:r w:rsidR="00D00728">
        <w:rPr>
          <w:sz w:val="24"/>
          <w:szCs w:val="24"/>
        </w:rPr>
        <w:t xml:space="preserve">a HRA assessment. </w:t>
      </w:r>
    </w:p>
    <w:p w14:paraId="47070AB0" w14:textId="24DCE12E" w:rsidR="0048027A" w:rsidRDefault="0044228B" w:rsidP="00D228D5">
      <w:pPr>
        <w:spacing w:before="240" w:after="0" w:line="240" w:lineRule="auto"/>
        <w:rPr>
          <w:sz w:val="24"/>
          <w:szCs w:val="24"/>
        </w:rPr>
      </w:pPr>
      <w:r>
        <w:rPr>
          <w:sz w:val="24"/>
          <w:szCs w:val="24"/>
        </w:rPr>
        <w:t>The Commission observes that</w:t>
      </w:r>
      <w:r w:rsidR="00497148">
        <w:rPr>
          <w:sz w:val="24"/>
          <w:szCs w:val="24"/>
        </w:rPr>
        <w:t xml:space="preserve"> a MAI insurer is not a treatment provider and has no control over the delivery or availability of public/private medical resources within the Territory. </w:t>
      </w:r>
      <w:r>
        <w:rPr>
          <w:sz w:val="24"/>
          <w:szCs w:val="24"/>
        </w:rPr>
        <w:t>That said</w:t>
      </w:r>
      <w:r w:rsidR="006E2BB7">
        <w:rPr>
          <w:sz w:val="24"/>
          <w:szCs w:val="24"/>
        </w:rPr>
        <w:t xml:space="preserve">, </w:t>
      </w:r>
      <w:r w:rsidR="00313EE3">
        <w:rPr>
          <w:sz w:val="24"/>
          <w:szCs w:val="24"/>
        </w:rPr>
        <w:t xml:space="preserve">if a wide interpretation is being taken of this right, </w:t>
      </w:r>
      <w:r w:rsidR="006E2BB7">
        <w:rPr>
          <w:sz w:val="24"/>
          <w:szCs w:val="24"/>
        </w:rPr>
        <w:t xml:space="preserve">the </w:t>
      </w:r>
      <w:r w:rsidR="00BE2ECF">
        <w:rPr>
          <w:sz w:val="24"/>
          <w:szCs w:val="24"/>
        </w:rPr>
        <w:t xml:space="preserve">T&amp;C guidelines </w:t>
      </w:r>
      <w:r>
        <w:rPr>
          <w:sz w:val="24"/>
          <w:szCs w:val="24"/>
        </w:rPr>
        <w:t xml:space="preserve">could </w:t>
      </w:r>
      <w:r w:rsidR="00BE2ECF">
        <w:rPr>
          <w:sz w:val="24"/>
          <w:szCs w:val="24"/>
        </w:rPr>
        <w:t xml:space="preserve">be said to </w:t>
      </w:r>
      <w:r w:rsidR="00313EE3">
        <w:rPr>
          <w:sz w:val="24"/>
          <w:szCs w:val="24"/>
        </w:rPr>
        <w:t xml:space="preserve">promote the right to life </w:t>
      </w:r>
      <w:r>
        <w:rPr>
          <w:sz w:val="24"/>
          <w:szCs w:val="24"/>
        </w:rPr>
        <w:t xml:space="preserve">as the guidelines outline what a MAI insurer is required to consider when determining what treatment and care </w:t>
      </w:r>
      <w:r w:rsidR="00313EE3">
        <w:rPr>
          <w:sz w:val="24"/>
          <w:szCs w:val="24"/>
        </w:rPr>
        <w:t xml:space="preserve">meets the criteria to be </w:t>
      </w:r>
      <w:r>
        <w:rPr>
          <w:sz w:val="24"/>
          <w:szCs w:val="24"/>
        </w:rPr>
        <w:t>paid under the MAI Scheme</w:t>
      </w:r>
      <w:r w:rsidR="00BE2ECF">
        <w:rPr>
          <w:sz w:val="24"/>
          <w:szCs w:val="24"/>
        </w:rPr>
        <w:t xml:space="preserve">. </w:t>
      </w:r>
      <w:r w:rsidR="00AF4785">
        <w:rPr>
          <w:sz w:val="24"/>
          <w:szCs w:val="24"/>
        </w:rPr>
        <w:t>This is by, f</w:t>
      </w:r>
      <w:r w:rsidR="00CC7739">
        <w:rPr>
          <w:sz w:val="24"/>
          <w:szCs w:val="24"/>
        </w:rPr>
        <w:t xml:space="preserve">or example, </w:t>
      </w:r>
      <w:r w:rsidR="00CC7739">
        <w:rPr>
          <w:sz w:val="24"/>
          <w:szCs w:val="24"/>
        </w:rPr>
        <w:lastRenderedPageBreak/>
        <w:t xml:space="preserve">limiting the risk of harm to injured persons from inappropriate treatment and </w:t>
      </w:r>
      <w:r w:rsidR="006375FD">
        <w:rPr>
          <w:sz w:val="24"/>
          <w:szCs w:val="24"/>
        </w:rPr>
        <w:t xml:space="preserve">ensuring that </w:t>
      </w:r>
      <w:r w:rsidR="00CC7739">
        <w:rPr>
          <w:sz w:val="24"/>
          <w:szCs w:val="24"/>
        </w:rPr>
        <w:t>the treatment is relevant to the injuries arising from the motor accident.</w:t>
      </w:r>
    </w:p>
    <w:p w14:paraId="200AA8A2" w14:textId="6A6D82B5" w:rsidR="00122657" w:rsidRDefault="00122657" w:rsidP="00D228D5">
      <w:pPr>
        <w:spacing w:before="240" w:after="0" w:line="240" w:lineRule="auto"/>
        <w:rPr>
          <w:sz w:val="24"/>
          <w:szCs w:val="24"/>
        </w:rPr>
      </w:pPr>
      <w:r>
        <w:rPr>
          <w:sz w:val="24"/>
          <w:szCs w:val="24"/>
        </w:rPr>
        <w:t xml:space="preserve">The QOL benefit is a payment to an injured person who has sustained a permanent injury </w:t>
      </w:r>
      <w:r w:rsidR="00C10BF3">
        <w:rPr>
          <w:sz w:val="24"/>
          <w:szCs w:val="24"/>
        </w:rPr>
        <w:t>because of</w:t>
      </w:r>
      <w:r>
        <w:rPr>
          <w:sz w:val="24"/>
          <w:szCs w:val="24"/>
        </w:rPr>
        <w:t xml:space="preserve"> a motor accident. It is one of </w:t>
      </w:r>
      <w:r w:rsidR="00C10BF3">
        <w:rPr>
          <w:sz w:val="24"/>
          <w:szCs w:val="24"/>
        </w:rPr>
        <w:t>several</w:t>
      </w:r>
      <w:r>
        <w:rPr>
          <w:sz w:val="24"/>
          <w:szCs w:val="24"/>
        </w:rPr>
        <w:t xml:space="preserve"> different benefits available under the MAI Scheme and its receipt does not impact on whether a person receives treatment and care under the Scheme. The QOL </w:t>
      </w:r>
      <w:r w:rsidR="00071134">
        <w:rPr>
          <w:sz w:val="24"/>
          <w:szCs w:val="24"/>
        </w:rPr>
        <w:t xml:space="preserve">benefit </w:t>
      </w:r>
      <w:r>
        <w:rPr>
          <w:sz w:val="24"/>
          <w:szCs w:val="24"/>
        </w:rPr>
        <w:t>guidelines provide guidance to insurers about their obligations to provide information and support to potential applications for the QOL benefit</w:t>
      </w:r>
      <w:r w:rsidR="002641FA">
        <w:rPr>
          <w:sz w:val="24"/>
          <w:szCs w:val="24"/>
        </w:rPr>
        <w:t>, after they have completed their treatment and care or their injury is stable</w:t>
      </w:r>
      <w:r>
        <w:rPr>
          <w:sz w:val="24"/>
          <w:szCs w:val="24"/>
        </w:rPr>
        <w:t xml:space="preserve">. The </w:t>
      </w:r>
      <w:r w:rsidR="002641FA">
        <w:rPr>
          <w:sz w:val="24"/>
          <w:szCs w:val="24"/>
        </w:rPr>
        <w:t>2023 QOL benefit</w:t>
      </w:r>
      <w:r>
        <w:rPr>
          <w:sz w:val="24"/>
          <w:szCs w:val="24"/>
        </w:rPr>
        <w:t xml:space="preserve"> guidelines were a relatively small update to the 2022 guidelines to clearly state the requirement for a diagnosis of a primary psychological injury</w:t>
      </w:r>
      <w:r w:rsidR="00044982">
        <w:rPr>
          <w:sz w:val="24"/>
          <w:szCs w:val="24"/>
        </w:rPr>
        <w:t>. This update was</w:t>
      </w:r>
      <w:r>
        <w:rPr>
          <w:sz w:val="24"/>
          <w:szCs w:val="24"/>
        </w:rPr>
        <w:t xml:space="preserve"> to address an emerging issue that had potential to cause delays with </w:t>
      </w:r>
      <w:r w:rsidR="002641FA">
        <w:rPr>
          <w:sz w:val="24"/>
          <w:szCs w:val="24"/>
        </w:rPr>
        <w:t xml:space="preserve">QOL </w:t>
      </w:r>
      <w:r w:rsidR="00945E2D">
        <w:rPr>
          <w:sz w:val="24"/>
          <w:szCs w:val="24"/>
        </w:rPr>
        <w:t xml:space="preserve">assessments; however, </w:t>
      </w:r>
      <w:r w:rsidR="00945E2D" w:rsidRPr="00945E2D">
        <w:rPr>
          <w:sz w:val="24"/>
          <w:szCs w:val="24"/>
        </w:rPr>
        <w:t>a HRA assessment was not considered necessary given most of the guidelines were not changed</w:t>
      </w:r>
      <w:r w:rsidR="00945E2D">
        <w:rPr>
          <w:rStyle w:val="ui-provider"/>
        </w:rPr>
        <w:t>.</w:t>
      </w:r>
    </w:p>
    <w:p w14:paraId="47DC855B" w14:textId="537C3E2B" w:rsidR="00A94B72" w:rsidRDefault="00A94B72" w:rsidP="00D228D5">
      <w:pPr>
        <w:spacing w:before="240" w:after="0" w:line="240" w:lineRule="auto"/>
        <w:rPr>
          <w:sz w:val="24"/>
          <w:szCs w:val="24"/>
        </w:rPr>
      </w:pPr>
      <w:r>
        <w:rPr>
          <w:sz w:val="24"/>
          <w:szCs w:val="24"/>
        </w:rPr>
        <w:t xml:space="preserve">The Commission does not consider </w:t>
      </w:r>
      <w:r w:rsidR="00122657">
        <w:rPr>
          <w:sz w:val="24"/>
          <w:szCs w:val="24"/>
        </w:rPr>
        <w:t xml:space="preserve">the right to life under </w:t>
      </w:r>
      <w:r>
        <w:rPr>
          <w:sz w:val="24"/>
          <w:szCs w:val="24"/>
        </w:rPr>
        <w:t>section 9 arises with respect to the QOL benefit guidelines</w:t>
      </w:r>
      <w:r w:rsidR="002641FA">
        <w:rPr>
          <w:sz w:val="24"/>
          <w:szCs w:val="24"/>
        </w:rPr>
        <w:t xml:space="preserve"> as it is not about the receipt of treatment and care</w:t>
      </w:r>
      <w:r>
        <w:rPr>
          <w:sz w:val="24"/>
          <w:szCs w:val="24"/>
        </w:rPr>
        <w:t>. The right to privacy, section</w:t>
      </w:r>
      <w:r w:rsidR="004F3482">
        <w:rPr>
          <w:sz w:val="24"/>
          <w:szCs w:val="24"/>
        </w:rPr>
        <w:t> </w:t>
      </w:r>
      <w:r>
        <w:rPr>
          <w:sz w:val="24"/>
          <w:szCs w:val="24"/>
        </w:rPr>
        <w:t xml:space="preserve">12, is more relevant as it requires, following an insurer providing information and support to apply for the benefit, the provision of personal medical information (if not already held by the MAI insurer). The QOL benefit guidelines utilise reasonable and objective </w:t>
      </w:r>
      <w:r w:rsidR="00C10BF3">
        <w:rPr>
          <w:sz w:val="24"/>
          <w:szCs w:val="24"/>
        </w:rPr>
        <w:t>criteria and</w:t>
      </w:r>
      <w:r>
        <w:rPr>
          <w:sz w:val="24"/>
          <w:szCs w:val="24"/>
        </w:rPr>
        <w:t xml:space="preserve"> adopt the least restrictive means to achieve its purpose.</w:t>
      </w:r>
    </w:p>
    <w:p w14:paraId="0227DC5B" w14:textId="474BA61A" w:rsidR="005C41D0" w:rsidRDefault="00926D37" w:rsidP="00D228D5">
      <w:pPr>
        <w:spacing w:before="240" w:after="0" w:line="240" w:lineRule="auto"/>
        <w:rPr>
          <w:sz w:val="24"/>
          <w:szCs w:val="24"/>
        </w:rPr>
      </w:pPr>
      <w:r>
        <w:rPr>
          <w:sz w:val="24"/>
          <w:szCs w:val="24"/>
        </w:rPr>
        <w:t xml:space="preserve">The Commission trusts that the above information addresses the concern raised by the Committee. </w:t>
      </w:r>
    </w:p>
    <w:p w14:paraId="4E4CEF9F" w14:textId="77777777" w:rsidR="00AD7D31" w:rsidRPr="00A031A0" w:rsidRDefault="00AD7D31" w:rsidP="00D228D5">
      <w:pPr>
        <w:spacing w:before="240" w:after="0" w:line="240" w:lineRule="auto"/>
        <w:rPr>
          <w:sz w:val="24"/>
          <w:szCs w:val="24"/>
        </w:rPr>
      </w:pPr>
      <w:r w:rsidRPr="00A031A0">
        <w:rPr>
          <w:sz w:val="24"/>
          <w:szCs w:val="24"/>
        </w:rPr>
        <w:t>Yours sincerely</w:t>
      </w:r>
    </w:p>
    <w:p w14:paraId="014A2242" w14:textId="77777777" w:rsidR="00AD7D31" w:rsidRDefault="00834846" w:rsidP="00AD7D31">
      <w:pPr>
        <w:spacing w:after="0" w:line="240" w:lineRule="auto"/>
        <w:rPr>
          <w:sz w:val="24"/>
          <w:szCs w:val="24"/>
        </w:rPr>
      </w:pPr>
      <w:r w:rsidRPr="00A031A0">
        <w:rPr>
          <w:sz w:val="24"/>
          <w:szCs w:val="24"/>
        </w:rPr>
        <w:br/>
      </w:r>
    </w:p>
    <w:p w14:paraId="15E46080" w14:textId="77777777" w:rsidR="00B75FBA" w:rsidRDefault="00B75FBA" w:rsidP="00AD7D31">
      <w:pPr>
        <w:spacing w:after="0" w:line="240" w:lineRule="auto"/>
        <w:rPr>
          <w:sz w:val="24"/>
          <w:szCs w:val="24"/>
        </w:rPr>
      </w:pPr>
    </w:p>
    <w:p w14:paraId="1410F8F3" w14:textId="77777777" w:rsidR="008D37E0" w:rsidRPr="00A031A0" w:rsidRDefault="008D37E0" w:rsidP="00AD7D31">
      <w:pPr>
        <w:spacing w:after="0" w:line="240" w:lineRule="auto"/>
        <w:rPr>
          <w:sz w:val="24"/>
          <w:szCs w:val="24"/>
        </w:rPr>
      </w:pPr>
    </w:p>
    <w:p w14:paraId="6A2B33E1" w14:textId="77777777" w:rsidR="00AD7D31" w:rsidRDefault="00A919EF" w:rsidP="00AD7D31">
      <w:pPr>
        <w:spacing w:after="0" w:line="240" w:lineRule="auto"/>
        <w:rPr>
          <w:sz w:val="24"/>
          <w:szCs w:val="24"/>
        </w:rPr>
      </w:pPr>
      <w:r>
        <w:rPr>
          <w:sz w:val="24"/>
          <w:szCs w:val="24"/>
        </w:rPr>
        <w:t>Rachel Stephen-Smith</w:t>
      </w:r>
      <w:r w:rsidR="00AD7D31" w:rsidRPr="00A031A0">
        <w:rPr>
          <w:sz w:val="24"/>
          <w:szCs w:val="24"/>
        </w:rPr>
        <w:t xml:space="preserve"> MLA </w:t>
      </w:r>
    </w:p>
    <w:p w14:paraId="161F3744" w14:textId="7556DB26" w:rsidR="0036465B" w:rsidRPr="00B75FBA" w:rsidRDefault="004C5371" w:rsidP="00B75FBA">
      <w:pPr>
        <w:spacing w:after="0" w:line="240" w:lineRule="auto"/>
        <w:rPr>
          <w:sz w:val="24"/>
          <w:szCs w:val="24"/>
        </w:rPr>
      </w:pPr>
      <w:r>
        <w:rPr>
          <w:sz w:val="24"/>
          <w:szCs w:val="24"/>
        </w:rPr>
        <w:t>Acting Special Minister of State</w:t>
      </w:r>
    </w:p>
    <w:sectPr w:rsidR="0036465B" w:rsidRPr="00B75FBA" w:rsidSect="0036465B">
      <w:footerReference w:type="default" r:id="rId12"/>
      <w:headerReference w:type="first" r:id="rId13"/>
      <w:footerReference w:type="first" r:id="rId14"/>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860A" w14:textId="77777777" w:rsidR="00BE7C5F" w:rsidRDefault="00BE7C5F" w:rsidP="00AD7D31">
      <w:pPr>
        <w:spacing w:after="0" w:line="240" w:lineRule="auto"/>
      </w:pPr>
      <w:r>
        <w:separator/>
      </w:r>
    </w:p>
  </w:endnote>
  <w:endnote w:type="continuationSeparator" w:id="0">
    <w:p w14:paraId="30DB7746" w14:textId="77777777" w:rsidR="00BE7C5F" w:rsidRDefault="00BE7C5F"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755781"/>
      <w:docPartObj>
        <w:docPartGallery w:val="Page Numbers (Bottom of Page)"/>
        <w:docPartUnique/>
      </w:docPartObj>
    </w:sdtPr>
    <w:sdtEndPr>
      <w:rPr>
        <w:noProof/>
      </w:rPr>
    </w:sdtEndPr>
    <w:sdtContent>
      <w:p w14:paraId="3CFF17A9" w14:textId="48346E94" w:rsidR="00D228D5" w:rsidRDefault="00D228D5">
        <w:pPr>
          <w:pStyle w:val="Footer"/>
        </w:pPr>
        <w:r>
          <w:fldChar w:fldCharType="begin"/>
        </w:r>
        <w:r>
          <w:instrText xml:space="preserve"> PAGE   \* MERGEFORMAT </w:instrText>
        </w:r>
        <w:r>
          <w:fldChar w:fldCharType="separate"/>
        </w:r>
        <w:r>
          <w:rPr>
            <w:noProof/>
          </w:rPr>
          <w:t>2</w:t>
        </w:r>
        <w:r>
          <w:rPr>
            <w:noProof/>
          </w:rPr>
          <w:fldChar w:fldCharType="end"/>
        </w:r>
      </w:p>
    </w:sdtContent>
  </w:sdt>
  <w:p w14:paraId="0D068E0E" w14:textId="77777777" w:rsidR="00D228D5" w:rsidRDefault="00D22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5D71"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73B59C92" wp14:editId="04DE5811">
          <wp:simplePos x="0" y="0"/>
          <wp:positionH relativeFrom="page">
            <wp:posOffset>0</wp:posOffset>
          </wp:positionH>
          <wp:positionV relativeFrom="paragraph">
            <wp:posOffset>57150</wp:posOffset>
          </wp:positionV>
          <wp:extent cx="7162800" cy="1502235"/>
          <wp:effectExtent l="0" t="0" r="0" b="0"/>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3F0EDF4D" w14:textId="77777777" w:rsidTr="00804EA0">
      <w:trPr>
        <w:trHeight w:val="340"/>
        <w:jc w:val="right"/>
      </w:trPr>
      <w:tc>
        <w:tcPr>
          <w:tcW w:w="6804" w:type="dxa"/>
          <w:gridSpan w:val="4"/>
          <w:tcBorders>
            <w:top w:val="nil"/>
            <w:bottom w:val="single" w:sz="4" w:space="0" w:color="724793"/>
          </w:tcBorders>
        </w:tcPr>
        <w:p w14:paraId="6F0572B8"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10E7D5DE" w14:textId="77777777" w:rsidTr="008670B1">
      <w:trPr>
        <w:trHeight w:val="20"/>
        <w:jc w:val="right"/>
      </w:trPr>
      <w:tc>
        <w:tcPr>
          <w:tcW w:w="425" w:type="dxa"/>
          <w:tcBorders>
            <w:top w:val="single" w:sz="4" w:space="0" w:color="724793"/>
            <w:bottom w:val="nil"/>
          </w:tcBorders>
          <w:vAlign w:val="center"/>
        </w:tcPr>
        <w:p w14:paraId="38995A86"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6E32A071"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2742001F"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738150FF" wp14:editId="430D4A10">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C97152D"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2A0B5C7C"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6FDF125D" wp14:editId="5BD06FB9">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14D6751"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3F46CA6D" w14:textId="77777777" w:rsidTr="008670B1">
      <w:trPr>
        <w:trHeight w:val="20"/>
        <w:jc w:val="right"/>
      </w:trPr>
      <w:tc>
        <w:tcPr>
          <w:tcW w:w="425" w:type="dxa"/>
          <w:tcBorders>
            <w:top w:val="nil"/>
            <w:bottom w:val="nil"/>
          </w:tcBorders>
          <w:vAlign w:val="center"/>
        </w:tcPr>
        <w:p w14:paraId="290470CE"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2A68496E"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665AE273" wp14:editId="47AE323D">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1F9D76B"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7DD5DC72"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00CA2D8C" wp14:editId="6742101A">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41E10F7"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w:t>
          </w:r>
          <w:r w:rsidR="00804EA0" w:rsidRPr="00910ED5">
            <w:rPr>
              <w:color w:val="724793" w:themeColor="accent2"/>
              <w:spacing w:val="-4"/>
              <w:sz w:val="18"/>
              <w:szCs w:val="18"/>
            </w:rPr>
            <w:t>MLA</w:t>
          </w:r>
        </w:p>
      </w:tc>
      <w:tc>
        <w:tcPr>
          <w:tcW w:w="2551" w:type="dxa"/>
          <w:vAlign w:val="center"/>
        </w:tcPr>
        <w:p w14:paraId="1076F94D"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6C7090C8" wp14:editId="356F3E12">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3864405"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rachelss_</w:t>
          </w:r>
          <w:r w:rsidR="00804EA0" w:rsidRPr="00910ED5">
            <w:rPr>
              <w:color w:val="724793" w:themeColor="accent2"/>
              <w:spacing w:val="-4"/>
              <w:sz w:val="18"/>
              <w:szCs w:val="18"/>
            </w:rPr>
            <w:t>mla</w:t>
          </w:r>
        </w:p>
      </w:tc>
    </w:tr>
  </w:tbl>
  <w:p w14:paraId="19D08E11" w14:textId="77777777" w:rsidR="008C5119" w:rsidRDefault="008C5119" w:rsidP="00804EA0">
    <w:pPr>
      <w:pStyle w:val="Footer"/>
      <w:jc w:val="center"/>
    </w:pPr>
  </w:p>
  <w:p w14:paraId="70E6ED2D"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E01C" w14:textId="77777777" w:rsidR="00BE7C5F" w:rsidRDefault="00BE7C5F" w:rsidP="00AD7D31">
      <w:pPr>
        <w:spacing w:after="0" w:line="240" w:lineRule="auto"/>
      </w:pPr>
      <w:r>
        <w:separator/>
      </w:r>
    </w:p>
  </w:footnote>
  <w:footnote w:type="continuationSeparator" w:id="0">
    <w:p w14:paraId="5D561B25" w14:textId="77777777" w:rsidR="00BE7C5F" w:rsidRDefault="00BE7C5F"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F13C"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59D93F87" wp14:editId="0EAE7B33">
          <wp:simplePos x="0" y="0"/>
          <wp:positionH relativeFrom="margin">
            <wp:posOffset>-701178</wp:posOffset>
          </wp:positionH>
          <wp:positionV relativeFrom="paragraph">
            <wp:posOffset>-31115</wp:posOffset>
          </wp:positionV>
          <wp:extent cx="7606800" cy="1584000"/>
          <wp:effectExtent l="0" t="0" r="635" b="3810"/>
          <wp:wrapNone/>
          <wp:docPr id="48" name="Picture 48"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53E6753B" wp14:editId="4B2C460E">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25C3142F"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"/>
          </w:pict>
        </mc:Fallback>
      </mc:AlternateContent>
    </w:r>
    <w:r w:rsidR="007D7FAC" w:rsidRPr="00F50739">
      <w:tab/>
    </w:r>
    <w:r w:rsidR="00F50739">
      <w:rPr>
        <w:spacing w:val="-1"/>
      </w:rPr>
      <w:br/>
    </w:r>
  </w:p>
  <w:p w14:paraId="33F46B88" w14:textId="45808BD7" w:rsidR="00A919EF" w:rsidRPr="00DD766A" w:rsidRDefault="00A919EF" w:rsidP="00A919EF">
    <w:pPr>
      <w:pStyle w:val="Portfolios"/>
    </w:pPr>
    <w:r>
      <w:rPr>
        <w:b/>
        <w:color w:val="231F20"/>
        <w:spacing w:val="-1"/>
        <w:sz w:val="24"/>
      </w:rPr>
      <w:t>Rachel Stephen-Smith MLA</w:t>
    </w:r>
    <w:r w:rsidRPr="00DD766A">
      <w:t xml:space="preserve"> </w:t>
    </w:r>
    <w:r>
      <w:br/>
    </w:r>
    <w:r w:rsidR="00ED7C29">
      <w:t>Minister for Health</w:t>
    </w:r>
    <w:r w:rsidR="00ED7C29">
      <w:br/>
      <w:t>Minister for Children, Youth and Family Services</w:t>
    </w:r>
    <w:r w:rsidR="00ED7C29">
      <w:br/>
      <w:t>Minister for Disability</w:t>
    </w:r>
    <w:r w:rsidR="00ED7C29">
      <w:br/>
      <w:t>Minister for Aboriginal and Torres Strait Islander Affairs</w:t>
    </w:r>
  </w:p>
  <w:p w14:paraId="42CE06FD" w14:textId="77777777" w:rsidR="00A6097C" w:rsidRPr="00A548A3" w:rsidRDefault="006C6335" w:rsidP="00A6097C">
    <w:pPr>
      <w:pStyle w:val="Portfolio"/>
      <w:spacing w:after="80" w:line="240" w:lineRule="exact"/>
      <w:ind w:right="-626"/>
      <w:rPr>
        <w:rFonts w:ascii="Calibri" w:hAnsi="Calibri"/>
        <w:sz w:val="22"/>
        <w:szCs w:val="22"/>
      </w:rPr>
    </w:pPr>
    <w:r w:rsidRPr="00A548A3">
      <w:rPr>
        <w:rFonts w:ascii="Calibri" w:hAnsi="Calibri"/>
        <w:noProof/>
        <w:sz w:val="22"/>
        <w:szCs w:val="22"/>
      </w:rPr>
      <mc:AlternateContent>
        <mc:Choice Requires="wps">
          <w:drawing>
            <wp:anchor distT="0" distB="0" distL="114300" distR="114300" simplePos="0" relativeHeight="251674624" behindDoc="0" locked="0" layoutInCell="1" allowOverlap="1" wp14:anchorId="7C8856F5" wp14:editId="157CE6F9">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728B3"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" strokecolor="black [3213]" strokeweight=".5pt">
              <v:stroke joinstyle="miter"/>
              <w10:wrap anchorx="margin"/>
            </v:line>
          </w:pict>
        </mc:Fallback>
      </mc:AlternateContent>
    </w:r>
    <w:r w:rsidR="00A6097C" w:rsidRPr="00A548A3">
      <w:rPr>
        <w:rFonts w:ascii="Calibri" w:hAnsi="Calibri"/>
        <w:sz w:val="22"/>
        <w:szCs w:val="22"/>
      </w:rPr>
      <w:t>Member</w:t>
    </w:r>
    <w:r w:rsidR="00A6097C" w:rsidRPr="00A548A3">
      <w:rPr>
        <w:rFonts w:ascii="Calibri" w:hAnsi="Calibri"/>
        <w:spacing w:val="-5"/>
        <w:sz w:val="22"/>
        <w:szCs w:val="22"/>
      </w:rPr>
      <w:t xml:space="preserve"> </w:t>
    </w:r>
    <w:r w:rsidR="00A6097C" w:rsidRPr="00A548A3">
      <w:rPr>
        <w:rFonts w:ascii="Calibri" w:hAnsi="Calibri"/>
        <w:spacing w:val="-2"/>
        <w:sz w:val="22"/>
        <w:szCs w:val="22"/>
      </w:rPr>
      <w:t>for</w:t>
    </w:r>
    <w:r w:rsidR="00A6097C" w:rsidRPr="00A548A3">
      <w:rPr>
        <w:rFonts w:ascii="Calibri" w:hAnsi="Calibri"/>
        <w:spacing w:val="-4"/>
        <w:sz w:val="22"/>
        <w:szCs w:val="22"/>
      </w:rPr>
      <w:t xml:space="preserve"> </w:t>
    </w:r>
    <w:r w:rsidR="00A919EF" w:rsidRPr="00A548A3">
      <w:rPr>
        <w:rFonts w:ascii="Calibri" w:hAnsi="Calibri"/>
        <w:sz w:val="22"/>
        <w:szCs w:val="22"/>
      </w:rPr>
      <w:t>Kurrajong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3570"/>
    <w:multiLevelType w:val="hybridMultilevel"/>
    <w:tmpl w:val="7A9C1D2E"/>
    <w:lvl w:ilvl="0" w:tplc="957A13F8">
      <w:start w:val="1"/>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C43059B"/>
    <w:multiLevelType w:val="hybridMultilevel"/>
    <w:tmpl w:val="CF7424DC"/>
    <w:lvl w:ilvl="0" w:tplc="F4F4DCD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5004391">
    <w:abstractNumId w:val="1"/>
  </w:num>
  <w:num w:numId="2" w16cid:durableId="207612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2C"/>
    <w:rsid w:val="00003B4A"/>
    <w:rsid w:val="000125FC"/>
    <w:rsid w:val="00027AFE"/>
    <w:rsid w:val="00044982"/>
    <w:rsid w:val="0006371F"/>
    <w:rsid w:val="00071134"/>
    <w:rsid w:val="000C331E"/>
    <w:rsid w:val="000E438E"/>
    <w:rsid w:val="00122657"/>
    <w:rsid w:val="00131016"/>
    <w:rsid w:val="001450DC"/>
    <w:rsid w:val="0014627A"/>
    <w:rsid w:val="001804F3"/>
    <w:rsid w:val="001851B2"/>
    <w:rsid w:val="00195EAD"/>
    <w:rsid w:val="00196DAE"/>
    <w:rsid w:val="001A469C"/>
    <w:rsid w:val="001D7389"/>
    <w:rsid w:val="002363D0"/>
    <w:rsid w:val="00240F3E"/>
    <w:rsid w:val="002450E9"/>
    <w:rsid w:val="002641FA"/>
    <w:rsid w:val="002D4441"/>
    <w:rsid w:val="002D7657"/>
    <w:rsid w:val="002E1D40"/>
    <w:rsid w:val="002E3A31"/>
    <w:rsid w:val="00313E4A"/>
    <w:rsid w:val="00313EE3"/>
    <w:rsid w:val="003142F7"/>
    <w:rsid w:val="00345799"/>
    <w:rsid w:val="00350470"/>
    <w:rsid w:val="0036465B"/>
    <w:rsid w:val="003667AF"/>
    <w:rsid w:val="00394426"/>
    <w:rsid w:val="003E4068"/>
    <w:rsid w:val="0041104E"/>
    <w:rsid w:val="0044228B"/>
    <w:rsid w:val="00450070"/>
    <w:rsid w:val="004517FA"/>
    <w:rsid w:val="00462A2C"/>
    <w:rsid w:val="0048027A"/>
    <w:rsid w:val="00497148"/>
    <w:rsid w:val="004A1AA1"/>
    <w:rsid w:val="004C5371"/>
    <w:rsid w:val="004F1108"/>
    <w:rsid w:val="004F3482"/>
    <w:rsid w:val="00505AEA"/>
    <w:rsid w:val="00516B49"/>
    <w:rsid w:val="005351C5"/>
    <w:rsid w:val="00545E38"/>
    <w:rsid w:val="0055749D"/>
    <w:rsid w:val="005757E0"/>
    <w:rsid w:val="00577E0E"/>
    <w:rsid w:val="005857A5"/>
    <w:rsid w:val="005C41D0"/>
    <w:rsid w:val="005C4787"/>
    <w:rsid w:val="005E6339"/>
    <w:rsid w:val="005E7DE1"/>
    <w:rsid w:val="0061634E"/>
    <w:rsid w:val="006375FD"/>
    <w:rsid w:val="0064748B"/>
    <w:rsid w:val="00655CD8"/>
    <w:rsid w:val="00696899"/>
    <w:rsid w:val="006A1B70"/>
    <w:rsid w:val="006A1CBB"/>
    <w:rsid w:val="006C6335"/>
    <w:rsid w:val="006E2BB7"/>
    <w:rsid w:val="006F4E04"/>
    <w:rsid w:val="00712BA7"/>
    <w:rsid w:val="00725519"/>
    <w:rsid w:val="00742013"/>
    <w:rsid w:val="00751F7B"/>
    <w:rsid w:val="00780CDC"/>
    <w:rsid w:val="00795E1D"/>
    <w:rsid w:val="007B2FF2"/>
    <w:rsid w:val="007B465C"/>
    <w:rsid w:val="007D07A8"/>
    <w:rsid w:val="007D7FAC"/>
    <w:rsid w:val="007F5BA8"/>
    <w:rsid w:val="00804EA0"/>
    <w:rsid w:val="00806ACB"/>
    <w:rsid w:val="0081009A"/>
    <w:rsid w:val="00834846"/>
    <w:rsid w:val="00836B03"/>
    <w:rsid w:val="00855531"/>
    <w:rsid w:val="008670B1"/>
    <w:rsid w:val="0088358D"/>
    <w:rsid w:val="008A04F4"/>
    <w:rsid w:val="008A76D8"/>
    <w:rsid w:val="008C5119"/>
    <w:rsid w:val="008D15E5"/>
    <w:rsid w:val="008D37E0"/>
    <w:rsid w:val="00905F4F"/>
    <w:rsid w:val="00912782"/>
    <w:rsid w:val="00926D37"/>
    <w:rsid w:val="00945E2D"/>
    <w:rsid w:val="00955A1C"/>
    <w:rsid w:val="00975222"/>
    <w:rsid w:val="00990215"/>
    <w:rsid w:val="00993315"/>
    <w:rsid w:val="009B3B35"/>
    <w:rsid w:val="009B6D21"/>
    <w:rsid w:val="009C2877"/>
    <w:rsid w:val="009F62D6"/>
    <w:rsid w:val="00A031A0"/>
    <w:rsid w:val="00A2718B"/>
    <w:rsid w:val="00A548A3"/>
    <w:rsid w:val="00A6097C"/>
    <w:rsid w:val="00A919EF"/>
    <w:rsid w:val="00A94B72"/>
    <w:rsid w:val="00AC7C98"/>
    <w:rsid w:val="00AD7D31"/>
    <w:rsid w:val="00AF08DA"/>
    <w:rsid w:val="00AF2B15"/>
    <w:rsid w:val="00AF30B1"/>
    <w:rsid w:val="00AF4785"/>
    <w:rsid w:val="00B31244"/>
    <w:rsid w:val="00B33A5C"/>
    <w:rsid w:val="00B75FBA"/>
    <w:rsid w:val="00B85096"/>
    <w:rsid w:val="00B86E96"/>
    <w:rsid w:val="00B91F55"/>
    <w:rsid w:val="00BD204D"/>
    <w:rsid w:val="00BE2ECF"/>
    <w:rsid w:val="00BE7C5F"/>
    <w:rsid w:val="00C04DFF"/>
    <w:rsid w:val="00C05754"/>
    <w:rsid w:val="00C10BF3"/>
    <w:rsid w:val="00C22431"/>
    <w:rsid w:val="00C33661"/>
    <w:rsid w:val="00C734EF"/>
    <w:rsid w:val="00C84F51"/>
    <w:rsid w:val="00CA0045"/>
    <w:rsid w:val="00CA4B9B"/>
    <w:rsid w:val="00CA65E4"/>
    <w:rsid w:val="00CC7739"/>
    <w:rsid w:val="00D00728"/>
    <w:rsid w:val="00D1436C"/>
    <w:rsid w:val="00D228D5"/>
    <w:rsid w:val="00D4455B"/>
    <w:rsid w:val="00D87D95"/>
    <w:rsid w:val="00D9319C"/>
    <w:rsid w:val="00DD25D8"/>
    <w:rsid w:val="00DD766A"/>
    <w:rsid w:val="00DE2230"/>
    <w:rsid w:val="00E04FD9"/>
    <w:rsid w:val="00E06613"/>
    <w:rsid w:val="00E80BC3"/>
    <w:rsid w:val="00EA7B1C"/>
    <w:rsid w:val="00EB388C"/>
    <w:rsid w:val="00EC7E5C"/>
    <w:rsid w:val="00ED5634"/>
    <w:rsid w:val="00ED7C29"/>
    <w:rsid w:val="00EE6CA3"/>
    <w:rsid w:val="00EF0A8B"/>
    <w:rsid w:val="00F14007"/>
    <w:rsid w:val="00F15021"/>
    <w:rsid w:val="00F35286"/>
    <w:rsid w:val="00F504D3"/>
    <w:rsid w:val="00F50739"/>
    <w:rsid w:val="00FA49A2"/>
    <w:rsid w:val="00FA71DE"/>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72D85"/>
  <w15:chartTrackingRefBased/>
  <w15:docId w15:val="{08523342-7CC9-4D4D-841E-9803CD1C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ListParagraph">
    <w:name w:val="List Paragraph"/>
    <w:basedOn w:val="Normal"/>
    <w:uiPriority w:val="34"/>
    <w:qFormat/>
    <w:rsid w:val="00F35286"/>
    <w:pPr>
      <w:ind w:left="720"/>
      <w:contextualSpacing/>
    </w:pPr>
  </w:style>
  <w:style w:type="paragraph" w:styleId="Revision">
    <w:name w:val="Revision"/>
    <w:hidden/>
    <w:uiPriority w:val="99"/>
    <w:semiHidden/>
    <w:rsid w:val="00D9319C"/>
    <w:rPr>
      <w:sz w:val="22"/>
      <w:szCs w:val="22"/>
      <w:lang w:eastAsia="en-US"/>
    </w:rPr>
  </w:style>
  <w:style w:type="character" w:customStyle="1" w:styleId="ui-provider">
    <w:name w:val="ui-provider"/>
    <w:basedOn w:val="DefaultParagraphFont"/>
    <w:rsid w:val="00945E2D"/>
  </w:style>
  <w:style w:type="character" w:styleId="UnresolvedMention">
    <w:name w:val="Unresolved Mention"/>
    <w:basedOn w:val="DefaultParagraphFont"/>
    <w:uiPriority w:val="99"/>
    <w:semiHidden/>
    <w:unhideWhenUsed/>
    <w:rsid w:val="00B75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0" ma:contentTypeDescription="Create a new document." ma:contentTypeScope="" ma:versionID="5f244e0a77446c83d3e269f6985732a7">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5e1f2f919e0e40ce0f7551fbcaab78af"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18829B6F-C77E-41AC-ADE2-2A1134BA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4.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Microsoft Office User</dc:creator>
  <cp:keywords/>
  <dc:description/>
  <cp:lastModifiedBy>Stephen-Smith, Rachel</cp:lastModifiedBy>
  <cp:revision>13</cp:revision>
  <cp:lastPrinted>2018-08-24T07:17:00Z</cp:lastPrinted>
  <dcterms:created xsi:type="dcterms:W3CDTF">2024-03-18T06:31:00Z</dcterms:created>
  <dcterms:modified xsi:type="dcterms:W3CDTF">2024-04-08T05:47:00Z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2023-02-24T01:05:28Z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7e5e427f-2100-4d77-a7d3-d0ebd551f1d0</vt:lpwstr>
  </property>
  <property fmtid="{D5CDD505-2E9C-101B-9397-08002B2CF9AE}" pid="10" name="MSIP_Label_69af8531-eb46-4968-8cb3-105d2f5ea87e_ContentBits">
    <vt:lpwstr>0</vt:lpwstr>
  </property>
</Properties>
</file>