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D1E6B"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4A64F7C4" w14:textId="363D6C74" w:rsidR="005427C7" w:rsidRDefault="005427C7" w:rsidP="005427C7">
      <w:pPr>
        <w:spacing w:after="0" w:line="240" w:lineRule="auto"/>
        <w:jc w:val="right"/>
        <w:rPr>
          <w:sz w:val="24"/>
          <w:szCs w:val="24"/>
        </w:rPr>
      </w:pPr>
      <w:r>
        <w:rPr>
          <w:sz w:val="24"/>
          <w:szCs w:val="24"/>
          <w:lang w:val="en-US"/>
        </w:rPr>
        <w:t xml:space="preserve">                 </w:t>
      </w:r>
      <w:r w:rsidR="00902E11">
        <w:rPr>
          <w:lang w:val="en-US"/>
        </w:rPr>
        <w:t>23/04450</w:t>
      </w:r>
    </w:p>
    <w:p w14:paraId="1E81EEA6" w14:textId="77777777" w:rsidR="005427C7" w:rsidRDefault="005427C7" w:rsidP="005427C7">
      <w:pPr>
        <w:spacing w:after="0" w:line="240" w:lineRule="auto"/>
        <w:rPr>
          <w:sz w:val="24"/>
          <w:szCs w:val="24"/>
        </w:rPr>
      </w:pPr>
    </w:p>
    <w:p w14:paraId="4AA4EABA" w14:textId="77777777" w:rsidR="00DC1195" w:rsidRDefault="00DC1195" w:rsidP="00EF6D7E">
      <w:pPr>
        <w:spacing w:after="0" w:line="240" w:lineRule="auto"/>
        <w:rPr>
          <w:sz w:val="24"/>
          <w:szCs w:val="24"/>
        </w:rPr>
      </w:pPr>
    </w:p>
    <w:p w14:paraId="02708063" w14:textId="3C34A4D9" w:rsidR="005427C7" w:rsidRDefault="00192E99" w:rsidP="00EF6D7E">
      <w:pPr>
        <w:spacing w:after="0" w:line="240" w:lineRule="auto"/>
        <w:rPr>
          <w:sz w:val="24"/>
          <w:szCs w:val="24"/>
        </w:rPr>
      </w:pPr>
      <w:r>
        <w:rPr>
          <w:sz w:val="24"/>
          <w:szCs w:val="24"/>
        </w:rPr>
        <w:t xml:space="preserve">Mr </w:t>
      </w:r>
      <w:r w:rsidR="00EF6D7E">
        <w:rPr>
          <w:sz w:val="24"/>
          <w:szCs w:val="24"/>
        </w:rPr>
        <w:t>Peter Cain MLA</w:t>
      </w:r>
    </w:p>
    <w:p w14:paraId="524A0401" w14:textId="479F54A8" w:rsidR="00EF6D7E" w:rsidRDefault="00EF6D7E" w:rsidP="00EF6D7E">
      <w:pPr>
        <w:spacing w:after="0" w:line="240" w:lineRule="auto"/>
        <w:rPr>
          <w:sz w:val="24"/>
          <w:szCs w:val="24"/>
        </w:rPr>
      </w:pPr>
      <w:r>
        <w:rPr>
          <w:sz w:val="24"/>
          <w:szCs w:val="24"/>
        </w:rPr>
        <w:t>Chair</w:t>
      </w:r>
    </w:p>
    <w:p w14:paraId="467F8D45" w14:textId="543C989C" w:rsidR="00EF6D7E" w:rsidRDefault="00EF6D7E" w:rsidP="00EF6D7E">
      <w:pPr>
        <w:spacing w:after="0" w:line="240" w:lineRule="auto"/>
        <w:rPr>
          <w:sz w:val="24"/>
          <w:szCs w:val="24"/>
        </w:rPr>
      </w:pPr>
      <w:r>
        <w:rPr>
          <w:sz w:val="24"/>
          <w:szCs w:val="24"/>
        </w:rPr>
        <w:t>S</w:t>
      </w:r>
      <w:r w:rsidRPr="00EF6D7E">
        <w:rPr>
          <w:sz w:val="24"/>
          <w:szCs w:val="24"/>
        </w:rPr>
        <w:t xml:space="preserve">tanding Committee on Justice and Community Safety </w:t>
      </w:r>
    </w:p>
    <w:p w14:paraId="56BDCF5A" w14:textId="6327C33C" w:rsidR="005427C7" w:rsidRDefault="005427C7" w:rsidP="005427C7">
      <w:pPr>
        <w:spacing w:after="0" w:line="240" w:lineRule="auto"/>
        <w:rPr>
          <w:sz w:val="24"/>
          <w:szCs w:val="24"/>
        </w:rPr>
      </w:pPr>
    </w:p>
    <w:p w14:paraId="4AC886B0" w14:textId="1E6AA02A" w:rsidR="005427C7" w:rsidRPr="006838AA" w:rsidRDefault="006838AA" w:rsidP="005427C7">
      <w:pPr>
        <w:spacing w:after="0" w:line="240" w:lineRule="auto"/>
        <w:rPr>
          <w:rStyle w:val="Hyperlink"/>
          <w:sz w:val="24"/>
          <w:szCs w:val="24"/>
        </w:rPr>
      </w:pPr>
      <w:hyperlink r:id="rId11" w:history="1">
        <w:r w:rsidRPr="006838AA">
          <w:rPr>
            <w:rStyle w:val="Hyperlink"/>
            <w:sz w:val="24"/>
            <w:szCs w:val="24"/>
          </w:rPr>
          <w:t>scrutiny@parliament.act.gov.au</w:t>
        </w:r>
      </w:hyperlink>
    </w:p>
    <w:p w14:paraId="7B8F1AFC" w14:textId="77777777" w:rsidR="006838AA" w:rsidRPr="00A031A0" w:rsidRDefault="006838AA" w:rsidP="005427C7">
      <w:pPr>
        <w:spacing w:after="0" w:line="240" w:lineRule="auto"/>
        <w:rPr>
          <w:sz w:val="24"/>
          <w:szCs w:val="24"/>
        </w:rPr>
      </w:pPr>
    </w:p>
    <w:p w14:paraId="09E3E35C" w14:textId="2041FCA1" w:rsidR="005427C7" w:rsidRPr="00A031A0" w:rsidRDefault="005427C7" w:rsidP="005427C7">
      <w:pPr>
        <w:spacing w:after="0" w:line="240" w:lineRule="auto"/>
        <w:rPr>
          <w:sz w:val="24"/>
          <w:szCs w:val="24"/>
        </w:rPr>
      </w:pPr>
      <w:r w:rsidRPr="00A031A0">
        <w:rPr>
          <w:sz w:val="24"/>
          <w:szCs w:val="24"/>
          <w:lang w:val="en-US"/>
        </w:rPr>
        <w:t xml:space="preserve">Dear </w:t>
      </w:r>
      <w:proofErr w:type="spellStart"/>
      <w:r w:rsidR="00E44BE7">
        <w:rPr>
          <w:sz w:val="24"/>
          <w:szCs w:val="24"/>
          <w:lang w:val="en-US"/>
        </w:rPr>
        <w:t>Mr</w:t>
      </w:r>
      <w:proofErr w:type="spellEnd"/>
      <w:r w:rsidR="00E44BE7">
        <w:rPr>
          <w:sz w:val="24"/>
          <w:szCs w:val="24"/>
          <w:lang w:val="en-US"/>
        </w:rPr>
        <w:t xml:space="preserve"> Cain</w:t>
      </w:r>
    </w:p>
    <w:p w14:paraId="0695F699" w14:textId="77777777" w:rsidR="005427C7" w:rsidRDefault="005427C7" w:rsidP="005427C7">
      <w:pPr>
        <w:pStyle w:val="Header"/>
        <w:tabs>
          <w:tab w:val="left" w:pos="720"/>
        </w:tabs>
        <w:rPr>
          <w:sz w:val="24"/>
          <w:szCs w:val="24"/>
        </w:rPr>
      </w:pPr>
    </w:p>
    <w:p w14:paraId="70011190" w14:textId="53468630" w:rsidR="005427C7" w:rsidRPr="00A031A0" w:rsidRDefault="009D3104" w:rsidP="00264975">
      <w:pPr>
        <w:spacing w:after="120" w:line="240" w:lineRule="auto"/>
        <w:rPr>
          <w:sz w:val="24"/>
          <w:szCs w:val="24"/>
        </w:rPr>
      </w:pPr>
      <w:r>
        <w:rPr>
          <w:sz w:val="24"/>
          <w:szCs w:val="24"/>
        </w:rPr>
        <w:t xml:space="preserve">I write in response to comments made by the Standing Committee on Justice and Community Safety (Legislative Scrutiny Role) (the Committee) in its </w:t>
      </w:r>
      <w:r>
        <w:rPr>
          <w:i/>
          <w:iCs/>
          <w:sz w:val="24"/>
          <w:szCs w:val="24"/>
        </w:rPr>
        <w:t xml:space="preserve">Scrutiny Report 21 </w:t>
      </w:r>
      <w:r>
        <w:rPr>
          <w:sz w:val="24"/>
          <w:szCs w:val="24"/>
        </w:rPr>
        <w:t xml:space="preserve">in relation to the </w:t>
      </w:r>
      <w:r w:rsidRPr="009D3104">
        <w:rPr>
          <w:i/>
          <w:iCs/>
          <w:sz w:val="24"/>
          <w:szCs w:val="24"/>
        </w:rPr>
        <w:t>Planning Bill 2022</w:t>
      </w:r>
      <w:r>
        <w:rPr>
          <w:sz w:val="24"/>
          <w:szCs w:val="24"/>
        </w:rPr>
        <w:t xml:space="preserve"> (the Bill).</w:t>
      </w:r>
    </w:p>
    <w:p w14:paraId="00486963" w14:textId="5396D227" w:rsidR="009D3104" w:rsidRDefault="009D3104" w:rsidP="00264975">
      <w:pPr>
        <w:spacing w:after="120" w:line="240" w:lineRule="auto"/>
        <w:rPr>
          <w:sz w:val="24"/>
          <w:szCs w:val="24"/>
        </w:rPr>
      </w:pPr>
      <w:r w:rsidRPr="009D3104">
        <w:rPr>
          <w:sz w:val="24"/>
          <w:szCs w:val="24"/>
        </w:rPr>
        <w:t xml:space="preserve">I thank the Committee for its comments relating to </w:t>
      </w:r>
      <w:r>
        <w:rPr>
          <w:sz w:val="24"/>
          <w:szCs w:val="24"/>
        </w:rPr>
        <w:t>the Bill</w:t>
      </w:r>
      <w:r w:rsidRPr="009D3104">
        <w:rPr>
          <w:sz w:val="24"/>
          <w:szCs w:val="24"/>
        </w:rPr>
        <w:t xml:space="preserve">. The Committee’s comments requesting a response </w:t>
      </w:r>
      <w:proofErr w:type="gramStart"/>
      <w:r w:rsidRPr="009D3104">
        <w:rPr>
          <w:sz w:val="24"/>
          <w:szCs w:val="24"/>
        </w:rPr>
        <w:t>are</w:t>
      </w:r>
      <w:proofErr w:type="gramEnd"/>
      <w:r w:rsidRPr="009D3104">
        <w:rPr>
          <w:sz w:val="24"/>
          <w:szCs w:val="24"/>
        </w:rPr>
        <w:t xml:space="preserve"> addressed below.</w:t>
      </w:r>
    </w:p>
    <w:p w14:paraId="47FE4167" w14:textId="0A561B31" w:rsidR="00CE7BE1" w:rsidRPr="00403006" w:rsidRDefault="00CE7BE1" w:rsidP="009D3104">
      <w:pPr>
        <w:spacing w:after="0" w:line="240" w:lineRule="auto"/>
        <w:rPr>
          <w:b/>
          <w:bCs/>
          <w:sz w:val="24"/>
          <w:szCs w:val="24"/>
        </w:rPr>
      </w:pPr>
      <w:r w:rsidRPr="00CE7BE1">
        <w:rPr>
          <w:b/>
          <w:bCs/>
          <w:sz w:val="24"/>
          <w:szCs w:val="24"/>
        </w:rPr>
        <w:t>Right to recognition and equality before the law</w:t>
      </w:r>
    </w:p>
    <w:p w14:paraId="6E0F503E" w14:textId="19486BA3" w:rsidR="00635715" w:rsidRDefault="00CE7BE1" w:rsidP="00264975">
      <w:pPr>
        <w:spacing w:after="120" w:line="240" w:lineRule="auto"/>
        <w:rPr>
          <w:sz w:val="24"/>
          <w:szCs w:val="24"/>
        </w:rPr>
      </w:pPr>
      <w:r>
        <w:rPr>
          <w:sz w:val="24"/>
          <w:szCs w:val="24"/>
        </w:rPr>
        <w:t xml:space="preserve">The Committee requested further information on why any limitation of the right to equality in the granting of leases is reasonable in consideration of the </w:t>
      </w:r>
      <w:r w:rsidRPr="00CE7BE1">
        <w:rPr>
          <w:i/>
          <w:iCs/>
          <w:sz w:val="24"/>
          <w:szCs w:val="24"/>
        </w:rPr>
        <w:t>Human Rights Act 2004</w:t>
      </w:r>
      <w:r>
        <w:rPr>
          <w:sz w:val="24"/>
          <w:szCs w:val="24"/>
        </w:rPr>
        <w:t xml:space="preserve"> (the HRA).</w:t>
      </w:r>
    </w:p>
    <w:p w14:paraId="1FC3C71A" w14:textId="1245C2A2" w:rsidR="00635715" w:rsidRPr="00635715" w:rsidRDefault="00635715" w:rsidP="00635715">
      <w:pPr>
        <w:pStyle w:val="ListParagraph"/>
        <w:numPr>
          <w:ilvl w:val="0"/>
          <w:numId w:val="1"/>
        </w:numPr>
        <w:spacing w:before="120" w:after="120"/>
        <w:ind w:left="714" w:hanging="357"/>
        <w:rPr>
          <w:rFonts w:asciiTheme="minorHAnsi" w:eastAsia="Arial" w:hAnsiTheme="minorHAnsi" w:cstheme="minorHAnsi"/>
          <w:sz w:val="24"/>
          <w:szCs w:val="24"/>
        </w:rPr>
      </w:pPr>
      <w:r w:rsidRPr="00635715">
        <w:rPr>
          <w:rFonts w:asciiTheme="minorHAnsi" w:eastAsia="Arial" w:hAnsiTheme="minorHAnsi" w:cstheme="minorHAnsi"/>
          <w:i/>
          <w:iCs/>
          <w:sz w:val="24"/>
          <w:szCs w:val="24"/>
        </w:rPr>
        <w:t>Nature of the right and the limitation (ss 28(2)(a) and (c))</w:t>
      </w:r>
    </w:p>
    <w:p w14:paraId="14A669B7" w14:textId="31983343" w:rsidR="00B33623" w:rsidRDefault="00EE7C84" w:rsidP="00264975">
      <w:pPr>
        <w:spacing w:after="120" w:line="240" w:lineRule="auto"/>
        <w:rPr>
          <w:sz w:val="24"/>
          <w:szCs w:val="24"/>
        </w:rPr>
      </w:pPr>
      <w:r w:rsidRPr="00EE7C84">
        <w:rPr>
          <w:sz w:val="24"/>
          <w:szCs w:val="24"/>
        </w:rPr>
        <w:t>Section 8 of the</w:t>
      </w:r>
      <w:r>
        <w:rPr>
          <w:sz w:val="24"/>
          <w:szCs w:val="24"/>
        </w:rPr>
        <w:t xml:space="preserve"> HRA</w:t>
      </w:r>
      <w:r w:rsidRPr="00EE7C84">
        <w:rPr>
          <w:i/>
          <w:iCs/>
          <w:sz w:val="24"/>
          <w:szCs w:val="24"/>
        </w:rPr>
        <w:t> </w:t>
      </w:r>
      <w:r w:rsidR="00192E99">
        <w:rPr>
          <w:sz w:val="24"/>
          <w:szCs w:val="24"/>
        </w:rPr>
        <w:t>provides</w:t>
      </w:r>
      <w:r w:rsidR="00F042AD" w:rsidRPr="00EE7C84">
        <w:rPr>
          <w:sz w:val="24"/>
          <w:szCs w:val="24"/>
        </w:rPr>
        <w:t xml:space="preserve"> </w:t>
      </w:r>
      <w:r w:rsidRPr="00EE7C84">
        <w:rPr>
          <w:sz w:val="24"/>
          <w:szCs w:val="24"/>
        </w:rPr>
        <w:t xml:space="preserve">that everyone is equal before the law and is entitled to the equal protection of the law without discrimination. </w:t>
      </w:r>
      <w:r w:rsidR="00B33623" w:rsidRPr="00B33623">
        <w:rPr>
          <w:sz w:val="24"/>
          <w:szCs w:val="24"/>
        </w:rPr>
        <w:t>Section 261</w:t>
      </w:r>
      <w:r w:rsidR="00CF2274">
        <w:rPr>
          <w:sz w:val="24"/>
          <w:szCs w:val="24"/>
        </w:rPr>
        <w:t xml:space="preserve"> of the Bill</w:t>
      </w:r>
      <w:r w:rsidR="00B33623" w:rsidRPr="00B33623">
        <w:rPr>
          <w:sz w:val="24"/>
          <w:szCs w:val="24"/>
        </w:rPr>
        <w:t xml:space="preserve"> allows the Territory Planning Authority</w:t>
      </w:r>
      <w:r w:rsidR="00CF2274">
        <w:rPr>
          <w:sz w:val="24"/>
          <w:szCs w:val="24"/>
        </w:rPr>
        <w:t xml:space="preserve"> (Authority)</w:t>
      </w:r>
      <w:r w:rsidR="00B33623" w:rsidRPr="00B33623">
        <w:rPr>
          <w:sz w:val="24"/>
          <w:szCs w:val="24"/>
        </w:rPr>
        <w:t xml:space="preserve"> to restrict the people eligible for the grant of a lease under section 259 </w:t>
      </w:r>
      <w:r w:rsidR="00CF2274">
        <w:rPr>
          <w:sz w:val="24"/>
          <w:szCs w:val="24"/>
        </w:rPr>
        <w:t xml:space="preserve">of the Bill </w:t>
      </w:r>
      <w:r w:rsidR="00B33623" w:rsidRPr="00B33623">
        <w:rPr>
          <w:sz w:val="24"/>
          <w:szCs w:val="24"/>
        </w:rPr>
        <w:t xml:space="preserve">by stating in the notice of auction, tender, ballot or direct sale, a class of people eligible or ineligible for the grant of the lease. </w:t>
      </w:r>
      <w:r>
        <w:rPr>
          <w:sz w:val="24"/>
          <w:szCs w:val="24"/>
        </w:rPr>
        <w:t>Section 261</w:t>
      </w:r>
      <w:r w:rsidR="00CF2274">
        <w:rPr>
          <w:sz w:val="24"/>
          <w:szCs w:val="24"/>
        </w:rPr>
        <w:t xml:space="preserve"> of the Bill</w:t>
      </w:r>
      <w:r>
        <w:rPr>
          <w:sz w:val="24"/>
          <w:szCs w:val="24"/>
        </w:rPr>
        <w:t xml:space="preserve"> </w:t>
      </w:r>
      <w:r w:rsidRPr="00EE7C84">
        <w:rPr>
          <w:sz w:val="24"/>
          <w:szCs w:val="24"/>
        </w:rPr>
        <w:t xml:space="preserve">could be considered to limit a person’s right to equality before the law as certain classes of people may be ineligible to </w:t>
      </w:r>
      <w:r w:rsidRPr="00B33623">
        <w:rPr>
          <w:sz w:val="24"/>
          <w:szCs w:val="24"/>
        </w:rPr>
        <w:t>participate in a lease sale process</w:t>
      </w:r>
      <w:r>
        <w:rPr>
          <w:sz w:val="24"/>
          <w:szCs w:val="24"/>
        </w:rPr>
        <w:t>.</w:t>
      </w:r>
    </w:p>
    <w:p w14:paraId="5DED9150" w14:textId="7DEC8F23" w:rsidR="00B82040" w:rsidRDefault="00B82040" w:rsidP="009D3104">
      <w:pPr>
        <w:spacing w:after="0" w:line="240" w:lineRule="auto"/>
        <w:rPr>
          <w:sz w:val="24"/>
          <w:szCs w:val="24"/>
        </w:rPr>
      </w:pPr>
    </w:p>
    <w:p w14:paraId="773C3330" w14:textId="5B84B3D8" w:rsidR="00B82040" w:rsidRDefault="00B82040" w:rsidP="009D3104">
      <w:pPr>
        <w:spacing w:after="0" w:line="240" w:lineRule="auto"/>
        <w:rPr>
          <w:sz w:val="24"/>
          <w:szCs w:val="24"/>
        </w:rPr>
      </w:pPr>
    </w:p>
    <w:p w14:paraId="0CF4459B" w14:textId="77777777" w:rsidR="00B82040" w:rsidRDefault="00B82040" w:rsidP="009D3104">
      <w:pPr>
        <w:spacing w:after="0" w:line="240" w:lineRule="auto"/>
        <w:rPr>
          <w:sz w:val="24"/>
          <w:szCs w:val="24"/>
        </w:rPr>
      </w:pPr>
    </w:p>
    <w:p w14:paraId="049BF107" w14:textId="1EC5BC48" w:rsidR="00635715" w:rsidRPr="00635715" w:rsidRDefault="00635715" w:rsidP="00635715">
      <w:pPr>
        <w:pStyle w:val="ListParagraph"/>
        <w:numPr>
          <w:ilvl w:val="0"/>
          <w:numId w:val="1"/>
        </w:numPr>
        <w:spacing w:before="120" w:after="120"/>
        <w:ind w:left="714" w:hanging="357"/>
        <w:rPr>
          <w:rFonts w:asciiTheme="minorHAnsi" w:eastAsia="Arial" w:hAnsiTheme="minorHAnsi" w:cstheme="minorHAnsi"/>
          <w:i/>
          <w:iCs/>
          <w:sz w:val="24"/>
          <w:szCs w:val="24"/>
        </w:rPr>
      </w:pPr>
      <w:r w:rsidRPr="00635715">
        <w:rPr>
          <w:rFonts w:asciiTheme="minorHAnsi" w:eastAsia="Arial" w:hAnsiTheme="minorHAnsi" w:cstheme="minorHAnsi"/>
          <w:i/>
          <w:iCs/>
          <w:sz w:val="24"/>
          <w:szCs w:val="24"/>
        </w:rPr>
        <w:lastRenderedPageBreak/>
        <w:t>Legitimate purpose (s 28(2)(b))</w:t>
      </w:r>
    </w:p>
    <w:p w14:paraId="27122FBE" w14:textId="66270DF8" w:rsidR="00635715" w:rsidRPr="00635715" w:rsidRDefault="00EE7C84" w:rsidP="00264975">
      <w:pPr>
        <w:spacing w:after="120" w:line="240" w:lineRule="auto"/>
        <w:rPr>
          <w:sz w:val="24"/>
          <w:szCs w:val="24"/>
        </w:rPr>
      </w:pPr>
      <w:r w:rsidRPr="00C64FB5">
        <w:rPr>
          <w:sz w:val="24"/>
          <w:szCs w:val="24"/>
        </w:rPr>
        <w:t xml:space="preserve">The purpose of the limitation is to encourage and facilitate housing and land supply </w:t>
      </w:r>
      <w:r w:rsidR="00156383">
        <w:rPr>
          <w:sz w:val="24"/>
          <w:szCs w:val="24"/>
        </w:rPr>
        <w:t xml:space="preserve">in accordance with ACT Government policy </w:t>
      </w:r>
      <w:r w:rsidRPr="00C64FB5">
        <w:rPr>
          <w:sz w:val="24"/>
          <w:szCs w:val="24"/>
        </w:rPr>
        <w:t>to a wider variety</w:t>
      </w:r>
      <w:r w:rsidR="00A7031B">
        <w:rPr>
          <w:sz w:val="24"/>
          <w:szCs w:val="24"/>
        </w:rPr>
        <w:t xml:space="preserve"> or specific segments</w:t>
      </w:r>
      <w:r w:rsidRPr="00C64FB5">
        <w:rPr>
          <w:sz w:val="24"/>
          <w:szCs w:val="24"/>
        </w:rPr>
        <w:t xml:space="preserve"> of the community. </w:t>
      </w:r>
      <w:r w:rsidR="00C64FB5" w:rsidRPr="00C64FB5">
        <w:rPr>
          <w:sz w:val="24"/>
          <w:szCs w:val="24"/>
        </w:rPr>
        <w:t xml:space="preserve">Housing supply and affordability is a </w:t>
      </w:r>
      <w:proofErr w:type="spellStart"/>
      <w:proofErr w:type="gramStart"/>
      <w:r w:rsidR="002E2113" w:rsidRPr="00C64FB5">
        <w:rPr>
          <w:sz w:val="24"/>
          <w:szCs w:val="24"/>
        </w:rPr>
        <w:t>well</w:t>
      </w:r>
      <w:r w:rsidR="002E2113">
        <w:rPr>
          <w:sz w:val="24"/>
          <w:szCs w:val="24"/>
        </w:rPr>
        <w:t xml:space="preserve"> </w:t>
      </w:r>
      <w:r w:rsidR="002E2113" w:rsidRPr="00C64FB5">
        <w:rPr>
          <w:sz w:val="24"/>
          <w:szCs w:val="24"/>
        </w:rPr>
        <w:t>established</w:t>
      </w:r>
      <w:proofErr w:type="spellEnd"/>
      <w:proofErr w:type="gramEnd"/>
      <w:r w:rsidR="00C64FB5" w:rsidRPr="00C64FB5">
        <w:rPr>
          <w:sz w:val="24"/>
          <w:szCs w:val="24"/>
        </w:rPr>
        <w:t xml:space="preserve"> issue within Australia and there are a range of initiatives and programs that the Government is pursuing </w:t>
      </w:r>
      <w:r w:rsidR="00A7031B">
        <w:rPr>
          <w:sz w:val="24"/>
          <w:szCs w:val="24"/>
        </w:rPr>
        <w:t xml:space="preserve">and mechanisms such as this one </w:t>
      </w:r>
      <w:r w:rsidR="00CF2274">
        <w:rPr>
          <w:sz w:val="24"/>
          <w:szCs w:val="24"/>
        </w:rPr>
        <w:t xml:space="preserve">to </w:t>
      </w:r>
      <w:r w:rsidR="00A7031B">
        <w:rPr>
          <w:sz w:val="24"/>
          <w:szCs w:val="24"/>
        </w:rPr>
        <w:t xml:space="preserve">support the Government </w:t>
      </w:r>
      <w:r w:rsidR="00CF2274">
        <w:rPr>
          <w:sz w:val="24"/>
          <w:szCs w:val="24"/>
        </w:rPr>
        <w:t xml:space="preserve">in </w:t>
      </w:r>
      <w:r w:rsidR="00C64FB5" w:rsidRPr="00C64FB5">
        <w:rPr>
          <w:sz w:val="24"/>
          <w:szCs w:val="24"/>
        </w:rPr>
        <w:t>provid</w:t>
      </w:r>
      <w:r w:rsidR="00CF2274">
        <w:rPr>
          <w:sz w:val="24"/>
          <w:szCs w:val="24"/>
        </w:rPr>
        <w:t xml:space="preserve">ing </w:t>
      </w:r>
      <w:r w:rsidR="00C64FB5" w:rsidRPr="00C64FB5">
        <w:rPr>
          <w:sz w:val="24"/>
          <w:szCs w:val="24"/>
        </w:rPr>
        <w:t>housing and choice for the people of the ACT.</w:t>
      </w:r>
    </w:p>
    <w:p w14:paraId="45486D1D" w14:textId="3E03CC8E" w:rsidR="00635715" w:rsidRPr="00635715" w:rsidRDefault="00635715" w:rsidP="00635715">
      <w:pPr>
        <w:pStyle w:val="ListParagraph"/>
        <w:numPr>
          <w:ilvl w:val="0"/>
          <w:numId w:val="1"/>
        </w:numPr>
        <w:spacing w:before="120" w:after="120"/>
        <w:ind w:left="714" w:hanging="357"/>
        <w:rPr>
          <w:rFonts w:asciiTheme="minorHAnsi" w:eastAsia="Arial" w:hAnsiTheme="minorHAnsi" w:cstheme="minorHAnsi"/>
          <w:i/>
          <w:iCs/>
          <w:sz w:val="24"/>
          <w:szCs w:val="24"/>
        </w:rPr>
      </w:pPr>
      <w:r w:rsidRPr="00635715">
        <w:rPr>
          <w:rFonts w:asciiTheme="minorHAnsi" w:eastAsia="Arial" w:hAnsiTheme="minorHAnsi" w:cstheme="minorHAnsi"/>
          <w:i/>
          <w:iCs/>
          <w:sz w:val="24"/>
          <w:szCs w:val="24"/>
        </w:rPr>
        <w:t>Rational connection between the limitation and the purpose (s 28(2)(d))</w:t>
      </w:r>
    </w:p>
    <w:p w14:paraId="5E0F96CE" w14:textId="034FCB8C" w:rsidR="00635715" w:rsidRDefault="00B82040" w:rsidP="00264975">
      <w:pPr>
        <w:spacing w:after="120" w:line="240" w:lineRule="auto"/>
        <w:rPr>
          <w:sz w:val="24"/>
          <w:szCs w:val="24"/>
        </w:rPr>
      </w:pPr>
      <w:r w:rsidRPr="00B82040">
        <w:rPr>
          <w:sz w:val="24"/>
          <w:szCs w:val="24"/>
        </w:rPr>
        <w:t xml:space="preserve">The proposed amendment will be effective </w:t>
      </w:r>
      <w:r w:rsidR="0048077D">
        <w:rPr>
          <w:sz w:val="24"/>
          <w:szCs w:val="24"/>
        </w:rPr>
        <w:t>in</w:t>
      </w:r>
      <w:r w:rsidRPr="00B82040">
        <w:rPr>
          <w:sz w:val="24"/>
          <w:szCs w:val="24"/>
        </w:rPr>
        <w:t xml:space="preserve"> achieving the legitimate aim</w:t>
      </w:r>
      <w:r w:rsidR="002E2113">
        <w:rPr>
          <w:sz w:val="24"/>
          <w:szCs w:val="24"/>
        </w:rPr>
        <w:t>,</w:t>
      </w:r>
      <w:r w:rsidRPr="00B82040">
        <w:rPr>
          <w:sz w:val="24"/>
          <w:szCs w:val="24"/>
        </w:rPr>
        <w:t xml:space="preserve"> </w:t>
      </w:r>
      <w:r w:rsidR="0048077D">
        <w:rPr>
          <w:sz w:val="24"/>
          <w:szCs w:val="24"/>
        </w:rPr>
        <w:t xml:space="preserve">which is to </w:t>
      </w:r>
      <w:r w:rsidRPr="00C64FB5">
        <w:rPr>
          <w:sz w:val="24"/>
          <w:szCs w:val="24"/>
        </w:rPr>
        <w:t>provi</w:t>
      </w:r>
      <w:r w:rsidR="0048077D">
        <w:rPr>
          <w:sz w:val="24"/>
          <w:szCs w:val="24"/>
        </w:rPr>
        <w:t>de</w:t>
      </w:r>
      <w:r w:rsidRPr="00C64FB5">
        <w:rPr>
          <w:sz w:val="24"/>
          <w:szCs w:val="24"/>
        </w:rPr>
        <w:t xml:space="preserve"> housing and choice for the ACT</w:t>
      </w:r>
      <w:r>
        <w:rPr>
          <w:sz w:val="24"/>
          <w:szCs w:val="24"/>
        </w:rPr>
        <w:t xml:space="preserve"> community.</w:t>
      </w:r>
      <w:r w:rsidRPr="00B33623">
        <w:rPr>
          <w:sz w:val="24"/>
          <w:szCs w:val="24"/>
        </w:rPr>
        <w:t xml:space="preserve"> </w:t>
      </w:r>
      <w:r w:rsidR="0048077D">
        <w:rPr>
          <w:sz w:val="24"/>
          <w:szCs w:val="24"/>
        </w:rPr>
        <w:t>To enable this, i</w:t>
      </w:r>
      <w:r w:rsidR="00B33623" w:rsidRPr="00B33623">
        <w:rPr>
          <w:sz w:val="24"/>
          <w:szCs w:val="24"/>
        </w:rPr>
        <w:t xml:space="preserve">t is important for the Authority to continue to be able to restrict the classes of people eligible </w:t>
      </w:r>
      <w:r w:rsidR="00942B8E">
        <w:rPr>
          <w:sz w:val="24"/>
          <w:szCs w:val="24"/>
        </w:rPr>
        <w:t xml:space="preserve">in accordance with ACT Government policy </w:t>
      </w:r>
      <w:r w:rsidR="00B33623" w:rsidRPr="00B33623">
        <w:rPr>
          <w:sz w:val="24"/>
          <w:szCs w:val="24"/>
        </w:rPr>
        <w:t>to participate in a lease sale process. This</w:t>
      </w:r>
      <w:r w:rsidR="00DA453E">
        <w:rPr>
          <w:sz w:val="24"/>
          <w:szCs w:val="24"/>
        </w:rPr>
        <w:t xml:space="preserve"> </w:t>
      </w:r>
      <w:r w:rsidR="00B33623" w:rsidRPr="00B33623">
        <w:rPr>
          <w:sz w:val="24"/>
          <w:szCs w:val="24"/>
        </w:rPr>
        <w:t xml:space="preserve">is essential to realise Government objectives from time to time </w:t>
      </w:r>
      <w:r w:rsidR="00942B8E">
        <w:rPr>
          <w:sz w:val="24"/>
          <w:szCs w:val="24"/>
        </w:rPr>
        <w:t xml:space="preserve">to </w:t>
      </w:r>
      <w:r w:rsidR="00B33623" w:rsidRPr="00B33623">
        <w:rPr>
          <w:sz w:val="24"/>
          <w:szCs w:val="24"/>
        </w:rPr>
        <w:t>release land for the benefit of a particular class</w:t>
      </w:r>
      <w:r w:rsidR="00942B8E">
        <w:rPr>
          <w:sz w:val="24"/>
          <w:szCs w:val="24"/>
        </w:rPr>
        <w:t xml:space="preserve"> of people</w:t>
      </w:r>
      <w:r w:rsidR="00B33623" w:rsidRPr="00B33623">
        <w:rPr>
          <w:sz w:val="24"/>
          <w:szCs w:val="24"/>
        </w:rPr>
        <w:t>. For example, the Government may wish to restrict those eligible for the direct sale of single dwellings to persons undergoing a degree of financial hardship. The criteria in this circumstance may be based on income, previous ownership, stamp duty concession eligibility or other criteria or combination of criteria.</w:t>
      </w:r>
    </w:p>
    <w:p w14:paraId="41D128CA" w14:textId="3F6CDA35" w:rsidR="00635715" w:rsidRPr="00635715" w:rsidRDefault="00635715" w:rsidP="00635715">
      <w:pPr>
        <w:pStyle w:val="ListParagraph"/>
        <w:numPr>
          <w:ilvl w:val="0"/>
          <w:numId w:val="1"/>
        </w:numPr>
        <w:spacing w:before="120" w:after="120"/>
        <w:ind w:left="714" w:hanging="357"/>
        <w:rPr>
          <w:rFonts w:asciiTheme="minorHAnsi" w:eastAsia="Arial" w:hAnsiTheme="minorHAnsi" w:cstheme="minorHAnsi"/>
          <w:i/>
          <w:iCs/>
          <w:sz w:val="24"/>
          <w:szCs w:val="24"/>
        </w:rPr>
      </w:pPr>
      <w:r w:rsidRPr="00635715">
        <w:rPr>
          <w:rFonts w:asciiTheme="minorHAnsi" w:eastAsia="Arial" w:hAnsiTheme="minorHAnsi" w:cstheme="minorHAnsi"/>
          <w:i/>
          <w:iCs/>
          <w:sz w:val="24"/>
          <w:szCs w:val="24"/>
        </w:rPr>
        <w:t>Proportionality (s 28(2)(e))</w:t>
      </w:r>
    </w:p>
    <w:p w14:paraId="1153373B" w14:textId="5C090AFE" w:rsidR="0048077D" w:rsidRDefault="0048077D" w:rsidP="00264975">
      <w:pPr>
        <w:spacing w:after="120" w:line="240" w:lineRule="auto"/>
        <w:rPr>
          <w:sz w:val="24"/>
          <w:szCs w:val="24"/>
        </w:rPr>
      </w:pPr>
      <w:r w:rsidRPr="0048077D">
        <w:rPr>
          <w:sz w:val="24"/>
          <w:szCs w:val="24"/>
        </w:rPr>
        <w:t>The limitations on the equality before the law are considered proportionate to the legitimate purpose.</w:t>
      </w:r>
    </w:p>
    <w:p w14:paraId="0D99934C" w14:textId="66579D0F" w:rsidR="0048077D" w:rsidRDefault="0048077D" w:rsidP="00264975">
      <w:pPr>
        <w:spacing w:after="120" w:line="240" w:lineRule="auto"/>
        <w:rPr>
          <w:sz w:val="24"/>
          <w:szCs w:val="24"/>
        </w:rPr>
      </w:pPr>
      <w:r w:rsidRPr="0048077D">
        <w:rPr>
          <w:sz w:val="24"/>
          <w:szCs w:val="24"/>
        </w:rPr>
        <w:t xml:space="preserve">This Bill seeks to promote wider </w:t>
      </w:r>
      <w:r w:rsidR="00942B8E">
        <w:rPr>
          <w:sz w:val="24"/>
          <w:szCs w:val="24"/>
        </w:rPr>
        <w:t xml:space="preserve">property/home </w:t>
      </w:r>
      <w:r w:rsidRPr="0048077D">
        <w:rPr>
          <w:sz w:val="24"/>
          <w:szCs w:val="24"/>
        </w:rPr>
        <w:t xml:space="preserve">ownership in the community </w:t>
      </w:r>
      <w:r w:rsidR="002E2113">
        <w:rPr>
          <w:sz w:val="24"/>
          <w:szCs w:val="24"/>
        </w:rPr>
        <w:t xml:space="preserve">or the provision of affordable rental, </w:t>
      </w:r>
      <w:r w:rsidRPr="0048077D">
        <w:rPr>
          <w:sz w:val="24"/>
          <w:szCs w:val="24"/>
        </w:rPr>
        <w:t xml:space="preserve">to address </w:t>
      </w:r>
      <w:r w:rsidR="00942B8E">
        <w:rPr>
          <w:sz w:val="24"/>
          <w:szCs w:val="24"/>
        </w:rPr>
        <w:t xml:space="preserve">access and equity </w:t>
      </w:r>
      <w:r w:rsidRPr="0048077D">
        <w:rPr>
          <w:sz w:val="24"/>
          <w:szCs w:val="24"/>
        </w:rPr>
        <w:t xml:space="preserve">barriers by allowing the Government to target certain disadvantaged </w:t>
      </w:r>
      <w:r w:rsidR="002E2113">
        <w:rPr>
          <w:sz w:val="24"/>
          <w:szCs w:val="24"/>
        </w:rPr>
        <w:t xml:space="preserve">or vulnerable </w:t>
      </w:r>
      <w:r w:rsidRPr="0048077D">
        <w:rPr>
          <w:sz w:val="24"/>
          <w:szCs w:val="24"/>
        </w:rPr>
        <w:t xml:space="preserve">groups in the community. </w:t>
      </w:r>
      <w:r w:rsidR="00C64FB5">
        <w:rPr>
          <w:sz w:val="24"/>
          <w:szCs w:val="24"/>
        </w:rPr>
        <w:t>While the restriction on granting of leases will affect equality, without this framework, the Government could not address equity for the community</w:t>
      </w:r>
      <w:r w:rsidR="00264975">
        <w:rPr>
          <w:sz w:val="24"/>
          <w:szCs w:val="24"/>
        </w:rPr>
        <w:t>,</w:t>
      </w:r>
      <w:r w:rsidR="00C64FB5">
        <w:rPr>
          <w:sz w:val="24"/>
          <w:szCs w:val="24"/>
        </w:rPr>
        <w:t xml:space="preserve"> and it would be more difficult for financially and socially disadvantaged </w:t>
      </w:r>
      <w:r w:rsidR="002E2113">
        <w:rPr>
          <w:sz w:val="24"/>
          <w:szCs w:val="24"/>
        </w:rPr>
        <w:t xml:space="preserve">or vulnerable </w:t>
      </w:r>
      <w:r w:rsidR="00C64FB5">
        <w:rPr>
          <w:sz w:val="24"/>
          <w:szCs w:val="24"/>
        </w:rPr>
        <w:t>people to obtain</w:t>
      </w:r>
      <w:r w:rsidR="00942B8E">
        <w:rPr>
          <w:sz w:val="24"/>
          <w:szCs w:val="24"/>
        </w:rPr>
        <w:t xml:space="preserve"> property/</w:t>
      </w:r>
      <w:r w:rsidR="00C64FB5">
        <w:rPr>
          <w:sz w:val="24"/>
          <w:szCs w:val="24"/>
        </w:rPr>
        <w:t>home ownership</w:t>
      </w:r>
      <w:r w:rsidR="002E2113">
        <w:rPr>
          <w:sz w:val="24"/>
          <w:szCs w:val="24"/>
        </w:rPr>
        <w:t xml:space="preserve"> or enter the rental market</w:t>
      </w:r>
      <w:r w:rsidR="00C64FB5">
        <w:rPr>
          <w:sz w:val="24"/>
          <w:szCs w:val="24"/>
        </w:rPr>
        <w:t xml:space="preserve">. </w:t>
      </w:r>
      <w:r w:rsidR="008F40DD">
        <w:rPr>
          <w:sz w:val="24"/>
          <w:szCs w:val="24"/>
        </w:rPr>
        <w:t xml:space="preserve">This is just one of </w:t>
      </w:r>
      <w:r w:rsidR="006F49FD">
        <w:rPr>
          <w:sz w:val="24"/>
          <w:szCs w:val="24"/>
        </w:rPr>
        <w:t>several</w:t>
      </w:r>
      <w:r w:rsidR="008F40DD">
        <w:rPr>
          <w:sz w:val="24"/>
          <w:szCs w:val="24"/>
        </w:rPr>
        <w:t xml:space="preserve"> initiatives the Government </w:t>
      </w:r>
      <w:r w:rsidR="00942B8E">
        <w:rPr>
          <w:sz w:val="24"/>
          <w:szCs w:val="24"/>
        </w:rPr>
        <w:t xml:space="preserve">may </w:t>
      </w:r>
      <w:r w:rsidR="008F40DD">
        <w:rPr>
          <w:sz w:val="24"/>
          <w:szCs w:val="24"/>
        </w:rPr>
        <w:t xml:space="preserve">pursue to </w:t>
      </w:r>
      <w:r w:rsidR="008F40DD" w:rsidRPr="008F40DD">
        <w:rPr>
          <w:sz w:val="24"/>
          <w:szCs w:val="24"/>
        </w:rPr>
        <w:t xml:space="preserve">unlock quality, affordable </w:t>
      </w:r>
      <w:r w:rsidR="00942B8E">
        <w:rPr>
          <w:sz w:val="24"/>
          <w:szCs w:val="24"/>
        </w:rPr>
        <w:t>property/</w:t>
      </w:r>
      <w:r w:rsidR="008F40DD" w:rsidRPr="008F40DD">
        <w:rPr>
          <w:sz w:val="24"/>
          <w:szCs w:val="24"/>
        </w:rPr>
        <w:t xml:space="preserve">housing supply </w:t>
      </w:r>
      <w:r w:rsidR="008F40DD">
        <w:rPr>
          <w:sz w:val="24"/>
          <w:szCs w:val="24"/>
        </w:rPr>
        <w:t>for the community.</w:t>
      </w:r>
    </w:p>
    <w:p w14:paraId="72C63783" w14:textId="16DB56EA" w:rsidR="00C64FB5" w:rsidRPr="001245DE" w:rsidRDefault="008F40DD" w:rsidP="00264975">
      <w:pPr>
        <w:spacing w:after="120" w:line="240" w:lineRule="auto"/>
        <w:rPr>
          <w:rFonts w:ascii="Arial" w:eastAsia="Arial" w:hAnsi="Arial" w:cs="Arial"/>
          <w:sz w:val="24"/>
          <w:szCs w:val="24"/>
        </w:rPr>
      </w:pPr>
      <w:r w:rsidRPr="00C64FB5">
        <w:rPr>
          <w:sz w:val="24"/>
          <w:szCs w:val="24"/>
        </w:rPr>
        <w:t xml:space="preserve">On balance, </w:t>
      </w:r>
      <w:r w:rsidRPr="008F40DD">
        <w:rPr>
          <w:sz w:val="24"/>
          <w:szCs w:val="24"/>
        </w:rPr>
        <w:t>any limitation of rights under the HRA is reasonable and proportionate, noting the public interest benefits that arise from home ownership</w:t>
      </w:r>
      <w:r w:rsidR="002E2113">
        <w:rPr>
          <w:sz w:val="24"/>
          <w:szCs w:val="24"/>
        </w:rPr>
        <w:t xml:space="preserve"> or affordable rental</w:t>
      </w:r>
      <w:r w:rsidRPr="008F40DD">
        <w:rPr>
          <w:sz w:val="24"/>
          <w:szCs w:val="24"/>
        </w:rPr>
        <w:t>.</w:t>
      </w:r>
    </w:p>
    <w:p w14:paraId="25671B0A" w14:textId="5B4C336E" w:rsidR="00C64FB5" w:rsidRDefault="00192E99" w:rsidP="00C64FB5">
      <w:pPr>
        <w:spacing w:after="0" w:line="240" w:lineRule="auto"/>
        <w:rPr>
          <w:sz w:val="24"/>
          <w:szCs w:val="24"/>
        </w:rPr>
      </w:pPr>
      <w:r>
        <w:rPr>
          <w:sz w:val="24"/>
          <w:szCs w:val="24"/>
        </w:rPr>
        <w:t xml:space="preserve">A supplementary explanatory statement will be notified </w:t>
      </w:r>
      <w:r w:rsidR="00C64FB5">
        <w:rPr>
          <w:sz w:val="24"/>
          <w:szCs w:val="24"/>
        </w:rPr>
        <w:t>to reflect th</w:t>
      </w:r>
      <w:r w:rsidR="00635715">
        <w:rPr>
          <w:sz w:val="24"/>
          <w:szCs w:val="24"/>
        </w:rPr>
        <w:t xml:space="preserve">is </w:t>
      </w:r>
      <w:r w:rsidR="00C64FB5">
        <w:rPr>
          <w:sz w:val="24"/>
          <w:szCs w:val="24"/>
        </w:rPr>
        <w:t>information.</w:t>
      </w:r>
    </w:p>
    <w:p w14:paraId="630F6C4A" w14:textId="1ABD34D2" w:rsidR="009D3104" w:rsidRDefault="009D3104" w:rsidP="00C64FB5">
      <w:pPr>
        <w:spacing w:after="0" w:line="240" w:lineRule="auto"/>
        <w:rPr>
          <w:sz w:val="24"/>
          <w:szCs w:val="24"/>
        </w:rPr>
      </w:pPr>
    </w:p>
    <w:p w14:paraId="6EBDC154" w14:textId="22D4E13D" w:rsidR="008F40DD" w:rsidRPr="00403006" w:rsidRDefault="008F40DD" w:rsidP="00C64FB5">
      <w:pPr>
        <w:spacing w:after="0" w:line="240" w:lineRule="auto"/>
        <w:rPr>
          <w:b/>
          <w:bCs/>
          <w:sz w:val="24"/>
          <w:szCs w:val="24"/>
        </w:rPr>
      </w:pPr>
      <w:r w:rsidRPr="008F40DD">
        <w:rPr>
          <w:b/>
          <w:bCs/>
          <w:sz w:val="24"/>
          <w:szCs w:val="24"/>
        </w:rPr>
        <w:t>Right to Privacy and Reputation</w:t>
      </w:r>
    </w:p>
    <w:p w14:paraId="41CD9ECA" w14:textId="72DDF3D4" w:rsidR="009D3104" w:rsidRDefault="008F40DD" w:rsidP="00264975">
      <w:pPr>
        <w:spacing w:after="120" w:line="240" w:lineRule="auto"/>
        <w:rPr>
          <w:sz w:val="24"/>
          <w:szCs w:val="24"/>
        </w:rPr>
      </w:pPr>
      <w:r>
        <w:rPr>
          <w:sz w:val="24"/>
          <w:szCs w:val="24"/>
        </w:rPr>
        <w:t xml:space="preserve">The Committee requested further information on whether it would be possible for a complainant to identify </w:t>
      </w:r>
      <w:proofErr w:type="gramStart"/>
      <w:r>
        <w:rPr>
          <w:sz w:val="24"/>
          <w:szCs w:val="24"/>
        </w:rPr>
        <w:t>themselves</w:t>
      </w:r>
      <w:r w:rsidR="002E2113">
        <w:rPr>
          <w:sz w:val="24"/>
          <w:szCs w:val="24"/>
        </w:rPr>
        <w:t>,</w:t>
      </w:r>
      <w:r>
        <w:rPr>
          <w:sz w:val="24"/>
          <w:szCs w:val="24"/>
        </w:rPr>
        <w:t xml:space="preserve"> but</w:t>
      </w:r>
      <w:proofErr w:type="gramEnd"/>
      <w:r>
        <w:rPr>
          <w:sz w:val="24"/>
          <w:szCs w:val="24"/>
        </w:rPr>
        <w:t xml:space="preserve"> request their identi</w:t>
      </w:r>
      <w:r w:rsidR="002E2113">
        <w:rPr>
          <w:sz w:val="24"/>
          <w:szCs w:val="24"/>
        </w:rPr>
        <w:t>t</w:t>
      </w:r>
      <w:r>
        <w:rPr>
          <w:sz w:val="24"/>
          <w:szCs w:val="24"/>
        </w:rPr>
        <w:t>y and the information which may reasonably lead them to being identified, to not be disclosed further without their consent.</w:t>
      </w:r>
    </w:p>
    <w:p w14:paraId="25FE7288" w14:textId="47DFFA29" w:rsidR="004E55CC" w:rsidRPr="004E55CC" w:rsidRDefault="00A24261" w:rsidP="00264975">
      <w:pPr>
        <w:pStyle w:val="Heading2"/>
        <w:shd w:val="clear" w:color="auto" w:fill="FFFFFF"/>
        <w:spacing w:before="0" w:after="120" w:line="240" w:lineRule="auto"/>
        <w:rPr>
          <w:sz w:val="24"/>
          <w:szCs w:val="24"/>
        </w:rPr>
      </w:pPr>
      <w:r w:rsidRPr="004E55CC">
        <w:rPr>
          <w:rFonts w:ascii="Calibri" w:eastAsia="Calibri" w:hAnsi="Calibri" w:cs="Times New Roman"/>
          <w:color w:val="auto"/>
          <w:sz w:val="24"/>
          <w:szCs w:val="24"/>
        </w:rPr>
        <w:t>Complainants can identify themselves</w:t>
      </w:r>
      <w:r w:rsidR="002E2113">
        <w:rPr>
          <w:rFonts w:ascii="Calibri" w:eastAsia="Calibri" w:hAnsi="Calibri" w:cs="Times New Roman"/>
          <w:color w:val="auto"/>
          <w:sz w:val="24"/>
          <w:szCs w:val="24"/>
        </w:rPr>
        <w:t>,</w:t>
      </w:r>
      <w:r w:rsidRPr="004E55CC">
        <w:rPr>
          <w:rFonts w:ascii="Calibri" w:eastAsia="Calibri" w:hAnsi="Calibri" w:cs="Times New Roman"/>
          <w:color w:val="auto"/>
          <w:sz w:val="24"/>
          <w:szCs w:val="24"/>
        </w:rPr>
        <w:t xml:space="preserve"> but request that their identi</w:t>
      </w:r>
      <w:r w:rsidR="00942B8E">
        <w:rPr>
          <w:rFonts w:ascii="Calibri" w:eastAsia="Calibri" w:hAnsi="Calibri" w:cs="Times New Roman"/>
          <w:color w:val="auto"/>
          <w:sz w:val="24"/>
          <w:szCs w:val="24"/>
        </w:rPr>
        <w:t>t</w:t>
      </w:r>
      <w:r w:rsidRPr="004E55CC">
        <w:rPr>
          <w:rFonts w:ascii="Calibri" w:eastAsia="Calibri" w:hAnsi="Calibri" w:cs="Times New Roman"/>
          <w:color w:val="auto"/>
          <w:sz w:val="24"/>
          <w:szCs w:val="24"/>
        </w:rPr>
        <w:t>y and information which may reasonably lead to them being identified, not be disclosed further without their consent. </w:t>
      </w:r>
      <w:r w:rsidR="004E55CC" w:rsidRPr="004E55CC">
        <w:rPr>
          <w:rFonts w:ascii="Calibri" w:eastAsia="Calibri" w:hAnsi="Calibri" w:cs="Times New Roman"/>
          <w:color w:val="auto"/>
          <w:sz w:val="24"/>
          <w:szCs w:val="24"/>
        </w:rPr>
        <w:t xml:space="preserve">The request would be considered on a case-by-case basis. Such requests would still be subject to other relevant laws, for example the </w:t>
      </w:r>
      <w:r w:rsidR="004E55CC" w:rsidRPr="00403006">
        <w:rPr>
          <w:rFonts w:ascii="Calibri" w:eastAsia="Calibri" w:hAnsi="Calibri" w:cs="Times New Roman"/>
          <w:i/>
          <w:iCs/>
          <w:color w:val="auto"/>
          <w:sz w:val="24"/>
          <w:szCs w:val="24"/>
        </w:rPr>
        <w:t>Freedom of Information Act 2016</w:t>
      </w:r>
      <w:r w:rsidR="004E55CC" w:rsidRPr="004E55CC">
        <w:rPr>
          <w:rFonts w:ascii="Calibri" w:eastAsia="Calibri" w:hAnsi="Calibri" w:cs="Times New Roman"/>
          <w:color w:val="auto"/>
          <w:sz w:val="24"/>
          <w:szCs w:val="24"/>
        </w:rPr>
        <w:t xml:space="preserve"> and </w:t>
      </w:r>
      <w:r w:rsidR="00755B51" w:rsidRPr="006F49FD">
        <w:rPr>
          <w:rFonts w:ascii="Calibri" w:eastAsia="Calibri" w:hAnsi="Calibri" w:cs="Times New Roman"/>
          <w:i/>
          <w:iCs/>
          <w:color w:val="auto"/>
          <w:sz w:val="24"/>
          <w:szCs w:val="24"/>
        </w:rPr>
        <w:t>Information Privacy Act 2014</w:t>
      </w:r>
      <w:r w:rsidR="004E55CC" w:rsidRPr="004E55CC">
        <w:rPr>
          <w:rFonts w:ascii="Calibri" w:eastAsia="Calibri" w:hAnsi="Calibri" w:cs="Times New Roman"/>
          <w:color w:val="auto"/>
          <w:sz w:val="24"/>
          <w:szCs w:val="24"/>
        </w:rPr>
        <w:t>.</w:t>
      </w:r>
    </w:p>
    <w:p w14:paraId="3AF68BC2" w14:textId="77777777" w:rsidR="002E2113" w:rsidRDefault="00A24261" w:rsidP="00264975">
      <w:pPr>
        <w:spacing w:after="120" w:line="240" w:lineRule="auto"/>
        <w:rPr>
          <w:sz w:val="24"/>
          <w:szCs w:val="24"/>
        </w:rPr>
      </w:pPr>
      <w:r w:rsidRPr="004E55CC">
        <w:rPr>
          <w:sz w:val="24"/>
          <w:szCs w:val="24"/>
        </w:rPr>
        <w:t xml:space="preserve">Section 410 </w:t>
      </w:r>
      <w:r w:rsidR="000712A6">
        <w:rPr>
          <w:sz w:val="24"/>
          <w:szCs w:val="24"/>
        </w:rPr>
        <w:t xml:space="preserve">of the Bill </w:t>
      </w:r>
      <w:r w:rsidRPr="004E55CC">
        <w:rPr>
          <w:sz w:val="24"/>
          <w:szCs w:val="24"/>
        </w:rPr>
        <w:t>sets out the form a complaint must take, which includes providing the name and address of the person making the complaint</w:t>
      </w:r>
      <w:r w:rsidR="002E2113">
        <w:rPr>
          <w:sz w:val="24"/>
          <w:szCs w:val="24"/>
        </w:rPr>
        <w:t>,</w:t>
      </w:r>
      <w:r w:rsidRPr="004E55CC">
        <w:rPr>
          <w:sz w:val="24"/>
          <w:szCs w:val="24"/>
        </w:rPr>
        <w:t xml:space="preserve"> in writing. </w:t>
      </w:r>
      <w:r w:rsidR="0025005A" w:rsidRPr="004E55CC">
        <w:rPr>
          <w:sz w:val="24"/>
          <w:szCs w:val="24"/>
        </w:rPr>
        <w:t>However</w:t>
      </w:r>
      <w:r w:rsidR="00B02560">
        <w:rPr>
          <w:sz w:val="24"/>
          <w:szCs w:val="24"/>
        </w:rPr>
        <w:t>,</w:t>
      </w:r>
      <w:r w:rsidR="0025005A" w:rsidRPr="004E55CC">
        <w:rPr>
          <w:sz w:val="24"/>
          <w:szCs w:val="24"/>
        </w:rPr>
        <w:t xml:space="preserve"> </w:t>
      </w:r>
      <w:r w:rsidR="0025005A">
        <w:rPr>
          <w:sz w:val="24"/>
          <w:szCs w:val="24"/>
        </w:rPr>
        <w:t xml:space="preserve">pursuant to 410(2) </w:t>
      </w:r>
      <w:r w:rsidRPr="004E55CC">
        <w:rPr>
          <w:sz w:val="24"/>
          <w:szCs w:val="24"/>
        </w:rPr>
        <w:t>the Authority can accept a complaint in another form, including anonymously.</w:t>
      </w:r>
      <w:r w:rsidR="004E55CC" w:rsidRPr="004E55CC">
        <w:rPr>
          <w:sz w:val="24"/>
          <w:szCs w:val="24"/>
        </w:rPr>
        <w:t xml:space="preserve"> </w:t>
      </w:r>
    </w:p>
    <w:p w14:paraId="0AD656F6" w14:textId="2D77952A" w:rsidR="00403006" w:rsidRDefault="004E55CC" w:rsidP="00264975">
      <w:pPr>
        <w:spacing w:after="120" w:line="240" w:lineRule="auto"/>
        <w:rPr>
          <w:sz w:val="24"/>
          <w:szCs w:val="24"/>
        </w:rPr>
      </w:pPr>
      <w:r w:rsidRPr="004E55CC">
        <w:rPr>
          <w:sz w:val="24"/>
          <w:szCs w:val="24"/>
        </w:rPr>
        <w:lastRenderedPageBreak/>
        <w:t xml:space="preserve">Individuals who make complaints may prefer to do so anonymously in some circumstances, however this may affect their ability to be informed of the action taken in response to their complaint and thus affect their third-party appeal rights in the </w:t>
      </w:r>
      <w:r w:rsidR="002E2113">
        <w:rPr>
          <w:sz w:val="24"/>
          <w:szCs w:val="24"/>
        </w:rPr>
        <w:t>ACT Civil and Administrative Tribunal (</w:t>
      </w:r>
      <w:r w:rsidRPr="004E55CC">
        <w:rPr>
          <w:sz w:val="24"/>
          <w:szCs w:val="24"/>
        </w:rPr>
        <w:t>ACAT</w:t>
      </w:r>
      <w:r w:rsidR="002E2113">
        <w:rPr>
          <w:sz w:val="24"/>
          <w:szCs w:val="24"/>
        </w:rPr>
        <w:t>)</w:t>
      </w:r>
      <w:r w:rsidRPr="004E55CC">
        <w:rPr>
          <w:sz w:val="24"/>
          <w:szCs w:val="24"/>
        </w:rPr>
        <w:t>.</w:t>
      </w:r>
    </w:p>
    <w:p w14:paraId="7A0BF958" w14:textId="5FA2311E" w:rsidR="004E55CC" w:rsidRDefault="00403006" w:rsidP="00264975">
      <w:pPr>
        <w:spacing w:after="120" w:line="240" w:lineRule="auto"/>
        <w:rPr>
          <w:sz w:val="24"/>
          <w:szCs w:val="24"/>
        </w:rPr>
      </w:pPr>
      <w:r>
        <w:rPr>
          <w:sz w:val="24"/>
          <w:szCs w:val="24"/>
        </w:rPr>
        <w:t xml:space="preserve">Section 416 </w:t>
      </w:r>
      <w:r w:rsidR="000712A6">
        <w:rPr>
          <w:sz w:val="24"/>
          <w:szCs w:val="24"/>
        </w:rPr>
        <w:t xml:space="preserve">of the Bill </w:t>
      </w:r>
      <w:r>
        <w:rPr>
          <w:sz w:val="24"/>
          <w:szCs w:val="24"/>
        </w:rPr>
        <w:t>provides that the A</w:t>
      </w:r>
      <w:r w:rsidRPr="00403006">
        <w:rPr>
          <w:sz w:val="24"/>
          <w:szCs w:val="24"/>
        </w:rPr>
        <w:t>uthority may make guidelines about the action that may be taken in relation to complaints and the circumstances in which the action may be taken. The Authority will explore options for a person to withhold their identity</w:t>
      </w:r>
      <w:r w:rsidR="002E2113">
        <w:rPr>
          <w:sz w:val="24"/>
          <w:szCs w:val="24"/>
        </w:rPr>
        <w:t>,</w:t>
      </w:r>
      <w:r w:rsidRPr="00403006">
        <w:rPr>
          <w:sz w:val="24"/>
          <w:szCs w:val="24"/>
        </w:rPr>
        <w:t xml:space="preserve"> but still be notified of the action taken in response to their complaint.</w:t>
      </w:r>
    </w:p>
    <w:p w14:paraId="34A12B48" w14:textId="1A6C6986" w:rsidR="00653896" w:rsidRDefault="004E55CC" w:rsidP="00264975">
      <w:pPr>
        <w:spacing w:after="240" w:line="240" w:lineRule="auto"/>
        <w:rPr>
          <w:b/>
          <w:bCs/>
          <w:sz w:val="24"/>
          <w:szCs w:val="24"/>
        </w:rPr>
      </w:pPr>
      <w:r>
        <w:rPr>
          <w:sz w:val="24"/>
          <w:szCs w:val="24"/>
        </w:rPr>
        <w:t xml:space="preserve">It should be noted </w:t>
      </w:r>
      <w:r w:rsidR="002E2113">
        <w:rPr>
          <w:sz w:val="24"/>
          <w:szCs w:val="24"/>
        </w:rPr>
        <w:t xml:space="preserve">that </w:t>
      </w:r>
      <w:r>
        <w:rPr>
          <w:sz w:val="24"/>
          <w:szCs w:val="24"/>
        </w:rPr>
        <w:t xml:space="preserve">the Bill includes serious penalties for a person who </w:t>
      </w:r>
      <w:r w:rsidRPr="004E55CC">
        <w:rPr>
          <w:sz w:val="24"/>
          <w:szCs w:val="24"/>
        </w:rPr>
        <w:t>causes or threatens to cause a detriment to someone else because of a complaint (refer section 406</w:t>
      </w:r>
      <w:r w:rsidR="00097B7C">
        <w:rPr>
          <w:sz w:val="24"/>
          <w:szCs w:val="24"/>
        </w:rPr>
        <w:t xml:space="preserve"> of the Bill</w:t>
      </w:r>
      <w:r w:rsidRPr="004E55CC">
        <w:rPr>
          <w:sz w:val="24"/>
          <w:szCs w:val="24"/>
        </w:rPr>
        <w:t>). A maximum penalty of 50 penalty units, imprisonment for 6 months</w:t>
      </w:r>
      <w:r w:rsidR="00AB51EF">
        <w:rPr>
          <w:sz w:val="24"/>
          <w:szCs w:val="24"/>
        </w:rPr>
        <w:t>,</w:t>
      </w:r>
      <w:r w:rsidRPr="004E55CC">
        <w:rPr>
          <w:sz w:val="24"/>
          <w:szCs w:val="24"/>
        </w:rPr>
        <w:t xml:space="preserve"> or both</w:t>
      </w:r>
      <w:r w:rsidR="00AB51EF">
        <w:rPr>
          <w:sz w:val="24"/>
          <w:szCs w:val="24"/>
        </w:rPr>
        <w:t>,</w:t>
      </w:r>
      <w:r w:rsidR="00403006">
        <w:rPr>
          <w:sz w:val="24"/>
          <w:szCs w:val="24"/>
        </w:rPr>
        <w:t xml:space="preserve"> would apply</w:t>
      </w:r>
      <w:r w:rsidRPr="004E55CC">
        <w:rPr>
          <w:sz w:val="24"/>
          <w:szCs w:val="24"/>
        </w:rPr>
        <w:t>.</w:t>
      </w:r>
    </w:p>
    <w:p w14:paraId="465CA8C1" w14:textId="488AFB49" w:rsidR="004E55CC" w:rsidRPr="00403006" w:rsidRDefault="00403006" w:rsidP="00264975">
      <w:pPr>
        <w:spacing w:before="120" w:after="0" w:line="240" w:lineRule="auto"/>
        <w:rPr>
          <w:b/>
          <w:bCs/>
          <w:sz w:val="24"/>
          <w:szCs w:val="24"/>
        </w:rPr>
      </w:pPr>
      <w:r w:rsidRPr="00403006">
        <w:rPr>
          <w:b/>
          <w:bCs/>
          <w:sz w:val="24"/>
          <w:szCs w:val="24"/>
        </w:rPr>
        <w:t xml:space="preserve">Rights in </w:t>
      </w:r>
      <w:r w:rsidR="00871BEA">
        <w:rPr>
          <w:b/>
          <w:bCs/>
          <w:sz w:val="24"/>
          <w:szCs w:val="24"/>
        </w:rPr>
        <w:t>C</w:t>
      </w:r>
      <w:r w:rsidRPr="00403006">
        <w:rPr>
          <w:b/>
          <w:bCs/>
          <w:sz w:val="24"/>
          <w:szCs w:val="24"/>
        </w:rPr>
        <w:t xml:space="preserve">riminal </w:t>
      </w:r>
      <w:r w:rsidR="00871BEA">
        <w:rPr>
          <w:b/>
          <w:bCs/>
          <w:sz w:val="24"/>
          <w:szCs w:val="24"/>
        </w:rPr>
        <w:t>P</w:t>
      </w:r>
      <w:r w:rsidRPr="00403006">
        <w:rPr>
          <w:b/>
          <w:bCs/>
          <w:sz w:val="24"/>
          <w:szCs w:val="24"/>
        </w:rPr>
        <w:t>roceedings</w:t>
      </w:r>
    </w:p>
    <w:p w14:paraId="034D88A0" w14:textId="619C6813" w:rsidR="00403006" w:rsidRDefault="00403006" w:rsidP="00264975">
      <w:pPr>
        <w:spacing w:after="120" w:line="240" w:lineRule="auto"/>
        <w:rPr>
          <w:sz w:val="24"/>
          <w:szCs w:val="24"/>
        </w:rPr>
      </w:pPr>
      <w:r>
        <w:rPr>
          <w:sz w:val="24"/>
          <w:szCs w:val="24"/>
        </w:rPr>
        <w:t xml:space="preserve">The Committee requested further information on why a maximum penalty of </w:t>
      </w:r>
      <w:r w:rsidR="00AB51EF">
        <w:rPr>
          <w:sz w:val="24"/>
          <w:szCs w:val="24"/>
        </w:rPr>
        <w:t>6</w:t>
      </w:r>
      <w:r>
        <w:rPr>
          <w:sz w:val="24"/>
          <w:szCs w:val="24"/>
        </w:rPr>
        <w:t xml:space="preserve">0 penalty units for certain strict liability offences is considered necessary </w:t>
      </w:r>
      <w:proofErr w:type="gramStart"/>
      <w:r>
        <w:rPr>
          <w:sz w:val="24"/>
          <w:szCs w:val="24"/>
        </w:rPr>
        <w:t>in order to</w:t>
      </w:r>
      <w:proofErr w:type="gramEnd"/>
      <w:r>
        <w:rPr>
          <w:sz w:val="24"/>
          <w:szCs w:val="24"/>
        </w:rPr>
        <w:t xml:space="preserve"> achieve the objectives of the Bill.</w:t>
      </w:r>
    </w:p>
    <w:p w14:paraId="11CC0DA1" w14:textId="30A12487" w:rsidR="006240F4" w:rsidRPr="00653896" w:rsidRDefault="00403006" w:rsidP="00264975">
      <w:pPr>
        <w:spacing w:after="120" w:line="240" w:lineRule="auto"/>
        <w:rPr>
          <w:sz w:val="24"/>
          <w:szCs w:val="24"/>
        </w:rPr>
      </w:pPr>
      <w:r>
        <w:rPr>
          <w:sz w:val="24"/>
          <w:szCs w:val="24"/>
        </w:rPr>
        <w:t xml:space="preserve">As outlined in the Committee’s comments there are six instances where </w:t>
      </w:r>
      <w:r w:rsidR="00832D8E">
        <w:rPr>
          <w:sz w:val="24"/>
          <w:szCs w:val="24"/>
        </w:rPr>
        <w:t xml:space="preserve">the maximum penalty slightly exceeds </w:t>
      </w:r>
      <w:r w:rsidR="00192E99">
        <w:rPr>
          <w:sz w:val="24"/>
          <w:szCs w:val="24"/>
        </w:rPr>
        <w:t xml:space="preserve">that provided by </w:t>
      </w:r>
      <w:r w:rsidR="00832D8E">
        <w:rPr>
          <w:sz w:val="24"/>
          <w:szCs w:val="24"/>
        </w:rPr>
        <w:t>the Guide to Framing Offences. These are for</w:t>
      </w:r>
      <w:r w:rsidR="008D51B1">
        <w:rPr>
          <w:sz w:val="24"/>
          <w:szCs w:val="24"/>
        </w:rPr>
        <w:t xml:space="preserve"> </w:t>
      </w:r>
      <w:r w:rsidR="00832D8E">
        <w:rPr>
          <w:sz w:val="24"/>
          <w:szCs w:val="24"/>
        </w:rPr>
        <w:t xml:space="preserve">behaviours where development has commenced without </w:t>
      </w:r>
      <w:r w:rsidR="008D51B1">
        <w:rPr>
          <w:sz w:val="24"/>
          <w:szCs w:val="24"/>
        </w:rPr>
        <w:t xml:space="preserve">approval, </w:t>
      </w:r>
      <w:r w:rsidR="00832D8E">
        <w:rPr>
          <w:sz w:val="24"/>
          <w:szCs w:val="24"/>
        </w:rPr>
        <w:t>or</w:t>
      </w:r>
      <w:r w:rsidR="008D51B1">
        <w:rPr>
          <w:sz w:val="24"/>
          <w:szCs w:val="24"/>
        </w:rPr>
        <w:t xml:space="preserve"> counter to the approval provided, where a controlled activity order, a direction to undertake rectification work or a prohibition order has been contravened.</w:t>
      </w:r>
      <w:r w:rsidR="00832D8E">
        <w:rPr>
          <w:sz w:val="24"/>
          <w:szCs w:val="24"/>
        </w:rPr>
        <w:t xml:space="preserve"> </w:t>
      </w:r>
      <w:r w:rsidR="008D51B1">
        <w:rPr>
          <w:sz w:val="24"/>
          <w:szCs w:val="24"/>
        </w:rPr>
        <w:t>This behaviour can have serious and/or permanent impacts on the community</w:t>
      </w:r>
      <w:r w:rsidR="00AB51EF">
        <w:rPr>
          <w:sz w:val="24"/>
          <w:szCs w:val="24"/>
        </w:rPr>
        <w:t xml:space="preserve"> and / or environment,</w:t>
      </w:r>
      <w:r w:rsidR="001B5112">
        <w:rPr>
          <w:sz w:val="24"/>
          <w:szCs w:val="24"/>
        </w:rPr>
        <w:t xml:space="preserve"> which in some instances</w:t>
      </w:r>
      <w:r w:rsidR="00AB51EF">
        <w:rPr>
          <w:sz w:val="24"/>
          <w:szCs w:val="24"/>
        </w:rPr>
        <w:t>,</w:t>
      </w:r>
      <w:r w:rsidR="001B5112">
        <w:rPr>
          <w:sz w:val="24"/>
          <w:szCs w:val="24"/>
        </w:rPr>
        <w:t xml:space="preserve"> will not be able to be rectified</w:t>
      </w:r>
      <w:r w:rsidR="008D51B1">
        <w:rPr>
          <w:sz w:val="24"/>
          <w:szCs w:val="24"/>
        </w:rPr>
        <w:t>.</w:t>
      </w:r>
      <w:r w:rsidR="006240F4">
        <w:rPr>
          <w:sz w:val="24"/>
          <w:szCs w:val="24"/>
        </w:rPr>
        <w:t xml:space="preserve"> It is considered that a reduced penalty would </w:t>
      </w:r>
      <w:r w:rsidR="006240F4" w:rsidRPr="00653896">
        <w:rPr>
          <w:sz w:val="24"/>
          <w:szCs w:val="24"/>
        </w:rPr>
        <w:t>not reflect the seriousness of the</w:t>
      </w:r>
      <w:r w:rsidR="00653896">
        <w:rPr>
          <w:sz w:val="24"/>
          <w:szCs w:val="24"/>
        </w:rPr>
        <w:t>se</w:t>
      </w:r>
      <w:r w:rsidR="006240F4" w:rsidRPr="00653896">
        <w:rPr>
          <w:sz w:val="24"/>
          <w:szCs w:val="24"/>
        </w:rPr>
        <w:t xml:space="preserve"> offence</w:t>
      </w:r>
      <w:r w:rsidR="00653896">
        <w:rPr>
          <w:sz w:val="24"/>
          <w:szCs w:val="24"/>
        </w:rPr>
        <w:t>s</w:t>
      </w:r>
      <w:r w:rsidR="006240F4" w:rsidRPr="00653896">
        <w:rPr>
          <w:sz w:val="24"/>
          <w:szCs w:val="24"/>
        </w:rPr>
        <w:t>.</w:t>
      </w:r>
    </w:p>
    <w:p w14:paraId="42161DDD" w14:textId="30C0D290" w:rsidR="006240F4" w:rsidRDefault="006240F4" w:rsidP="00264975">
      <w:pPr>
        <w:spacing w:after="240" w:line="240" w:lineRule="auto"/>
        <w:rPr>
          <w:sz w:val="24"/>
          <w:szCs w:val="24"/>
        </w:rPr>
      </w:pPr>
      <w:r w:rsidRPr="00653896">
        <w:rPr>
          <w:sz w:val="24"/>
          <w:szCs w:val="24"/>
        </w:rPr>
        <w:t>As t</w:t>
      </w:r>
      <w:r>
        <w:rPr>
          <w:sz w:val="24"/>
          <w:szCs w:val="24"/>
        </w:rPr>
        <w:t xml:space="preserve">he </w:t>
      </w:r>
      <w:r w:rsidR="00653896">
        <w:rPr>
          <w:sz w:val="24"/>
          <w:szCs w:val="24"/>
        </w:rPr>
        <w:t>Bill</w:t>
      </w:r>
      <w:r>
        <w:rPr>
          <w:sz w:val="24"/>
          <w:szCs w:val="24"/>
        </w:rPr>
        <w:t xml:space="preserve"> does not have a licensing framework for development or other mechanisms to provide non-financial penalties, there is a need to </w:t>
      </w:r>
      <w:r w:rsidR="00AB51EF">
        <w:rPr>
          <w:sz w:val="24"/>
          <w:szCs w:val="24"/>
        </w:rPr>
        <w:t xml:space="preserve">make sure </w:t>
      </w:r>
      <w:r>
        <w:rPr>
          <w:sz w:val="24"/>
          <w:szCs w:val="24"/>
        </w:rPr>
        <w:t xml:space="preserve">that strong penalties apply to act as a deterrent and stop future offences from occurring. </w:t>
      </w:r>
      <w:r w:rsidRPr="00653896">
        <w:rPr>
          <w:sz w:val="24"/>
          <w:szCs w:val="24"/>
        </w:rPr>
        <w:t xml:space="preserve">A low financial penalty may not deter this behaviour, especially where </w:t>
      </w:r>
      <w:r w:rsidR="00653896" w:rsidRPr="00653896">
        <w:rPr>
          <w:sz w:val="24"/>
          <w:szCs w:val="24"/>
        </w:rPr>
        <w:t>significant</w:t>
      </w:r>
      <w:r w:rsidRPr="00653896">
        <w:rPr>
          <w:sz w:val="24"/>
          <w:szCs w:val="24"/>
        </w:rPr>
        <w:t xml:space="preserve"> income is generated from a development.</w:t>
      </w:r>
      <w:r w:rsidR="00653896">
        <w:rPr>
          <w:sz w:val="24"/>
          <w:szCs w:val="24"/>
        </w:rPr>
        <w:t xml:space="preserve"> </w:t>
      </w:r>
      <w:r w:rsidR="00653896" w:rsidRPr="00653896">
        <w:rPr>
          <w:sz w:val="24"/>
          <w:szCs w:val="24"/>
        </w:rPr>
        <w:t xml:space="preserve">Contravention of these offences will undermine the operation of the </w:t>
      </w:r>
      <w:r w:rsidR="00653896">
        <w:rPr>
          <w:sz w:val="24"/>
          <w:szCs w:val="24"/>
        </w:rPr>
        <w:t xml:space="preserve">entire </w:t>
      </w:r>
      <w:r w:rsidR="00653896" w:rsidRPr="00653896">
        <w:rPr>
          <w:sz w:val="24"/>
          <w:szCs w:val="24"/>
        </w:rPr>
        <w:t>planning system</w:t>
      </w:r>
      <w:r w:rsidR="00653896">
        <w:rPr>
          <w:sz w:val="24"/>
          <w:szCs w:val="24"/>
        </w:rPr>
        <w:t>. Relevant defences are provide</w:t>
      </w:r>
      <w:r w:rsidR="0084729B">
        <w:rPr>
          <w:sz w:val="24"/>
          <w:szCs w:val="24"/>
        </w:rPr>
        <w:t>d for</w:t>
      </w:r>
      <w:r w:rsidR="00653896">
        <w:rPr>
          <w:sz w:val="24"/>
          <w:szCs w:val="24"/>
        </w:rPr>
        <w:t xml:space="preserve"> in the Bill for the defendant, however in </w:t>
      </w:r>
      <w:r w:rsidR="00AB51EF">
        <w:rPr>
          <w:sz w:val="24"/>
          <w:szCs w:val="24"/>
        </w:rPr>
        <w:t>most</w:t>
      </w:r>
      <w:r w:rsidR="00653896">
        <w:rPr>
          <w:sz w:val="24"/>
          <w:szCs w:val="24"/>
        </w:rPr>
        <w:t xml:space="preserve"> cases</w:t>
      </w:r>
      <w:r w:rsidR="00AB51EF">
        <w:rPr>
          <w:sz w:val="24"/>
          <w:szCs w:val="24"/>
        </w:rPr>
        <w:t>,</w:t>
      </w:r>
      <w:r w:rsidR="00653896">
        <w:rPr>
          <w:sz w:val="24"/>
          <w:szCs w:val="24"/>
        </w:rPr>
        <w:t xml:space="preserve"> the defendant will </w:t>
      </w:r>
      <w:r w:rsidR="00AB51EF">
        <w:rPr>
          <w:sz w:val="24"/>
          <w:szCs w:val="24"/>
        </w:rPr>
        <w:t xml:space="preserve">likely </w:t>
      </w:r>
      <w:r w:rsidR="00653896">
        <w:rPr>
          <w:sz w:val="24"/>
          <w:szCs w:val="24"/>
        </w:rPr>
        <w:t xml:space="preserve">be </w:t>
      </w:r>
      <w:proofErr w:type="gramStart"/>
      <w:r w:rsidR="00653896">
        <w:rPr>
          <w:sz w:val="24"/>
          <w:szCs w:val="24"/>
        </w:rPr>
        <w:t>well aware</w:t>
      </w:r>
      <w:proofErr w:type="gramEnd"/>
      <w:r w:rsidR="00653896">
        <w:rPr>
          <w:sz w:val="24"/>
          <w:szCs w:val="24"/>
        </w:rPr>
        <w:t xml:space="preserve"> of their obligations when committing the offence.</w:t>
      </w:r>
    </w:p>
    <w:p w14:paraId="2D374C0E" w14:textId="4220C9B8" w:rsidR="00871BEA" w:rsidRDefault="00787B22" w:rsidP="009D3104">
      <w:pPr>
        <w:spacing w:after="0" w:line="240" w:lineRule="auto"/>
        <w:rPr>
          <w:b/>
          <w:bCs/>
          <w:sz w:val="24"/>
          <w:szCs w:val="24"/>
        </w:rPr>
      </w:pPr>
      <w:r w:rsidRPr="00787B22">
        <w:rPr>
          <w:b/>
          <w:bCs/>
          <w:sz w:val="24"/>
          <w:szCs w:val="24"/>
        </w:rPr>
        <w:t>Right to a Fair Trial</w:t>
      </w:r>
    </w:p>
    <w:p w14:paraId="256370EE" w14:textId="3DC1B89F" w:rsidR="006240F4" w:rsidRPr="00871BEA" w:rsidRDefault="00871BEA" w:rsidP="009D3104">
      <w:pPr>
        <w:spacing w:after="0" w:line="240" w:lineRule="auto"/>
        <w:rPr>
          <w:sz w:val="24"/>
          <w:szCs w:val="24"/>
          <w:u w:val="single"/>
        </w:rPr>
      </w:pPr>
      <w:r w:rsidRPr="00871BEA">
        <w:rPr>
          <w:sz w:val="24"/>
          <w:szCs w:val="24"/>
          <w:u w:val="single"/>
        </w:rPr>
        <w:t xml:space="preserve">Judicial Review </w:t>
      </w:r>
      <w:r>
        <w:rPr>
          <w:sz w:val="24"/>
          <w:szCs w:val="24"/>
          <w:u w:val="single"/>
        </w:rPr>
        <w:t xml:space="preserve">Rights - </w:t>
      </w:r>
      <w:r w:rsidRPr="00871BEA">
        <w:rPr>
          <w:sz w:val="24"/>
          <w:szCs w:val="24"/>
          <w:u w:val="single"/>
        </w:rPr>
        <w:t>Territory Priority Projects and Territory Plan</w:t>
      </w:r>
    </w:p>
    <w:p w14:paraId="3797792C" w14:textId="7020E842" w:rsidR="00403006" w:rsidRDefault="00787B22" w:rsidP="00264975">
      <w:pPr>
        <w:spacing w:after="120" w:line="240" w:lineRule="auto"/>
        <w:rPr>
          <w:sz w:val="24"/>
          <w:szCs w:val="24"/>
        </w:rPr>
      </w:pPr>
      <w:r>
        <w:rPr>
          <w:sz w:val="24"/>
          <w:szCs w:val="24"/>
        </w:rPr>
        <w:t>The Committee sought further information on what alternatives to the restrictions on judicial review rights presented by the Bill were considered, and why these restrictions</w:t>
      </w:r>
      <w:r w:rsidR="0084729B">
        <w:rPr>
          <w:sz w:val="24"/>
          <w:szCs w:val="24"/>
        </w:rPr>
        <w:t>,</w:t>
      </w:r>
      <w:r>
        <w:rPr>
          <w:sz w:val="24"/>
          <w:szCs w:val="24"/>
        </w:rPr>
        <w:t xml:space="preserve"> without any residual judicial discretion</w:t>
      </w:r>
      <w:r w:rsidR="0084729B">
        <w:rPr>
          <w:sz w:val="24"/>
          <w:szCs w:val="24"/>
        </w:rPr>
        <w:t>,</w:t>
      </w:r>
      <w:r>
        <w:rPr>
          <w:sz w:val="24"/>
          <w:szCs w:val="24"/>
        </w:rPr>
        <w:t xml:space="preserve"> are considered proportionate.</w:t>
      </w:r>
    </w:p>
    <w:p w14:paraId="41FB8D39" w14:textId="6CD96597" w:rsidR="00556BE2" w:rsidRPr="009F6845" w:rsidRDefault="007222F2" w:rsidP="00264975">
      <w:pPr>
        <w:spacing w:after="120" w:line="240" w:lineRule="auto"/>
        <w:rPr>
          <w:sz w:val="24"/>
          <w:szCs w:val="24"/>
        </w:rPr>
      </w:pPr>
      <w:r w:rsidRPr="009F6845">
        <w:rPr>
          <w:sz w:val="24"/>
          <w:szCs w:val="24"/>
        </w:rPr>
        <w:t xml:space="preserve">As </w:t>
      </w:r>
      <w:r w:rsidR="00AB51EF">
        <w:rPr>
          <w:sz w:val="24"/>
          <w:szCs w:val="24"/>
        </w:rPr>
        <w:t xml:space="preserve">the Committee </w:t>
      </w:r>
      <w:r w:rsidRPr="009F6845">
        <w:rPr>
          <w:sz w:val="24"/>
          <w:szCs w:val="24"/>
        </w:rPr>
        <w:t xml:space="preserve">advise, the Bill limits the right to a fair trial by placing some restrictions on review rights. For example, the ability to review </w:t>
      </w:r>
      <w:r w:rsidR="00AB51EF">
        <w:rPr>
          <w:sz w:val="24"/>
          <w:szCs w:val="24"/>
        </w:rPr>
        <w:t xml:space="preserve">a </w:t>
      </w:r>
      <w:r w:rsidRPr="009F6845">
        <w:rPr>
          <w:sz w:val="24"/>
          <w:szCs w:val="24"/>
        </w:rPr>
        <w:t>Territory Priority Projects declar</w:t>
      </w:r>
      <w:r w:rsidR="00AB51EF">
        <w:rPr>
          <w:sz w:val="24"/>
          <w:szCs w:val="24"/>
        </w:rPr>
        <w:t>ation</w:t>
      </w:r>
      <w:r w:rsidRPr="009F6845">
        <w:rPr>
          <w:sz w:val="24"/>
          <w:szCs w:val="24"/>
        </w:rPr>
        <w:t xml:space="preserve"> under section 215</w:t>
      </w:r>
      <w:r w:rsidR="006F7ACC">
        <w:rPr>
          <w:sz w:val="24"/>
          <w:szCs w:val="24"/>
        </w:rPr>
        <w:t xml:space="preserve"> of the Bill</w:t>
      </w:r>
      <w:r w:rsidRPr="009F6845">
        <w:rPr>
          <w:sz w:val="24"/>
          <w:szCs w:val="24"/>
        </w:rPr>
        <w:t> is restricted by section 216</w:t>
      </w:r>
      <w:r w:rsidR="006F7ACC">
        <w:rPr>
          <w:sz w:val="24"/>
          <w:szCs w:val="24"/>
        </w:rPr>
        <w:t xml:space="preserve"> of the Bill</w:t>
      </w:r>
      <w:r w:rsidRPr="009F6845">
        <w:rPr>
          <w:sz w:val="24"/>
          <w:szCs w:val="24"/>
        </w:rPr>
        <w:t xml:space="preserve">, which limits a person starting a proceeding in court in relation to a decision to make a </w:t>
      </w:r>
      <w:r w:rsidR="006F7ACC">
        <w:rPr>
          <w:sz w:val="24"/>
          <w:szCs w:val="24"/>
        </w:rPr>
        <w:t>T</w:t>
      </w:r>
      <w:r w:rsidRPr="009F6845">
        <w:rPr>
          <w:sz w:val="24"/>
          <w:szCs w:val="24"/>
        </w:rPr>
        <w:t xml:space="preserve">erritory </w:t>
      </w:r>
      <w:r w:rsidR="006F7ACC">
        <w:rPr>
          <w:sz w:val="24"/>
          <w:szCs w:val="24"/>
        </w:rPr>
        <w:t>P</w:t>
      </w:r>
      <w:r w:rsidRPr="009F6845">
        <w:rPr>
          <w:sz w:val="24"/>
          <w:szCs w:val="24"/>
        </w:rPr>
        <w:t xml:space="preserve">riority </w:t>
      </w:r>
      <w:r w:rsidR="006F7ACC">
        <w:rPr>
          <w:sz w:val="24"/>
          <w:szCs w:val="24"/>
        </w:rPr>
        <w:t>P</w:t>
      </w:r>
      <w:r w:rsidRPr="009F6845">
        <w:rPr>
          <w:sz w:val="24"/>
          <w:szCs w:val="24"/>
        </w:rPr>
        <w:t>roject declaration more than two months after the declaration was made.</w:t>
      </w:r>
      <w:r w:rsidR="0060722C" w:rsidRPr="009F6845">
        <w:rPr>
          <w:sz w:val="24"/>
          <w:szCs w:val="24"/>
        </w:rPr>
        <w:t xml:space="preserve"> </w:t>
      </w:r>
      <w:r w:rsidRPr="009F6845">
        <w:rPr>
          <w:sz w:val="24"/>
          <w:szCs w:val="24"/>
        </w:rPr>
        <w:t>Section 80</w:t>
      </w:r>
      <w:r w:rsidR="006F7ACC">
        <w:rPr>
          <w:sz w:val="24"/>
          <w:szCs w:val="24"/>
        </w:rPr>
        <w:t xml:space="preserve"> of the Bill</w:t>
      </w:r>
      <w:r w:rsidRPr="009F6845">
        <w:rPr>
          <w:sz w:val="24"/>
          <w:szCs w:val="24"/>
        </w:rPr>
        <w:t> similarly limits the ability to challenge the validity of a Territory Plan provision</w:t>
      </w:r>
      <w:r w:rsidR="00AB51EF">
        <w:rPr>
          <w:sz w:val="24"/>
          <w:szCs w:val="24"/>
        </w:rPr>
        <w:t>, where c</w:t>
      </w:r>
      <w:r w:rsidRPr="009F6845">
        <w:rPr>
          <w:sz w:val="24"/>
          <w:szCs w:val="24"/>
        </w:rPr>
        <w:t>hallenges cannot be brought 3 months after the day the provision or amendment commenced.</w:t>
      </w:r>
    </w:p>
    <w:p w14:paraId="112526D7" w14:textId="18172C22" w:rsidR="00AB51EF" w:rsidRDefault="00143FF7" w:rsidP="00264975">
      <w:pPr>
        <w:spacing w:after="120" w:line="240" w:lineRule="auto"/>
        <w:rPr>
          <w:sz w:val="24"/>
          <w:szCs w:val="24"/>
        </w:rPr>
      </w:pPr>
      <w:r w:rsidRPr="009F6845">
        <w:rPr>
          <w:sz w:val="24"/>
          <w:szCs w:val="24"/>
        </w:rPr>
        <w:t>The Bill has several key principles</w:t>
      </w:r>
      <w:r w:rsidR="00AB51EF">
        <w:rPr>
          <w:sz w:val="24"/>
          <w:szCs w:val="24"/>
        </w:rPr>
        <w:t xml:space="preserve"> that</w:t>
      </w:r>
      <w:r w:rsidRPr="009F6845">
        <w:rPr>
          <w:sz w:val="24"/>
          <w:szCs w:val="24"/>
        </w:rPr>
        <w:t xml:space="preserve"> have guided the development of policy positions included in the Bill, including certainty. It is important </w:t>
      </w:r>
      <w:r w:rsidR="0084729B">
        <w:rPr>
          <w:sz w:val="24"/>
          <w:szCs w:val="24"/>
        </w:rPr>
        <w:t xml:space="preserve">that </w:t>
      </w:r>
      <w:r w:rsidRPr="009F6845">
        <w:rPr>
          <w:sz w:val="24"/>
          <w:szCs w:val="24"/>
        </w:rPr>
        <w:t xml:space="preserve">the principle of certainty is applied to timeframes for processes within the planning system. </w:t>
      </w:r>
    </w:p>
    <w:p w14:paraId="5E14414A" w14:textId="6B1B4B50" w:rsidR="00143FF7" w:rsidRPr="009F6845" w:rsidRDefault="005928BC" w:rsidP="00264975">
      <w:pPr>
        <w:spacing w:after="120" w:line="240" w:lineRule="auto"/>
        <w:rPr>
          <w:sz w:val="24"/>
          <w:szCs w:val="24"/>
        </w:rPr>
      </w:pPr>
      <w:r w:rsidRPr="009F6845">
        <w:rPr>
          <w:sz w:val="24"/>
          <w:szCs w:val="24"/>
        </w:rPr>
        <w:lastRenderedPageBreak/>
        <w:t xml:space="preserve">The </w:t>
      </w:r>
      <w:r w:rsidR="000F1D0D" w:rsidRPr="009F6845">
        <w:rPr>
          <w:sz w:val="24"/>
          <w:szCs w:val="24"/>
        </w:rPr>
        <w:t>time restrictions</w:t>
      </w:r>
      <w:r w:rsidR="00143FF7" w:rsidRPr="009F6845">
        <w:rPr>
          <w:sz w:val="24"/>
          <w:szCs w:val="24"/>
        </w:rPr>
        <w:t xml:space="preserve"> set out in the Bill</w:t>
      </w:r>
      <w:r w:rsidRPr="009F6845">
        <w:rPr>
          <w:sz w:val="24"/>
          <w:szCs w:val="24"/>
        </w:rPr>
        <w:t xml:space="preserve"> seek </w:t>
      </w:r>
      <w:r w:rsidR="006F7ACC">
        <w:rPr>
          <w:sz w:val="24"/>
          <w:szCs w:val="24"/>
        </w:rPr>
        <w:t>a</w:t>
      </w:r>
      <w:r w:rsidRPr="009F6845">
        <w:rPr>
          <w:sz w:val="24"/>
          <w:szCs w:val="24"/>
        </w:rPr>
        <w:t xml:space="preserve"> balance between providing sufficient time for a person to consider their appeal rights and providing certainty to proponents to all projects to be progressed in a timely manner</w:t>
      </w:r>
      <w:r w:rsidR="00556BE2" w:rsidRPr="009F6845">
        <w:rPr>
          <w:sz w:val="24"/>
          <w:szCs w:val="24"/>
        </w:rPr>
        <w:t>.</w:t>
      </w:r>
    </w:p>
    <w:p w14:paraId="078A86FC" w14:textId="34A6FD0B" w:rsidR="009F6845" w:rsidRDefault="00143FF7" w:rsidP="00264975">
      <w:pPr>
        <w:spacing w:after="120" w:line="240" w:lineRule="auto"/>
        <w:rPr>
          <w:rFonts w:ascii="Arial" w:hAnsi="Arial" w:cs="Arial"/>
          <w:color w:val="000000"/>
          <w:shd w:val="clear" w:color="auto" w:fill="FFFFFF"/>
        </w:rPr>
      </w:pPr>
      <w:r w:rsidRPr="009F6845">
        <w:rPr>
          <w:sz w:val="24"/>
          <w:szCs w:val="24"/>
        </w:rPr>
        <w:t>The</w:t>
      </w:r>
      <w:r w:rsidR="006F7ACC">
        <w:rPr>
          <w:sz w:val="24"/>
          <w:szCs w:val="24"/>
        </w:rPr>
        <w:t xml:space="preserve">re </w:t>
      </w:r>
      <w:r w:rsidR="00A4183B">
        <w:rPr>
          <w:sz w:val="24"/>
          <w:szCs w:val="24"/>
        </w:rPr>
        <w:t>are</w:t>
      </w:r>
      <w:r w:rsidRPr="009F6845">
        <w:rPr>
          <w:sz w:val="24"/>
          <w:szCs w:val="24"/>
        </w:rPr>
        <w:t xml:space="preserve"> significant benefits to the ACT community from these </w:t>
      </w:r>
      <w:r w:rsidR="00AB51EF">
        <w:rPr>
          <w:sz w:val="24"/>
          <w:szCs w:val="24"/>
        </w:rPr>
        <w:t xml:space="preserve">types of </w:t>
      </w:r>
      <w:r w:rsidRPr="009F6845">
        <w:rPr>
          <w:sz w:val="24"/>
          <w:szCs w:val="24"/>
        </w:rPr>
        <w:t xml:space="preserve">projects, such as the benefits to public transport received under the Light Rail project. In making </w:t>
      </w:r>
      <w:r w:rsidR="0084729B">
        <w:rPr>
          <w:sz w:val="24"/>
          <w:szCs w:val="24"/>
        </w:rPr>
        <w:t xml:space="preserve">the </w:t>
      </w:r>
      <w:r w:rsidRPr="009F6845">
        <w:rPr>
          <w:sz w:val="24"/>
          <w:szCs w:val="24"/>
        </w:rPr>
        <w:t xml:space="preserve">decision </w:t>
      </w:r>
      <w:r w:rsidR="0084729B">
        <w:rPr>
          <w:sz w:val="24"/>
          <w:szCs w:val="24"/>
        </w:rPr>
        <w:t>to</w:t>
      </w:r>
      <w:r w:rsidR="0084729B" w:rsidRPr="009F6845">
        <w:rPr>
          <w:sz w:val="24"/>
          <w:szCs w:val="24"/>
        </w:rPr>
        <w:t xml:space="preserve"> declar</w:t>
      </w:r>
      <w:r w:rsidR="0084729B">
        <w:rPr>
          <w:sz w:val="24"/>
          <w:szCs w:val="24"/>
        </w:rPr>
        <w:t>e</w:t>
      </w:r>
      <w:r w:rsidR="0084729B" w:rsidRPr="009F6845">
        <w:rPr>
          <w:sz w:val="24"/>
          <w:szCs w:val="24"/>
        </w:rPr>
        <w:t xml:space="preserve"> </w:t>
      </w:r>
      <w:r w:rsidRPr="009F6845">
        <w:rPr>
          <w:sz w:val="24"/>
          <w:szCs w:val="24"/>
        </w:rPr>
        <w:t xml:space="preserve">a Territory Priority Project, the Minister is directly accountable to the Legislative Assembly. Major amendments to the Territory Plan require </w:t>
      </w:r>
      <w:r w:rsidR="0084729B">
        <w:rPr>
          <w:sz w:val="24"/>
          <w:szCs w:val="24"/>
        </w:rPr>
        <w:t xml:space="preserve">consultation with the </w:t>
      </w:r>
      <w:r w:rsidR="00AB51EF">
        <w:rPr>
          <w:sz w:val="24"/>
          <w:szCs w:val="24"/>
        </w:rPr>
        <w:t>community</w:t>
      </w:r>
      <w:r w:rsidRPr="009F6845">
        <w:rPr>
          <w:sz w:val="24"/>
          <w:szCs w:val="24"/>
        </w:rPr>
        <w:t xml:space="preserve"> and </w:t>
      </w:r>
      <w:r w:rsidR="0084729B">
        <w:rPr>
          <w:sz w:val="24"/>
          <w:szCs w:val="24"/>
        </w:rPr>
        <w:t xml:space="preserve">the </w:t>
      </w:r>
      <w:r w:rsidRPr="009F6845">
        <w:rPr>
          <w:sz w:val="24"/>
          <w:szCs w:val="24"/>
        </w:rPr>
        <w:t>N</w:t>
      </w:r>
      <w:r w:rsidR="0084729B">
        <w:rPr>
          <w:sz w:val="24"/>
          <w:szCs w:val="24"/>
        </w:rPr>
        <w:t xml:space="preserve">ational </w:t>
      </w:r>
      <w:r w:rsidRPr="009F6845">
        <w:rPr>
          <w:sz w:val="24"/>
          <w:szCs w:val="24"/>
        </w:rPr>
        <w:t>C</w:t>
      </w:r>
      <w:r w:rsidR="0084729B">
        <w:rPr>
          <w:sz w:val="24"/>
          <w:szCs w:val="24"/>
        </w:rPr>
        <w:t xml:space="preserve">apital </w:t>
      </w:r>
      <w:r w:rsidRPr="009F6845">
        <w:rPr>
          <w:sz w:val="24"/>
          <w:szCs w:val="24"/>
        </w:rPr>
        <w:t>A</w:t>
      </w:r>
      <w:r w:rsidR="0084729B">
        <w:rPr>
          <w:sz w:val="24"/>
          <w:szCs w:val="24"/>
        </w:rPr>
        <w:t>uthority</w:t>
      </w:r>
      <w:r w:rsidRPr="009F6845">
        <w:rPr>
          <w:sz w:val="24"/>
          <w:szCs w:val="24"/>
        </w:rPr>
        <w:t xml:space="preserve">, </w:t>
      </w:r>
      <w:r w:rsidR="0084729B">
        <w:rPr>
          <w:sz w:val="24"/>
          <w:szCs w:val="24"/>
        </w:rPr>
        <w:t>approval</w:t>
      </w:r>
      <w:r w:rsidRPr="009F6845">
        <w:rPr>
          <w:sz w:val="24"/>
          <w:szCs w:val="24"/>
        </w:rPr>
        <w:t xml:space="preserve"> by the Minister, </w:t>
      </w:r>
      <w:r w:rsidR="0084729B">
        <w:rPr>
          <w:sz w:val="24"/>
          <w:szCs w:val="24"/>
        </w:rPr>
        <w:t xml:space="preserve">and </w:t>
      </w:r>
      <w:r w:rsidR="00AB51EF">
        <w:rPr>
          <w:sz w:val="24"/>
          <w:szCs w:val="24"/>
        </w:rPr>
        <w:t>are</w:t>
      </w:r>
      <w:r w:rsidRPr="009F6845">
        <w:rPr>
          <w:sz w:val="24"/>
          <w:szCs w:val="24"/>
        </w:rPr>
        <w:t xml:space="preserve"> referred to a Legislative Assembly committee for consideration</w:t>
      </w:r>
      <w:r w:rsidR="0084729B">
        <w:rPr>
          <w:sz w:val="24"/>
          <w:szCs w:val="24"/>
        </w:rPr>
        <w:t xml:space="preserve">. They </w:t>
      </w:r>
      <w:r w:rsidRPr="009F6845">
        <w:rPr>
          <w:sz w:val="24"/>
          <w:szCs w:val="24"/>
        </w:rPr>
        <w:t xml:space="preserve">are </w:t>
      </w:r>
      <w:r w:rsidR="0084729B">
        <w:rPr>
          <w:sz w:val="24"/>
          <w:szCs w:val="24"/>
        </w:rPr>
        <w:t xml:space="preserve">also </w:t>
      </w:r>
      <w:r w:rsidRPr="009F6845">
        <w:rPr>
          <w:sz w:val="24"/>
          <w:szCs w:val="24"/>
        </w:rPr>
        <w:t>subject to Legislative Assembly review and disallowance</w:t>
      </w:r>
      <w:r w:rsidR="009F6845" w:rsidRPr="009F6845">
        <w:rPr>
          <w:sz w:val="24"/>
          <w:szCs w:val="24"/>
        </w:rPr>
        <w:t>.</w:t>
      </w:r>
    </w:p>
    <w:p w14:paraId="50E70572" w14:textId="30E29286" w:rsidR="00264975" w:rsidRDefault="009F6845" w:rsidP="00264975">
      <w:pPr>
        <w:spacing w:after="120"/>
        <w:rPr>
          <w:sz w:val="24"/>
          <w:szCs w:val="24"/>
        </w:rPr>
      </w:pPr>
      <w:r w:rsidRPr="00871BEA">
        <w:rPr>
          <w:sz w:val="24"/>
          <w:szCs w:val="24"/>
        </w:rPr>
        <w:t>Two alternate options were considered for inclusion in the Bill</w:t>
      </w:r>
      <w:r w:rsidR="0084729B">
        <w:rPr>
          <w:sz w:val="24"/>
          <w:szCs w:val="24"/>
        </w:rPr>
        <w:t>. These were</w:t>
      </w:r>
      <w:r w:rsidRPr="00871BEA">
        <w:rPr>
          <w:sz w:val="24"/>
          <w:szCs w:val="24"/>
        </w:rPr>
        <w:t xml:space="preserve"> providing no time limit on judicial </w:t>
      </w:r>
      <w:proofErr w:type="gramStart"/>
      <w:r w:rsidRPr="00871BEA">
        <w:rPr>
          <w:sz w:val="24"/>
          <w:szCs w:val="24"/>
        </w:rPr>
        <w:t>review</w:t>
      </w:r>
      <w:r w:rsidR="00AB51EF">
        <w:rPr>
          <w:sz w:val="24"/>
          <w:szCs w:val="24"/>
        </w:rPr>
        <w:t>,</w:t>
      </w:r>
      <w:r w:rsidRPr="00871BEA">
        <w:rPr>
          <w:sz w:val="24"/>
          <w:szCs w:val="24"/>
        </w:rPr>
        <w:t xml:space="preserve"> or</w:t>
      </w:r>
      <w:proofErr w:type="gramEnd"/>
      <w:r w:rsidRPr="00871BEA">
        <w:rPr>
          <w:sz w:val="24"/>
          <w:szCs w:val="24"/>
        </w:rPr>
        <w:t xml:space="preserve"> allowing a </w:t>
      </w:r>
      <w:r w:rsidR="00AB51EF">
        <w:rPr>
          <w:sz w:val="24"/>
          <w:szCs w:val="24"/>
        </w:rPr>
        <w:t>C</w:t>
      </w:r>
      <w:r w:rsidRPr="00871BEA">
        <w:rPr>
          <w:sz w:val="24"/>
          <w:szCs w:val="24"/>
        </w:rPr>
        <w:t>ourt to extend the timeframe in certain circumstances</w:t>
      </w:r>
      <w:r w:rsidR="0008072A" w:rsidRPr="00871BEA">
        <w:rPr>
          <w:sz w:val="24"/>
          <w:szCs w:val="24"/>
        </w:rPr>
        <w:t xml:space="preserve">, such as where the </w:t>
      </w:r>
      <w:r w:rsidR="00AB51EF">
        <w:rPr>
          <w:sz w:val="24"/>
          <w:szCs w:val="24"/>
        </w:rPr>
        <w:t>C</w:t>
      </w:r>
      <w:r w:rsidR="0008072A" w:rsidRPr="00871BEA">
        <w:rPr>
          <w:sz w:val="24"/>
          <w:szCs w:val="24"/>
        </w:rPr>
        <w:t xml:space="preserve">ourt is satisfied there are sufficient grounds for the extension. An open-ended </w:t>
      </w:r>
      <w:proofErr w:type="gramStart"/>
      <w:r w:rsidR="0008072A" w:rsidRPr="00871BEA">
        <w:rPr>
          <w:sz w:val="24"/>
          <w:szCs w:val="24"/>
        </w:rPr>
        <w:t>time period</w:t>
      </w:r>
      <w:proofErr w:type="gramEnd"/>
      <w:r w:rsidR="0008072A" w:rsidRPr="00871BEA">
        <w:rPr>
          <w:sz w:val="24"/>
          <w:szCs w:val="24"/>
        </w:rPr>
        <w:t xml:space="preserve"> would provide an unacceptable risk to large-scale </w:t>
      </w:r>
      <w:r w:rsidR="00676177">
        <w:rPr>
          <w:sz w:val="24"/>
          <w:szCs w:val="24"/>
        </w:rPr>
        <w:t xml:space="preserve">and important </w:t>
      </w:r>
      <w:r w:rsidR="0008072A" w:rsidRPr="00871BEA">
        <w:rPr>
          <w:sz w:val="24"/>
          <w:szCs w:val="24"/>
        </w:rPr>
        <w:t>development projects, which as outlined above</w:t>
      </w:r>
      <w:r w:rsidR="0084729B">
        <w:rPr>
          <w:sz w:val="24"/>
          <w:szCs w:val="24"/>
        </w:rPr>
        <w:t>,</w:t>
      </w:r>
      <w:r w:rsidR="0008072A" w:rsidRPr="00871BEA">
        <w:rPr>
          <w:sz w:val="24"/>
          <w:szCs w:val="24"/>
        </w:rPr>
        <w:t xml:space="preserve"> often involve the delivery of critical infrastructure for the ACT, potentially delaying the benefits</w:t>
      </w:r>
      <w:r w:rsidR="00871BEA" w:rsidRPr="00871BEA">
        <w:rPr>
          <w:sz w:val="24"/>
          <w:szCs w:val="24"/>
        </w:rPr>
        <w:t xml:space="preserve"> of the project to</w:t>
      </w:r>
      <w:r w:rsidR="0008072A" w:rsidRPr="00871BEA">
        <w:rPr>
          <w:sz w:val="24"/>
          <w:szCs w:val="24"/>
        </w:rPr>
        <w:t xml:space="preserve"> the ACT community</w:t>
      </w:r>
      <w:r w:rsidR="00871BEA" w:rsidRPr="00871BEA">
        <w:rPr>
          <w:sz w:val="24"/>
          <w:szCs w:val="24"/>
        </w:rPr>
        <w:t>.</w:t>
      </w:r>
    </w:p>
    <w:p w14:paraId="5999DED1" w14:textId="72D4D219" w:rsidR="005928BC" w:rsidRPr="00871BEA" w:rsidRDefault="00556BE2" w:rsidP="00264975">
      <w:pPr>
        <w:spacing w:after="240"/>
        <w:rPr>
          <w:sz w:val="24"/>
          <w:szCs w:val="24"/>
        </w:rPr>
      </w:pPr>
      <w:r w:rsidRPr="00871BEA">
        <w:rPr>
          <w:sz w:val="24"/>
          <w:szCs w:val="24"/>
        </w:rPr>
        <w:t xml:space="preserve">On balance the limitations provided in the Bill </w:t>
      </w:r>
      <w:proofErr w:type="gramStart"/>
      <w:r w:rsidRPr="00871BEA">
        <w:rPr>
          <w:sz w:val="24"/>
          <w:szCs w:val="24"/>
        </w:rPr>
        <w:t>are considered to be</w:t>
      </w:r>
      <w:proofErr w:type="gramEnd"/>
      <w:r w:rsidRPr="00871BEA">
        <w:rPr>
          <w:sz w:val="24"/>
          <w:szCs w:val="24"/>
        </w:rPr>
        <w:t xml:space="preserve"> proportionate</w:t>
      </w:r>
      <w:r w:rsidR="00871BEA" w:rsidRPr="00871BEA">
        <w:rPr>
          <w:sz w:val="24"/>
          <w:szCs w:val="24"/>
        </w:rPr>
        <w:t xml:space="preserve">, reasonable and justified. </w:t>
      </w:r>
      <w:r w:rsidR="00710A95">
        <w:rPr>
          <w:sz w:val="24"/>
          <w:szCs w:val="24"/>
        </w:rPr>
        <w:t>A</w:t>
      </w:r>
      <w:r w:rsidR="00462B71">
        <w:rPr>
          <w:sz w:val="24"/>
          <w:szCs w:val="24"/>
        </w:rPr>
        <w:t xml:space="preserve"> </w:t>
      </w:r>
      <w:r w:rsidR="00710A95">
        <w:rPr>
          <w:sz w:val="24"/>
          <w:szCs w:val="24"/>
        </w:rPr>
        <w:t xml:space="preserve">supplementary </w:t>
      </w:r>
      <w:r w:rsidR="00462B71">
        <w:rPr>
          <w:sz w:val="24"/>
          <w:szCs w:val="24"/>
        </w:rPr>
        <w:t xml:space="preserve">explanatory statement will be </w:t>
      </w:r>
      <w:r w:rsidR="00710A95">
        <w:rPr>
          <w:sz w:val="24"/>
          <w:szCs w:val="24"/>
        </w:rPr>
        <w:t>notified</w:t>
      </w:r>
      <w:r w:rsidR="00462B71">
        <w:rPr>
          <w:sz w:val="24"/>
          <w:szCs w:val="24"/>
        </w:rPr>
        <w:t xml:space="preserve"> to reflect </w:t>
      </w:r>
      <w:r w:rsidR="00635715">
        <w:rPr>
          <w:sz w:val="24"/>
          <w:szCs w:val="24"/>
        </w:rPr>
        <w:t xml:space="preserve">this </w:t>
      </w:r>
      <w:r w:rsidR="00462B71">
        <w:rPr>
          <w:sz w:val="24"/>
          <w:szCs w:val="24"/>
        </w:rPr>
        <w:t>information.</w:t>
      </w:r>
    </w:p>
    <w:p w14:paraId="0E0AE4EA" w14:textId="6E792AE2" w:rsidR="005928BC" w:rsidRPr="00871BEA" w:rsidRDefault="00871BEA" w:rsidP="005928BC">
      <w:pPr>
        <w:spacing w:after="0" w:line="240" w:lineRule="auto"/>
        <w:rPr>
          <w:sz w:val="24"/>
          <w:szCs w:val="24"/>
          <w:u w:val="single"/>
        </w:rPr>
      </w:pPr>
      <w:r w:rsidRPr="00871BEA">
        <w:rPr>
          <w:sz w:val="24"/>
          <w:szCs w:val="24"/>
          <w:u w:val="single"/>
        </w:rPr>
        <w:t>Procedural Fairness – Rectification Directions and Prohibition Notices</w:t>
      </w:r>
    </w:p>
    <w:p w14:paraId="27DCB790" w14:textId="5B5EB427" w:rsidR="00871BEA" w:rsidRPr="00B06578" w:rsidRDefault="00871BEA" w:rsidP="00264975">
      <w:pPr>
        <w:spacing w:after="120" w:line="240" w:lineRule="auto"/>
        <w:rPr>
          <w:sz w:val="24"/>
          <w:szCs w:val="24"/>
        </w:rPr>
      </w:pPr>
      <w:r>
        <w:rPr>
          <w:sz w:val="24"/>
          <w:szCs w:val="24"/>
        </w:rPr>
        <w:t>The Committee sought further information on</w:t>
      </w:r>
      <w:r w:rsidR="00246402">
        <w:rPr>
          <w:sz w:val="24"/>
          <w:szCs w:val="24"/>
        </w:rPr>
        <w:t xml:space="preserve"> </w:t>
      </w:r>
      <w:r w:rsidR="00592985">
        <w:rPr>
          <w:sz w:val="24"/>
          <w:szCs w:val="24"/>
        </w:rPr>
        <w:t xml:space="preserve">whether procedural fairness rights are being limited by </w:t>
      </w:r>
      <w:r w:rsidR="00255D0F">
        <w:rPr>
          <w:sz w:val="24"/>
          <w:szCs w:val="24"/>
        </w:rPr>
        <w:t xml:space="preserve">not requiring the </w:t>
      </w:r>
      <w:r w:rsidR="0099069C">
        <w:rPr>
          <w:sz w:val="24"/>
          <w:szCs w:val="24"/>
        </w:rPr>
        <w:t xml:space="preserve">issuance </w:t>
      </w:r>
      <w:r w:rsidR="00255D0F">
        <w:rPr>
          <w:sz w:val="24"/>
          <w:szCs w:val="24"/>
        </w:rPr>
        <w:t>of a notice of intention to issue a</w:t>
      </w:r>
      <w:r w:rsidR="00592985">
        <w:rPr>
          <w:sz w:val="24"/>
          <w:szCs w:val="24"/>
        </w:rPr>
        <w:t xml:space="preserve"> </w:t>
      </w:r>
      <w:r w:rsidR="00592985" w:rsidRPr="00592985">
        <w:rPr>
          <w:sz w:val="24"/>
          <w:szCs w:val="24"/>
        </w:rPr>
        <w:t>rectification direction and prohibition notice.</w:t>
      </w:r>
    </w:p>
    <w:p w14:paraId="3E3930C2" w14:textId="6232D298" w:rsidR="00B06578" w:rsidRDefault="00B06578" w:rsidP="00264975">
      <w:pPr>
        <w:spacing w:after="120" w:line="240" w:lineRule="auto"/>
        <w:rPr>
          <w:rFonts w:ascii="Arial" w:hAnsi="Arial" w:cs="Arial"/>
          <w:color w:val="000000"/>
          <w:shd w:val="clear" w:color="auto" w:fill="FFFFFF"/>
        </w:rPr>
      </w:pPr>
      <w:r w:rsidRPr="00B06578">
        <w:rPr>
          <w:sz w:val="24"/>
          <w:szCs w:val="24"/>
        </w:rPr>
        <w:t xml:space="preserve">As outlined in the explanatory statement, the use of </w:t>
      </w:r>
      <w:r w:rsidRPr="00592985">
        <w:rPr>
          <w:sz w:val="24"/>
          <w:szCs w:val="24"/>
        </w:rPr>
        <w:t>rectification directions and prohibition notice</w:t>
      </w:r>
      <w:r w:rsidR="0099069C">
        <w:rPr>
          <w:sz w:val="24"/>
          <w:szCs w:val="24"/>
        </w:rPr>
        <w:t>s</w:t>
      </w:r>
      <w:r>
        <w:rPr>
          <w:sz w:val="24"/>
          <w:szCs w:val="24"/>
        </w:rPr>
        <w:t xml:space="preserve"> may limit a person’s human rights, such as the right to privacy and reputation. This is considered proportionate</w:t>
      </w:r>
      <w:r w:rsidR="00676177">
        <w:rPr>
          <w:sz w:val="24"/>
          <w:szCs w:val="24"/>
        </w:rPr>
        <w:t>,</w:t>
      </w:r>
      <w:r>
        <w:rPr>
          <w:sz w:val="24"/>
          <w:szCs w:val="24"/>
        </w:rPr>
        <w:t xml:space="preserve"> </w:t>
      </w:r>
      <w:proofErr w:type="gramStart"/>
      <w:r>
        <w:rPr>
          <w:sz w:val="24"/>
          <w:szCs w:val="24"/>
        </w:rPr>
        <w:t xml:space="preserve">in order </w:t>
      </w:r>
      <w:r w:rsidRPr="00B06578">
        <w:rPr>
          <w:sz w:val="24"/>
          <w:szCs w:val="24"/>
        </w:rPr>
        <w:t>to</w:t>
      </w:r>
      <w:proofErr w:type="gramEnd"/>
      <w:r w:rsidRPr="00B06578">
        <w:rPr>
          <w:sz w:val="24"/>
          <w:szCs w:val="24"/>
        </w:rPr>
        <w:t xml:space="preserve"> </w:t>
      </w:r>
      <w:r w:rsidR="00676177">
        <w:rPr>
          <w:sz w:val="24"/>
          <w:szCs w:val="24"/>
        </w:rPr>
        <w:t>make sure</w:t>
      </w:r>
      <w:r w:rsidRPr="00B06578">
        <w:rPr>
          <w:sz w:val="24"/>
          <w:szCs w:val="24"/>
        </w:rPr>
        <w:t xml:space="preserve"> that unauthorised or prohibited development is not undertaken in the ACT and for the adverse impacts of unauthorised development activities </w:t>
      </w:r>
      <w:r w:rsidR="0099069C">
        <w:rPr>
          <w:sz w:val="24"/>
          <w:szCs w:val="24"/>
        </w:rPr>
        <w:t>to be</w:t>
      </w:r>
      <w:r w:rsidRPr="00B06578">
        <w:rPr>
          <w:sz w:val="24"/>
          <w:szCs w:val="24"/>
        </w:rPr>
        <w:t xml:space="preserve"> rectified. Several safeguards are included in the Bill </w:t>
      </w:r>
      <w:r w:rsidR="0099069C">
        <w:rPr>
          <w:sz w:val="24"/>
          <w:szCs w:val="24"/>
        </w:rPr>
        <w:t>in relation to</w:t>
      </w:r>
      <w:r w:rsidRPr="00B06578">
        <w:rPr>
          <w:sz w:val="24"/>
          <w:szCs w:val="24"/>
        </w:rPr>
        <w:t xml:space="preserve"> the use of these powers</w:t>
      </w:r>
      <w:r w:rsidR="0099069C">
        <w:rPr>
          <w:sz w:val="24"/>
          <w:szCs w:val="24"/>
        </w:rPr>
        <w:t>,</w:t>
      </w:r>
      <w:r w:rsidRPr="00B06578">
        <w:rPr>
          <w:sz w:val="24"/>
          <w:szCs w:val="24"/>
        </w:rPr>
        <w:t xml:space="preserve"> including that the direction/notice is limited to the activity set out in the order, a </w:t>
      </w:r>
      <w:r w:rsidR="0099069C">
        <w:rPr>
          <w:sz w:val="24"/>
          <w:szCs w:val="24"/>
        </w:rPr>
        <w:t>M</w:t>
      </w:r>
      <w:r w:rsidR="0099069C" w:rsidRPr="00B06578">
        <w:rPr>
          <w:sz w:val="24"/>
          <w:szCs w:val="24"/>
        </w:rPr>
        <w:t xml:space="preserve">agistrate </w:t>
      </w:r>
      <w:r w:rsidRPr="00B06578">
        <w:rPr>
          <w:sz w:val="24"/>
          <w:szCs w:val="24"/>
        </w:rPr>
        <w:t xml:space="preserve">or </w:t>
      </w:r>
      <w:r w:rsidR="00676177">
        <w:rPr>
          <w:sz w:val="24"/>
          <w:szCs w:val="24"/>
        </w:rPr>
        <w:t xml:space="preserve">the </w:t>
      </w:r>
      <w:r w:rsidRPr="00B06578">
        <w:rPr>
          <w:sz w:val="24"/>
          <w:szCs w:val="24"/>
        </w:rPr>
        <w:t>Territory Planning Authority can only make a direction/notice for the purposes set out in the Bill and appeal rights are established.</w:t>
      </w:r>
    </w:p>
    <w:p w14:paraId="1C9E80A5" w14:textId="2EE45579" w:rsidR="00B50376" w:rsidRDefault="00255D0F" w:rsidP="00264975">
      <w:pPr>
        <w:spacing w:after="120" w:line="240" w:lineRule="auto"/>
        <w:rPr>
          <w:sz w:val="24"/>
          <w:szCs w:val="24"/>
        </w:rPr>
      </w:pPr>
      <w:r w:rsidRPr="00462B71">
        <w:rPr>
          <w:sz w:val="24"/>
          <w:szCs w:val="24"/>
        </w:rPr>
        <w:t>A prohibition notice or rectification direction will only be issued under extreme</w:t>
      </w:r>
      <w:r w:rsidR="00462B71" w:rsidRPr="00462B71">
        <w:rPr>
          <w:sz w:val="24"/>
          <w:szCs w:val="24"/>
        </w:rPr>
        <w:t xml:space="preserve"> </w:t>
      </w:r>
      <w:r w:rsidRPr="00462B71">
        <w:rPr>
          <w:sz w:val="24"/>
          <w:szCs w:val="24"/>
        </w:rPr>
        <w:t xml:space="preserve">circumstances. </w:t>
      </w:r>
      <w:r w:rsidR="00462B71" w:rsidRPr="00462B71">
        <w:rPr>
          <w:sz w:val="24"/>
          <w:szCs w:val="24"/>
        </w:rPr>
        <w:t>The non-use of a notice of intention</w:t>
      </w:r>
      <w:r w:rsidRPr="00462B71">
        <w:rPr>
          <w:sz w:val="24"/>
          <w:szCs w:val="24"/>
        </w:rPr>
        <w:t xml:space="preserve"> is </w:t>
      </w:r>
      <w:r w:rsidR="00462B71" w:rsidRPr="00462B71">
        <w:rPr>
          <w:sz w:val="24"/>
          <w:szCs w:val="24"/>
        </w:rPr>
        <w:t xml:space="preserve">considered </w:t>
      </w:r>
      <w:r w:rsidRPr="00462B71">
        <w:rPr>
          <w:sz w:val="24"/>
          <w:szCs w:val="24"/>
        </w:rPr>
        <w:t xml:space="preserve">reasonable </w:t>
      </w:r>
      <w:r w:rsidR="00462B71" w:rsidRPr="00462B71">
        <w:rPr>
          <w:sz w:val="24"/>
          <w:szCs w:val="24"/>
        </w:rPr>
        <w:t>given the urgent nature of the circumstances where a direction/notice would be issued. An offence against the requirements set out in the direction/notice is unlikely to be inadvertent as the content of the rectification work and prohibition orders explicitly state what conduct is required.</w:t>
      </w:r>
    </w:p>
    <w:p w14:paraId="057F34E6" w14:textId="08AFCF8A" w:rsidR="00B50376" w:rsidRDefault="00462B71" w:rsidP="00264975">
      <w:pPr>
        <w:spacing w:after="120" w:line="240" w:lineRule="auto"/>
        <w:rPr>
          <w:sz w:val="24"/>
          <w:szCs w:val="24"/>
        </w:rPr>
      </w:pPr>
      <w:r>
        <w:rPr>
          <w:sz w:val="24"/>
          <w:szCs w:val="24"/>
        </w:rPr>
        <w:t xml:space="preserve">Consideration was given to introducing a requirement for a notice of intention to be issued </w:t>
      </w:r>
      <w:r w:rsidR="00255D0F" w:rsidRPr="00462B71">
        <w:rPr>
          <w:sz w:val="24"/>
          <w:szCs w:val="24"/>
        </w:rPr>
        <w:t>prior to issu</w:t>
      </w:r>
      <w:r w:rsidR="006F7ACC">
        <w:rPr>
          <w:sz w:val="24"/>
          <w:szCs w:val="24"/>
        </w:rPr>
        <w:t>ing</w:t>
      </w:r>
      <w:r w:rsidR="00255D0F" w:rsidRPr="00462B71">
        <w:rPr>
          <w:sz w:val="24"/>
          <w:szCs w:val="24"/>
        </w:rPr>
        <w:t xml:space="preserve"> a prohibition notice or rectification direction</w:t>
      </w:r>
      <w:r w:rsidR="0004279F">
        <w:rPr>
          <w:sz w:val="24"/>
          <w:szCs w:val="24"/>
        </w:rPr>
        <w:t>.</w:t>
      </w:r>
      <w:r w:rsidRPr="00462B71">
        <w:rPr>
          <w:sz w:val="24"/>
          <w:szCs w:val="24"/>
        </w:rPr>
        <w:t xml:space="preserve"> </w:t>
      </w:r>
      <w:r w:rsidR="0004279F">
        <w:rPr>
          <w:sz w:val="24"/>
          <w:szCs w:val="24"/>
        </w:rPr>
        <w:t>H</w:t>
      </w:r>
      <w:r w:rsidR="0004279F" w:rsidRPr="00462B71">
        <w:rPr>
          <w:sz w:val="24"/>
          <w:szCs w:val="24"/>
        </w:rPr>
        <w:t>owever</w:t>
      </w:r>
      <w:r w:rsidR="0004279F">
        <w:rPr>
          <w:sz w:val="24"/>
          <w:szCs w:val="24"/>
        </w:rPr>
        <w:t>, it was assessed that this</w:t>
      </w:r>
      <w:r w:rsidR="0004279F" w:rsidRPr="00462B71">
        <w:rPr>
          <w:sz w:val="24"/>
          <w:szCs w:val="24"/>
        </w:rPr>
        <w:t xml:space="preserve"> </w:t>
      </w:r>
      <w:r w:rsidRPr="00462B71">
        <w:rPr>
          <w:sz w:val="24"/>
          <w:szCs w:val="24"/>
        </w:rPr>
        <w:t xml:space="preserve">could potentially significantly increase the risk to the community and </w:t>
      </w:r>
      <w:r w:rsidR="00255D0F" w:rsidRPr="00462B71">
        <w:rPr>
          <w:sz w:val="24"/>
          <w:szCs w:val="24"/>
        </w:rPr>
        <w:t>may leave the Government liable for damages incurred.</w:t>
      </w:r>
    </w:p>
    <w:p w14:paraId="473E3741" w14:textId="52C5EDC1" w:rsidR="00255D0F" w:rsidRDefault="00462B71" w:rsidP="00264975">
      <w:pPr>
        <w:spacing w:after="120" w:line="240" w:lineRule="auto"/>
        <w:rPr>
          <w:sz w:val="24"/>
          <w:szCs w:val="24"/>
        </w:rPr>
      </w:pPr>
      <w:r>
        <w:rPr>
          <w:sz w:val="24"/>
          <w:szCs w:val="24"/>
        </w:rPr>
        <w:t>On balance</w:t>
      </w:r>
      <w:r w:rsidR="0004279F">
        <w:rPr>
          <w:sz w:val="24"/>
          <w:szCs w:val="24"/>
        </w:rPr>
        <w:t>,</w:t>
      </w:r>
      <w:r>
        <w:rPr>
          <w:sz w:val="24"/>
          <w:szCs w:val="24"/>
        </w:rPr>
        <w:t xml:space="preserve"> it is considered reasonable and justified that the current framework </w:t>
      </w:r>
      <w:r w:rsidR="00B02560">
        <w:rPr>
          <w:sz w:val="24"/>
          <w:szCs w:val="24"/>
        </w:rPr>
        <w:t>remains</w:t>
      </w:r>
      <w:r>
        <w:rPr>
          <w:sz w:val="24"/>
          <w:szCs w:val="24"/>
        </w:rPr>
        <w:t xml:space="preserve"> in place. </w:t>
      </w:r>
      <w:r w:rsidR="00710A95">
        <w:rPr>
          <w:sz w:val="24"/>
          <w:szCs w:val="24"/>
        </w:rPr>
        <w:t>A supplementary</w:t>
      </w:r>
      <w:r>
        <w:rPr>
          <w:sz w:val="24"/>
          <w:szCs w:val="24"/>
        </w:rPr>
        <w:t xml:space="preserve"> explanatory statement will be </w:t>
      </w:r>
      <w:r w:rsidR="00710A95">
        <w:rPr>
          <w:sz w:val="24"/>
          <w:szCs w:val="24"/>
        </w:rPr>
        <w:t>notified</w:t>
      </w:r>
      <w:r>
        <w:rPr>
          <w:sz w:val="24"/>
          <w:szCs w:val="24"/>
        </w:rPr>
        <w:t xml:space="preserve"> to reflect th</w:t>
      </w:r>
      <w:r w:rsidR="00635715">
        <w:rPr>
          <w:sz w:val="24"/>
          <w:szCs w:val="24"/>
        </w:rPr>
        <w:t xml:space="preserve">is </w:t>
      </w:r>
      <w:r>
        <w:rPr>
          <w:sz w:val="24"/>
          <w:szCs w:val="24"/>
        </w:rPr>
        <w:t>information.</w:t>
      </w:r>
    </w:p>
    <w:p w14:paraId="0E3EEB78" w14:textId="1EDC12B8" w:rsidR="00676177" w:rsidRDefault="00676177" w:rsidP="00264975">
      <w:pPr>
        <w:spacing w:after="120" w:line="240" w:lineRule="auto"/>
        <w:rPr>
          <w:sz w:val="24"/>
          <w:szCs w:val="24"/>
        </w:rPr>
      </w:pPr>
    </w:p>
    <w:p w14:paraId="7BC6D230" w14:textId="77777777" w:rsidR="00676177" w:rsidRDefault="00676177" w:rsidP="00264975">
      <w:pPr>
        <w:spacing w:after="120" w:line="240" w:lineRule="auto"/>
        <w:rPr>
          <w:rFonts w:ascii="Arial" w:hAnsi="Arial" w:cs="Arial"/>
          <w:color w:val="000000"/>
          <w:shd w:val="clear" w:color="auto" w:fill="FFFFFF"/>
        </w:rPr>
      </w:pPr>
    </w:p>
    <w:p w14:paraId="69510448" w14:textId="1332D8CE" w:rsidR="00B50376" w:rsidRPr="00B50376" w:rsidRDefault="00B50376" w:rsidP="009D3104">
      <w:pPr>
        <w:spacing w:after="0" w:line="240" w:lineRule="auto"/>
        <w:rPr>
          <w:b/>
          <w:bCs/>
          <w:sz w:val="24"/>
          <w:szCs w:val="24"/>
        </w:rPr>
      </w:pPr>
      <w:r w:rsidRPr="00B50376">
        <w:rPr>
          <w:b/>
          <w:bCs/>
          <w:sz w:val="24"/>
          <w:szCs w:val="24"/>
        </w:rPr>
        <w:lastRenderedPageBreak/>
        <w:t>Creation of offences by regulation</w:t>
      </w:r>
    </w:p>
    <w:p w14:paraId="1B1DD623" w14:textId="77704E65" w:rsidR="00B50376" w:rsidRDefault="00B50376" w:rsidP="00264975">
      <w:pPr>
        <w:spacing w:after="100" w:afterAutospacing="1" w:line="240" w:lineRule="auto"/>
        <w:rPr>
          <w:sz w:val="24"/>
          <w:szCs w:val="24"/>
        </w:rPr>
      </w:pPr>
      <w:r>
        <w:rPr>
          <w:sz w:val="24"/>
          <w:szCs w:val="24"/>
        </w:rPr>
        <w:t>The Committee sought further justification on why it is appropriate for offences to be created by regulations</w:t>
      </w:r>
      <w:r w:rsidR="00A82C5F">
        <w:rPr>
          <w:sz w:val="24"/>
          <w:szCs w:val="24"/>
        </w:rPr>
        <w:t>.</w:t>
      </w:r>
    </w:p>
    <w:p w14:paraId="54B9D5FD" w14:textId="766723BB" w:rsidR="00B50376" w:rsidRPr="00B50376" w:rsidRDefault="00B50376" w:rsidP="00264975">
      <w:pPr>
        <w:spacing w:after="120" w:line="240" w:lineRule="auto"/>
        <w:rPr>
          <w:sz w:val="24"/>
          <w:szCs w:val="24"/>
        </w:rPr>
      </w:pPr>
      <w:r w:rsidRPr="00B50376">
        <w:rPr>
          <w:sz w:val="24"/>
          <w:szCs w:val="24"/>
        </w:rPr>
        <w:t>Section 519 of the Bill limits the creation of offences and fix</w:t>
      </w:r>
      <w:r w:rsidR="00710A95">
        <w:rPr>
          <w:sz w:val="24"/>
          <w:szCs w:val="24"/>
        </w:rPr>
        <w:t>es</w:t>
      </w:r>
      <w:r w:rsidRPr="00B50376">
        <w:rPr>
          <w:sz w:val="24"/>
          <w:szCs w:val="24"/>
        </w:rPr>
        <w:t xml:space="preserve"> maximum penalties to not more than 30 penalty units. Th</w:t>
      </w:r>
      <w:r w:rsidR="00C0333A">
        <w:rPr>
          <w:sz w:val="24"/>
          <w:szCs w:val="24"/>
        </w:rPr>
        <w:t>is is w</w:t>
      </w:r>
      <w:r w:rsidRPr="00B50376">
        <w:rPr>
          <w:sz w:val="24"/>
          <w:szCs w:val="24"/>
        </w:rPr>
        <w:t xml:space="preserve">ithin the normal range </w:t>
      </w:r>
      <w:r w:rsidR="00AA548E">
        <w:rPr>
          <w:sz w:val="24"/>
          <w:szCs w:val="24"/>
        </w:rPr>
        <w:t xml:space="preserve">of </w:t>
      </w:r>
      <w:r w:rsidRPr="00B50376">
        <w:rPr>
          <w:sz w:val="24"/>
          <w:szCs w:val="24"/>
        </w:rPr>
        <w:t xml:space="preserve">these types of offences and </w:t>
      </w:r>
      <w:r w:rsidR="00C0333A">
        <w:rPr>
          <w:sz w:val="24"/>
          <w:szCs w:val="24"/>
        </w:rPr>
        <w:t>is</w:t>
      </w:r>
      <w:r w:rsidRPr="00B50376">
        <w:rPr>
          <w:sz w:val="24"/>
          <w:szCs w:val="24"/>
        </w:rPr>
        <w:t xml:space="preserve"> in accordance with the </w:t>
      </w:r>
      <w:r w:rsidRPr="006B1F3F">
        <w:rPr>
          <w:i/>
          <w:iCs/>
          <w:sz w:val="24"/>
          <w:szCs w:val="24"/>
        </w:rPr>
        <w:t>Guide to Framing Offences</w:t>
      </w:r>
      <w:r w:rsidRPr="00B50376">
        <w:rPr>
          <w:sz w:val="24"/>
          <w:szCs w:val="24"/>
        </w:rPr>
        <w:t>, lending to the proportionality of this provision.</w:t>
      </w:r>
    </w:p>
    <w:p w14:paraId="695F3ED4" w14:textId="0EC17472" w:rsidR="00C0333A" w:rsidRPr="00C0333A" w:rsidRDefault="00C0333A" w:rsidP="00264975">
      <w:pPr>
        <w:spacing w:after="120"/>
        <w:rPr>
          <w:sz w:val="24"/>
          <w:szCs w:val="24"/>
        </w:rPr>
      </w:pPr>
      <w:r w:rsidRPr="00C0333A">
        <w:rPr>
          <w:sz w:val="24"/>
          <w:szCs w:val="24"/>
        </w:rPr>
        <w:t xml:space="preserve">The creation of </w:t>
      </w:r>
      <w:r w:rsidR="00E26C07">
        <w:rPr>
          <w:sz w:val="24"/>
          <w:szCs w:val="24"/>
        </w:rPr>
        <w:t xml:space="preserve">low penalty amount </w:t>
      </w:r>
      <w:r w:rsidRPr="00C0333A">
        <w:rPr>
          <w:sz w:val="24"/>
          <w:szCs w:val="24"/>
        </w:rPr>
        <w:t>offences by regulation is a common occurrence.</w:t>
      </w:r>
      <w:r w:rsidR="00E26C07">
        <w:rPr>
          <w:sz w:val="24"/>
          <w:szCs w:val="24"/>
        </w:rPr>
        <w:t xml:space="preserve"> </w:t>
      </w:r>
      <w:r w:rsidR="00E26C07" w:rsidRPr="00A82C5F">
        <w:rPr>
          <w:sz w:val="24"/>
          <w:szCs w:val="24"/>
        </w:rPr>
        <w:t>Regulations are considered by the Assembly, which provides an additional layer of scrutiny and ac</w:t>
      </w:r>
      <w:r w:rsidR="00E26C07" w:rsidRPr="00E26C07">
        <w:rPr>
          <w:sz w:val="24"/>
          <w:szCs w:val="24"/>
        </w:rPr>
        <w:t>countability.</w:t>
      </w:r>
      <w:r w:rsidRPr="00C0333A">
        <w:rPr>
          <w:sz w:val="24"/>
          <w:szCs w:val="24"/>
        </w:rPr>
        <w:t xml:space="preserve"> It </w:t>
      </w:r>
      <w:r>
        <w:rPr>
          <w:sz w:val="24"/>
          <w:szCs w:val="24"/>
        </w:rPr>
        <w:t xml:space="preserve">will </w:t>
      </w:r>
      <w:r w:rsidRPr="00C0333A">
        <w:rPr>
          <w:sz w:val="24"/>
          <w:szCs w:val="24"/>
        </w:rPr>
        <w:t xml:space="preserve">enable the regulatory system to be responsive to challenges as they arise and is proportionate </w:t>
      </w:r>
      <w:r>
        <w:rPr>
          <w:sz w:val="24"/>
          <w:szCs w:val="24"/>
        </w:rPr>
        <w:t xml:space="preserve">given the </w:t>
      </w:r>
      <w:r w:rsidRPr="00C0333A">
        <w:rPr>
          <w:sz w:val="24"/>
          <w:szCs w:val="24"/>
        </w:rPr>
        <w:t xml:space="preserve">relatively low </w:t>
      </w:r>
      <w:r>
        <w:rPr>
          <w:sz w:val="24"/>
          <w:szCs w:val="24"/>
        </w:rPr>
        <w:t>p</w:t>
      </w:r>
      <w:r w:rsidRPr="00C0333A">
        <w:rPr>
          <w:sz w:val="24"/>
          <w:szCs w:val="24"/>
        </w:rPr>
        <w:t xml:space="preserve">enalty unit limit </w:t>
      </w:r>
      <w:r>
        <w:rPr>
          <w:sz w:val="24"/>
          <w:szCs w:val="24"/>
        </w:rPr>
        <w:t>set under the Bill</w:t>
      </w:r>
      <w:r w:rsidRPr="00C0333A">
        <w:rPr>
          <w:sz w:val="24"/>
          <w:szCs w:val="24"/>
        </w:rPr>
        <w:t>. It is worth noting there is currently only one offence proposed to be included in the regulations, which carries a maximum of 10 penalty units.</w:t>
      </w:r>
    </w:p>
    <w:p w14:paraId="01A3385B" w14:textId="771BC947" w:rsidR="00C0333A" w:rsidRDefault="00710A95" w:rsidP="00264975">
      <w:pPr>
        <w:spacing w:after="240" w:line="240" w:lineRule="auto"/>
        <w:rPr>
          <w:sz w:val="24"/>
          <w:szCs w:val="24"/>
        </w:rPr>
      </w:pPr>
      <w:r>
        <w:rPr>
          <w:sz w:val="24"/>
          <w:szCs w:val="24"/>
        </w:rPr>
        <w:t>A supplementary</w:t>
      </w:r>
      <w:r w:rsidR="00C0333A">
        <w:rPr>
          <w:sz w:val="24"/>
          <w:szCs w:val="24"/>
        </w:rPr>
        <w:t xml:space="preserve"> explanatory statement will be </w:t>
      </w:r>
      <w:r>
        <w:rPr>
          <w:sz w:val="24"/>
          <w:szCs w:val="24"/>
        </w:rPr>
        <w:t>notified</w:t>
      </w:r>
      <w:r w:rsidR="00C0333A">
        <w:rPr>
          <w:sz w:val="24"/>
          <w:szCs w:val="24"/>
        </w:rPr>
        <w:t xml:space="preserve"> to reflect th</w:t>
      </w:r>
      <w:r w:rsidR="00635715">
        <w:rPr>
          <w:sz w:val="24"/>
          <w:szCs w:val="24"/>
        </w:rPr>
        <w:t xml:space="preserve">is </w:t>
      </w:r>
      <w:r w:rsidR="00C0333A">
        <w:rPr>
          <w:sz w:val="24"/>
          <w:szCs w:val="24"/>
        </w:rPr>
        <w:t>information.</w:t>
      </w:r>
    </w:p>
    <w:p w14:paraId="13E31A69" w14:textId="1DA298F1" w:rsidR="00653896" w:rsidRPr="00653896" w:rsidRDefault="00653896" w:rsidP="00653896">
      <w:pPr>
        <w:spacing w:after="0" w:line="240" w:lineRule="auto"/>
        <w:rPr>
          <w:b/>
          <w:bCs/>
          <w:sz w:val="24"/>
          <w:szCs w:val="24"/>
        </w:rPr>
      </w:pPr>
      <w:r w:rsidRPr="00653896">
        <w:rPr>
          <w:b/>
          <w:bCs/>
          <w:sz w:val="24"/>
          <w:szCs w:val="24"/>
        </w:rPr>
        <w:t xml:space="preserve">Henry VIII </w:t>
      </w:r>
      <w:r w:rsidR="00871BEA">
        <w:rPr>
          <w:b/>
          <w:bCs/>
          <w:sz w:val="24"/>
          <w:szCs w:val="24"/>
        </w:rPr>
        <w:t>C</w:t>
      </w:r>
      <w:r w:rsidRPr="00653896">
        <w:rPr>
          <w:b/>
          <w:bCs/>
          <w:sz w:val="24"/>
          <w:szCs w:val="24"/>
        </w:rPr>
        <w:t>lause</w:t>
      </w:r>
    </w:p>
    <w:p w14:paraId="5D605305" w14:textId="5E47CB4B" w:rsidR="003C1D94" w:rsidRDefault="00653896" w:rsidP="00264975">
      <w:pPr>
        <w:spacing w:after="120" w:line="240" w:lineRule="auto"/>
        <w:rPr>
          <w:sz w:val="24"/>
          <w:szCs w:val="24"/>
        </w:rPr>
      </w:pPr>
      <w:r>
        <w:rPr>
          <w:sz w:val="24"/>
          <w:szCs w:val="24"/>
        </w:rPr>
        <w:t xml:space="preserve">The Committee sought </w:t>
      </w:r>
      <w:r w:rsidR="003C1D94">
        <w:rPr>
          <w:sz w:val="24"/>
          <w:szCs w:val="24"/>
        </w:rPr>
        <w:t>information on why it is necessary to include the Henry VIII clause, and what alternatives were considered and why they are not sufficient in the context of the Bill.</w:t>
      </w:r>
    </w:p>
    <w:p w14:paraId="19589C12" w14:textId="5AC21D77" w:rsidR="0004593D" w:rsidRDefault="0004593D" w:rsidP="00264975">
      <w:pPr>
        <w:spacing w:after="120" w:line="240" w:lineRule="auto"/>
        <w:rPr>
          <w:sz w:val="24"/>
          <w:szCs w:val="24"/>
        </w:rPr>
      </w:pPr>
      <w:r>
        <w:rPr>
          <w:sz w:val="24"/>
          <w:szCs w:val="24"/>
        </w:rPr>
        <w:t xml:space="preserve">The </w:t>
      </w:r>
      <w:r w:rsidRPr="00653896">
        <w:rPr>
          <w:sz w:val="24"/>
          <w:szCs w:val="24"/>
        </w:rPr>
        <w:t xml:space="preserve">transition between the </w:t>
      </w:r>
      <w:r w:rsidRPr="00653896">
        <w:rPr>
          <w:i/>
          <w:iCs/>
          <w:sz w:val="24"/>
          <w:szCs w:val="24"/>
        </w:rPr>
        <w:t>Planning and Development Act 2007</w:t>
      </w:r>
      <w:r w:rsidRPr="00653896">
        <w:rPr>
          <w:sz w:val="24"/>
          <w:szCs w:val="24"/>
        </w:rPr>
        <w:t xml:space="preserve"> and </w:t>
      </w:r>
      <w:r w:rsidR="00AA548E">
        <w:rPr>
          <w:sz w:val="24"/>
          <w:szCs w:val="24"/>
        </w:rPr>
        <w:t xml:space="preserve">the </w:t>
      </w:r>
      <w:r w:rsidRPr="00653896">
        <w:rPr>
          <w:sz w:val="24"/>
          <w:szCs w:val="24"/>
        </w:rPr>
        <w:t xml:space="preserve">Bill </w:t>
      </w:r>
      <w:r>
        <w:rPr>
          <w:sz w:val="24"/>
          <w:szCs w:val="24"/>
        </w:rPr>
        <w:t xml:space="preserve">is relevant to </w:t>
      </w:r>
      <w:r w:rsidRPr="00653896">
        <w:rPr>
          <w:sz w:val="24"/>
          <w:szCs w:val="24"/>
        </w:rPr>
        <w:t>many development contracts and arrangements relating to projects of varying sizes and complexity. </w:t>
      </w:r>
      <w:r>
        <w:rPr>
          <w:sz w:val="24"/>
          <w:szCs w:val="24"/>
        </w:rPr>
        <w:t xml:space="preserve">It is important to </w:t>
      </w:r>
      <w:r w:rsidR="00676177">
        <w:rPr>
          <w:sz w:val="24"/>
          <w:szCs w:val="24"/>
        </w:rPr>
        <w:t>make sure</w:t>
      </w:r>
      <w:r>
        <w:rPr>
          <w:sz w:val="24"/>
          <w:szCs w:val="24"/>
        </w:rPr>
        <w:t xml:space="preserve"> that unforeseen or minor technical issues do not unnecessarily impact these projects. This has the potential to impact the community, where a project is providing benefit</w:t>
      </w:r>
      <w:r w:rsidR="0004279F">
        <w:rPr>
          <w:sz w:val="24"/>
          <w:szCs w:val="24"/>
        </w:rPr>
        <w:t>s</w:t>
      </w:r>
      <w:r>
        <w:rPr>
          <w:sz w:val="24"/>
          <w:szCs w:val="24"/>
        </w:rPr>
        <w:t xml:space="preserve"> to the community.</w:t>
      </w:r>
    </w:p>
    <w:p w14:paraId="4AE172A1" w14:textId="6BEDA21A" w:rsidR="003C1D94" w:rsidRDefault="00653896" w:rsidP="00264975">
      <w:pPr>
        <w:spacing w:after="120" w:line="240" w:lineRule="auto"/>
        <w:rPr>
          <w:sz w:val="24"/>
          <w:szCs w:val="24"/>
        </w:rPr>
      </w:pPr>
      <w:r w:rsidRPr="00653896">
        <w:rPr>
          <w:sz w:val="24"/>
          <w:szCs w:val="24"/>
        </w:rPr>
        <w:t xml:space="preserve">Transitional provisions have been included in the Bill to resolve any unforeseen issues to support the commencement or operation of the Bill. </w:t>
      </w:r>
      <w:r w:rsidR="003C1D94" w:rsidRPr="00653896">
        <w:rPr>
          <w:sz w:val="24"/>
          <w:szCs w:val="24"/>
        </w:rPr>
        <w:t>There is a risk</w:t>
      </w:r>
      <w:r w:rsidR="00676177">
        <w:rPr>
          <w:sz w:val="24"/>
          <w:szCs w:val="24"/>
        </w:rPr>
        <w:t>,</w:t>
      </w:r>
      <w:r w:rsidR="003C1D94" w:rsidRPr="00653896">
        <w:rPr>
          <w:sz w:val="24"/>
          <w:szCs w:val="24"/>
        </w:rPr>
        <w:t xml:space="preserve"> given the number of arrangements in place under the current legislation and the complexity of these relationships</w:t>
      </w:r>
      <w:r w:rsidR="00676177">
        <w:rPr>
          <w:sz w:val="24"/>
          <w:szCs w:val="24"/>
        </w:rPr>
        <w:t>,</w:t>
      </w:r>
      <w:r w:rsidR="003C1D94" w:rsidRPr="00653896">
        <w:rPr>
          <w:sz w:val="24"/>
          <w:szCs w:val="24"/>
        </w:rPr>
        <w:t xml:space="preserve"> for unintended consequences to impact these arrangements. </w:t>
      </w:r>
      <w:r w:rsidR="003C1D94">
        <w:rPr>
          <w:sz w:val="24"/>
          <w:szCs w:val="24"/>
        </w:rPr>
        <w:t xml:space="preserve">It is important </w:t>
      </w:r>
      <w:r w:rsidR="0004593D">
        <w:rPr>
          <w:sz w:val="24"/>
          <w:szCs w:val="24"/>
        </w:rPr>
        <w:t xml:space="preserve">for </w:t>
      </w:r>
      <w:r w:rsidR="003C1D94">
        <w:rPr>
          <w:sz w:val="24"/>
          <w:szCs w:val="24"/>
        </w:rPr>
        <w:t xml:space="preserve">the </w:t>
      </w:r>
      <w:r w:rsidR="00676177">
        <w:rPr>
          <w:sz w:val="24"/>
          <w:szCs w:val="24"/>
        </w:rPr>
        <w:t>G</w:t>
      </w:r>
      <w:r w:rsidR="003C1D94">
        <w:rPr>
          <w:sz w:val="24"/>
          <w:szCs w:val="24"/>
        </w:rPr>
        <w:t xml:space="preserve">overnment </w:t>
      </w:r>
      <w:r w:rsidR="0004279F">
        <w:rPr>
          <w:sz w:val="24"/>
          <w:szCs w:val="24"/>
        </w:rPr>
        <w:t>to be</w:t>
      </w:r>
      <w:r w:rsidR="0004279F" w:rsidRPr="00653896">
        <w:rPr>
          <w:sz w:val="24"/>
          <w:szCs w:val="24"/>
        </w:rPr>
        <w:t xml:space="preserve"> </w:t>
      </w:r>
      <w:r w:rsidR="003C1D94" w:rsidRPr="00653896">
        <w:rPr>
          <w:sz w:val="24"/>
          <w:szCs w:val="24"/>
        </w:rPr>
        <w:t xml:space="preserve">responsive </w:t>
      </w:r>
      <w:r w:rsidR="0004593D">
        <w:rPr>
          <w:sz w:val="24"/>
          <w:szCs w:val="24"/>
        </w:rPr>
        <w:t xml:space="preserve">and </w:t>
      </w:r>
      <w:r w:rsidR="00676177">
        <w:rPr>
          <w:sz w:val="24"/>
          <w:szCs w:val="24"/>
        </w:rPr>
        <w:t xml:space="preserve">be </w:t>
      </w:r>
      <w:r w:rsidR="0004593D">
        <w:rPr>
          <w:sz w:val="24"/>
          <w:szCs w:val="24"/>
        </w:rPr>
        <w:t xml:space="preserve">able to </w:t>
      </w:r>
      <w:r w:rsidR="003C1D94" w:rsidRPr="00653896">
        <w:rPr>
          <w:sz w:val="24"/>
          <w:szCs w:val="24"/>
        </w:rPr>
        <w:t>identify and deal with any unforeseen challenges that may emerge during the transition period.</w:t>
      </w:r>
    </w:p>
    <w:p w14:paraId="0D779DB4" w14:textId="47DC1B2C" w:rsidR="00653896" w:rsidRPr="00653896" w:rsidRDefault="00653896" w:rsidP="00264975">
      <w:pPr>
        <w:spacing w:after="120" w:line="240" w:lineRule="auto"/>
        <w:rPr>
          <w:sz w:val="24"/>
          <w:szCs w:val="24"/>
        </w:rPr>
      </w:pPr>
      <w:r w:rsidRPr="00653896">
        <w:rPr>
          <w:sz w:val="24"/>
          <w:szCs w:val="24"/>
        </w:rPr>
        <w:t>The power to make transitional regulations only allows the Executive to respond in a temporary way to matters of a transitional nature</w:t>
      </w:r>
      <w:r w:rsidR="00676177">
        <w:rPr>
          <w:sz w:val="24"/>
          <w:szCs w:val="24"/>
        </w:rPr>
        <w:t>,</w:t>
      </w:r>
      <w:r w:rsidRPr="00653896">
        <w:rPr>
          <w:sz w:val="24"/>
          <w:szCs w:val="24"/>
        </w:rPr>
        <w:t xml:space="preserve"> which may </w:t>
      </w:r>
      <w:r w:rsidR="00676177">
        <w:rPr>
          <w:sz w:val="24"/>
          <w:szCs w:val="24"/>
        </w:rPr>
        <w:t>arise</w:t>
      </w:r>
      <w:r w:rsidRPr="00653896">
        <w:rPr>
          <w:sz w:val="24"/>
          <w:szCs w:val="24"/>
        </w:rPr>
        <w:t xml:space="preserve"> within three years after </w:t>
      </w:r>
      <w:r w:rsidR="00AA548E">
        <w:rPr>
          <w:sz w:val="24"/>
          <w:szCs w:val="24"/>
        </w:rPr>
        <w:t xml:space="preserve">the Bill has </w:t>
      </w:r>
      <w:r w:rsidRPr="00653896">
        <w:rPr>
          <w:sz w:val="24"/>
          <w:szCs w:val="24"/>
        </w:rPr>
        <w:t>commence</w:t>
      </w:r>
      <w:r w:rsidR="00AA548E">
        <w:rPr>
          <w:sz w:val="24"/>
          <w:szCs w:val="24"/>
        </w:rPr>
        <w:t>d</w:t>
      </w:r>
      <w:r w:rsidRPr="00653896">
        <w:rPr>
          <w:sz w:val="24"/>
          <w:szCs w:val="24"/>
        </w:rPr>
        <w:t xml:space="preserve">, particularly to </w:t>
      </w:r>
      <w:r w:rsidR="00676177">
        <w:rPr>
          <w:sz w:val="24"/>
          <w:szCs w:val="24"/>
        </w:rPr>
        <w:t xml:space="preserve">provide for </w:t>
      </w:r>
      <w:r w:rsidRPr="00653896">
        <w:rPr>
          <w:sz w:val="24"/>
          <w:szCs w:val="24"/>
        </w:rPr>
        <w:t>a smooth and efficient transition period</w:t>
      </w:r>
      <w:r w:rsidR="00676177">
        <w:rPr>
          <w:sz w:val="24"/>
          <w:szCs w:val="24"/>
        </w:rPr>
        <w:t xml:space="preserve"> </w:t>
      </w:r>
      <w:r w:rsidRPr="00653896">
        <w:rPr>
          <w:sz w:val="24"/>
          <w:szCs w:val="24"/>
        </w:rPr>
        <w:t xml:space="preserve">to the new planning scheme. </w:t>
      </w:r>
      <w:r w:rsidRPr="00A82C5F">
        <w:rPr>
          <w:sz w:val="24"/>
          <w:szCs w:val="24"/>
        </w:rPr>
        <w:t xml:space="preserve">The regulation itself is disallowable and any extension to this </w:t>
      </w:r>
      <w:proofErr w:type="gramStart"/>
      <w:r w:rsidRPr="00A82C5F">
        <w:rPr>
          <w:sz w:val="24"/>
          <w:szCs w:val="24"/>
        </w:rPr>
        <w:t>time period</w:t>
      </w:r>
      <w:proofErr w:type="gramEnd"/>
      <w:r w:rsidRPr="00A82C5F">
        <w:rPr>
          <w:sz w:val="24"/>
          <w:szCs w:val="24"/>
        </w:rPr>
        <w:t xml:space="preserve"> would be subject to disallowance by the Legislative Assembly. As the power to make transitional regulations is limited in its scope to transitional matters, it does not represent an inappropriate delegation of Territory powers.</w:t>
      </w:r>
    </w:p>
    <w:p w14:paraId="5F28F27D" w14:textId="159624DD" w:rsidR="00653896" w:rsidRDefault="00653896" w:rsidP="00264975">
      <w:pPr>
        <w:spacing w:after="240" w:line="240" w:lineRule="auto"/>
        <w:rPr>
          <w:sz w:val="24"/>
          <w:szCs w:val="24"/>
        </w:rPr>
      </w:pPr>
      <w:r w:rsidRPr="00653896">
        <w:rPr>
          <w:sz w:val="24"/>
          <w:szCs w:val="24"/>
        </w:rPr>
        <w:t>A Henry VIII clause was deemed a reasonable means of being responsive whilst still being accountable through the regulation making process.</w:t>
      </w:r>
      <w:r w:rsidR="0004593D">
        <w:rPr>
          <w:sz w:val="24"/>
          <w:szCs w:val="24"/>
        </w:rPr>
        <w:t xml:space="preserve"> During the development of the Bill the </w:t>
      </w:r>
      <w:r w:rsidR="008607E1">
        <w:rPr>
          <w:sz w:val="24"/>
          <w:szCs w:val="24"/>
        </w:rPr>
        <w:t>G</w:t>
      </w:r>
      <w:r w:rsidR="0004593D">
        <w:rPr>
          <w:sz w:val="24"/>
          <w:szCs w:val="24"/>
        </w:rPr>
        <w:t>overnment has considered whether it was necessary to include a Henry VIII clause and instead bring any identified amendments through the normal Cabinet</w:t>
      </w:r>
      <w:r w:rsidR="008607E1">
        <w:rPr>
          <w:sz w:val="24"/>
          <w:szCs w:val="24"/>
        </w:rPr>
        <w:t xml:space="preserve"> and Assembly</w:t>
      </w:r>
      <w:r w:rsidR="0004593D">
        <w:rPr>
          <w:sz w:val="24"/>
          <w:szCs w:val="24"/>
        </w:rPr>
        <w:t xml:space="preserve"> process. However, as outlined above, due to the need for a timely response</w:t>
      </w:r>
      <w:r w:rsidR="008607E1">
        <w:rPr>
          <w:sz w:val="24"/>
          <w:szCs w:val="24"/>
        </w:rPr>
        <w:t>,</w:t>
      </w:r>
      <w:r w:rsidR="0004593D">
        <w:rPr>
          <w:sz w:val="24"/>
          <w:szCs w:val="24"/>
        </w:rPr>
        <w:t xml:space="preserve"> this was not considered practical.</w:t>
      </w:r>
    </w:p>
    <w:p w14:paraId="3C10ECE1" w14:textId="705C4F39" w:rsidR="008607E1" w:rsidRDefault="008607E1" w:rsidP="00264975">
      <w:pPr>
        <w:spacing w:after="240" w:line="240" w:lineRule="auto"/>
        <w:rPr>
          <w:sz w:val="24"/>
          <w:szCs w:val="24"/>
        </w:rPr>
      </w:pPr>
    </w:p>
    <w:p w14:paraId="20583598" w14:textId="77777777" w:rsidR="008607E1" w:rsidRPr="00653896" w:rsidRDefault="008607E1" w:rsidP="00264975">
      <w:pPr>
        <w:spacing w:after="240" w:line="240" w:lineRule="auto"/>
        <w:rPr>
          <w:sz w:val="24"/>
          <w:szCs w:val="24"/>
        </w:rPr>
      </w:pPr>
    </w:p>
    <w:p w14:paraId="31938FD2" w14:textId="7AD3F442" w:rsidR="008F40DD" w:rsidRPr="0004593D" w:rsidRDefault="003C1D94" w:rsidP="009D3104">
      <w:pPr>
        <w:spacing w:after="0" w:line="240" w:lineRule="auto"/>
        <w:rPr>
          <w:b/>
          <w:bCs/>
          <w:sz w:val="24"/>
          <w:szCs w:val="24"/>
        </w:rPr>
      </w:pPr>
      <w:r w:rsidRPr="0004593D">
        <w:rPr>
          <w:b/>
          <w:bCs/>
          <w:sz w:val="24"/>
          <w:szCs w:val="24"/>
        </w:rPr>
        <w:lastRenderedPageBreak/>
        <w:t xml:space="preserve">Incorporation of instruments and displacement of section 47(6) of the </w:t>
      </w:r>
      <w:r w:rsidRPr="00FC58A0">
        <w:rPr>
          <w:b/>
          <w:bCs/>
          <w:i/>
          <w:iCs/>
          <w:sz w:val="24"/>
          <w:szCs w:val="24"/>
        </w:rPr>
        <w:t>Legislation Act 2001</w:t>
      </w:r>
    </w:p>
    <w:p w14:paraId="75613E87" w14:textId="07505DF6" w:rsidR="00A55E87" w:rsidRDefault="00A55E87" w:rsidP="00264975">
      <w:pPr>
        <w:spacing w:after="120" w:line="240" w:lineRule="auto"/>
        <w:rPr>
          <w:sz w:val="24"/>
          <w:szCs w:val="24"/>
        </w:rPr>
      </w:pPr>
      <w:r>
        <w:rPr>
          <w:sz w:val="24"/>
          <w:szCs w:val="24"/>
        </w:rPr>
        <w:t>The Committee sought further information on why it is considered necessary to provide for the incorporation of instruments</w:t>
      </w:r>
      <w:r w:rsidR="008607E1">
        <w:rPr>
          <w:sz w:val="24"/>
          <w:szCs w:val="24"/>
        </w:rPr>
        <w:t>,</w:t>
      </w:r>
      <w:r>
        <w:rPr>
          <w:sz w:val="24"/>
          <w:szCs w:val="24"/>
        </w:rPr>
        <w:t xml:space="preserve"> as in force from time to time in sections 48, 96, 243 and 519</w:t>
      </w:r>
      <w:r w:rsidR="003F1439">
        <w:rPr>
          <w:sz w:val="24"/>
          <w:szCs w:val="24"/>
        </w:rPr>
        <w:t xml:space="preserve"> of the Bill</w:t>
      </w:r>
      <w:r w:rsidR="008607E1">
        <w:rPr>
          <w:sz w:val="24"/>
          <w:szCs w:val="24"/>
        </w:rPr>
        <w:t xml:space="preserve"> and</w:t>
      </w:r>
      <w:r>
        <w:rPr>
          <w:sz w:val="24"/>
          <w:szCs w:val="24"/>
        </w:rPr>
        <w:t xml:space="preserve"> to displace section 47(6) of the </w:t>
      </w:r>
      <w:r w:rsidRPr="00A55E87">
        <w:rPr>
          <w:i/>
          <w:iCs/>
          <w:sz w:val="24"/>
          <w:szCs w:val="24"/>
        </w:rPr>
        <w:t>Legislation Act 2001</w:t>
      </w:r>
      <w:r>
        <w:rPr>
          <w:i/>
          <w:iCs/>
          <w:sz w:val="24"/>
          <w:szCs w:val="24"/>
        </w:rPr>
        <w:t xml:space="preserve">. </w:t>
      </w:r>
      <w:r w:rsidRPr="00A55E87">
        <w:rPr>
          <w:sz w:val="24"/>
          <w:szCs w:val="24"/>
        </w:rPr>
        <w:t>The Committee also sought further advice on the alternat</w:t>
      </w:r>
      <w:r w:rsidR="00710A95">
        <w:rPr>
          <w:sz w:val="24"/>
          <w:szCs w:val="24"/>
        </w:rPr>
        <w:t>iv</w:t>
      </w:r>
      <w:r w:rsidRPr="00A55E87">
        <w:rPr>
          <w:sz w:val="24"/>
          <w:szCs w:val="24"/>
        </w:rPr>
        <w:t xml:space="preserve">es considered and why it was not sufficient to allow regulations to displace section 47(6) </w:t>
      </w:r>
      <w:r w:rsidR="003F1439">
        <w:rPr>
          <w:sz w:val="24"/>
          <w:szCs w:val="24"/>
        </w:rPr>
        <w:t xml:space="preserve">of the </w:t>
      </w:r>
      <w:r w:rsidR="003F1439" w:rsidRPr="003F1439">
        <w:rPr>
          <w:i/>
          <w:iCs/>
          <w:sz w:val="24"/>
          <w:szCs w:val="24"/>
        </w:rPr>
        <w:t>Legislation Act 2001</w:t>
      </w:r>
      <w:r w:rsidR="003F1439">
        <w:rPr>
          <w:sz w:val="24"/>
          <w:szCs w:val="24"/>
        </w:rPr>
        <w:t xml:space="preserve"> </w:t>
      </w:r>
      <w:r w:rsidRPr="00A55E87">
        <w:rPr>
          <w:sz w:val="24"/>
          <w:szCs w:val="24"/>
        </w:rPr>
        <w:t>for instruments</w:t>
      </w:r>
      <w:r w:rsidR="008607E1">
        <w:rPr>
          <w:sz w:val="24"/>
          <w:szCs w:val="24"/>
        </w:rPr>
        <w:t>,</w:t>
      </w:r>
      <w:r w:rsidRPr="00A55E87">
        <w:rPr>
          <w:sz w:val="24"/>
          <w:szCs w:val="24"/>
        </w:rPr>
        <w:t xml:space="preserve"> where copyright or other reasons prevent notification.</w:t>
      </w:r>
    </w:p>
    <w:p w14:paraId="29DC3340" w14:textId="31314923" w:rsidR="007D0E48" w:rsidRDefault="00926B82" w:rsidP="00264975">
      <w:pPr>
        <w:spacing w:after="120" w:line="240" w:lineRule="auto"/>
        <w:rPr>
          <w:sz w:val="24"/>
          <w:szCs w:val="24"/>
        </w:rPr>
      </w:pPr>
      <w:r w:rsidRPr="00926B82">
        <w:rPr>
          <w:sz w:val="24"/>
          <w:szCs w:val="24"/>
        </w:rPr>
        <w:t xml:space="preserve">Section 47(6) of the </w:t>
      </w:r>
      <w:r w:rsidRPr="00926B82">
        <w:rPr>
          <w:i/>
          <w:iCs/>
          <w:sz w:val="24"/>
          <w:szCs w:val="24"/>
        </w:rPr>
        <w:t>Legislation Act 2001</w:t>
      </w:r>
      <w:r w:rsidRPr="00926B82">
        <w:rPr>
          <w:sz w:val="24"/>
          <w:szCs w:val="24"/>
        </w:rPr>
        <w:t xml:space="preserve"> prohibits subordinate legislation from referencing the latest version of external documents that change from time to time unless this power is specified in the Act. </w:t>
      </w:r>
      <w:r w:rsidR="00A55E87">
        <w:rPr>
          <w:sz w:val="24"/>
          <w:szCs w:val="24"/>
        </w:rPr>
        <w:t xml:space="preserve">As outlined in the explanatory statement, </w:t>
      </w:r>
      <w:r w:rsidR="00D44A49">
        <w:rPr>
          <w:sz w:val="24"/>
          <w:szCs w:val="24"/>
        </w:rPr>
        <w:t>t</w:t>
      </w:r>
      <w:r w:rsidR="00D44A49" w:rsidRPr="00D44A49">
        <w:rPr>
          <w:sz w:val="24"/>
          <w:szCs w:val="24"/>
        </w:rPr>
        <w:t xml:space="preserve">he Bill was drafted to allow for the incorporation of instruments that may be required to support the Territory Plan and the Design Review Panel. The disapplication of subsection 47(6) of the </w:t>
      </w:r>
      <w:r w:rsidR="00D44A49" w:rsidRPr="00D44A49">
        <w:rPr>
          <w:i/>
          <w:iCs/>
          <w:sz w:val="24"/>
          <w:szCs w:val="24"/>
        </w:rPr>
        <w:t>Legislation Act 2001</w:t>
      </w:r>
      <w:r w:rsidR="00D44A49" w:rsidRPr="00D44A49">
        <w:rPr>
          <w:sz w:val="24"/>
          <w:szCs w:val="24"/>
        </w:rPr>
        <w:t> would allow for the incorporation of instruments that may be subject to another organisation’s copyright or</w:t>
      </w:r>
      <w:r w:rsidR="008607E1">
        <w:rPr>
          <w:sz w:val="24"/>
          <w:szCs w:val="24"/>
        </w:rPr>
        <w:t>,</w:t>
      </w:r>
      <w:r w:rsidR="00D44A49" w:rsidRPr="00D44A49">
        <w:rPr>
          <w:sz w:val="24"/>
          <w:szCs w:val="24"/>
        </w:rPr>
        <w:t xml:space="preserve"> in the case of the Design Principles for the ACT - are developed by </w:t>
      </w:r>
      <w:r w:rsidR="003F1439">
        <w:rPr>
          <w:sz w:val="24"/>
          <w:szCs w:val="24"/>
        </w:rPr>
        <w:t xml:space="preserve">the </w:t>
      </w:r>
      <w:r w:rsidR="00D44A49" w:rsidRPr="00D44A49">
        <w:rPr>
          <w:sz w:val="24"/>
          <w:szCs w:val="24"/>
        </w:rPr>
        <w:t>E</w:t>
      </w:r>
      <w:r w:rsidR="003F1439">
        <w:rPr>
          <w:sz w:val="24"/>
          <w:szCs w:val="24"/>
        </w:rPr>
        <w:t xml:space="preserve">nvironment, </w:t>
      </w:r>
      <w:r w:rsidR="00D44A49" w:rsidRPr="00D44A49">
        <w:rPr>
          <w:sz w:val="24"/>
          <w:szCs w:val="24"/>
        </w:rPr>
        <w:t>P</w:t>
      </w:r>
      <w:r w:rsidR="003F1439">
        <w:rPr>
          <w:sz w:val="24"/>
          <w:szCs w:val="24"/>
        </w:rPr>
        <w:t xml:space="preserve">lanning and </w:t>
      </w:r>
      <w:r w:rsidR="00D44A49" w:rsidRPr="00D44A49">
        <w:rPr>
          <w:sz w:val="24"/>
          <w:szCs w:val="24"/>
        </w:rPr>
        <w:t>S</w:t>
      </w:r>
      <w:r w:rsidR="003F1439">
        <w:rPr>
          <w:sz w:val="24"/>
          <w:szCs w:val="24"/>
        </w:rPr>
        <w:t xml:space="preserve">ustainable </w:t>
      </w:r>
      <w:r w:rsidR="00D44A49" w:rsidRPr="00D44A49">
        <w:rPr>
          <w:sz w:val="24"/>
          <w:szCs w:val="24"/>
        </w:rPr>
        <w:t>D</w:t>
      </w:r>
      <w:r w:rsidR="003F1439">
        <w:rPr>
          <w:sz w:val="24"/>
          <w:szCs w:val="24"/>
        </w:rPr>
        <w:t xml:space="preserve">evelopment </w:t>
      </w:r>
      <w:r w:rsidR="00D44A49" w:rsidRPr="00D44A49">
        <w:rPr>
          <w:sz w:val="24"/>
          <w:szCs w:val="24"/>
        </w:rPr>
        <w:t>D</w:t>
      </w:r>
      <w:r w:rsidR="003F1439">
        <w:rPr>
          <w:sz w:val="24"/>
          <w:szCs w:val="24"/>
        </w:rPr>
        <w:t>irectorate (EPSDD)</w:t>
      </w:r>
      <w:r w:rsidR="00D44A49" w:rsidRPr="00D44A49">
        <w:rPr>
          <w:sz w:val="24"/>
          <w:szCs w:val="24"/>
        </w:rPr>
        <w:t xml:space="preserve"> and are available on the EPSDD website.</w:t>
      </w:r>
      <w:r>
        <w:rPr>
          <w:sz w:val="24"/>
          <w:szCs w:val="24"/>
        </w:rPr>
        <w:t xml:space="preserve"> This maintains the approach taken under the </w:t>
      </w:r>
      <w:r w:rsidRPr="00653896">
        <w:rPr>
          <w:i/>
          <w:iCs/>
          <w:sz w:val="24"/>
          <w:szCs w:val="24"/>
        </w:rPr>
        <w:t>Planning and Development Act 2007</w:t>
      </w:r>
      <w:r>
        <w:rPr>
          <w:i/>
          <w:iCs/>
          <w:sz w:val="24"/>
          <w:szCs w:val="24"/>
        </w:rPr>
        <w:t>.</w:t>
      </w:r>
    </w:p>
    <w:p w14:paraId="29ACFA48" w14:textId="79C0C3D1" w:rsidR="00D44A49" w:rsidRDefault="007D0E48" w:rsidP="00264975">
      <w:pPr>
        <w:spacing w:after="120" w:line="240" w:lineRule="auto"/>
        <w:rPr>
          <w:sz w:val="24"/>
          <w:szCs w:val="24"/>
        </w:rPr>
      </w:pPr>
      <w:r w:rsidRPr="007D0E48">
        <w:rPr>
          <w:sz w:val="24"/>
          <w:szCs w:val="24"/>
        </w:rPr>
        <w:t xml:space="preserve">The Bill significantly increases transparency for processes and decision-making and provides for the use of </w:t>
      </w:r>
      <w:r w:rsidR="0087729A">
        <w:rPr>
          <w:sz w:val="24"/>
          <w:szCs w:val="24"/>
        </w:rPr>
        <w:t>the EPSDD</w:t>
      </w:r>
      <w:r w:rsidRPr="007D0E48">
        <w:rPr>
          <w:sz w:val="24"/>
          <w:szCs w:val="24"/>
        </w:rPr>
        <w:t xml:space="preserve"> website in a much greater capacity to provide easier access to information.</w:t>
      </w:r>
      <w:r w:rsidR="00D44A49" w:rsidRPr="00D44A49">
        <w:rPr>
          <w:sz w:val="24"/>
          <w:szCs w:val="24"/>
        </w:rPr>
        <w:t xml:space="preserve"> Any instruments incorporated will be continually monitored by EPSDD and any relevant amendments will be communicated to Panel members, </w:t>
      </w:r>
      <w:proofErr w:type="gramStart"/>
      <w:r w:rsidR="00D44A49" w:rsidRPr="00D44A49">
        <w:rPr>
          <w:sz w:val="24"/>
          <w:szCs w:val="24"/>
        </w:rPr>
        <w:t>applicants</w:t>
      </w:r>
      <w:proofErr w:type="gramEnd"/>
      <w:r w:rsidR="00D44A49" w:rsidRPr="00D44A49">
        <w:rPr>
          <w:sz w:val="24"/>
          <w:szCs w:val="24"/>
        </w:rPr>
        <w:t xml:space="preserve"> and the broader community</w:t>
      </w:r>
      <w:r>
        <w:rPr>
          <w:sz w:val="24"/>
          <w:szCs w:val="24"/>
        </w:rPr>
        <w:t xml:space="preserve"> through the enhanced website. This will allow for the community to have immediate access to </w:t>
      </w:r>
      <w:r w:rsidR="006F49FD">
        <w:rPr>
          <w:sz w:val="24"/>
          <w:szCs w:val="24"/>
        </w:rPr>
        <w:t>up-to-date</w:t>
      </w:r>
      <w:r>
        <w:rPr>
          <w:sz w:val="24"/>
          <w:szCs w:val="24"/>
        </w:rPr>
        <w:t xml:space="preserve"> information.</w:t>
      </w:r>
    </w:p>
    <w:p w14:paraId="0BAE4218" w14:textId="0EC4BB40" w:rsidR="00F352DA" w:rsidRPr="00D44A49" w:rsidRDefault="00EC0691" w:rsidP="00264975">
      <w:pPr>
        <w:pStyle w:val="Footer1"/>
        <w:shd w:val="clear" w:color="auto" w:fill="FFFFFF"/>
        <w:spacing w:before="0" w:beforeAutospacing="0" w:after="120" w:afterAutospacing="0"/>
      </w:pPr>
      <w:r w:rsidRPr="00F352DA">
        <w:rPr>
          <w:rFonts w:ascii="Calibri" w:eastAsia="Calibri" w:hAnsi="Calibri"/>
          <w:lang w:eastAsia="en-US"/>
        </w:rPr>
        <w:t>Section 519</w:t>
      </w:r>
      <w:r w:rsidR="0087729A">
        <w:rPr>
          <w:rFonts w:ascii="Calibri" w:eastAsia="Calibri" w:hAnsi="Calibri"/>
          <w:lang w:eastAsia="en-US"/>
        </w:rPr>
        <w:t xml:space="preserve"> of the Bill</w:t>
      </w:r>
      <w:r w:rsidRPr="00F352DA">
        <w:rPr>
          <w:rFonts w:ascii="Calibri" w:eastAsia="Calibri" w:hAnsi="Calibri"/>
          <w:lang w:eastAsia="en-US"/>
        </w:rPr>
        <w:t xml:space="preserve"> provides that a regulation may make provision about a matter by applying, </w:t>
      </w:r>
      <w:proofErr w:type="gramStart"/>
      <w:r w:rsidRPr="00F352DA">
        <w:rPr>
          <w:rFonts w:ascii="Calibri" w:eastAsia="Calibri" w:hAnsi="Calibri"/>
          <w:lang w:eastAsia="en-US"/>
        </w:rPr>
        <w:t>adopting</w:t>
      </w:r>
      <w:proofErr w:type="gramEnd"/>
      <w:r w:rsidRPr="00F352DA">
        <w:rPr>
          <w:rFonts w:ascii="Calibri" w:eastAsia="Calibri" w:hAnsi="Calibri"/>
          <w:lang w:eastAsia="en-US"/>
        </w:rPr>
        <w:t xml:space="preserve"> or incorporating (with or without change) a standard, or a provision of a standard, as in force from time to time.</w:t>
      </w:r>
      <w:r w:rsidR="00F352DA" w:rsidRPr="00F352DA">
        <w:rPr>
          <w:rFonts w:ascii="Calibri" w:eastAsia="Calibri" w:hAnsi="Calibri"/>
          <w:lang w:eastAsia="en-US"/>
        </w:rPr>
        <w:t xml:space="preserve"> </w:t>
      </w:r>
      <w:r w:rsidRPr="00F352DA">
        <w:rPr>
          <w:rFonts w:ascii="Calibri" w:eastAsia="Calibri" w:hAnsi="Calibri"/>
          <w:lang w:eastAsia="en-US"/>
        </w:rPr>
        <w:t xml:space="preserve">This permits the subordinate legislation (for example the Territory Plan) to reference external documents such as Australian Standards. Section 47(6) of the </w:t>
      </w:r>
      <w:r w:rsidRPr="0087729A">
        <w:rPr>
          <w:rFonts w:ascii="Calibri" w:eastAsia="Calibri" w:hAnsi="Calibri"/>
          <w:i/>
          <w:iCs/>
          <w:lang w:eastAsia="en-US"/>
        </w:rPr>
        <w:t xml:space="preserve">Legislation Act </w:t>
      </w:r>
      <w:r w:rsidR="0087729A" w:rsidRPr="0087729A">
        <w:rPr>
          <w:rFonts w:ascii="Calibri" w:eastAsia="Calibri" w:hAnsi="Calibri"/>
          <w:i/>
          <w:iCs/>
          <w:lang w:eastAsia="en-US"/>
        </w:rPr>
        <w:t>2001</w:t>
      </w:r>
      <w:r w:rsidR="0087729A">
        <w:rPr>
          <w:rFonts w:ascii="Calibri" w:eastAsia="Calibri" w:hAnsi="Calibri"/>
          <w:lang w:eastAsia="en-US"/>
        </w:rPr>
        <w:t xml:space="preserve"> </w:t>
      </w:r>
      <w:r w:rsidRPr="00F352DA">
        <w:rPr>
          <w:rFonts w:ascii="Calibri" w:eastAsia="Calibri" w:hAnsi="Calibri"/>
          <w:lang w:eastAsia="en-US"/>
        </w:rPr>
        <w:t>prohibits subordinate legislation from referencing the latest version of external documents that change from time to time unless this power is specified in the Act. </w:t>
      </w:r>
      <w:r w:rsidR="00F352DA" w:rsidRPr="00F352DA">
        <w:rPr>
          <w:rFonts w:ascii="Calibri" w:eastAsia="Calibri" w:hAnsi="Calibri"/>
          <w:lang w:eastAsia="en-US"/>
        </w:rPr>
        <w:t xml:space="preserve">Section 519 </w:t>
      </w:r>
      <w:r w:rsidR="0087729A">
        <w:rPr>
          <w:rFonts w:ascii="Calibri" w:eastAsia="Calibri" w:hAnsi="Calibri"/>
          <w:lang w:eastAsia="en-US"/>
        </w:rPr>
        <w:t xml:space="preserve">of the Bill </w:t>
      </w:r>
      <w:r w:rsidR="00F352DA" w:rsidRPr="00F352DA">
        <w:rPr>
          <w:rFonts w:ascii="Calibri" w:eastAsia="Calibri" w:hAnsi="Calibri"/>
          <w:lang w:eastAsia="en-US"/>
        </w:rPr>
        <w:t>only applies to an Australian Standard or an Australian/New Zealand Standard</w:t>
      </w:r>
      <w:r w:rsidR="008607E1">
        <w:rPr>
          <w:rFonts w:ascii="Calibri" w:eastAsia="Calibri" w:hAnsi="Calibri"/>
          <w:lang w:eastAsia="en-US"/>
        </w:rPr>
        <w:t xml:space="preserve"> (see s519(5))</w:t>
      </w:r>
      <w:r w:rsidR="00F352DA" w:rsidRPr="00F352DA">
        <w:rPr>
          <w:rFonts w:ascii="Calibri" w:eastAsia="Calibri" w:hAnsi="Calibri"/>
          <w:lang w:eastAsia="en-US"/>
        </w:rPr>
        <w:t xml:space="preserve">, as it seeks to reasonably limit the application of subsection 47(6) of the </w:t>
      </w:r>
      <w:r w:rsidR="00F352DA" w:rsidRPr="00F352DA">
        <w:rPr>
          <w:rFonts w:ascii="Calibri" w:eastAsia="Calibri" w:hAnsi="Calibri"/>
          <w:i/>
          <w:iCs/>
          <w:lang w:eastAsia="en-US"/>
        </w:rPr>
        <w:t>Legislation Act 2001</w:t>
      </w:r>
      <w:r w:rsidR="00F352DA" w:rsidRPr="00F352DA">
        <w:rPr>
          <w:rFonts w:ascii="Calibri" w:eastAsia="Calibri" w:hAnsi="Calibri"/>
          <w:lang w:eastAsia="en-US"/>
        </w:rPr>
        <w:t xml:space="preserve"> to only those instruments </w:t>
      </w:r>
      <w:r w:rsidR="008607E1">
        <w:rPr>
          <w:rFonts w:ascii="Calibri" w:eastAsia="Calibri" w:hAnsi="Calibri"/>
          <w:lang w:eastAsia="en-US"/>
        </w:rPr>
        <w:t>that</w:t>
      </w:r>
      <w:r w:rsidR="00F352DA" w:rsidRPr="00F352DA">
        <w:rPr>
          <w:rFonts w:ascii="Calibri" w:eastAsia="Calibri" w:hAnsi="Calibri"/>
          <w:lang w:eastAsia="en-US"/>
        </w:rPr>
        <w:t xml:space="preserve"> may be subject to copyright.</w:t>
      </w:r>
    </w:p>
    <w:p w14:paraId="507684C5" w14:textId="7835A68E" w:rsidR="00A55E87" w:rsidRDefault="00EC0691" w:rsidP="00264975">
      <w:pPr>
        <w:spacing w:after="120" w:line="240" w:lineRule="auto"/>
        <w:rPr>
          <w:sz w:val="24"/>
          <w:szCs w:val="24"/>
        </w:rPr>
      </w:pPr>
      <w:r w:rsidRPr="00F352DA">
        <w:rPr>
          <w:sz w:val="24"/>
          <w:szCs w:val="24"/>
        </w:rPr>
        <w:t>The Bill seeks to apply a consistent approach across both copyrighted and non-copyrighted instruments</w:t>
      </w:r>
      <w:r w:rsidR="00F352DA" w:rsidRPr="00F352DA">
        <w:rPr>
          <w:sz w:val="24"/>
          <w:szCs w:val="24"/>
        </w:rPr>
        <w:t xml:space="preserve"> </w:t>
      </w:r>
      <w:r w:rsidR="0087729A">
        <w:rPr>
          <w:sz w:val="24"/>
          <w:szCs w:val="24"/>
        </w:rPr>
        <w:t xml:space="preserve">to </w:t>
      </w:r>
      <w:r w:rsidR="008607E1">
        <w:rPr>
          <w:sz w:val="24"/>
          <w:szCs w:val="24"/>
        </w:rPr>
        <w:t xml:space="preserve">make sure that </w:t>
      </w:r>
      <w:r w:rsidR="00F352DA" w:rsidRPr="00F352DA">
        <w:rPr>
          <w:sz w:val="24"/>
          <w:szCs w:val="24"/>
        </w:rPr>
        <w:t>the Territory meets its obligations under copyright law and</w:t>
      </w:r>
      <w:r w:rsidRPr="00F352DA">
        <w:rPr>
          <w:sz w:val="24"/>
          <w:szCs w:val="24"/>
        </w:rPr>
        <w:t xml:space="preserve"> </w:t>
      </w:r>
      <w:r w:rsidR="00F352DA" w:rsidRPr="00F352DA">
        <w:rPr>
          <w:sz w:val="24"/>
          <w:szCs w:val="24"/>
        </w:rPr>
        <w:t>to allow for the</w:t>
      </w:r>
      <w:r w:rsidRPr="00F352DA">
        <w:rPr>
          <w:sz w:val="24"/>
          <w:szCs w:val="24"/>
        </w:rPr>
        <w:t xml:space="preserve"> efficient use of resources. </w:t>
      </w:r>
      <w:r w:rsidR="00F352DA" w:rsidRPr="00F352DA">
        <w:rPr>
          <w:sz w:val="24"/>
          <w:szCs w:val="24"/>
        </w:rPr>
        <w:t>While it is true that not all instruments may be subject to copyright, it is not consider</w:t>
      </w:r>
      <w:r w:rsidR="0004279F">
        <w:rPr>
          <w:sz w:val="24"/>
          <w:szCs w:val="24"/>
        </w:rPr>
        <w:t>ed</w:t>
      </w:r>
      <w:r w:rsidR="00F352DA" w:rsidRPr="00F352DA">
        <w:rPr>
          <w:sz w:val="24"/>
          <w:szCs w:val="24"/>
        </w:rPr>
        <w:t xml:space="preserve"> practical to create a framework where only some of the instruments/standards are notified. This would create considerable uncertainty for use</w:t>
      </w:r>
      <w:r w:rsidR="008607E1">
        <w:rPr>
          <w:sz w:val="24"/>
          <w:szCs w:val="24"/>
        </w:rPr>
        <w:t>r</w:t>
      </w:r>
      <w:r w:rsidR="00F352DA" w:rsidRPr="00F352DA">
        <w:rPr>
          <w:sz w:val="24"/>
          <w:szCs w:val="24"/>
        </w:rPr>
        <w:t>s of the planning system, and so on balance</w:t>
      </w:r>
      <w:r w:rsidR="008607E1">
        <w:rPr>
          <w:sz w:val="24"/>
          <w:szCs w:val="24"/>
        </w:rPr>
        <w:t>,</w:t>
      </w:r>
      <w:r w:rsidR="00F352DA" w:rsidRPr="00F352DA">
        <w:rPr>
          <w:sz w:val="24"/>
          <w:szCs w:val="24"/>
        </w:rPr>
        <w:t xml:space="preserve"> it is considered sensible if </w:t>
      </w:r>
      <w:proofErr w:type="gramStart"/>
      <w:r w:rsidR="00F352DA" w:rsidRPr="00F352DA">
        <w:rPr>
          <w:sz w:val="24"/>
          <w:szCs w:val="24"/>
        </w:rPr>
        <w:t>all of</w:t>
      </w:r>
      <w:proofErr w:type="gramEnd"/>
      <w:r w:rsidR="00F352DA" w:rsidRPr="00F352DA">
        <w:rPr>
          <w:sz w:val="24"/>
          <w:szCs w:val="24"/>
        </w:rPr>
        <w:t xml:space="preserve"> these types of instruments are published in the one </w:t>
      </w:r>
      <w:r w:rsidR="008607E1">
        <w:rPr>
          <w:sz w:val="24"/>
          <w:szCs w:val="24"/>
        </w:rPr>
        <w:t>location</w:t>
      </w:r>
      <w:r w:rsidR="00F352DA" w:rsidRPr="00F352DA">
        <w:rPr>
          <w:sz w:val="24"/>
          <w:szCs w:val="24"/>
        </w:rPr>
        <w:t xml:space="preserve"> – the EPSDD website. This will create a single point of information.</w:t>
      </w:r>
    </w:p>
    <w:p w14:paraId="57E1DCE0" w14:textId="028A3F7F" w:rsidR="0004593D" w:rsidRDefault="00710A95" w:rsidP="00264975">
      <w:pPr>
        <w:spacing w:after="120" w:line="240" w:lineRule="auto"/>
        <w:rPr>
          <w:sz w:val="24"/>
          <w:szCs w:val="24"/>
        </w:rPr>
      </w:pPr>
      <w:r>
        <w:rPr>
          <w:sz w:val="24"/>
          <w:szCs w:val="24"/>
        </w:rPr>
        <w:t>A supplementary</w:t>
      </w:r>
      <w:r w:rsidR="007D0E48">
        <w:rPr>
          <w:sz w:val="24"/>
          <w:szCs w:val="24"/>
        </w:rPr>
        <w:t xml:space="preserve"> explanatory statement will be </w:t>
      </w:r>
      <w:r>
        <w:rPr>
          <w:sz w:val="24"/>
          <w:szCs w:val="24"/>
        </w:rPr>
        <w:t>notified</w:t>
      </w:r>
      <w:r w:rsidR="007D0E48">
        <w:rPr>
          <w:sz w:val="24"/>
          <w:szCs w:val="24"/>
        </w:rPr>
        <w:t xml:space="preserve"> to reflect th</w:t>
      </w:r>
      <w:r w:rsidR="00635715">
        <w:rPr>
          <w:sz w:val="24"/>
          <w:szCs w:val="24"/>
        </w:rPr>
        <w:t>is</w:t>
      </w:r>
      <w:r w:rsidR="007D0E48">
        <w:rPr>
          <w:sz w:val="24"/>
          <w:szCs w:val="24"/>
        </w:rPr>
        <w:t xml:space="preserve"> information.</w:t>
      </w:r>
    </w:p>
    <w:p w14:paraId="39EFBC07" w14:textId="4542BAC4" w:rsidR="0004593D" w:rsidRDefault="0004593D" w:rsidP="00264975">
      <w:pPr>
        <w:spacing w:after="120" w:line="240" w:lineRule="auto"/>
        <w:rPr>
          <w:sz w:val="24"/>
          <w:szCs w:val="24"/>
        </w:rPr>
      </w:pPr>
      <w:r>
        <w:rPr>
          <w:sz w:val="24"/>
          <w:szCs w:val="24"/>
        </w:rPr>
        <w:t>I trust that this response addresses the Committee’s comments in relation to the Bill.</w:t>
      </w:r>
    </w:p>
    <w:p w14:paraId="3C14CB97" w14:textId="77777777" w:rsidR="0004593D" w:rsidRPr="00A031A0" w:rsidRDefault="0004593D" w:rsidP="005427C7">
      <w:pPr>
        <w:spacing w:after="0" w:line="240" w:lineRule="auto"/>
        <w:rPr>
          <w:sz w:val="24"/>
          <w:szCs w:val="24"/>
        </w:rPr>
      </w:pPr>
    </w:p>
    <w:p w14:paraId="68D1C036" w14:textId="77777777" w:rsidR="005427C7" w:rsidRPr="00A031A0" w:rsidRDefault="005427C7" w:rsidP="005427C7">
      <w:pPr>
        <w:spacing w:after="0" w:line="240" w:lineRule="auto"/>
        <w:rPr>
          <w:sz w:val="24"/>
          <w:szCs w:val="24"/>
        </w:rPr>
      </w:pPr>
      <w:r w:rsidRPr="00A031A0">
        <w:rPr>
          <w:sz w:val="24"/>
          <w:szCs w:val="24"/>
        </w:rPr>
        <w:t>Yours sincerely</w:t>
      </w:r>
    </w:p>
    <w:p w14:paraId="224DDDC8" w14:textId="77777777" w:rsidR="009D3104" w:rsidRDefault="009D3104" w:rsidP="00AD7D31">
      <w:pPr>
        <w:spacing w:after="0" w:line="240" w:lineRule="auto"/>
        <w:rPr>
          <w:sz w:val="24"/>
          <w:szCs w:val="24"/>
        </w:rPr>
      </w:pPr>
    </w:p>
    <w:p w14:paraId="1E9CA990" w14:textId="7EE77C78" w:rsidR="00AD7D31" w:rsidRDefault="00F3427A" w:rsidP="00AD7D31">
      <w:pPr>
        <w:spacing w:after="0" w:line="240" w:lineRule="auto"/>
        <w:rPr>
          <w:sz w:val="24"/>
          <w:szCs w:val="24"/>
        </w:rPr>
      </w:pPr>
      <w:r>
        <w:rPr>
          <w:sz w:val="24"/>
          <w:szCs w:val="24"/>
        </w:rPr>
        <w:t>Mick Gentleman</w:t>
      </w:r>
      <w:r w:rsidR="00BC63C4">
        <w:rPr>
          <w:sz w:val="24"/>
          <w:szCs w:val="24"/>
        </w:rPr>
        <w:t xml:space="preserve"> M</w:t>
      </w:r>
      <w:r w:rsidR="00AD7D31" w:rsidRPr="00A031A0">
        <w:rPr>
          <w:sz w:val="24"/>
          <w:szCs w:val="24"/>
        </w:rPr>
        <w:t>LA</w:t>
      </w:r>
    </w:p>
    <w:p w14:paraId="5B58B3F6" w14:textId="119F05A0" w:rsidR="005427C7" w:rsidRPr="00A82C5F" w:rsidRDefault="00373F42" w:rsidP="00AD7D31">
      <w:pPr>
        <w:spacing w:after="0" w:line="240" w:lineRule="auto"/>
        <w:rPr>
          <w:sz w:val="24"/>
          <w:szCs w:val="24"/>
        </w:rPr>
      </w:pPr>
      <w:r>
        <w:rPr>
          <w:sz w:val="24"/>
          <w:szCs w:val="24"/>
        </w:rPr>
        <w:t>Minister for Planning and Land Management</w:t>
      </w:r>
    </w:p>
    <w:sectPr w:rsidR="005427C7" w:rsidRPr="00A82C5F" w:rsidSect="005427C7">
      <w:headerReference w:type="first" r:id="rId12"/>
      <w:footerReference w:type="first" r:id="rId13"/>
      <w:pgSz w:w="11906" w:h="16838" w:code="9"/>
      <w:pgMar w:top="1560" w:right="1021" w:bottom="1440" w:left="1021" w:header="5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B91B1" w14:textId="77777777" w:rsidR="00C8208A" w:rsidRDefault="00C8208A" w:rsidP="00AD7D31">
      <w:pPr>
        <w:spacing w:after="0" w:line="240" w:lineRule="auto"/>
      </w:pPr>
      <w:r>
        <w:separator/>
      </w:r>
    </w:p>
  </w:endnote>
  <w:endnote w:type="continuationSeparator" w:id="0">
    <w:p w14:paraId="4B29A63F" w14:textId="77777777" w:rsidR="00C8208A" w:rsidRDefault="00C8208A"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096"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284"/>
      <w:gridCol w:w="1985"/>
      <w:gridCol w:w="1700"/>
      <w:gridCol w:w="2127"/>
    </w:tblGrid>
    <w:tr w:rsidR="00F3427A" w:rsidRPr="00910ED5" w14:paraId="58C954C9" w14:textId="77777777" w:rsidTr="00F3427A">
      <w:trPr>
        <w:trHeight w:val="285"/>
        <w:jc w:val="right"/>
      </w:trPr>
      <w:tc>
        <w:tcPr>
          <w:tcW w:w="6096" w:type="dxa"/>
          <w:gridSpan w:val="4"/>
          <w:tcBorders>
            <w:bottom w:val="nil"/>
          </w:tcBorders>
        </w:tcPr>
        <w:p w14:paraId="058BA1C2" w14:textId="77777777" w:rsidR="00F3427A" w:rsidRPr="00910ED5" w:rsidRDefault="00F3427A" w:rsidP="00F3427A">
          <w:pPr>
            <w:tabs>
              <w:tab w:val="center" w:pos="4513"/>
              <w:tab w:val="right" w:pos="9026"/>
            </w:tabs>
            <w:spacing w:before="40" w:after="40"/>
            <w:jc w:val="right"/>
            <w:rPr>
              <w:b/>
              <w:bCs/>
              <w:color w:val="724793" w:themeColor="accent2"/>
              <w:spacing w:val="-1"/>
              <w:sz w:val="8"/>
              <w:szCs w:val="8"/>
            </w:rPr>
          </w:pPr>
        </w:p>
      </w:tc>
    </w:tr>
    <w:tr w:rsidR="00F3427A" w:rsidRPr="00910ED5" w14:paraId="5FCAB46E" w14:textId="77777777" w:rsidTr="00F3427A">
      <w:trPr>
        <w:trHeight w:val="340"/>
        <w:jc w:val="right"/>
      </w:trPr>
      <w:tc>
        <w:tcPr>
          <w:tcW w:w="6096" w:type="dxa"/>
          <w:gridSpan w:val="4"/>
          <w:tcBorders>
            <w:top w:val="nil"/>
            <w:bottom w:val="single" w:sz="4" w:space="0" w:color="724793"/>
          </w:tcBorders>
        </w:tcPr>
        <w:p w14:paraId="3EC67D89"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F3427A" w:rsidRPr="00910ED5" w14:paraId="02F804E3" w14:textId="77777777" w:rsidTr="00F3427A">
      <w:trPr>
        <w:trHeight w:val="20"/>
        <w:jc w:val="right"/>
      </w:trPr>
      <w:tc>
        <w:tcPr>
          <w:tcW w:w="284" w:type="dxa"/>
          <w:tcBorders>
            <w:top w:val="single" w:sz="4" w:space="0" w:color="724793"/>
            <w:bottom w:val="nil"/>
          </w:tcBorders>
          <w:vAlign w:val="center"/>
        </w:tcPr>
        <w:p w14:paraId="7E78BA9F" w14:textId="77777777" w:rsidR="00F3427A" w:rsidRPr="00910ED5" w:rsidRDefault="00F3427A" w:rsidP="00F3427A">
          <w:pPr>
            <w:tabs>
              <w:tab w:val="center" w:pos="4513"/>
              <w:tab w:val="right" w:pos="9026"/>
            </w:tabs>
            <w:spacing w:before="40" w:after="40"/>
            <w:jc w:val="right"/>
            <w:rPr>
              <w:color w:val="724793" w:themeColor="accent2"/>
              <w:spacing w:val="-1"/>
              <w:sz w:val="18"/>
              <w:szCs w:val="18"/>
            </w:rPr>
          </w:pPr>
        </w:p>
      </w:tc>
      <w:tc>
        <w:tcPr>
          <w:tcW w:w="1985" w:type="dxa"/>
          <w:tcBorders>
            <w:top w:val="single" w:sz="4" w:space="0" w:color="724793"/>
            <w:bottom w:val="single" w:sz="4" w:space="0" w:color="724793"/>
          </w:tcBorders>
          <w:vAlign w:val="center"/>
        </w:tcPr>
        <w:p w14:paraId="789C5DB8" w14:textId="77777777" w:rsidR="00F3427A" w:rsidRPr="00910ED5" w:rsidRDefault="00F3427A" w:rsidP="00F3427A">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700" w:type="dxa"/>
          <w:tcBorders>
            <w:top w:val="single" w:sz="4" w:space="0" w:color="724793"/>
          </w:tcBorders>
          <w:vAlign w:val="center"/>
        </w:tcPr>
        <w:p w14:paraId="21C454B5"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4F47CF9B" wp14:editId="10F459E2">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3BE50A7"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+61 2 6205 0</w:t>
          </w:r>
          <w:r>
            <w:rPr>
              <w:color w:val="724793" w:themeColor="accent2"/>
              <w:spacing w:val="-4"/>
              <w:sz w:val="18"/>
              <w:szCs w:val="18"/>
            </w:rPr>
            <w:t>051</w:t>
          </w:r>
          <w:r w:rsidRPr="00910ED5">
            <w:rPr>
              <w:color w:val="724793" w:themeColor="accent2"/>
              <w:spacing w:val="-4"/>
              <w:sz w:val="18"/>
              <w:szCs w:val="18"/>
            </w:rPr>
            <w:t xml:space="preserve">    </w:t>
          </w:r>
        </w:p>
      </w:tc>
      <w:tc>
        <w:tcPr>
          <w:tcW w:w="2127" w:type="dxa"/>
          <w:tcBorders>
            <w:top w:val="single" w:sz="4" w:space="0" w:color="724793"/>
          </w:tcBorders>
          <w:vAlign w:val="center"/>
        </w:tcPr>
        <w:p w14:paraId="03F256C9"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0928EE26" wp14:editId="0244E061">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6209D9D"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gentleman</w:t>
          </w:r>
          <w:r w:rsidRPr="00910ED5">
            <w:rPr>
              <w:color w:val="724793" w:themeColor="accent2"/>
              <w:spacing w:val="-4"/>
              <w:sz w:val="18"/>
              <w:szCs w:val="18"/>
            </w:rPr>
            <w:t>@act.gov.au</w:t>
          </w:r>
        </w:p>
      </w:tc>
    </w:tr>
    <w:tr w:rsidR="00F3427A" w:rsidRPr="00910ED5" w14:paraId="153F6268" w14:textId="77777777" w:rsidTr="00F3427A">
      <w:trPr>
        <w:trHeight w:val="20"/>
        <w:jc w:val="right"/>
      </w:trPr>
      <w:tc>
        <w:tcPr>
          <w:tcW w:w="284" w:type="dxa"/>
          <w:tcBorders>
            <w:top w:val="nil"/>
            <w:bottom w:val="nil"/>
          </w:tcBorders>
          <w:vAlign w:val="center"/>
        </w:tcPr>
        <w:p w14:paraId="7FE01DDA"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p>
      </w:tc>
      <w:tc>
        <w:tcPr>
          <w:tcW w:w="1985" w:type="dxa"/>
          <w:tcBorders>
            <w:top w:val="single" w:sz="4" w:space="0" w:color="724793"/>
            <w:bottom w:val="nil"/>
          </w:tcBorders>
          <w:vAlign w:val="center"/>
        </w:tcPr>
        <w:p w14:paraId="53E6268A"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2760A209" wp14:editId="413500F9">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4C37A87"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GENTLEMANMick</w:t>
          </w:r>
        </w:p>
      </w:tc>
      <w:tc>
        <w:tcPr>
          <w:tcW w:w="1700" w:type="dxa"/>
          <w:vAlign w:val="center"/>
        </w:tcPr>
        <w:p w14:paraId="3F614DBB" w14:textId="77777777" w:rsidR="00F3427A" w:rsidRPr="00910ED5" w:rsidRDefault="008707AA" w:rsidP="00F3427A">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297328CD" wp14:editId="41F0F9DE">
                    <wp:extent cx="181428" cy="178901"/>
                    <wp:effectExtent l="0" t="0" r="9525" b="0"/>
                    <wp:docPr id="1"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6"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01043B9B"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F3427A" w:rsidRPr="00910ED5">
            <w:rPr>
              <w:color w:val="724793" w:themeColor="accent2"/>
              <w:spacing w:val="-4"/>
              <w:sz w:val="18"/>
              <w:szCs w:val="18"/>
            </w:rPr>
            <w:t xml:space="preserve"> </w:t>
          </w:r>
          <w:proofErr w:type="spellStart"/>
          <w:r w:rsidR="00F3427A">
            <w:rPr>
              <w:color w:val="724793" w:themeColor="accent2"/>
              <w:spacing w:val="-4"/>
              <w:sz w:val="18"/>
              <w:szCs w:val="18"/>
            </w:rPr>
            <w:t>MickGentleman</w:t>
          </w:r>
          <w:proofErr w:type="spellEnd"/>
        </w:p>
      </w:tc>
      <w:tc>
        <w:tcPr>
          <w:tcW w:w="2127" w:type="dxa"/>
          <w:vAlign w:val="center"/>
        </w:tcPr>
        <w:p w14:paraId="12EFD15C"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54AE98BB" wp14:editId="49262B07">
                    <wp:extent cx="168275" cy="168275"/>
                    <wp:effectExtent l="0" t="0" r="3175" b="3175"/>
                    <wp:docPr id="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8" name="Oval 8"/>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9146A90"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">
                    <v:oval id="Oval 8"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proofErr w:type="spellStart"/>
          <w:proofErr w:type="gramStart"/>
          <w:r>
            <w:rPr>
              <w:color w:val="724793" w:themeColor="accent2"/>
              <w:spacing w:val="-4"/>
              <w:sz w:val="18"/>
              <w:szCs w:val="18"/>
            </w:rPr>
            <w:t>mick.gentleman</w:t>
          </w:r>
          <w:proofErr w:type="spellEnd"/>
          <w:proofErr w:type="gramEnd"/>
        </w:p>
      </w:tc>
    </w:tr>
  </w:tbl>
  <w:p w14:paraId="3BAEFB29" w14:textId="77777777" w:rsidR="008C5119" w:rsidRDefault="008C5119" w:rsidP="00F3427A">
    <w:pPr>
      <w:pStyle w:val="Footer"/>
      <w:jc w:val="left"/>
    </w:pPr>
    <w:r>
      <w:rPr>
        <w:noProof/>
      </w:rPr>
      <w:drawing>
        <wp:anchor distT="0" distB="0" distL="114300" distR="114300" simplePos="0" relativeHeight="251677696" behindDoc="1" locked="0" layoutInCell="1" allowOverlap="1" wp14:anchorId="584D975D" wp14:editId="33B4B33C">
          <wp:simplePos x="0" y="0"/>
          <wp:positionH relativeFrom="page">
            <wp:posOffset>4763</wp:posOffset>
          </wp:positionH>
          <wp:positionV relativeFrom="paragraph">
            <wp:posOffset>-949150</wp:posOffset>
          </wp:positionV>
          <wp:extent cx="7162800" cy="1502235"/>
          <wp:effectExtent l="0" t="0" r="0" b="3175"/>
          <wp:wrapNone/>
          <wp:docPr id="24" name="Picture 2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9339" cy="1503606"/>
                  </a:xfrm>
                  <a:prstGeom prst="rect">
                    <a:avLst/>
                  </a:prstGeom>
                </pic:spPr>
              </pic:pic>
            </a:graphicData>
          </a:graphic>
          <wp14:sizeRelH relativeFrom="page">
            <wp14:pctWidth>0</wp14:pctWidth>
          </wp14:sizeRelH>
          <wp14:sizeRelV relativeFrom="page">
            <wp14:pctHeight>0</wp14:pctHeight>
          </wp14:sizeRelV>
        </wp:anchor>
      </w:drawing>
    </w:r>
  </w:p>
  <w:p w14:paraId="42E62365"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098A1" w14:textId="77777777" w:rsidR="00C8208A" w:rsidRDefault="00C8208A" w:rsidP="00AD7D31">
      <w:pPr>
        <w:spacing w:after="0" w:line="240" w:lineRule="auto"/>
      </w:pPr>
      <w:r>
        <w:separator/>
      </w:r>
    </w:p>
  </w:footnote>
  <w:footnote w:type="continuationSeparator" w:id="0">
    <w:p w14:paraId="04F03C18" w14:textId="77777777" w:rsidR="00C8208A" w:rsidRDefault="00C8208A"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9142"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3337C44B" wp14:editId="7D723042">
          <wp:simplePos x="0" y="0"/>
          <wp:positionH relativeFrom="margin">
            <wp:posOffset>-619758</wp:posOffset>
          </wp:positionH>
          <wp:positionV relativeFrom="paragraph">
            <wp:posOffset>-36195</wp:posOffset>
          </wp:positionV>
          <wp:extent cx="7538814" cy="1580719"/>
          <wp:effectExtent l="0" t="0" r="508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20B24AF7" wp14:editId="72F2AA49">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4C3FD4C1"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36F761FA" w14:textId="77777777" w:rsidR="00F3427A" w:rsidRPr="00DD766A" w:rsidRDefault="00F3427A" w:rsidP="00F3427A">
    <w:pPr>
      <w:pStyle w:val="Portfolios"/>
    </w:pPr>
    <w:r>
      <w:rPr>
        <w:b/>
        <w:color w:val="231F20"/>
        <w:spacing w:val="-1"/>
        <w:sz w:val="24"/>
      </w:rPr>
      <w:t>Mick Gentleman MLA</w:t>
    </w:r>
    <w:r w:rsidRPr="00DD766A">
      <w:t xml:space="preserve"> </w:t>
    </w:r>
    <w:r>
      <w:br/>
      <w:t>Manager of Government Business</w:t>
    </w:r>
    <w:r>
      <w:br/>
      <w:t>Minister for Planning and Land Management</w:t>
    </w:r>
    <w:r>
      <w:br/>
      <w:t>Minister for Police and Emergency Services</w:t>
    </w:r>
    <w:r>
      <w:br/>
      <w:t>Minister for Corrections</w:t>
    </w:r>
    <w:r>
      <w:br/>
      <w:t>Minister for Industrial Relations and Workplace Safety</w:t>
    </w:r>
  </w:p>
  <w:p w14:paraId="4B7674DC"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627BBA70" wp14:editId="3FAC47B5">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474832"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F3427A">
      <w:rPr>
        <w:rFonts w:ascii="Calibri" w:hAnsi="Calibri"/>
        <w:sz w:val="20"/>
        <w:szCs w:val="20"/>
      </w:rPr>
      <w:t>Brindabella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7C9B8"/>
    <w:multiLevelType w:val="hybridMultilevel"/>
    <w:tmpl w:val="11B473D4"/>
    <w:lvl w:ilvl="0" w:tplc="F1E2005A">
      <w:start w:val="2"/>
      <w:numFmt w:val="decimal"/>
      <w:lvlText w:val="%1."/>
      <w:lvlJc w:val="left"/>
      <w:pPr>
        <w:ind w:left="720" w:hanging="360"/>
      </w:pPr>
      <w:rPr>
        <w:i/>
        <w:iCs/>
      </w:rPr>
    </w:lvl>
    <w:lvl w:ilvl="1" w:tplc="7EE83160">
      <w:start w:val="1"/>
      <w:numFmt w:val="lowerLetter"/>
      <w:lvlText w:val="%2."/>
      <w:lvlJc w:val="left"/>
      <w:pPr>
        <w:ind w:left="1440" w:hanging="360"/>
      </w:pPr>
    </w:lvl>
    <w:lvl w:ilvl="2" w:tplc="BE3EE14C">
      <w:start w:val="1"/>
      <w:numFmt w:val="lowerRoman"/>
      <w:lvlText w:val="%3."/>
      <w:lvlJc w:val="right"/>
      <w:pPr>
        <w:ind w:left="2160" w:hanging="180"/>
      </w:pPr>
    </w:lvl>
    <w:lvl w:ilvl="3" w:tplc="A5926CCE">
      <w:start w:val="1"/>
      <w:numFmt w:val="decimal"/>
      <w:lvlText w:val="%4."/>
      <w:lvlJc w:val="left"/>
      <w:pPr>
        <w:ind w:left="2880" w:hanging="360"/>
      </w:pPr>
    </w:lvl>
    <w:lvl w:ilvl="4" w:tplc="82F203AA">
      <w:start w:val="1"/>
      <w:numFmt w:val="lowerLetter"/>
      <w:lvlText w:val="%5."/>
      <w:lvlJc w:val="left"/>
      <w:pPr>
        <w:ind w:left="3600" w:hanging="360"/>
      </w:pPr>
    </w:lvl>
    <w:lvl w:ilvl="5" w:tplc="E1B69814">
      <w:start w:val="1"/>
      <w:numFmt w:val="lowerRoman"/>
      <w:lvlText w:val="%6."/>
      <w:lvlJc w:val="right"/>
      <w:pPr>
        <w:ind w:left="4320" w:hanging="180"/>
      </w:pPr>
    </w:lvl>
    <w:lvl w:ilvl="6" w:tplc="9C02849E">
      <w:start w:val="1"/>
      <w:numFmt w:val="decimal"/>
      <w:lvlText w:val="%7."/>
      <w:lvlJc w:val="left"/>
      <w:pPr>
        <w:ind w:left="5040" w:hanging="360"/>
      </w:pPr>
    </w:lvl>
    <w:lvl w:ilvl="7" w:tplc="36B2B5D4">
      <w:start w:val="1"/>
      <w:numFmt w:val="lowerLetter"/>
      <w:lvlText w:val="%8."/>
      <w:lvlJc w:val="left"/>
      <w:pPr>
        <w:ind w:left="5760" w:hanging="360"/>
      </w:pPr>
    </w:lvl>
    <w:lvl w:ilvl="8" w:tplc="3BF0E180">
      <w:start w:val="1"/>
      <w:numFmt w:val="lowerRoman"/>
      <w:lvlText w:val="%9."/>
      <w:lvlJc w:val="right"/>
      <w:pPr>
        <w:ind w:left="6480" w:hanging="180"/>
      </w:pPr>
    </w:lvl>
  </w:abstractNum>
  <w:abstractNum w:abstractNumId="1" w15:restartNumberingAfterBreak="0">
    <w:nsid w:val="34A81703"/>
    <w:multiLevelType w:val="hybridMultilevel"/>
    <w:tmpl w:val="6826D8C4"/>
    <w:lvl w:ilvl="0" w:tplc="69BA83CC">
      <w:start w:val="1"/>
      <w:numFmt w:val="decimal"/>
      <w:lvlText w:val="%1."/>
      <w:lvlJc w:val="left"/>
      <w:pPr>
        <w:ind w:left="720" w:hanging="360"/>
      </w:pPr>
      <w:rPr>
        <w:i/>
        <w:iCs/>
      </w:rPr>
    </w:lvl>
    <w:lvl w:ilvl="1" w:tplc="6CFEAF90">
      <w:start w:val="1"/>
      <w:numFmt w:val="lowerLetter"/>
      <w:lvlText w:val="%2."/>
      <w:lvlJc w:val="left"/>
      <w:pPr>
        <w:ind w:left="1440" w:hanging="360"/>
      </w:pPr>
    </w:lvl>
    <w:lvl w:ilvl="2" w:tplc="DC288890">
      <w:start w:val="1"/>
      <w:numFmt w:val="lowerRoman"/>
      <w:lvlText w:val="%3."/>
      <w:lvlJc w:val="right"/>
      <w:pPr>
        <w:ind w:left="2160" w:hanging="180"/>
      </w:pPr>
    </w:lvl>
    <w:lvl w:ilvl="3" w:tplc="71ECDBCE">
      <w:start w:val="1"/>
      <w:numFmt w:val="decimal"/>
      <w:lvlText w:val="%4."/>
      <w:lvlJc w:val="left"/>
      <w:pPr>
        <w:ind w:left="2880" w:hanging="360"/>
      </w:pPr>
    </w:lvl>
    <w:lvl w:ilvl="4" w:tplc="241472FE">
      <w:start w:val="1"/>
      <w:numFmt w:val="lowerLetter"/>
      <w:lvlText w:val="%5."/>
      <w:lvlJc w:val="left"/>
      <w:pPr>
        <w:ind w:left="3600" w:hanging="360"/>
      </w:pPr>
    </w:lvl>
    <w:lvl w:ilvl="5" w:tplc="E25A4A44">
      <w:start w:val="1"/>
      <w:numFmt w:val="lowerRoman"/>
      <w:lvlText w:val="%6."/>
      <w:lvlJc w:val="right"/>
      <w:pPr>
        <w:ind w:left="4320" w:hanging="180"/>
      </w:pPr>
    </w:lvl>
    <w:lvl w:ilvl="6" w:tplc="6D1C65E4">
      <w:start w:val="1"/>
      <w:numFmt w:val="decimal"/>
      <w:lvlText w:val="%7."/>
      <w:lvlJc w:val="left"/>
      <w:pPr>
        <w:ind w:left="5040" w:hanging="360"/>
      </w:pPr>
    </w:lvl>
    <w:lvl w:ilvl="7" w:tplc="6A1636CE">
      <w:start w:val="1"/>
      <w:numFmt w:val="lowerLetter"/>
      <w:lvlText w:val="%8."/>
      <w:lvlJc w:val="left"/>
      <w:pPr>
        <w:ind w:left="5760" w:hanging="360"/>
      </w:pPr>
    </w:lvl>
    <w:lvl w:ilvl="8" w:tplc="E0441604">
      <w:start w:val="1"/>
      <w:numFmt w:val="lowerRoman"/>
      <w:lvlText w:val="%9."/>
      <w:lvlJc w:val="right"/>
      <w:pPr>
        <w:ind w:left="6480" w:hanging="180"/>
      </w:pPr>
    </w:lvl>
  </w:abstractNum>
  <w:abstractNum w:abstractNumId="2" w15:restartNumberingAfterBreak="0">
    <w:nsid w:val="38CF9BD4"/>
    <w:multiLevelType w:val="hybridMultilevel"/>
    <w:tmpl w:val="52785800"/>
    <w:lvl w:ilvl="0" w:tplc="72B0648E">
      <w:start w:val="3"/>
      <w:numFmt w:val="decimal"/>
      <w:lvlText w:val="%1."/>
      <w:lvlJc w:val="left"/>
      <w:pPr>
        <w:ind w:left="720" w:hanging="360"/>
      </w:pPr>
      <w:rPr>
        <w:i/>
        <w:iCs/>
      </w:rPr>
    </w:lvl>
    <w:lvl w:ilvl="1" w:tplc="8C227CAC">
      <w:start w:val="1"/>
      <w:numFmt w:val="lowerLetter"/>
      <w:lvlText w:val="%2."/>
      <w:lvlJc w:val="left"/>
      <w:pPr>
        <w:ind w:left="1440" w:hanging="360"/>
      </w:pPr>
    </w:lvl>
    <w:lvl w:ilvl="2" w:tplc="4A9EFF3C">
      <w:start w:val="1"/>
      <w:numFmt w:val="lowerRoman"/>
      <w:lvlText w:val="%3."/>
      <w:lvlJc w:val="right"/>
      <w:pPr>
        <w:ind w:left="2160" w:hanging="180"/>
      </w:pPr>
    </w:lvl>
    <w:lvl w:ilvl="3" w:tplc="63066812">
      <w:start w:val="1"/>
      <w:numFmt w:val="decimal"/>
      <w:lvlText w:val="%4."/>
      <w:lvlJc w:val="left"/>
      <w:pPr>
        <w:ind w:left="2880" w:hanging="360"/>
      </w:pPr>
    </w:lvl>
    <w:lvl w:ilvl="4" w:tplc="E0D87EC0">
      <w:start w:val="1"/>
      <w:numFmt w:val="lowerLetter"/>
      <w:lvlText w:val="%5."/>
      <w:lvlJc w:val="left"/>
      <w:pPr>
        <w:ind w:left="3600" w:hanging="360"/>
      </w:pPr>
    </w:lvl>
    <w:lvl w:ilvl="5" w:tplc="20D884E4">
      <w:start w:val="1"/>
      <w:numFmt w:val="lowerRoman"/>
      <w:lvlText w:val="%6."/>
      <w:lvlJc w:val="right"/>
      <w:pPr>
        <w:ind w:left="4320" w:hanging="180"/>
      </w:pPr>
    </w:lvl>
    <w:lvl w:ilvl="6" w:tplc="AF5E2BA0">
      <w:start w:val="1"/>
      <w:numFmt w:val="decimal"/>
      <w:lvlText w:val="%7."/>
      <w:lvlJc w:val="left"/>
      <w:pPr>
        <w:ind w:left="5040" w:hanging="360"/>
      </w:pPr>
    </w:lvl>
    <w:lvl w:ilvl="7" w:tplc="E42A9D34">
      <w:start w:val="1"/>
      <w:numFmt w:val="lowerLetter"/>
      <w:lvlText w:val="%8."/>
      <w:lvlJc w:val="left"/>
      <w:pPr>
        <w:ind w:left="5760" w:hanging="360"/>
      </w:pPr>
    </w:lvl>
    <w:lvl w:ilvl="8" w:tplc="83225946">
      <w:start w:val="1"/>
      <w:numFmt w:val="lowerRoman"/>
      <w:lvlText w:val="%9."/>
      <w:lvlJc w:val="right"/>
      <w:pPr>
        <w:ind w:left="6480" w:hanging="180"/>
      </w:pPr>
    </w:lvl>
  </w:abstractNum>
  <w:abstractNum w:abstractNumId="3" w15:restartNumberingAfterBreak="0">
    <w:nsid w:val="790D4E7A"/>
    <w:multiLevelType w:val="hybridMultilevel"/>
    <w:tmpl w:val="35C2D402"/>
    <w:lvl w:ilvl="0" w:tplc="F3A6BBF4">
      <w:start w:val="4"/>
      <w:numFmt w:val="decimal"/>
      <w:lvlText w:val="%1."/>
      <w:lvlJc w:val="left"/>
      <w:pPr>
        <w:ind w:left="720" w:hanging="360"/>
      </w:pPr>
      <w:rPr>
        <w:i/>
        <w:iCs/>
      </w:rPr>
    </w:lvl>
    <w:lvl w:ilvl="1" w:tplc="240667DE">
      <w:start w:val="1"/>
      <w:numFmt w:val="lowerLetter"/>
      <w:lvlText w:val="%2."/>
      <w:lvlJc w:val="left"/>
      <w:pPr>
        <w:ind w:left="1440" w:hanging="360"/>
      </w:pPr>
    </w:lvl>
    <w:lvl w:ilvl="2" w:tplc="35ECF978">
      <w:start w:val="1"/>
      <w:numFmt w:val="lowerRoman"/>
      <w:lvlText w:val="%3."/>
      <w:lvlJc w:val="right"/>
      <w:pPr>
        <w:ind w:left="2160" w:hanging="180"/>
      </w:pPr>
    </w:lvl>
    <w:lvl w:ilvl="3" w:tplc="3684ED68">
      <w:start w:val="1"/>
      <w:numFmt w:val="decimal"/>
      <w:lvlText w:val="%4."/>
      <w:lvlJc w:val="left"/>
      <w:pPr>
        <w:ind w:left="2880" w:hanging="360"/>
      </w:pPr>
    </w:lvl>
    <w:lvl w:ilvl="4" w:tplc="2CA2AF62">
      <w:start w:val="1"/>
      <w:numFmt w:val="lowerLetter"/>
      <w:lvlText w:val="%5."/>
      <w:lvlJc w:val="left"/>
      <w:pPr>
        <w:ind w:left="3600" w:hanging="360"/>
      </w:pPr>
    </w:lvl>
    <w:lvl w:ilvl="5" w:tplc="C35883FA">
      <w:start w:val="1"/>
      <w:numFmt w:val="lowerRoman"/>
      <w:lvlText w:val="%6."/>
      <w:lvlJc w:val="right"/>
      <w:pPr>
        <w:ind w:left="4320" w:hanging="180"/>
      </w:pPr>
    </w:lvl>
    <w:lvl w:ilvl="6" w:tplc="B5B80A04">
      <w:start w:val="1"/>
      <w:numFmt w:val="decimal"/>
      <w:lvlText w:val="%7."/>
      <w:lvlJc w:val="left"/>
      <w:pPr>
        <w:ind w:left="5040" w:hanging="360"/>
      </w:pPr>
    </w:lvl>
    <w:lvl w:ilvl="7" w:tplc="856C23A0">
      <w:start w:val="1"/>
      <w:numFmt w:val="lowerLetter"/>
      <w:lvlText w:val="%8."/>
      <w:lvlJc w:val="left"/>
      <w:pPr>
        <w:ind w:left="5760" w:hanging="360"/>
      </w:pPr>
    </w:lvl>
    <w:lvl w:ilvl="8" w:tplc="398E842E">
      <w:start w:val="1"/>
      <w:numFmt w:val="lowerRoman"/>
      <w:lvlText w:val="%9."/>
      <w:lvlJc w:val="right"/>
      <w:pPr>
        <w:ind w:left="6480" w:hanging="180"/>
      </w:pPr>
    </w:lvl>
  </w:abstractNum>
  <w:num w:numId="1" w16cid:durableId="810249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70273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08836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39009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7E"/>
    <w:rsid w:val="00003B4A"/>
    <w:rsid w:val="00003DF4"/>
    <w:rsid w:val="000125FC"/>
    <w:rsid w:val="00027AFE"/>
    <w:rsid w:val="0004279F"/>
    <w:rsid w:val="0004593D"/>
    <w:rsid w:val="0006371F"/>
    <w:rsid w:val="000712A6"/>
    <w:rsid w:val="0008072A"/>
    <w:rsid w:val="00097B7C"/>
    <w:rsid w:val="000C331E"/>
    <w:rsid w:val="000D5F11"/>
    <w:rsid w:val="000F1D0D"/>
    <w:rsid w:val="00131016"/>
    <w:rsid w:val="00143FF7"/>
    <w:rsid w:val="001450DC"/>
    <w:rsid w:val="00156383"/>
    <w:rsid w:val="001804F3"/>
    <w:rsid w:val="001851B2"/>
    <w:rsid w:val="00192E99"/>
    <w:rsid w:val="00195EAD"/>
    <w:rsid w:val="001B5112"/>
    <w:rsid w:val="001D7389"/>
    <w:rsid w:val="00240F3E"/>
    <w:rsid w:val="002450E9"/>
    <w:rsid w:val="00246402"/>
    <w:rsid w:val="0025005A"/>
    <w:rsid w:val="00255D0F"/>
    <w:rsid w:val="00264975"/>
    <w:rsid w:val="00276644"/>
    <w:rsid w:val="002D4441"/>
    <w:rsid w:val="002E1D40"/>
    <w:rsid w:val="002E2113"/>
    <w:rsid w:val="002F6502"/>
    <w:rsid w:val="00304FA0"/>
    <w:rsid w:val="00313E4A"/>
    <w:rsid w:val="0035777F"/>
    <w:rsid w:val="00373F42"/>
    <w:rsid w:val="003C1D94"/>
    <w:rsid w:val="003E4068"/>
    <w:rsid w:val="003F1439"/>
    <w:rsid w:val="00403006"/>
    <w:rsid w:val="0041104E"/>
    <w:rsid w:val="004517FA"/>
    <w:rsid w:val="00462B71"/>
    <w:rsid w:val="0048077D"/>
    <w:rsid w:val="004E55CC"/>
    <w:rsid w:val="00514AA1"/>
    <w:rsid w:val="00521C5A"/>
    <w:rsid w:val="005351C5"/>
    <w:rsid w:val="005427C7"/>
    <w:rsid w:val="00550BD0"/>
    <w:rsid w:val="00556BE2"/>
    <w:rsid w:val="0055749D"/>
    <w:rsid w:val="005928BC"/>
    <w:rsid w:val="00592985"/>
    <w:rsid w:val="005C4787"/>
    <w:rsid w:val="005E7DE1"/>
    <w:rsid w:val="0060722C"/>
    <w:rsid w:val="0061634E"/>
    <w:rsid w:val="006240F4"/>
    <w:rsid w:val="00635715"/>
    <w:rsid w:val="0064748B"/>
    <w:rsid w:val="00653896"/>
    <w:rsid w:val="00655CD8"/>
    <w:rsid w:val="00676177"/>
    <w:rsid w:val="006838AA"/>
    <w:rsid w:val="00696899"/>
    <w:rsid w:val="006A1B70"/>
    <w:rsid w:val="006B1F3F"/>
    <w:rsid w:val="006C6335"/>
    <w:rsid w:val="006F49FD"/>
    <w:rsid w:val="006F7ACC"/>
    <w:rsid w:val="00710A95"/>
    <w:rsid w:val="00712BA7"/>
    <w:rsid w:val="00714D11"/>
    <w:rsid w:val="007222F2"/>
    <w:rsid w:val="00725519"/>
    <w:rsid w:val="00742013"/>
    <w:rsid w:val="00755B51"/>
    <w:rsid w:val="00787B22"/>
    <w:rsid w:val="00795E1D"/>
    <w:rsid w:val="007B465C"/>
    <w:rsid w:val="007B7A5E"/>
    <w:rsid w:val="007C69A4"/>
    <w:rsid w:val="007D0E48"/>
    <w:rsid w:val="007D7FAC"/>
    <w:rsid w:val="007F5BA8"/>
    <w:rsid w:val="00801874"/>
    <w:rsid w:val="00806ACB"/>
    <w:rsid w:val="00815C48"/>
    <w:rsid w:val="00832D8E"/>
    <w:rsid w:val="008341A4"/>
    <w:rsid w:val="00834846"/>
    <w:rsid w:val="0084729B"/>
    <w:rsid w:val="00855531"/>
    <w:rsid w:val="008607E1"/>
    <w:rsid w:val="008707AA"/>
    <w:rsid w:val="00871BEA"/>
    <w:rsid w:val="0087729A"/>
    <w:rsid w:val="00893CE4"/>
    <w:rsid w:val="008A04F4"/>
    <w:rsid w:val="008C5119"/>
    <w:rsid w:val="008D15E5"/>
    <w:rsid w:val="008D37E0"/>
    <w:rsid w:val="008D51B1"/>
    <w:rsid w:val="008F40DD"/>
    <w:rsid w:val="00902E11"/>
    <w:rsid w:val="00905F4F"/>
    <w:rsid w:val="00921C77"/>
    <w:rsid w:val="00926B82"/>
    <w:rsid w:val="00942B8E"/>
    <w:rsid w:val="0099069C"/>
    <w:rsid w:val="009B6D21"/>
    <w:rsid w:val="009C2877"/>
    <w:rsid w:val="009C3EE2"/>
    <w:rsid w:val="009D3104"/>
    <w:rsid w:val="009F6845"/>
    <w:rsid w:val="00A031A0"/>
    <w:rsid w:val="00A24261"/>
    <w:rsid w:val="00A2718B"/>
    <w:rsid w:val="00A4183B"/>
    <w:rsid w:val="00A55E87"/>
    <w:rsid w:val="00A6097C"/>
    <w:rsid w:val="00A7031B"/>
    <w:rsid w:val="00A82C5F"/>
    <w:rsid w:val="00AA548E"/>
    <w:rsid w:val="00AB51EF"/>
    <w:rsid w:val="00AD7D31"/>
    <w:rsid w:val="00AF08DA"/>
    <w:rsid w:val="00AF2B15"/>
    <w:rsid w:val="00B02560"/>
    <w:rsid w:val="00B06578"/>
    <w:rsid w:val="00B33623"/>
    <w:rsid w:val="00B42FD2"/>
    <w:rsid w:val="00B50376"/>
    <w:rsid w:val="00B613C8"/>
    <w:rsid w:val="00B82040"/>
    <w:rsid w:val="00B85096"/>
    <w:rsid w:val="00B91F55"/>
    <w:rsid w:val="00BC63C4"/>
    <w:rsid w:val="00C0333A"/>
    <w:rsid w:val="00C04DFF"/>
    <w:rsid w:val="00C21C64"/>
    <w:rsid w:val="00C64FB5"/>
    <w:rsid w:val="00C8208A"/>
    <w:rsid w:val="00C974EF"/>
    <w:rsid w:val="00CA0045"/>
    <w:rsid w:val="00CC137B"/>
    <w:rsid w:val="00CE5FC6"/>
    <w:rsid w:val="00CE7BE1"/>
    <w:rsid w:val="00CF2274"/>
    <w:rsid w:val="00D43538"/>
    <w:rsid w:val="00D44A49"/>
    <w:rsid w:val="00D80E2E"/>
    <w:rsid w:val="00DA453E"/>
    <w:rsid w:val="00DC1195"/>
    <w:rsid w:val="00DC1249"/>
    <w:rsid w:val="00DD593C"/>
    <w:rsid w:val="00DD766A"/>
    <w:rsid w:val="00E04FD9"/>
    <w:rsid w:val="00E115C2"/>
    <w:rsid w:val="00E26C07"/>
    <w:rsid w:val="00E44BE7"/>
    <w:rsid w:val="00E80BC3"/>
    <w:rsid w:val="00EA7B1C"/>
    <w:rsid w:val="00EB388C"/>
    <w:rsid w:val="00EC0691"/>
    <w:rsid w:val="00ED5634"/>
    <w:rsid w:val="00EE6CA3"/>
    <w:rsid w:val="00EE7C84"/>
    <w:rsid w:val="00EF0A8B"/>
    <w:rsid w:val="00EF6D7E"/>
    <w:rsid w:val="00F042AD"/>
    <w:rsid w:val="00F14007"/>
    <w:rsid w:val="00F3427A"/>
    <w:rsid w:val="00F352DA"/>
    <w:rsid w:val="00F50739"/>
    <w:rsid w:val="00F807B7"/>
    <w:rsid w:val="00FA5265"/>
    <w:rsid w:val="00FB6C11"/>
    <w:rsid w:val="00FC58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6972E"/>
  <w15:chartTrackingRefBased/>
  <w15:docId w15:val="{91132B4F-04E2-4FE8-9E1E-8104FA6D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next w:val="Normal"/>
    <w:link w:val="Heading2Char"/>
    <w:uiPriority w:val="9"/>
    <w:unhideWhenUsed/>
    <w:qFormat/>
    <w:rsid w:val="004E55CC"/>
    <w:pPr>
      <w:keepNext/>
      <w:keepLines/>
      <w:spacing w:before="40" w:after="0"/>
      <w:outlineLvl w:val="1"/>
    </w:pPr>
    <w:rPr>
      <w:rFonts w:asciiTheme="majorHAnsi" w:eastAsiaTheme="majorEastAsia" w:hAnsiTheme="majorHAnsi" w:cstheme="majorBidi"/>
      <w:color w:val="342168" w:themeColor="accent1" w:themeShade="BF"/>
      <w:sz w:val="26"/>
      <w:szCs w:val="26"/>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Emphasis">
    <w:name w:val="Emphasis"/>
    <w:basedOn w:val="DefaultParagraphFont"/>
    <w:uiPriority w:val="20"/>
    <w:qFormat/>
    <w:rsid w:val="00EE7C84"/>
    <w:rPr>
      <w:i/>
      <w:iCs/>
    </w:rPr>
  </w:style>
  <w:style w:type="character" w:customStyle="1" w:styleId="Heading2Char">
    <w:name w:val="Heading 2 Char"/>
    <w:basedOn w:val="DefaultParagraphFont"/>
    <w:link w:val="Heading2"/>
    <w:uiPriority w:val="9"/>
    <w:rsid w:val="004E55CC"/>
    <w:rPr>
      <w:rFonts w:asciiTheme="majorHAnsi" w:eastAsiaTheme="majorEastAsia" w:hAnsiTheme="majorHAnsi" w:cstheme="majorBidi"/>
      <w:color w:val="342168" w:themeColor="accent1" w:themeShade="BF"/>
      <w:sz w:val="26"/>
      <w:szCs w:val="26"/>
      <w:lang w:eastAsia="en-US"/>
    </w:rPr>
  </w:style>
  <w:style w:type="character" w:styleId="Strong">
    <w:name w:val="Strong"/>
    <w:basedOn w:val="DefaultParagraphFont"/>
    <w:uiPriority w:val="22"/>
    <w:qFormat/>
    <w:rsid w:val="004E55CC"/>
    <w:rPr>
      <w:b/>
      <w:bCs/>
    </w:rPr>
  </w:style>
  <w:style w:type="paragraph" w:customStyle="1" w:styleId="Footer1">
    <w:name w:val="Footer1"/>
    <w:basedOn w:val="Normal"/>
    <w:rsid w:val="00C21C64"/>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635715"/>
    <w:rPr>
      <w:rFonts w:eastAsia="Times New Roman" w:cs="Calibri"/>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635715"/>
    <w:pPr>
      <w:spacing w:after="0" w:line="240" w:lineRule="auto"/>
      <w:ind w:left="720"/>
    </w:pPr>
    <w:rPr>
      <w:rFonts w:eastAsia="Times New Roman" w:cs="Calibri"/>
      <w:sz w:val="20"/>
      <w:szCs w:val="20"/>
      <w:lang w:eastAsia="en-AU"/>
    </w:rPr>
  </w:style>
  <w:style w:type="paragraph" w:styleId="Revision">
    <w:name w:val="Revision"/>
    <w:hidden/>
    <w:uiPriority w:val="99"/>
    <w:semiHidden/>
    <w:rsid w:val="00CF2274"/>
    <w:rPr>
      <w:sz w:val="22"/>
      <w:szCs w:val="22"/>
      <w:lang w:eastAsia="en-US"/>
    </w:rPr>
  </w:style>
  <w:style w:type="character" w:styleId="UnresolvedMention">
    <w:name w:val="Unresolved Mention"/>
    <w:basedOn w:val="DefaultParagraphFont"/>
    <w:uiPriority w:val="99"/>
    <w:semiHidden/>
    <w:unhideWhenUsed/>
    <w:rsid w:val="00902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68552">
      <w:bodyDiv w:val="1"/>
      <w:marLeft w:val="0"/>
      <w:marRight w:val="0"/>
      <w:marTop w:val="0"/>
      <w:marBottom w:val="0"/>
      <w:divBdr>
        <w:top w:val="none" w:sz="0" w:space="0" w:color="auto"/>
        <w:left w:val="none" w:sz="0" w:space="0" w:color="auto"/>
        <w:bottom w:val="none" w:sz="0" w:space="0" w:color="auto"/>
        <w:right w:val="none" w:sz="0" w:space="0" w:color="auto"/>
      </w:divBdr>
    </w:div>
    <w:div w:id="259408578">
      <w:bodyDiv w:val="1"/>
      <w:marLeft w:val="0"/>
      <w:marRight w:val="0"/>
      <w:marTop w:val="0"/>
      <w:marBottom w:val="0"/>
      <w:divBdr>
        <w:top w:val="none" w:sz="0" w:space="0" w:color="auto"/>
        <w:left w:val="none" w:sz="0" w:space="0" w:color="auto"/>
        <w:bottom w:val="none" w:sz="0" w:space="0" w:color="auto"/>
        <w:right w:val="none" w:sz="0" w:space="0" w:color="auto"/>
      </w:divBdr>
    </w:div>
    <w:div w:id="272133934">
      <w:bodyDiv w:val="1"/>
      <w:marLeft w:val="0"/>
      <w:marRight w:val="0"/>
      <w:marTop w:val="0"/>
      <w:marBottom w:val="0"/>
      <w:divBdr>
        <w:top w:val="none" w:sz="0" w:space="0" w:color="auto"/>
        <w:left w:val="none" w:sz="0" w:space="0" w:color="auto"/>
        <w:bottom w:val="none" w:sz="0" w:space="0" w:color="auto"/>
        <w:right w:val="none" w:sz="0" w:space="0" w:color="auto"/>
      </w:divBdr>
    </w:div>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662785114">
      <w:bodyDiv w:val="1"/>
      <w:marLeft w:val="0"/>
      <w:marRight w:val="0"/>
      <w:marTop w:val="0"/>
      <w:marBottom w:val="0"/>
      <w:divBdr>
        <w:top w:val="none" w:sz="0" w:space="0" w:color="auto"/>
        <w:left w:val="none" w:sz="0" w:space="0" w:color="auto"/>
        <w:bottom w:val="none" w:sz="0" w:space="0" w:color="auto"/>
        <w:right w:val="none" w:sz="0" w:space="0" w:color="auto"/>
      </w:divBdr>
    </w:div>
    <w:div w:id="809830537">
      <w:bodyDiv w:val="1"/>
      <w:marLeft w:val="0"/>
      <w:marRight w:val="0"/>
      <w:marTop w:val="0"/>
      <w:marBottom w:val="0"/>
      <w:divBdr>
        <w:top w:val="none" w:sz="0" w:space="0" w:color="auto"/>
        <w:left w:val="none" w:sz="0" w:space="0" w:color="auto"/>
        <w:bottom w:val="none" w:sz="0" w:space="0" w:color="auto"/>
        <w:right w:val="none" w:sz="0" w:space="0" w:color="auto"/>
      </w:divBdr>
    </w:div>
    <w:div w:id="850871363">
      <w:bodyDiv w:val="1"/>
      <w:marLeft w:val="0"/>
      <w:marRight w:val="0"/>
      <w:marTop w:val="0"/>
      <w:marBottom w:val="0"/>
      <w:divBdr>
        <w:top w:val="none" w:sz="0" w:space="0" w:color="auto"/>
        <w:left w:val="none" w:sz="0" w:space="0" w:color="auto"/>
        <w:bottom w:val="none" w:sz="0" w:space="0" w:color="auto"/>
        <w:right w:val="none" w:sz="0" w:space="0" w:color="auto"/>
      </w:divBdr>
    </w:div>
    <w:div w:id="896015360">
      <w:bodyDiv w:val="1"/>
      <w:marLeft w:val="0"/>
      <w:marRight w:val="0"/>
      <w:marTop w:val="0"/>
      <w:marBottom w:val="0"/>
      <w:divBdr>
        <w:top w:val="none" w:sz="0" w:space="0" w:color="auto"/>
        <w:left w:val="none" w:sz="0" w:space="0" w:color="auto"/>
        <w:bottom w:val="none" w:sz="0" w:space="0" w:color="auto"/>
        <w:right w:val="none" w:sz="0" w:space="0" w:color="auto"/>
      </w:divBdr>
    </w:div>
    <w:div w:id="989598707">
      <w:bodyDiv w:val="1"/>
      <w:marLeft w:val="0"/>
      <w:marRight w:val="0"/>
      <w:marTop w:val="0"/>
      <w:marBottom w:val="0"/>
      <w:divBdr>
        <w:top w:val="none" w:sz="0" w:space="0" w:color="auto"/>
        <w:left w:val="none" w:sz="0" w:space="0" w:color="auto"/>
        <w:bottom w:val="none" w:sz="0" w:space="0" w:color="auto"/>
        <w:right w:val="none" w:sz="0" w:space="0" w:color="auto"/>
      </w:divBdr>
    </w:div>
    <w:div w:id="1364866052">
      <w:bodyDiv w:val="1"/>
      <w:marLeft w:val="0"/>
      <w:marRight w:val="0"/>
      <w:marTop w:val="0"/>
      <w:marBottom w:val="0"/>
      <w:divBdr>
        <w:top w:val="none" w:sz="0" w:space="0" w:color="auto"/>
        <w:left w:val="none" w:sz="0" w:space="0" w:color="auto"/>
        <w:bottom w:val="none" w:sz="0" w:space="0" w:color="auto"/>
        <w:right w:val="none" w:sz="0" w:space="0" w:color="auto"/>
      </w:divBdr>
    </w:div>
    <w:div w:id="1424254050">
      <w:bodyDiv w:val="1"/>
      <w:marLeft w:val="0"/>
      <w:marRight w:val="0"/>
      <w:marTop w:val="0"/>
      <w:marBottom w:val="0"/>
      <w:divBdr>
        <w:top w:val="none" w:sz="0" w:space="0" w:color="auto"/>
        <w:left w:val="none" w:sz="0" w:space="0" w:color="auto"/>
        <w:bottom w:val="none" w:sz="0" w:space="0" w:color="auto"/>
        <w:right w:val="none" w:sz="0" w:space="0" w:color="auto"/>
      </w:divBdr>
    </w:div>
    <w:div w:id="1480417818">
      <w:bodyDiv w:val="1"/>
      <w:marLeft w:val="0"/>
      <w:marRight w:val="0"/>
      <w:marTop w:val="0"/>
      <w:marBottom w:val="0"/>
      <w:divBdr>
        <w:top w:val="none" w:sz="0" w:space="0" w:color="auto"/>
        <w:left w:val="none" w:sz="0" w:space="0" w:color="auto"/>
        <w:bottom w:val="none" w:sz="0" w:space="0" w:color="auto"/>
        <w:right w:val="none" w:sz="0" w:space="0" w:color="auto"/>
      </w:divBdr>
    </w:div>
    <w:div w:id="1607928768">
      <w:bodyDiv w:val="1"/>
      <w:marLeft w:val="0"/>
      <w:marRight w:val="0"/>
      <w:marTop w:val="0"/>
      <w:marBottom w:val="0"/>
      <w:divBdr>
        <w:top w:val="none" w:sz="0" w:space="0" w:color="auto"/>
        <w:left w:val="none" w:sz="0" w:space="0" w:color="auto"/>
        <w:bottom w:val="none" w:sz="0" w:space="0" w:color="auto"/>
        <w:right w:val="none" w:sz="0" w:space="0" w:color="auto"/>
      </w:divBdr>
    </w:div>
    <w:div w:id="1830903666">
      <w:bodyDiv w:val="1"/>
      <w:marLeft w:val="0"/>
      <w:marRight w:val="0"/>
      <w:marTop w:val="0"/>
      <w:marBottom w:val="0"/>
      <w:divBdr>
        <w:top w:val="none" w:sz="0" w:space="0" w:color="auto"/>
        <w:left w:val="none" w:sz="0" w:space="0" w:color="auto"/>
        <w:bottom w:val="none" w:sz="0" w:space="0" w:color="auto"/>
        <w:right w:val="none" w:sz="0" w:space="0" w:color="auto"/>
      </w:divBdr>
    </w:div>
    <w:div w:id="1905097158">
      <w:bodyDiv w:val="1"/>
      <w:marLeft w:val="0"/>
      <w:marRight w:val="0"/>
      <w:marTop w:val="0"/>
      <w:marBottom w:val="0"/>
      <w:divBdr>
        <w:top w:val="none" w:sz="0" w:space="0" w:color="auto"/>
        <w:left w:val="none" w:sz="0" w:space="0" w:color="auto"/>
        <w:bottom w:val="none" w:sz="0" w:space="0" w:color="auto"/>
        <w:right w:val="none" w:sz="0" w:space="0" w:color="auto"/>
      </w:divBdr>
    </w:div>
    <w:div w:id="2008437399">
      <w:bodyDiv w:val="1"/>
      <w:marLeft w:val="0"/>
      <w:marRight w:val="0"/>
      <w:marTop w:val="0"/>
      <w:marBottom w:val="0"/>
      <w:divBdr>
        <w:top w:val="none" w:sz="0" w:space="0" w:color="auto"/>
        <w:left w:val="none" w:sz="0" w:space="0" w:color="auto"/>
        <w:bottom w:val="none" w:sz="0" w:space="0" w:color="auto"/>
        <w:right w:val="none" w:sz="0" w:space="0" w:color="auto"/>
      </w:divBdr>
    </w:div>
    <w:div w:id="2011785936">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20mccoy\OneDrive%20-%20ACT%20Government\Documents\Zippy\ACAT\New%20folder\Gentleman%20-%20Letterhead%20-%20Aug%2022.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Props1.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2.xml><?xml version="1.0" encoding="utf-8"?>
<ds:datastoreItem xmlns:ds="http://schemas.openxmlformats.org/officeDocument/2006/customXml" ds:itemID="{0968F97C-694D-4161-9314-26C36E0B0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4.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s>
</ds:datastoreItem>
</file>

<file path=docProps/app.xml><?xml version="1.0" encoding="utf-8"?>
<Properties xmlns="http://schemas.openxmlformats.org/officeDocument/2006/extended-properties" xmlns:vt="http://schemas.openxmlformats.org/officeDocument/2006/docPropsVTypes">
  <Template>Gentleman - Letterhead - Aug 22</Template>
  <TotalTime>6536</TotalTime>
  <Pages>6</Pages>
  <Words>2816</Words>
  <Characters>16053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McCoy, Linda</dc:creator>
  <cp:keywords/>
  <dc:description/>
  <cp:lastModifiedBy>Savage, Ashleigh (Health)</cp:lastModifiedBy>
  <cp:revision>43</cp:revision>
  <cp:lastPrinted>2018-08-24T07:17:00Z</cp:lastPrinted>
  <dcterms:created xsi:type="dcterms:W3CDTF">2022-10-25T06:29:00Z</dcterms:created>
  <dcterms:modified xsi:type="dcterms:W3CDTF">2023-01-13T03:45:00Z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Objective-Id">
    <vt:lpwstr>A39473679</vt:lpwstr>
  </property>
  <property fmtid="{D5CDD505-2E9C-101B-9397-08002B2CF9AE}" pid="4" name="Objective-Title">
    <vt:lpwstr>Attach B - Response to Scrutiny Committee</vt:lpwstr>
  </property>
  <property fmtid="{D5CDD505-2E9C-101B-9397-08002B2CF9AE}" pid="5" name="Objective-Comment">
    <vt:lpwstr/>
  </property>
  <property fmtid="{D5CDD505-2E9C-101B-9397-08002B2CF9AE}" pid="6" name="Objective-CreationStamp">
    <vt:filetime>2022-10-25T06:37:07Z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2023-01-13T03:45:45Z</vt:filetime>
  </property>
  <property fmtid="{D5CDD505-2E9C-101B-9397-08002B2CF9AE}" pid="10" name="Objective-ModificationStamp">
    <vt:filetime>2023-02-21T03:55:25Z</vt:filetime>
  </property>
  <property fmtid="{D5CDD505-2E9C-101B-9397-08002B2CF9AE}" pid="11" name="Objective-Owner">
    <vt:lpwstr>Linda McCoy</vt:lpwstr>
  </property>
  <property fmtid="{D5CDD505-2E9C-101B-9397-08002B2CF9AE}" pid="12" name="Objective-Path">
    <vt:lpwstr>Whole of ACT Government:EPSDD - Environment Planning and Sustainable Development Directorate:07. Ministerial, Cabinet and Government Relations:05. Cabinet:02. 10th Assembly:07. COMPLETE (including withdrawn) Cabinet submissions:2022:22/339 - Cabinet - Planning Bill 2022 - Agreement to introduce:05. Scrutiny Comments:</vt:lpwstr>
  </property>
  <property fmtid="{D5CDD505-2E9C-101B-9397-08002B2CF9AE}" pid="13" name="Objective-Parent">
    <vt:lpwstr>05. Scrutiny Comments</vt:lpwstr>
  </property>
  <property fmtid="{D5CDD505-2E9C-101B-9397-08002B2CF9AE}" pid="14" name="Objective-State">
    <vt:lpwstr>Published</vt:lpwstr>
  </property>
  <property fmtid="{D5CDD505-2E9C-101B-9397-08002B2CF9AE}" pid="15" name="Objective-Version">
    <vt:lpwstr>14.0</vt:lpwstr>
  </property>
  <property fmtid="{D5CDD505-2E9C-101B-9397-08002B2CF9AE}" pid="16" name="Objective-VersionNumber">
    <vt:r8>19</vt:r8>
  </property>
  <property fmtid="{D5CDD505-2E9C-101B-9397-08002B2CF9AE}" pid="17" name="Objective-VersionComment">
    <vt:lpwstr/>
  </property>
  <property fmtid="{D5CDD505-2E9C-101B-9397-08002B2CF9AE}" pid="18" name="Objective-FileNumber">
    <vt:lpwstr>1-2022/19780</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MPC</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ies>
</file>