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3627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6B509F65" w14:textId="59067FC6" w:rsidR="00AD7D31" w:rsidRPr="00A031A0" w:rsidRDefault="00E140C2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 Peter Cain </w:t>
      </w:r>
    </w:p>
    <w:p w14:paraId="306952CC" w14:textId="77777777" w:rsidR="00B45AA1" w:rsidRDefault="00E140C2" w:rsidP="00AD7D31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5B9379CA" w14:textId="77777777" w:rsidR="00B45AA1" w:rsidRDefault="00E140C2" w:rsidP="00AD7D31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</w:t>
      </w:r>
    </w:p>
    <w:p w14:paraId="395E374B" w14:textId="77777777" w:rsidR="00B45AA1" w:rsidRDefault="00B45AA1" w:rsidP="00AD7D31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 Legislative Assembly </w:t>
      </w:r>
    </w:p>
    <w:p w14:paraId="3B1EDA90" w14:textId="15DB1C4B" w:rsidR="00AD7D31" w:rsidRDefault="00C34899" w:rsidP="00AD7D31">
      <w:pPr>
        <w:spacing w:after="0" w:line="240" w:lineRule="auto"/>
        <w:rPr>
          <w:sz w:val="24"/>
          <w:szCs w:val="24"/>
        </w:rPr>
      </w:pPr>
      <w:hyperlink r:id="rId10" w:history="1">
        <w:r w:rsidR="00B45AA1" w:rsidRPr="00F02C11">
          <w:rPr>
            <w:rStyle w:val="Hyperlink"/>
            <w:sz w:val="24"/>
            <w:szCs w:val="24"/>
          </w:rPr>
          <w:t>scrutiny@parliament.act.gov.au</w:t>
        </w:r>
      </w:hyperlink>
      <w:r w:rsidR="00E140C2">
        <w:rPr>
          <w:sz w:val="24"/>
          <w:szCs w:val="24"/>
        </w:rPr>
        <w:t xml:space="preserve"> </w:t>
      </w:r>
    </w:p>
    <w:p w14:paraId="29B38E05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3C52E810" w14:textId="77777777" w:rsidR="00B45AA1" w:rsidRDefault="00B45AA1" w:rsidP="00AD7D31">
      <w:pPr>
        <w:spacing w:after="0" w:line="240" w:lineRule="auto"/>
        <w:rPr>
          <w:sz w:val="24"/>
          <w:szCs w:val="24"/>
          <w:lang w:val="en-US"/>
        </w:rPr>
      </w:pPr>
    </w:p>
    <w:p w14:paraId="685C2922" w14:textId="7601C0EB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13405F">
        <w:rPr>
          <w:sz w:val="24"/>
          <w:szCs w:val="24"/>
          <w:lang w:val="en-US"/>
        </w:rPr>
        <w:t>Mr Cain</w:t>
      </w:r>
    </w:p>
    <w:p w14:paraId="32A2FCF5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61F2DC58" w14:textId="19CDD041" w:rsidR="00AD7D31" w:rsidRDefault="00B45AA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refer to the Standing Committee on Justice and Community Safety</w:t>
      </w:r>
      <w:r w:rsidR="00830551">
        <w:rPr>
          <w:sz w:val="24"/>
          <w:szCs w:val="24"/>
        </w:rPr>
        <w:t xml:space="preserve"> (Legislative Scrutiny Role</w:t>
      </w:r>
      <w:r>
        <w:rPr>
          <w:sz w:val="24"/>
          <w:szCs w:val="24"/>
        </w:rPr>
        <w:t xml:space="preserve">) Scrutiny Report </w:t>
      </w:r>
      <w:r w:rsidR="00830551">
        <w:rPr>
          <w:sz w:val="24"/>
          <w:szCs w:val="24"/>
        </w:rPr>
        <w:t>17</w:t>
      </w:r>
      <w:r>
        <w:rPr>
          <w:sz w:val="24"/>
          <w:szCs w:val="24"/>
        </w:rPr>
        <w:t xml:space="preserve"> of </w:t>
      </w:r>
      <w:r w:rsidR="00830551">
        <w:rPr>
          <w:sz w:val="24"/>
          <w:szCs w:val="24"/>
        </w:rPr>
        <w:t>6 June 2022</w:t>
      </w:r>
      <w:r>
        <w:rPr>
          <w:sz w:val="24"/>
          <w:szCs w:val="24"/>
        </w:rPr>
        <w:t xml:space="preserve"> in which the Committee made comments on the </w:t>
      </w:r>
      <w:r w:rsidRPr="00CF726C">
        <w:rPr>
          <w:sz w:val="24"/>
          <w:szCs w:val="24"/>
        </w:rPr>
        <w:t>Confiscation of Criminal Assets Amendment Regulation 2022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(the Regulation). The Committee noted that </w:t>
      </w:r>
      <w:bookmarkStart w:id="0" w:name="_Hlk106791774"/>
      <w:r>
        <w:rPr>
          <w:sz w:val="24"/>
          <w:szCs w:val="24"/>
        </w:rPr>
        <w:t xml:space="preserve">the Explanatory Statement </w:t>
      </w:r>
      <w:r w:rsidR="0088114F">
        <w:rPr>
          <w:sz w:val="24"/>
          <w:szCs w:val="24"/>
        </w:rPr>
        <w:t xml:space="preserve">for the Regulation </w:t>
      </w:r>
      <w:r>
        <w:rPr>
          <w:sz w:val="24"/>
          <w:szCs w:val="24"/>
        </w:rPr>
        <w:t xml:space="preserve">states that the amendments do not engage human rights and requested further </w:t>
      </w:r>
      <w:r w:rsidR="00830551">
        <w:rPr>
          <w:sz w:val="24"/>
          <w:szCs w:val="24"/>
        </w:rPr>
        <w:t>advice</w:t>
      </w:r>
      <w:r>
        <w:rPr>
          <w:sz w:val="24"/>
          <w:szCs w:val="24"/>
        </w:rPr>
        <w:t xml:space="preserve"> about the potential human rights implications of the </w:t>
      </w:r>
      <w:r w:rsidR="00830551">
        <w:rPr>
          <w:sz w:val="24"/>
          <w:szCs w:val="24"/>
        </w:rPr>
        <w:t>Regulation</w:t>
      </w:r>
      <w:r>
        <w:rPr>
          <w:sz w:val="24"/>
          <w:szCs w:val="24"/>
        </w:rPr>
        <w:t xml:space="preserve">. </w:t>
      </w:r>
    </w:p>
    <w:bookmarkEnd w:id="0"/>
    <w:p w14:paraId="40E9EBB3" w14:textId="43892582" w:rsidR="0013405F" w:rsidRDefault="0013405F" w:rsidP="00AD7D31">
      <w:pPr>
        <w:spacing w:after="0" w:line="240" w:lineRule="auto"/>
        <w:rPr>
          <w:sz w:val="24"/>
          <w:szCs w:val="24"/>
        </w:rPr>
      </w:pPr>
    </w:p>
    <w:p w14:paraId="6163193C" w14:textId="63E4507C" w:rsidR="006E773A" w:rsidRDefault="00E5267B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C5DCB" w:rsidRPr="000C5DCB">
        <w:rPr>
          <w:sz w:val="24"/>
          <w:szCs w:val="24"/>
        </w:rPr>
        <w:t xml:space="preserve">he amendments in the Regulation </w:t>
      </w:r>
      <w:r>
        <w:rPr>
          <w:sz w:val="24"/>
          <w:szCs w:val="24"/>
        </w:rPr>
        <w:t xml:space="preserve">prescribe corresponding law orders for the purpose of interstate orders under Part 11 of the </w:t>
      </w:r>
      <w:r w:rsidRPr="00CF2CEE">
        <w:rPr>
          <w:i/>
          <w:iCs/>
          <w:sz w:val="24"/>
          <w:szCs w:val="24"/>
        </w:rPr>
        <w:t xml:space="preserve">Confiscation of Criminal Assets Act 2003 </w:t>
      </w:r>
      <w:r w:rsidRPr="00CF2CEE">
        <w:rPr>
          <w:sz w:val="24"/>
          <w:szCs w:val="24"/>
        </w:rPr>
        <w:t>(the Act)</w:t>
      </w:r>
      <w:r>
        <w:rPr>
          <w:sz w:val="24"/>
          <w:szCs w:val="24"/>
        </w:rPr>
        <w:t xml:space="preserve">. </w:t>
      </w:r>
      <w:r w:rsidR="007B2631">
        <w:rPr>
          <w:sz w:val="24"/>
          <w:szCs w:val="24"/>
        </w:rPr>
        <w:t xml:space="preserve">An interstate order that expressly applies to property in the ACT may be registered in the ACT and enforced as if it were an order made under the Act. </w:t>
      </w:r>
      <w:r>
        <w:rPr>
          <w:sz w:val="24"/>
          <w:szCs w:val="24"/>
        </w:rPr>
        <w:t xml:space="preserve">Part 11 of the Act may limit </w:t>
      </w:r>
      <w:r w:rsidR="006E773A">
        <w:rPr>
          <w:sz w:val="24"/>
          <w:szCs w:val="24"/>
        </w:rPr>
        <w:t xml:space="preserve">human rights and, as a result, </w:t>
      </w:r>
      <w:r w:rsidR="007B2631">
        <w:rPr>
          <w:sz w:val="24"/>
          <w:szCs w:val="24"/>
        </w:rPr>
        <w:t xml:space="preserve">I acknowledge that </w:t>
      </w:r>
      <w:r w:rsidR="006E773A">
        <w:rPr>
          <w:sz w:val="24"/>
          <w:szCs w:val="24"/>
        </w:rPr>
        <w:t xml:space="preserve">the Regulation could also be said to limit rights by formalising the circumstances in which interstate orders may be made. </w:t>
      </w:r>
    </w:p>
    <w:p w14:paraId="1B793DCE" w14:textId="3177EF2C" w:rsidR="00CF2CEE" w:rsidRDefault="00CF2CEE" w:rsidP="00AD7D31">
      <w:pPr>
        <w:spacing w:after="0" w:line="240" w:lineRule="auto"/>
        <w:rPr>
          <w:sz w:val="24"/>
          <w:szCs w:val="24"/>
        </w:rPr>
      </w:pPr>
    </w:p>
    <w:p w14:paraId="0A037008" w14:textId="74C38FF6" w:rsidR="00CF2CEE" w:rsidRPr="000C5DCB" w:rsidRDefault="00CF2CE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interstate order </w:t>
      </w:r>
      <w:r w:rsidR="006E773A">
        <w:rPr>
          <w:sz w:val="24"/>
          <w:szCs w:val="24"/>
        </w:rPr>
        <w:t xml:space="preserve">under Part 11 of the Act </w:t>
      </w:r>
      <w:r>
        <w:rPr>
          <w:sz w:val="24"/>
          <w:szCs w:val="24"/>
        </w:rPr>
        <w:t xml:space="preserve">may limit the </w:t>
      </w:r>
      <w:r w:rsidR="00CD41EC">
        <w:rPr>
          <w:sz w:val="24"/>
          <w:szCs w:val="24"/>
        </w:rPr>
        <w:t xml:space="preserve">right </w:t>
      </w:r>
      <w:bookmarkStart w:id="1" w:name="_Hlk106791863"/>
      <w:r w:rsidR="00CD41EC">
        <w:rPr>
          <w:sz w:val="24"/>
          <w:szCs w:val="24"/>
        </w:rPr>
        <w:t xml:space="preserve">to protection of the family and children (section 11 of the </w:t>
      </w:r>
      <w:r w:rsidR="00CD41EC">
        <w:rPr>
          <w:i/>
          <w:iCs/>
          <w:sz w:val="24"/>
          <w:szCs w:val="24"/>
        </w:rPr>
        <w:t>Human Rights Act 2004</w:t>
      </w:r>
      <w:r w:rsidR="00CD41EC">
        <w:rPr>
          <w:sz w:val="24"/>
          <w:szCs w:val="24"/>
        </w:rPr>
        <w:t xml:space="preserve">) as family members may have their property, including their home, restrained and forfeited due to an order that is made </w:t>
      </w:r>
      <w:r w:rsidR="00326BE6">
        <w:rPr>
          <w:sz w:val="24"/>
          <w:szCs w:val="24"/>
        </w:rPr>
        <w:t>because of</w:t>
      </w:r>
      <w:r w:rsidR="00CD41EC">
        <w:rPr>
          <w:sz w:val="24"/>
          <w:szCs w:val="24"/>
        </w:rPr>
        <w:t xml:space="preserve"> the criminal behaviour of a family member. An interstate order may also limit the right to privacy and reputation (section 12 of the </w:t>
      </w:r>
      <w:r w:rsidR="00CD41EC">
        <w:rPr>
          <w:i/>
          <w:iCs/>
          <w:sz w:val="24"/>
          <w:szCs w:val="24"/>
        </w:rPr>
        <w:t>Human Rights Act 2004</w:t>
      </w:r>
      <w:r w:rsidR="00CD41EC">
        <w:rPr>
          <w:sz w:val="24"/>
          <w:szCs w:val="24"/>
        </w:rPr>
        <w:t>) a</w:t>
      </w:r>
      <w:bookmarkEnd w:id="1"/>
      <w:r w:rsidR="00CD41EC">
        <w:rPr>
          <w:sz w:val="24"/>
          <w:szCs w:val="24"/>
        </w:rPr>
        <w:t xml:space="preserve">s the </w:t>
      </w:r>
      <w:r w:rsidR="006E773A">
        <w:rPr>
          <w:sz w:val="24"/>
          <w:szCs w:val="24"/>
        </w:rPr>
        <w:t>restraint</w:t>
      </w:r>
      <w:r w:rsidR="00CD41EC">
        <w:rPr>
          <w:sz w:val="24"/>
          <w:szCs w:val="24"/>
        </w:rPr>
        <w:t xml:space="preserve"> or forfeiture of a person’s assets imposes a limit on </w:t>
      </w:r>
      <w:r w:rsidR="006E773A">
        <w:rPr>
          <w:sz w:val="24"/>
          <w:szCs w:val="24"/>
        </w:rPr>
        <w:t>a</w:t>
      </w:r>
      <w:r w:rsidR="00CD41EC">
        <w:rPr>
          <w:sz w:val="24"/>
          <w:szCs w:val="24"/>
        </w:rPr>
        <w:t xml:space="preserve"> person’s right to private life as well as the</w:t>
      </w:r>
      <w:r w:rsidR="006E773A">
        <w:rPr>
          <w:sz w:val="24"/>
          <w:szCs w:val="24"/>
        </w:rPr>
        <w:t xml:space="preserve"> private</w:t>
      </w:r>
      <w:r w:rsidR="00CD41EC">
        <w:rPr>
          <w:sz w:val="24"/>
          <w:szCs w:val="24"/>
        </w:rPr>
        <w:t xml:space="preserve"> life of </w:t>
      </w:r>
      <w:r w:rsidR="006E773A">
        <w:rPr>
          <w:sz w:val="24"/>
          <w:szCs w:val="24"/>
        </w:rPr>
        <w:t>close family members.</w:t>
      </w:r>
    </w:p>
    <w:p w14:paraId="229C5DD2" w14:textId="77777777" w:rsidR="00326BE6" w:rsidRDefault="00326BE6" w:rsidP="00AD7D31">
      <w:pPr>
        <w:spacing w:after="0" w:line="240" w:lineRule="auto"/>
        <w:rPr>
          <w:sz w:val="24"/>
          <w:szCs w:val="24"/>
        </w:rPr>
      </w:pPr>
    </w:p>
    <w:p w14:paraId="512CD702" w14:textId="77777777" w:rsidR="00CF726C" w:rsidRDefault="00CD41EC" w:rsidP="00AD7D31">
      <w:pPr>
        <w:spacing w:after="0" w:line="240" w:lineRule="auto"/>
        <w:rPr>
          <w:sz w:val="24"/>
          <w:szCs w:val="24"/>
        </w:rPr>
      </w:pPr>
      <w:r w:rsidRPr="00CD41EC">
        <w:rPr>
          <w:sz w:val="24"/>
          <w:szCs w:val="24"/>
        </w:rPr>
        <w:t>The amendments</w:t>
      </w:r>
      <w:r w:rsidR="006E773A">
        <w:rPr>
          <w:sz w:val="24"/>
          <w:szCs w:val="24"/>
        </w:rPr>
        <w:t xml:space="preserve"> in the Regulation are for the legitimate purposes of</w:t>
      </w:r>
      <w:r w:rsidRPr="00CD41EC">
        <w:rPr>
          <w:sz w:val="24"/>
          <w:szCs w:val="24"/>
        </w:rPr>
        <w:t xml:space="preserve"> </w:t>
      </w:r>
      <w:r w:rsidR="006E773A">
        <w:rPr>
          <w:sz w:val="24"/>
          <w:szCs w:val="24"/>
        </w:rPr>
        <w:t>facilitating cross-jurisdictional operations and</w:t>
      </w:r>
      <w:r w:rsidRPr="00CD41EC">
        <w:rPr>
          <w:sz w:val="24"/>
          <w:szCs w:val="24"/>
        </w:rPr>
        <w:t xml:space="preserve"> ensuring that </w:t>
      </w:r>
      <w:r w:rsidR="006E773A">
        <w:rPr>
          <w:sz w:val="24"/>
          <w:szCs w:val="24"/>
        </w:rPr>
        <w:t>a person is not</w:t>
      </w:r>
      <w:r w:rsidRPr="00CD41EC">
        <w:rPr>
          <w:sz w:val="24"/>
          <w:szCs w:val="24"/>
        </w:rPr>
        <w:t xml:space="preserve"> enriched because of the commission of an offence, whether or not anyone has been convicted. </w:t>
      </w:r>
      <w:r w:rsidR="007B2631">
        <w:rPr>
          <w:sz w:val="24"/>
          <w:szCs w:val="24"/>
        </w:rPr>
        <w:t>The</w:t>
      </w:r>
      <w:r w:rsidRPr="00CD41EC">
        <w:rPr>
          <w:sz w:val="24"/>
          <w:szCs w:val="24"/>
        </w:rPr>
        <w:t xml:space="preserve"> Act contains safeguards to ensure that any limitations are proportionate and the least restrictive </w:t>
      </w:r>
      <w:r w:rsidR="007B2631">
        <w:rPr>
          <w:sz w:val="24"/>
          <w:szCs w:val="24"/>
        </w:rPr>
        <w:t>means</w:t>
      </w:r>
      <w:r w:rsidRPr="00CD41EC">
        <w:rPr>
          <w:sz w:val="24"/>
          <w:szCs w:val="24"/>
        </w:rPr>
        <w:t xml:space="preserve"> to achieve the</w:t>
      </w:r>
      <w:r w:rsidR="007B2631">
        <w:rPr>
          <w:sz w:val="24"/>
          <w:szCs w:val="24"/>
        </w:rPr>
        <w:t>se</w:t>
      </w:r>
      <w:r w:rsidRPr="00CD41EC">
        <w:rPr>
          <w:sz w:val="24"/>
          <w:szCs w:val="24"/>
        </w:rPr>
        <w:t xml:space="preserve"> purpose</w:t>
      </w:r>
      <w:r w:rsidR="007B2631">
        <w:rPr>
          <w:sz w:val="24"/>
          <w:szCs w:val="24"/>
        </w:rPr>
        <w:t>s</w:t>
      </w:r>
      <w:r w:rsidRPr="00CD41EC">
        <w:rPr>
          <w:sz w:val="24"/>
          <w:szCs w:val="24"/>
        </w:rPr>
        <w:t xml:space="preserve">. </w:t>
      </w:r>
    </w:p>
    <w:p w14:paraId="11DBCAB3" w14:textId="77777777" w:rsidR="00CF726C" w:rsidRDefault="00CF726C" w:rsidP="00AD7D31">
      <w:pPr>
        <w:spacing w:after="0" w:line="240" w:lineRule="auto"/>
        <w:rPr>
          <w:sz w:val="24"/>
          <w:szCs w:val="24"/>
        </w:rPr>
      </w:pPr>
    </w:p>
    <w:p w14:paraId="3FE6C114" w14:textId="60F77F4E" w:rsidR="00CD41EC" w:rsidRPr="00CD41EC" w:rsidRDefault="007B263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These s</w:t>
      </w:r>
      <w:r w:rsidR="00CD41EC" w:rsidRPr="00CD41EC">
        <w:rPr>
          <w:sz w:val="24"/>
          <w:szCs w:val="24"/>
        </w:rPr>
        <w:t>afeguards include</w:t>
      </w:r>
      <w:r>
        <w:rPr>
          <w:sz w:val="24"/>
          <w:szCs w:val="24"/>
        </w:rPr>
        <w:t xml:space="preserve"> provisions for the court to make orders for the payment of living, business and legal expenses from restrained property and </w:t>
      </w:r>
      <w:r w:rsidR="007E4AE6">
        <w:rPr>
          <w:sz w:val="24"/>
          <w:szCs w:val="24"/>
        </w:rPr>
        <w:t xml:space="preserve">for a person claiming an interest in the property to apply to the court for an exclusion order. </w:t>
      </w:r>
    </w:p>
    <w:p w14:paraId="2CCBD8A5" w14:textId="77777777" w:rsidR="00830551" w:rsidRDefault="00830551" w:rsidP="00AD7D31">
      <w:pPr>
        <w:spacing w:after="0" w:line="240" w:lineRule="auto"/>
        <w:rPr>
          <w:sz w:val="24"/>
          <w:szCs w:val="24"/>
        </w:rPr>
      </w:pPr>
    </w:p>
    <w:p w14:paraId="6E67032C" w14:textId="4DC8BF14" w:rsidR="0013405F" w:rsidRDefault="00B45AA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your consideration of the Regulation. I trust that the information above is of assistance to the Committee. </w:t>
      </w:r>
    </w:p>
    <w:p w14:paraId="6BE965EA" w14:textId="77777777" w:rsidR="00B45AA1" w:rsidRPr="00A031A0" w:rsidRDefault="00B45AA1" w:rsidP="00AD7D31">
      <w:pPr>
        <w:spacing w:after="0" w:line="240" w:lineRule="auto"/>
        <w:rPr>
          <w:sz w:val="24"/>
          <w:szCs w:val="24"/>
        </w:rPr>
      </w:pPr>
    </w:p>
    <w:p w14:paraId="0E1A4596" w14:textId="3F0542D2" w:rsidR="008D37E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47E14CCD" w14:textId="294C3E7F" w:rsidR="00CF726C" w:rsidRDefault="00CF726C" w:rsidP="00AD7D31">
      <w:pPr>
        <w:spacing w:after="0" w:line="240" w:lineRule="auto"/>
        <w:rPr>
          <w:sz w:val="24"/>
          <w:szCs w:val="24"/>
        </w:rPr>
      </w:pPr>
    </w:p>
    <w:p w14:paraId="6D0668CC" w14:textId="29EF5212" w:rsidR="00CF726C" w:rsidRDefault="00CF726C" w:rsidP="00AD7D31">
      <w:pPr>
        <w:spacing w:after="0" w:line="240" w:lineRule="auto"/>
        <w:rPr>
          <w:sz w:val="24"/>
          <w:szCs w:val="24"/>
        </w:rPr>
      </w:pPr>
    </w:p>
    <w:p w14:paraId="5D2C4F09" w14:textId="07E0E596" w:rsidR="00CF726C" w:rsidRDefault="00CF726C" w:rsidP="00AD7D31">
      <w:pPr>
        <w:spacing w:after="0" w:line="240" w:lineRule="auto"/>
        <w:rPr>
          <w:sz w:val="24"/>
          <w:szCs w:val="24"/>
        </w:rPr>
      </w:pPr>
    </w:p>
    <w:p w14:paraId="59D472BF" w14:textId="77777777" w:rsidR="00CF726C" w:rsidRPr="00A031A0" w:rsidRDefault="00CF726C" w:rsidP="00AD7D31">
      <w:pPr>
        <w:spacing w:after="0" w:line="240" w:lineRule="auto"/>
        <w:rPr>
          <w:sz w:val="24"/>
          <w:szCs w:val="24"/>
        </w:rPr>
      </w:pPr>
    </w:p>
    <w:p w14:paraId="20EC4F28" w14:textId="4642FFA0" w:rsidR="00AD7D31" w:rsidRDefault="00F255A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Shane Rattenbury</w:t>
      </w:r>
      <w:r w:rsidR="00AD7D31" w:rsidRPr="00A031A0">
        <w:rPr>
          <w:sz w:val="24"/>
          <w:szCs w:val="24"/>
        </w:rPr>
        <w:t xml:space="preserve"> MLA</w:t>
      </w:r>
    </w:p>
    <w:p w14:paraId="135568BB" w14:textId="2B65DB61" w:rsidR="00CF726C" w:rsidRDefault="00CF726C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Attorney-General</w:t>
      </w:r>
    </w:p>
    <w:p w14:paraId="7D9DD1EE" w14:textId="77777777" w:rsidR="00CF726C" w:rsidRDefault="00CF726C" w:rsidP="00AD7D31">
      <w:pPr>
        <w:spacing w:after="0" w:line="240" w:lineRule="auto"/>
        <w:rPr>
          <w:sz w:val="24"/>
          <w:szCs w:val="24"/>
        </w:rPr>
      </w:pPr>
    </w:p>
    <w:p w14:paraId="5AEF8F9B" w14:textId="1F5F7059" w:rsidR="00CF726C" w:rsidRDefault="00CF726C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July 2022</w:t>
      </w:r>
    </w:p>
    <w:p w14:paraId="5C2DE017" w14:textId="66FAA825" w:rsidR="00830551" w:rsidRDefault="00830551" w:rsidP="00AD7D31">
      <w:pPr>
        <w:spacing w:after="0" w:line="240" w:lineRule="auto"/>
        <w:rPr>
          <w:sz w:val="24"/>
          <w:szCs w:val="24"/>
        </w:rPr>
      </w:pPr>
    </w:p>
    <w:p w14:paraId="5AC7E23D" w14:textId="049DF5A4" w:rsidR="00AD7D31" w:rsidRPr="00A031A0" w:rsidRDefault="00830551" w:rsidP="00830551">
      <w:pPr>
        <w:tabs>
          <w:tab w:val="left" w:pos="3240"/>
        </w:tabs>
        <w:spacing w:after="0" w:line="240" w:lineRule="auto"/>
        <w:rPr>
          <w:sz w:val="24"/>
          <w:szCs w:val="24"/>
        </w:rPr>
      </w:pPr>
      <w:r w:rsidRPr="00830551">
        <w:rPr>
          <w:sz w:val="24"/>
          <w:szCs w:val="24"/>
          <w:highlight w:val="yellow"/>
        </w:rPr>
        <w:t xml:space="preserve"> </w:t>
      </w:r>
    </w:p>
    <w:sectPr w:rsidR="00AD7D31" w:rsidRPr="00A031A0" w:rsidSect="00CF726C">
      <w:headerReference w:type="first" r:id="rId11"/>
      <w:footerReference w:type="first" r:id="rId12"/>
      <w:pgSz w:w="11906" w:h="16838" w:code="9"/>
      <w:pgMar w:top="851" w:right="1021" w:bottom="144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5120" w14:textId="77777777" w:rsidR="00C34899" w:rsidRDefault="00C34899" w:rsidP="00AD7D31">
      <w:pPr>
        <w:spacing w:after="0" w:line="240" w:lineRule="auto"/>
      </w:pPr>
      <w:r>
        <w:separator/>
      </w:r>
    </w:p>
  </w:endnote>
  <w:endnote w:type="continuationSeparator" w:id="0">
    <w:p w14:paraId="101F68D5" w14:textId="77777777" w:rsidR="00C34899" w:rsidRDefault="00C34899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694A" w14:textId="77777777" w:rsidR="001E1C2A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0F48734" wp14:editId="5FF3A77C">
          <wp:simplePos x="0" y="0"/>
          <wp:positionH relativeFrom="page">
            <wp:posOffset>4445</wp:posOffset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39" name="Picture 3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C2A">
      <w:tab/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2268"/>
      <w:gridCol w:w="2268"/>
    </w:tblGrid>
    <w:tr w:rsidR="001E1C2A" w:rsidRPr="00910ED5" w14:paraId="2CF526C4" w14:textId="77777777" w:rsidTr="009260CD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66462B39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1E1C2A" w:rsidRPr="00910ED5" w14:paraId="4BB1E3A4" w14:textId="77777777" w:rsidTr="001E1C2A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53DCE6BF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5C8D1A68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2C3AECA3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216D38D5" wp14:editId="762A15B9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EACBC81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0005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6B94EF6C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47904BF3" wp14:editId="05BE78EE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661879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rattenbury@a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1E1C2A" w:rsidRPr="00910ED5" w14:paraId="0A578472" w14:textId="77777777" w:rsidTr="001E1C2A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0276E984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26E925C0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731F928" wp14:editId="5330644C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CC67700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  <w:tc>
        <w:tcPr>
          <w:tcW w:w="2268" w:type="dxa"/>
          <w:vAlign w:val="center"/>
        </w:tcPr>
        <w:p w14:paraId="595A0474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2849FB0" wp14:editId="34EEE1E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728EF1F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shanerattenburymla</w:t>
          </w:r>
        </w:p>
      </w:tc>
      <w:tc>
        <w:tcPr>
          <w:tcW w:w="2268" w:type="dxa"/>
          <w:vAlign w:val="center"/>
        </w:tcPr>
        <w:p w14:paraId="6D69AE7B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4B5C3E65" wp14:editId="2CD28860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B1757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</w:tr>
  </w:tbl>
  <w:p w14:paraId="5A80C249" w14:textId="77777777" w:rsidR="008C5119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</w:p>
  <w:p w14:paraId="18AA3F31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F3DC" w14:textId="77777777" w:rsidR="00C34899" w:rsidRDefault="00C34899" w:rsidP="00AD7D31">
      <w:pPr>
        <w:spacing w:after="0" w:line="240" w:lineRule="auto"/>
      </w:pPr>
      <w:r>
        <w:separator/>
      </w:r>
    </w:p>
  </w:footnote>
  <w:footnote w:type="continuationSeparator" w:id="0">
    <w:p w14:paraId="69C12E64" w14:textId="77777777" w:rsidR="00C34899" w:rsidRDefault="00C34899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1024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1B2AD369" wp14:editId="54FD156C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C2BA582" wp14:editId="01791478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F3C6E6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6508ECBF" w14:textId="77777777" w:rsidR="006F4E04" w:rsidRPr="00DD766A" w:rsidRDefault="00F255AE" w:rsidP="006F4E04">
    <w:pPr>
      <w:pStyle w:val="Portfolios"/>
    </w:pPr>
    <w:r>
      <w:rPr>
        <w:b/>
        <w:color w:val="231F20"/>
        <w:spacing w:val="-1"/>
        <w:sz w:val="24"/>
      </w:rPr>
      <w:t>Shane Rattenbury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6F4E04">
      <w:br/>
    </w:r>
    <w:r>
      <w:t>Attorney-General</w:t>
    </w:r>
    <w:r>
      <w:br/>
      <w:t xml:space="preserve">Minister for Consumer Affairs </w:t>
    </w:r>
    <w:r>
      <w:br/>
      <w:t>Minister for Water, Energy and Emissions Reduction</w:t>
    </w:r>
    <w:r>
      <w:br/>
      <w:t>Minister for Gaming</w:t>
    </w:r>
  </w:p>
  <w:p w14:paraId="226F5A05" w14:textId="77777777" w:rsidR="00F255AE" w:rsidRPr="00003B4A" w:rsidRDefault="00F255AE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D12E177" wp14:editId="7860499A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017A0C" id="Straight Connector 10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46418A">
      <w:rPr>
        <w:rFonts w:ascii="Calibri" w:hAnsi="Calibri"/>
        <w:sz w:val="20"/>
        <w:szCs w:val="20"/>
      </w:rPr>
      <w:t xml:space="preserve">Member for </w:t>
    </w:r>
    <w:r>
      <w:rPr>
        <w:rFonts w:ascii="Calibri" w:hAnsi="Calibri"/>
        <w:sz w:val="20"/>
        <w:szCs w:val="20"/>
      </w:rPr>
      <w:t>Kurrajong</w:t>
    </w:r>
  </w:p>
  <w:p w14:paraId="24DD243F" w14:textId="77777777" w:rsidR="00A6097C" w:rsidRPr="00003B4A" w:rsidRDefault="00A6097C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28"/>
    <w:rsid w:val="00003B4A"/>
    <w:rsid w:val="000125FC"/>
    <w:rsid w:val="00027AFE"/>
    <w:rsid w:val="000328CB"/>
    <w:rsid w:val="0006371F"/>
    <w:rsid w:val="000C331E"/>
    <w:rsid w:val="000C5DCB"/>
    <w:rsid w:val="00131016"/>
    <w:rsid w:val="0013405F"/>
    <w:rsid w:val="001450DC"/>
    <w:rsid w:val="001804F3"/>
    <w:rsid w:val="001851B2"/>
    <w:rsid w:val="00193F2E"/>
    <w:rsid w:val="00195EAD"/>
    <w:rsid w:val="001D7389"/>
    <w:rsid w:val="001E1C2A"/>
    <w:rsid w:val="00240F3E"/>
    <w:rsid w:val="002450E9"/>
    <w:rsid w:val="00261999"/>
    <w:rsid w:val="002D4441"/>
    <w:rsid w:val="002E1D40"/>
    <w:rsid w:val="00305758"/>
    <w:rsid w:val="00313E4A"/>
    <w:rsid w:val="00326BE6"/>
    <w:rsid w:val="003E4068"/>
    <w:rsid w:val="0041104E"/>
    <w:rsid w:val="004517FA"/>
    <w:rsid w:val="005351C5"/>
    <w:rsid w:val="0055749D"/>
    <w:rsid w:val="005C4787"/>
    <w:rsid w:val="005E7DE1"/>
    <w:rsid w:val="0061634E"/>
    <w:rsid w:val="006246D1"/>
    <w:rsid w:val="0064748B"/>
    <w:rsid w:val="00655CD8"/>
    <w:rsid w:val="00696899"/>
    <w:rsid w:val="006A1B70"/>
    <w:rsid w:val="006C6335"/>
    <w:rsid w:val="006E773A"/>
    <w:rsid w:val="006F4E04"/>
    <w:rsid w:val="00712BA7"/>
    <w:rsid w:val="00725519"/>
    <w:rsid w:val="00742013"/>
    <w:rsid w:val="00751F7B"/>
    <w:rsid w:val="00795E1D"/>
    <w:rsid w:val="007B2631"/>
    <w:rsid w:val="007B465C"/>
    <w:rsid w:val="007D7FAC"/>
    <w:rsid w:val="007E4AE6"/>
    <w:rsid w:val="007F5BA8"/>
    <w:rsid w:val="00806ACB"/>
    <w:rsid w:val="00830551"/>
    <w:rsid w:val="00834846"/>
    <w:rsid w:val="00855531"/>
    <w:rsid w:val="0088114F"/>
    <w:rsid w:val="008A04F4"/>
    <w:rsid w:val="008C5119"/>
    <w:rsid w:val="008D15E5"/>
    <w:rsid w:val="008D37E0"/>
    <w:rsid w:val="00905F4F"/>
    <w:rsid w:val="00950408"/>
    <w:rsid w:val="009B6D21"/>
    <w:rsid w:val="009C2877"/>
    <w:rsid w:val="00A031A0"/>
    <w:rsid w:val="00A2718B"/>
    <w:rsid w:val="00A46257"/>
    <w:rsid w:val="00A6097C"/>
    <w:rsid w:val="00AD7D31"/>
    <w:rsid w:val="00AF08DA"/>
    <w:rsid w:val="00AF2B15"/>
    <w:rsid w:val="00B32F98"/>
    <w:rsid w:val="00B45AA1"/>
    <w:rsid w:val="00B85096"/>
    <w:rsid w:val="00B91F55"/>
    <w:rsid w:val="00C03E28"/>
    <w:rsid w:val="00C04DFF"/>
    <w:rsid w:val="00C34899"/>
    <w:rsid w:val="00CA0045"/>
    <w:rsid w:val="00CA4B9B"/>
    <w:rsid w:val="00CD41EC"/>
    <w:rsid w:val="00CF2CEE"/>
    <w:rsid w:val="00CF726C"/>
    <w:rsid w:val="00DD766A"/>
    <w:rsid w:val="00E04FD9"/>
    <w:rsid w:val="00E140C2"/>
    <w:rsid w:val="00E5267B"/>
    <w:rsid w:val="00E54222"/>
    <w:rsid w:val="00E80BC3"/>
    <w:rsid w:val="00EA7B1C"/>
    <w:rsid w:val="00EB388C"/>
    <w:rsid w:val="00ED5634"/>
    <w:rsid w:val="00EE6CA3"/>
    <w:rsid w:val="00EF0A8B"/>
    <w:rsid w:val="00F14007"/>
    <w:rsid w:val="00F255AE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30F9D"/>
  <w15:chartTrackingRefBased/>
  <w15:docId w15:val="{C997E163-D373-4867-B6D4-1573882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E14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crutiny@parliament.act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</ds:schemaRefs>
</ds:datastoreItem>
</file>

<file path=customXml/itemProps3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46B7D-06A9-4F43-B28D-0F33C75A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Wahren, Lee-Anne</dc:creator>
  <cp:keywords/>
  <dc:description/>
  <cp:lastModifiedBy>Bartram, Chris</cp:lastModifiedBy>
  <cp:revision>11</cp:revision>
  <cp:lastPrinted>2018-08-24T07:17:00Z</cp:lastPrinted>
  <dcterms:created xsi:type="dcterms:W3CDTF">2021-12-06T04:24:00Z</dcterms:created>
  <dcterms:modified xsi:type="dcterms:W3CDTF">2022-07-05T00:37:00Z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2022-06-22T02:59:55Z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8fc0a580-51d6-456f-8d13-c1ee68243e82</vt:lpwstr>
  </property>
  <property fmtid="{D5CDD505-2E9C-101B-9397-08002B2CF9AE}" pid="9" name="MSIP_Label_69af8531-eb46-4968-8cb3-105d2f5ea87e_ContentBits">
    <vt:lpwstr>0</vt:lpwstr>
  </property>
</Properties>
</file>