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F2444" w14:textId="5D5A1F95" w:rsidR="00D9426E" w:rsidRPr="00D9426E" w:rsidRDefault="006E463C" w:rsidP="00D9426E">
      <w:pPr>
        <w:spacing w:after="0" w:line="240" w:lineRule="auto"/>
        <w:rPr>
          <w:sz w:val="24"/>
          <w:szCs w:val="24"/>
          <w:lang w:val="en-US"/>
        </w:rPr>
      </w:pPr>
      <w:r>
        <w:br/>
      </w:r>
      <w:hyperlink r:id="rId10" w:history="1">
        <w:r w:rsidR="00D9426E" w:rsidRPr="00D9426E">
          <w:rPr>
            <w:sz w:val="24"/>
            <w:szCs w:val="24"/>
            <w:lang w:val="en-US"/>
          </w:rPr>
          <w:t>Mr Peter Cain MLA</w:t>
        </w:r>
      </w:hyperlink>
    </w:p>
    <w:p w14:paraId="12CF0DFC" w14:textId="2C5848C0" w:rsidR="00D9426E" w:rsidRPr="00D9426E" w:rsidRDefault="00D9426E" w:rsidP="00D9426E">
      <w:pPr>
        <w:spacing w:after="0" w:line="240" w:lineRule="auto"/>
        <w:rPr>
          <w:sz w:val="24"/>
          <w:szCs w:val="24"/>
          <w:lang w:val="en-US"/>
        </w:rPr>
      </w:pPr>
      <w:r w:rsidRPr="00D9426E">
        <w:rPr>
          <w:sz w:val="24"/>
          <w:szCs w:val="24"/>
          <w:lang w:val="en-US"/>
        </w:rPr>
        <w:t>Chai</w:t>
      </w:r>
      <w:r w:rsidRPr="00146F6C">
        <w:rPr>
          <w:sz w:val="24"/>
          <w:szCs w:val="24"/>
          <w:lang w:val="en-US"/>
        </w:rPr>
        <w:t>r</w:t>
      </w:r>
    </w:p>
    <w:p w14:paraId="6B509F65" w14:textId="795742DE" w:rsidR="00AD7D31" w:rsidRPr="00146F6C" w:rsidRDefault="00D9426E" w:rsidP="00AD7D31">
      <w:pPr>
        <w:spacing w:after="0" w:line="240" w:lineRule="auto"/>
        <w:rPr>
          <w:sz w:val="24"/>
          <w:szCs w:val="24"/>
          <w:lang w:val="en-US"/>
        </w:rPr>
      </w:pPr>
      <w:r w:rsidRPr="00146F6C">
        <w:rPr>
          <w:sz w:val="24"/>
          <w:szCs w:val="24"/>
          <w:lang w:val="en-US"/>
        </w:rPr>
        <w:t>Standing Committee on Justice and Community Safety</w:t>
      </w:r>
    </w:p>
    <w:p w14:paraId="23AD3111" w14:textId="0DCE0109" w:rsidR="00D9426E" w:rsidRPr="00146F6C" w:rsidRDefault="00D9426E" w:rsidP="00AD7D31">
      <w:pPr>
        <w:spacing w:after="0" w:line="240" w:lineRule="auto"/>
        <w:rPr>
          <w:sz w:val="24"/>
          <w:szCs w:val="24"/>
          <w:lang w:val="en-US"/>
        </w:rPr>
      </w:pPr>
      <w:r w:rsidRPr="00146F6C">
        <w:rPr>
          <w:sz w:val="24"/>
          <w:szCs w:val="24"/>
          <w:lang w:val="en-US"/>
        </w:rPr>
        <w:t>(Legislative Scrutiny Role)</w:t>
      </w:r>
    </w:p>
    <w:p w14:paraId="330A6EC4" w14:textId="5C427E8B" w:rsidR="00D9426E" w:rsidRPr="00146F6C" w:rsidRDefault="00D9426E" w:rsidP="00AD7D31">
      <w:pPr>
        <w:spacing w:after="0" w:line="240" w:lineRule="auto"/>
        <w:rPr>
          <w:sz w:val="24"/>
          <w:szCs w:val="24"/>
          <w:lang w:val="en-US"/>
        </w:rPr>
      </w:pPr>
      <w:r w:rsidRPr="00146F6C">
        <w:rPr>
          <w:sz w:val="24"/>
          <w:szCs w:val="24"/>
          <w:lang w:val="en-US"/>
        </w:rPr>
        <w:t>ACT Legislative Assembly</w:t>
      </w:r>
    </w:p>
    <w:p w14:paraId="49C7E501" w14:textId="1DCAB87B" w:rsidR="00AD7D31" w:rsidRPr="00146F6C" w:rsidRDefault="00D9426E" w:rsidP="00146F6C">
      <w:pPr>
        <w:spacing w:after="0" w:line="240" w:lineRule="auto"/>
        <w:rPr>
          <w:sz w:val="24"/>
          <w:szCs w:val="24"/>
          <w:lang w:val="en-US"/>
        </w:rPr>
      </w:pPr>
      <w:r w:rsidRPr="00146F6C">
        <w:rPr>
          <w:sz w:val="24"/>
          <w:szCs w:val="24"/>
          <w:lang w:val="en-US"/>
        </w:rPr>
        <w:t>scrutiny@parliament.act.gov.au</w:t>
      </w:r>
    </w:p>
    <w:p w14:paraId="3B1EDA90" w14:textId="77777777" w:rsidR="00AD7D31" w:rsidRDefault="00AD7D31" w:rsidP="00AD7D31">
      <w:pPr>
        <w:spacing w:after="0" w:line="240" w:lineRule="auto"/>
        <w:rPr>
          <w:sz w:val="24"/>
          <w:szCs w:val="24"/>
        </w:rPr>
      </w:pPr>
    </w:p>
    <w:p w14:paraId="29B38E05" w14:textId="77777777" w:rsidR="00B91F55" w:rsidRPr="00A031A0" w:rsidRDefault="00B91F55" w:rsidP="00AD7D31">
      <w:pPr>
        <w:spacing w:after="0" w:line="240" w:lineRule="auto"/>
        <w:rPr>
          <w:sz w:val="24"/>
          <w:szCs w:val="24"/>
        </w:rPr>
      </w:pPr>
    </w:p>
    <w:p w14:paraId="685C2922" w14:textId="491B1947" w:rsidR="00AD7D31" w:rsidRPr="00A031A0" w:rsidRDefault="00AD7D31" w:rsidP="00AD7D31">
      <w:pPr>
        <w:spacing w:after="0" w:line="240" w:lineRule="auto"/>
        <w:rPr>
          <w:sz w:val="24"/>
          <w:szCs w:val="24"/>
        </w:rPr>
      </w:pPr>
      <w:r w:rsidRPr="00A031A0">
        <w:rPr>
          <w:sz w:val="24"/>
          <w:szCs w:val="24"/>
          <w:lang w:val="en-US"/>
        </w:rPr>
        <w:t xml:space="preserve">Dear </w:t>
      </w:r>
      <w:r w:rsidR="00146F6C">
        <w:rPr>
          <w:sz w:val="24"/>
          <w:szCs w:val="24"/>
          <w:lang w:val="en-US"/>
        </w:rPr>
        <w:t>Mr Cain</w:t>
      </w:r>
    </w:p>
    <w:p w14:paraId="32A2FCF5" w14:textId="77777777" w:rsidR="00AD7D31" w:rsidRPr="00A031A0" w:rsidRDefault="00AD7D31" w:rsidP="00AD7D31">
      <w:pPr>
        <w:pStyle w:val="Header"/>
        <w:tabs>
          <w:tab w:val="left" w:pos="720"/>
        </w:tabs>
        <w:rPr>
          <w:sz w:val="24"/>
          <w:szCs w:val="24"/>
        </w:rPr>
      </w:pPr>
    </w:p>
    <w:p w14:paraId="63D919EB" w14:textId="32629E14" w:rsidR="00D9426E" w:rsidRDefault="00146F6C" w:rsidP="00AD7D31">
      <w:pPr>
        <w:spacing w:after="0" w:line="240" w:lineRule="auto"/>
        <w:rPr>
          <w:sz w:val="24"/>
          <w:szCs w:val="24"/>
        </w:rPr>
      </w:pPr>
      <w:r>
        <w:rPr>
          <w:sz w:val="24"/>
          <w:szCs w:val="24"/>
        </w:rPr>
        <w:t xml:space="preserve">I write in response to the Standing Committee on Justice and Community Safety comments in Scrutiny Report 14 of 29 March 2022 on the </w:t>
      </w:r>
      <w:r w:rsidR="00D9426E">
        <w:rPr>
          <w:sz w:val="24"/>
          <w:szCs w:val="24"/>
        </w:rPr>
        <w:t>Court Procedures (Fees) Determination 2022</w:t>
      </w:r>
      <w:r>
        <w:rPr>
          <w:sz w:val="24"/>
          <w:szCs w:val="24"/>
        </w:rPr>
        <w:t>.  The comments</w:t>
      </w:r>
      <w:r w:rsidR="00D9426E">
        <w:rPr>
          <w:sz w:val="24"/>
          <w:szCs w:val="24"/>
        </w:rPr>
        <w:t xml:space="preserve"> seek an amended explanatory statement for the following reasons:</w:t>
      </w:r>
    </w:p>
    <w:p w14:paraId="726DB21D" w14:textId="77777777" w:rsidR="00D9426E" w:rsidRPr="00D9426E" w:rsidRDefault="00D9426E" w:rsidP="00AD7D31">
      <w:pPr>
        <w:spacing w:after="0" w:line="240" w:lineRule="auto"/>
        <w:rPr>
          <w:i/>
          <w:iCs/>
          <w:sz w:val="24"/>
          <w:szCs w:val="24"/>
        </w:rPr>
      </w:pPr>
    </w:p>
    <w:p w14:paraId="33F55E93" w14:textId="77777777" w:rsidR="00D9426E" w:rsidRPr="00D9426E" w:rsidRDefault="00D9426E" w:rsidP="00D9426E">
      <w:pPr>
        <w:pStyle w:val="Default"/>
        <w:rPr>
          <w:i/>
          <w:iCs/>
        </w:rPr>
      </w:pPr>
      <w:r w:rsidRPr="00D9426E">
        <w:rPr>
          <w:i/>
          <w:iCs/>
        </w:rPr>
        <w:t xml:space="preserve">The Committee prefers that instruments that determine fees indicate (either in the instrument itself or in the Explanatory Statement) the amount of the “old” fee, the amount of the new fee, any percentage increase and also the reason for any increase (eg an adjustment based on the CPI). Given the importance of fees to the administration of the ACT, it assists the Committee (and the Legislative Assembly) if fees determinations expressly identify the magnitude of any fees increases. </w:t>
      </w:r>
    </w:p>
    <w:p w14:paraId="673A031E" w14:textId="77777777" w:rsidR="00D9426E" w:rsidRPr="00D9426E" w:rsidRDefault="00D9426E" w:rsidP="00D9426E">
      <w:pPr>
        <w:pStyle w:val="Default"/>
        <w:rPr>
          <w:i/>
          <w:iCs/>
        </w:rPr>
      </w:pPr>
      <w:r w:rsidRPr="00D9426E">
        <w:rPr>
          <w:i/>
          <w:iCs/>
        </w:rPr>
        <w:t xml:space="preserve">The Committee also prefers that fees determinations expressly address the mandatory requirements of subsection 56(5) of the Legislation Act 2001, which provides that a fees determination must provide: </w:t>
      </w:r>
    </w:p>
    <w:p w14:paraId="37968E4F" w14:textId="77777777" w:rsidR="00D9426E" w:rsidRPr="00D9426E" w:rsidRDefault="00D9426E" w:rsidP="00D9426E">
      <w:pPr>
        <w:pStyle w:val="Default"/>
        <w:rPr>
          <w:i/>
          <w:iCs/>
        </w:rPr>
      </w:pPr>
      <w:r w:rsidRPr="00D9426E">
        <w:rPr>
          <w:i/>
          <w:iCs/>
        </w:rPr>
        <w:t xml:space="preserve">• by whom the fee is payable; and </w:t>
      </w:r>
    </w:p>
    <w:p w14:paraId="25DE4292" w14:textId="77777777" w:rsidR="00D9426E" w:rsidRPr="00D9426E" w:rsidRDefault="00D9426E" w:rsidP="00D9426E">
      <w:pPr>
        <w:pStyle w:val="Default"/>
        <w:rPr>
          <w:i/>
          <w:iCs/>
        </w:rPr>
      </w:pPr>
      <w:r w:rsidRPr="00D9426E">
        <w:rPr>
          <w:i/>
          <w:iCs/>
        </w:rPr>
        <w:t xml:space="preserve">• to whom the fee is to be paid. </w:t>
      </w:r>
    </w:p>
    <w:p w14:paraId="2874853B" w14:textId="77777777" w:rsidR="00146F6C" w:rsidRDefault="00146F6C" w:rsidP="00D9426E">
      <w:pPr>
        <w:pStyle w:val="Default"/>
        <w:rPr>
          <w:i/>
          <w:iCs/>
        </w:rPr>
      </w:pPr>
    </w:p>
    <w:p w14:paraId="5AAC94A8" w14:textId="6086A4FE" w:rsidR="00D9426E" w:rsidRPr="00D9426E" w:rsidRDefault="00D9426E" w:rsidP="00D9426E">
      <w:pPr>
        <w:pStyle w:val="Default"/>
        <w:rPr>
          <w:i/>
          <w:iCs/>
        </w:rPr>
      </w:pPr>
      <w:r w:rsidRPr="00D9426E">
        <w:rPr>
          <w:i/>
          <w:iCs/>
        </w:rPr>
        <w:t xml:space="preserve">For this instrument, the explanatory statement contains only the following, in relation to the fees determined: </w:t>
      </w:r>
    </w:p>
    <w:p w14:paraId="29CFE506" w14:textId="77777777" w:rsidR="00D9426E" w:rsidRPr="00D9426E" w:rsidRDefault="00D9426E" w:rsidP="00D9426E">
      <w:pPr>
        <w:pStyle w:val="Default"/>
        <w:rPr>
          <w:i/>
          <w:iCs/>
        </w:rPr>
      </w:pPr>
      <w:r w:rsidRPr="00D9426E">
        <w:rPr>
          <w:i/>
          <w:iCs/>
        </w:rPr>
        <w:t xml:space="preserve">The new determination updates the fees that applied from 1 July 2021 by including new fees in item 1209.3 and 1209.4 for publication of notice of intention to apply for a grant of probate, letters of administration (with or without a will), reseal of a foreign grant, and an amended or republished notice for this purpose. </w:t>
      </w:r>
    </w:p>
    <w:p w14:paraId="2F2B4642" w14:textId="77777777" w:rsidR="00146F6C" w:rsidRDefault="00146F6C" w:rsidP="00D9426E">
      <w:pPr>
        <w:spacing w:after="0" w:line="240" w:lineRule="auto"/>
        <w:rPr>
          <w:i/>
          <w:iCs/>
          <w:sz w:val="24"/>
          <w:szCs w:val="24"/>
        </w:rPr>
      </w:pPr>
    </w:p>
    <w:p w14:paraId="1F22B6AE" w14:textId="192803EC" w:rsidR="00AD7D31" w:rsidRPr="00D9426E" w:rsidRDefault="00D9426E" w:rsidP="00D9426E">
      <w:pPr>
        <w:spacing w:after="0" w:line="240" w:lineRule="auto"/>
        <w:rPr>
          <w:i/>
          <w:iCs/>
          <w:sz w:val="24"/>
          <w:szCs w:val="24"/>
        </w:rPr>
      </w:pPr>
      <w:r w:rsidRPr="00D9426E">
        <w:rPr>
          <w:i/>
          <w:iCs/>
          <w:sz w:val="24"/>
          <w:szCs w:val="24"/>
        </w:rPr>
        <w:lastRenderedPageBreak/>
        <w:t>There is no explanation in relation to the matters that the Committee usually expects to be addressed, in relation to a fees determination.</w:t>
      </w:r>
    </w:p>
    <w:p w14:paraId="68DDF89E" w14:textId="77777777" w:rsidR="00D9426E" w:rsidRPr="00D9426E" w:rsidRDefault="00D9426E" w:rsidP="00D9426E">
      <w:pPr>
        <w:spacing w:after="0" w:line="240" w:lineRule="auto"/>
        <w:rPr>
          <w:i/>
          <w:iCs/>
          <w:sz w:val="24"/>
          <w:szCs w:val="24"/>
        </w:rPr>
      </w:pPr>
    </w:p>
    <w:p w14:paraId="089933AA" w14:textId="1E623CC0" w:rsidR="00FE090A" w:rsidRDefault="00D9426E" w:rsidP="00AD7D31">
      <w:pPr>
        <w:spacing w:after="0" w:line="240" w:lineRule="auto"/>
        <w:rPr>
          <w:sz w:val="24"/>
          <w:szCs w:val="24"/>
        </w:rPr>
      </w:pPr>
      <w:r>
        <w:rPr>
          <w:sz w:val="24"/>
          <w:szCs w:val="24"/>
        </w:rPr>
        <w:t xml:space="preserve">The </w:t>
      </w:r>
      <w:r w:rsidR="00146F6C">
        <w:rPr>
          <w:sz w:val="24"/>
          <w:szCs w:val="24"/>
        </w:rPr>
        <w:t>fee</w:t>
      </w:r>
      <w:r>
        <w:rPr>
          <w:sz w:val="24"/>
          <w:szCs w:val="24"/>
        </w:rPr>
        <w:t xml:space="preserve"> determination remakes the fees for the ACT Courts and Tribunal to enable inclusion of two new fees in items </w:t>
      </w:r>
      <w:r w:rsidR="00146F6C">
        <w:rPr>
          <w:sz w:val="24"/>
          <w:szCs w:val="24"/>
        </w:rPr>
        <w:t xml:space="preserve">1209.3 and 1209.4.  </w:t>
      </w:r>
      <w:r w:rsidR="00853319">
        <w:rPr>
          <w:sz w:val="24"/>
          <w:szCs w:val="24"/>
        </w:rPr>
        <w:t>Both t</w:t>
      </w:r>
      <w:r w:rsidR="00146F6C">
        <w:rPr>
          <w:sz w:val="24"/>
          <w:szCs w:val="24"/>
        </w:rPr>
        <w:t>he explanatory note in the instrument and explanatory statement note that these are new fees.  As such</w:t>
      </w:r>
      <w:r w:rsidR="001A1415">
        <w:rPr>
          <w:sz w:val="24"/>
          <w:szCs w:val="24"/>
        </w:rPr>
        <w:t>,</w:t>
      </w:r>
      <w:r w:rsidR="00146F6C">
        <w:rPr>
          <w:sz w:val="24"/>
          <w:szCs w:val="24"/>
        </w:rPr>
        <w:t xml:space="preserve"> there is no amount for an</w:t>
      </w:r>
      <w:r w:rsidR="00853319">
        <w:rPr>
          <w:sz w:val="24"/>
          <w:szCs w:val="24"/>
        </w:rPr>
        <w:t>y</w:t>
      </w:r>
      <w:r w:rsidR="00146F6C">
        <w:rPr>
          <w:sz w:val="24"/>
          <w:szCs w:val="24"/>
        </w:rPr>
        <w:t xml:space="preserve"> old fee</w:t>
      </w:r>
      <w:r w:rsidR="00853319">
        <w:rPr>
          <w:sz w:val="24"/>
          <w:szCs w:val="24"/>
        </w:rPr>
        <w:t>s</w:t>
      </w:r>
      <w:r w:rsidR="00146F6C">
        <w:rPr>
          <w:sz w:val="24"/>
          <w:szCs w:val="24"/>
        </w:rPr>
        <w:t xml:space="preserve"> and no information to be provided on any percentage increase or reason for any increase. </w:t>
      </w:r>
    </w:p>
    <w:p w14:paraId="08814B45" w14:textId="77777777" w:rsidR="00FE090A" w:rsidRDefault="00FE090A" w:rsidP="00AD7D31">
      <w:pPr>
        <w:spacing w:after="0" w:line="240" w:lineRule="auto"/>
        <w:rPr>
          <w:sz w:val="24"/>
          <w:szCs w:val="24"/>
        </w:rPr>
      </w:pPr>
    </w:p>
    <w:p w14:paraId="4A697835" w14:textId="2164B8AB" w:rsidR="00146F6C" w:rsidRDefault="00FE090A" w:rsidP="00AD7D31">
      <w:pPr>
        <w:spacing w:after="0" w:line="240" w:lineRule="auto"/>
        <w:rPr>
          <w:rFonts w:ascii="Arial" w:hAnsi="Arial" w:cs="Arial"/>
          <w:color w:val="000000"/>
          <w:sz w:val="27"/>
          <w:szCs w:val="27"/>
        </w:rPr>
      </w:pPr>
      <w:r>
        <w:rPr>
          <w:sz w:val="24"/>
          <w:szCs w:val="24"/>
        </w:rPr>
        <w:t xml:space="preserve">These two new fees give effect to a change in the Court Procedure Rules 2022 </w:t>
      </w:r>
      <w:r w:rsidR="00E6125A">
        <w:rPr>
          <w:sz w:val="24"/>
          <w:szCs w:val="24"/>
        </w:rPr>
        <w:t>made by the Rule</w:t>
      </w:r>
      <w:r w:rsidR="006E463C">
        <w:rPr>
          <w:sz w:val="24"/>
          <w:szCs w:val="24"/>
        </w:rPr>
        <w:noBreakHyphen/>
      </w:r>
      <w:r w:rsidR="00E6125A">
        <w:rPr>
          <w:sz w:val="24"/>
          <w:szCs w:val="24"/>
        </w:rPr>
        <w:t>Making Committee req</w:t>
      </w:r>
      <w:r>
        <w:rPr>
          <w:sz w:val="24"/>
          <w:szCs w:val="24"/>
        </w:rPr>
        <w:t xml:space="preserve">uiring </w:t>
      </w:r>
      <w:r w:rsidRPr="00FE090A">
        <w:rPr>
          <w:sz w:val="24"/>
          <w:szCs w:val="24"/>
        </w:rPr>
        <w:t xml:space="preserve">all notices of intention to apply for a grant of probate, letters of administration and reseal of a foreign grant be published on the ACT Supreme Court website. This replaces the previous requirement that probate notices be published in a daily newspaper generally circulating in the ACT. </w:t>
      </w:r>
      <w:r w:rsidR="00B36774">
        <w:rPr>
          <w:sz w:val="24"/>
          <w:szCs w:val="24"/>
        </w:rPr>
        <w:t xml:space="preserve"> </w:t>
      </w:r>
      <w:r w:rsidRPr="00FE090A">
        <w:rPr>
          <w:sz w:val="24"/>
          <w:szCs w:val="24"/>
        </w:rPr>
        <w:t xml:space="preserve">An online form is available for applicants and the notices can be </w:t>
      </w:r>
      <w:r w:rsidR="00B36774">
        <w:rPr>
          <w:sz w:val="24"/>
          <w:szCs w:val="24"/>
        </w:rPr>
        <w:t xml:space="preserve">easily </w:t>
      </w:r>
      <w:r w:rsidRPr="00FE090A">
        <w:rPr>
          <w:sz w:val="24"/>
          <w:szCs w:val="24"/>
        </w:rPr>
        <w:t xml:space="preserve">searched on the Supreme Court website.  </w:t>
      </w:r>
    </w:p>
    <w:p w14:paraId="3D5EFE91" w14:textId="77777777" w:rsidR="00FE090A" w:rsidRDefault="00FE090A" w:rsidP="00AD7D31">
      <w:pPr>
        <w:spacing w:after="0" w:line="240" w:lineRule="auto"/>
        <w:rPr>
          <w:sz w:val="24"/>
          <w:szCs w:val="24"/>
        </w:rPr>
      </w:pPr>
    </w:p>
    <w:p w14:paraId="57EE3AFF" w14:textId="657E2FFA" w:rsidR="00146F6C" w:rsidRDefault="00146F6C" w:rsidP="00AD7D31">
      <w:pPr>
        <w:spacing w:after="0" w:line="240" w:lineRule="auto"/>
        <w:rPr>
          <w:sz w:val="24"/>
          <w:szCs w:val="24"/>
        </w:rPr>
      </w:pPr>
      <w:r>
        <w:rPr>
          <w:sz w:val="24"/>
          <w:szCs w:val="24"/>
        </w:rPr>
        <w:t>The fee determination does not make any changes to the previous fees for the ACT Courts and Tribunal and all of those fees include explanatory notes in the instrument itself setting out the fee in the last financial year</w:t>
      </w:r>
      <w:r w:rsidR="00B36774">
        <w:rPr>
          <w:sz w:val="24"/>
          <w:szCs w:val="24"/>
        </w:rPr>
        <w:t xml:space="preserve">.  The previous explanatory statement also sets out the last percentage </w:t>
      </w:r>
      <w:r>
        <w:rPr>
          <w:sz w:val="24"/>
          <w:szCs w:val="24"/>
        </w:rPr>
        <w:t xml:space="preserve">increase </w:t>
      </w:r>
      <w:r w:rsidR="00B36774">
        <w:rPr>
          <w:sz w:val="24"/>
          <w:szCs w:val="24"/>
        </w:rPr>
        <w:t xml:space="preserve">which </w:t>
      </w:r>
      <w:r>
        <w:rPr>
          <w:sz w:val="24"/>
          <w:szCs w:val="24"/>
        </w:rPr>
        <w:t xml:space="preserve">was </w:t>
      </w:r>
      <w:r w:rsidR="00B36774">
        <w:rPr>
          <w:sz w:val="24"/>
          <w:szCs w:val="24"/>
        </w:rPr>
        <w:t xml:space="preserve">in line with the Wages Price Index. </w:t>
      </w:r>
      <w:r>
        <w:rPr>
          <w:sz w:val="24"/>
          <w:szCs w:val="24"/>
        </w:rPr>
        <w:t xml:space="preserve">   </w:t>
      </w:r>
    </w:p>
    <w:p w14:paraId="56AD9505" w14:textId="5C3AC9DD" w:rsidR="00146F6C" w:rsidRDefault="00146F6C" w:rsidP="00AD7D31">
      <w:pPr>
        <w:spacing w:after="0" w:line="240" w:lineRule="auto"/>
        <w:rPr>
          <w:sz w:val="24"/>
          <w:szCs w:val="24"/>
        </w:rPr>
      </w:pPr>
    </w:p>
    <w:p w14:paraId="26F83FC0" w14:textId="77777777" w:rsidR="00A13178" w:rsidRPr="00D83A7F" w:rsidRDefault="00D9426E" w:rsidP="00A13178">
      <w:pPr>
        <w:spacing w:after="0" w:line="240" w:lineRule="auto"/>
        <w:rPr>
          <w:sz w:val="24"/>
          <w:szCs w:val="24"/>
        </w:rPr>
      </w:pPr>
      <w:r>
        <w:rPr>
          <w:sz w:val="24"/>
          <w:szCs w:val="24"/>
        </w:rPr>
        <w:t xml:space="preserve">The </w:t>
      </w:r>
      <w:r w:rsidR="00FE090A">
        <w:rPr>
          <w:sz w:val="24"/>
          <w:szCs w:val="24"/>
        </w:rPr>
        <w:t xml:space="preserve">fee </w:t>
      </w:r>
      <w:r>
        <w:rPr>
          <w:sz w:val="24"/>
          <w:szCs w:val="24"/>
        </w:rPr>
        <w:t xml:space="preserve">determination states in item 4 who is required to pay the fees and who they are payable to.  Item 4 states that </w:t>
      </w:r>
      <w:r>
        <w:rPr>
          <w:i/>
          <w:iCs/>
          <w:sz w:val="24"/>
          <w:szCs w:val="24"/>
        </w:rPr>
        <w:t xml:space="preserve">the fee payable for a matter stated in an item in the schedule, column 2 is payable to the Territory by the person requesting the service. </w:t>
      </w:r>
      <w:r>
        <w:rPr>
          <w:sz w:val="24"/>
          <w:szCs w:val="24"/>
        </w:rPr>
        <w:t xml:space="preserve"> </w:t>
      </w:r>
      <w:r w:rsidR="00A13178" w:rsidRPr="00D83A7F">
        <w:rPr>
          <w:sz w:val="24"/>
          <w:szCs w:val="24"/>
        </w:rPr>
        <w:t>Please find an Amended Explanatory Statement attached which now includes further information outlined in this letter.</w:t>
      </w:r>
    </w:p>
    <w:p w14:paraId="1CB26F43" w14:textId="77777777" w:rsidR="00A13178" w:rsidRPr="00D83A7F" w:rsidRDefault="00A13178" w:rsidP="00A13178">
      <w:pPr>
        <w:spacing w:after="0" w:line="240" w:lineRule="auto"/>
        <w:rPr>
          <w:sz w:val="24"/>
          <w:szCs w:val="24"/>
        </w:rPr>
      </w:pPr>
    </w:p>
    <w:p w14:paraId="61F2DC58" w14:textId="6718D8A4" w:rsidR="00AD7D31" w:rsidRDefault="00A13178" w:rsidP="00A13178">
      <w:pPr>
        <w:spacing w:after="0" w:line="240" w:lineRule="auto"/>
        <w:rPr>
          <w:sz w:val="24"/>
          <w:szCs w:val="24"/>
        </w:rPr>
      </w:pPr>
      <w:r w:rsidRPr="00D83A7F">
        <w:rPr>
          <w:sz w:val="24"/>
          <w:szCs w:val="24"/>
        </w:rPr>
        <w:t>I thank the Committee for its consideration of this instrument and I will table the attached Amended Explanatory Statement in the Assembly.</w:t>
      </w:r>
      <w:r w:rsidRPr="00A13178">
        <w:rPr>
          <w:sz w:val="24"/>
          <w:szCs w:val="24"/>
        </w:rPr>
        <w:t xml:space="preserve">  </w:t>
      </w:r>
    </w:p>
    <w:p w14:paraId="3F3BEC3C" w14:textId="77777777" w:rsidR="00A13178" w:rsidRPr="00A031A0" w:rsidRDefault="00A13178" w:rsidP="00A13178">
      <w:pPr>
        <w:spacing w:after="0" w:line="240" w:lineRule="auto"/>
        <w:rPr>
          <w:sz w:val="24"/>
          <w:szCs w:val="24"/>
        </w:rPr>
      </w:pPr>
    </w:p>
    <w:p w14:paraId="3CFC0F49" w14:textId="77777777" w:rsidR="00AD7D31" w:rsidRPr="00A031A0" w:rsidRDefault="00AD7D31" w:rsidP="00AD7D31">
      <w:pPr>
        <w:spacing w:after="0" w:line="240" w:lineRule="auto"/>
        <w:rPr>
          <w:sz w:val="24"/>
          <w:szCs w:val="24"/>
        </w:rPr>
      </w:pPr>
      <w:r w:rsidRPr="00A031A0">
        <w:rPr>
          <w:sz w:val="24"/>
          <w:szCs w:val="24"/>
        </w:rPr>
        <w:t>Yours sincerely</w:t>
      </w:r>
    </w:p>
    <w:p w14:paraId="2218023B" w14:textId="300D3E68" w:rsidR="00AD7D31" w:rsidRDefault="00834846" w:rsidP="00AD7D31">
      <w:pPr>
        <w:spacing w:after="0" w:line="240" w:lineRule="auto"/>
        <w:rPr>
          <w:sz w:val="24"/>
          <w:szCs w:val="24"/>
        </w:rPr>
      </w:pPr>
      <w:r w:rsidRPr="00A031A0">
        <w:rPr>
          <w:sz w:val="24"/>
          <w:szCs w:val="24"/>
        </w:rPr>
        <w:br/>
      </w:r>
    </w:p>
    <w:p w14:paraId="071FDDCC" w14:textId="77777777" w:rsidR="006E463C" w:rsidRDefault="006E463C" w:rsidP="00AD7D31">
      <w:pPr>
        <w:spacing w:after="0" w:line="240" w:lineRule="auto"/>
        <w:rPr>
          <w:sz w:val="24"/>
          <w:szCs w:val="24"/>
        </w:rPr>
      </w:pPr>
    </w:p>
    <w:p w14:paraId="0E1A4596" w14:textId="77777777" w:rsidR="008D37E0" w:rsidRPr="00A031A0" w:rsidRDefault="008D37E0" w:rsidP="00AD7D31">
      <w:pPr>
        <w:spacing w:after="0" w:line="240" w:lineRule="auto"/>
        <w:rPr>
          <w:sz w:val="24"/>
          <w:szCs w:val="24"/>
        </w:rPr>
      </w:pPr>
    </w:p>
    <w:p w14:paraId="20EC4F28" w14:textId="77777777" w:rsidR="00AD7D31" w:rsidRPr="00A031A0" w:rsidRDefault="00F255AE" w:rsidP="00AD7D31">
      <w:pPr>
        <w:spacing w:after="0" w:line="240" w:lineRule="auto"/>
        <w:rPr>
          <w:sz w:val="24"/>
          <w:szCs w:val="24"/>
        </w:rPr>
      </w:pPr>
      <w:r>
        <w:rPr>
          <w:sz w:val="24"/>
          <w:szCs w:val="24"/>
        </w:rPr>
        <w:t>Shane Rattenbury</w:t>
      </w:r>
      <w:r w:rsidR="00AD7D31" w:rsidRPr="00A031A0">
        <w:rPr>
          <w:sz w:val="24"/>
          <w:szCs w:val="24"/>
        </w:rPr>
        <w:t xml:space="preserve"> MLA</w:t>
      </w:r>
    </w:p>
    <w:p w14:paraId="24A565D5" w14:textId="5A4E1AA6" w:rsidR="00AD7D31" w:rsidRPr="00A031A0" w:rsidRDefault="006E463C" w:rsidP="00AD7D31">
      <w:pPr>
        <w:pStyle w:val="Header"/>
        <w:tabs>
          <w:tab w:val="left" w:pos="720"/>
        </w:tabs>
        <w:rPr>
          <w:sz w:val="24"/>
          <w:szCs w:val="24"/>
        </w:rPr>
      </w:pPr>
      <w:r>
        <w:rPr>
          <w:sz w:val="24"/>
          <w:szCs w:val="24"/>
        </w:rPr>
        <w:t>Attorney-General</w:t>
      </w:r>
    </w:p>
    <w:p w14:paraId="5AC7E23D" w14:textId="12BDC90B" w:rsidR="00AD7D31" w:rsidRPr="00A031A0" w:rsidRDefault="00AD7D31" w:rsidP="00AD7D31">
      <w:pPr>
        <w:tabs>
          <w:tab w:val="left" w:pos="3240"/>
        </w:tabs>
        <w:spacing w:after="0" w:line="240" w:lineRule="auto"/>
        <w:rPr>
          <w:sz w:val="24"/>
          <w:szCs w:val="24"/>
        </w:rPr>
      </w:pPr>
    </w:p>
    <w:sectPr w:rsidR="00AD7D31" w:rsidRPr="00A031A0" w:rsidSect="006E463C">
      <w:headerReference w:type="first" r:id="rId11"/>
      <w:footerReference w:type="first" r:id="rId12"/>
      <w:pgSz w:w="11906" w:h="16838" w:code="9"/>
      <w:pgMar w:top="1134" w:right="1021" w:bottom="1276" w:left="1021" w:header="57"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004421" w14:textId="77777777" w:rsidR="00E666B3" w:rsidRDefault="00E666B3" w:rsidP="00AD7D31">
      <w:pPr>
        <w:spacing w:after="0" w:line="240" w:lineRule="auto"/>
      </w:pPr>
      <w:r>
        <w:separator/>
      </w:r>
    </w:p>
  </w:endnote>
  <w:endnote w:type="continuationSeparator" w:id="0">
    <w:p w14:paraId="569CA2D0" w14:textId="77777777" w:rsidR="00E666B3" w:rsidRDefault="00E666B3"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A694A" w14:textId="77777777" w:rsidR="001E1C2A" w:rsidRDefault="008C5119" w:rsidP="001E1C2A">
    <w:pPr>
      <w:pStyle w:val="Footer"/>
      <w:tabs>
        <w:tab w:val="clear" w:pos="4513"/>
        <w:tab w:val="clear" w:pos="9026"/>
        <w:tab w:val="left" w:pos="8064"/>
      </w:tabs>
      <w:jc w:val="left"/>
    </w:pPr>
    <w:r>
      <w:rPr>
        <w:noProof/>
      </w:rPr>
      <w:drawing>
        <wp:anchor distT="0" distB="0" distL="114300" distR="114300" simplePos="0" relativeHeight="251677696" behindDoc="1" locked="0" layoutInCell="1" allowOverlap="1" wp14:anchorId="20F48734" wp14:editId="5FF3A77C">
          <wp:simplePos x="0" y="0"/>
          <wp:positionH relativeFrom="page">
            <wp:posOffset>4445</wp:posOffset>
          </wp:positionH>
          <wp:positionV relativeFrom="paragraph">
            <wp:posOffset>19050</wp:posOffset>
          </wp:positionV>
          <wp:extent cx="7162800" cy="1502235"/>
          <wp:effectExtent l="0" t="0" r="0" b="3175"/>
          <wp:wrapNone/>
          <wp:docPr id="39" name="Picture 3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r w:rsidR="001E1C2A">
      <w:tab/>
    </w:r>
  </w:p>
  <w:tbl>
    <w:tblPr>
      <w:tblStyle w:val="TableGrid"/>
      <w:tblW w:w="6804"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425"/>
      <w:gridCol w:w="1843"/>
      <w:gridCol w:w="2268"/>
      <w:gridCol w:w="2268"/>
    </w:tblGrid>
    <w:tr w:rsidR="001E1C2A" w:rsidRPr="00910ED5" w14:paraId="2CF526C4" w14:textId="77777777" w:rsidTr="009260CD">
      <w:trPr>
        <w:trHeight w:val="340"/>
        <w:jc w:val="right"/>
      </w:trPr>
      <w:tc>
        <w:tcPr>
          <w:tcW w:w="6804" w:type="dxa"/>
          <w:gridSpan w:val="4"/>
          <w:tcBorders>
            <w:top w:val="nil"/>
            <w:bottom w:val="single" w:sz="4" w:space="0" w:color="724793"/>
          </w:tcBorders>
        </w:tcPr>
        <w:p w14:paraId="66462B39"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GPO Box 1020</w:t>
          </w:r>
          <w:r>
            <w:rPr>
              <w:color w:val="724793" w:themeColor="accent2"/>
              <w:spacing w:val="-4"/>
              <w:sz w:val="18"/>
              <w:szCs w:val="18"/>
            </w:rPr>
            <w:t xml:space="preserve">, </w:t>
          </w:r>
          <w:r w:rsidRPr="00910ED5">
            <w:rPr>
              <w:color w:val="724793" w:themeColor="accent2"/>
              <w:spacing w:val="-4"/>
              <w:sz w:val="18"/>
              <w:szCs w:val="18"/>
            </w:rPr>
            <w:t>Canberra ACT 2601</w:t>
          </w:r>
        </w:p>
      </w:tc>
    </w:tr>
    <w:tr w:rsidR="001E1C2A" w:rsidRPr="00910ED5" w14:paraId="4BB1E3A4" w14:textId="77777777" w:rsidTr="001E1C2A">
      <w:trPr>
        <w:trHeight w:val="20"/>
        <w:jc w:val="right"/>
      </w:trPr>
      <w:tc>
        <w:tcPr>
          <w:tcW w:w="425" w:type="dxa"/>
          <w:tcBorders>
            <w:top w:val="single" w:sz="4" w:space="0" w:color="724793"/>
            <w:bottom w:val="nil"/>
          </w:tcBorders>
          <w:vAlign w:val="center"/>
        </w:tcPr>
        <w:p w14:paraId="53DCE6BF" w14:textId="77777777" w:rsidR="001E1C2A" w:rsidRPr="00910ED5" w:rsidRDefault="001E1C2A" w:rsidP="001E1C2A">
          <w:pPr>
            <w:tabs>
              <w:tab w:val="center" w:pos="4513"/>
              <w:tab w:val="right" w:pos="9026"/>
            </w:tabs>
            <w:spacing w:before="40" w:after="40"/>
            <w:jc w:val="right"/>
            <w:rPr>
              <w:color w:val="724793" w:themeColor="accent2"/>
              <w:spacing w:val="-1"/>
              <w:sz w:val="18"/>
              <w:szCs w:val="18"/>
            </w:rPr>
          </w:pPr>
        </w:p>
      </w:tc>
      <w:tc>
        <w:tcPr>
          <w:tcW w:w="1843" w:type="dxa"/>
          <w:tcBorders>
            <w:top w:val="single" w:sz="4" w:space="0" w:color="724793"/>
            <w:bottom w:val="single" w:sz="4" w:space="0" w:color="724793"/>
          </w:tcBorders>
          <w:vAlign w:val="center"/>
        </w:tcPr>
        <w:p w14:paraId="5C8D1A68" w14:textId="77777777" w:rsidR="001E1C2A" w:rsidRPr="00910ED5" w:rsidRDefault="001E1C2A" w:rsidP="001E1C2A">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2268" w:type="dxa"/>
          <w:tcBorders>
            <w:top w:val="single" w:sz="4" w:space="0" w:color="724793"/>
          </w:tcBorders>
          <w:vAlign w:val="center"/>
        </w:tcPr>
        <w:p w14:paraId="2C3AECA3"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216D38D5" wp14:editId="762A15B9">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EACBC81"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Pr="00910ED5">
            <w:rPr>
              <w:color w:val="724793" w:themeColor="accent2"/>
              <w:spacing w:val="-4"/>
              <w:sz w:val="18"/>
              <w:szCs w:val="18"/>
            </w:rPr>
            <w:t xml:space="preserve">  +61 2 6205 </w:t>
          </w:r>
          <w:r>
            <w:rPr>
              <w:color w:val="724793" w:themeColor="accent2"/>
              <w:spacing w:val="-4"/>
              <w:sz w:val="18"/>
              <w:szCs w:val="18"/>
            </w:rPr>
            <w:t>0005</w:t>
          </w:r>
          <w:r w:rsidRPr="00910ED5">
            <w:rPr>
              <w:color w:val="724793" w:themeColor="accent2"/>
              <w:spacing w:val="-4"/>
              <w:sz w:val="18"/>
              <w:szCs w:val="18"/>
            </w:rPr>
            <w:t xml:space="preserve">    </w:t>
          </w:r>
        </w:p>
      </w:tc>
      <w:tc>
        <w:tcPr>
          <w:tcW w:w="2268" w:type="dxa"/>
          <w:tcBorders>
            <w:top w:val="single" w:sz="4" w:space="0" w:color="724793"/>
          </w:tcBorders>
          <w:vAlign w:val="center"/>
        </w:tcPr>
        <w:p w14:paraId="6B94EF6C"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47904BF3" wp14:editId="05BE78EE">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56618791"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Pr>
              <w:color w:val="724793" w:themeColor="accent2"/>
              <w:spacing w:val="-4"/>
              <w:sz w:val="18"/>
              <w:szCs w:val="18"/>
            </w:rPr>
            <w:t>rattenbury@a</w:t>
          </w:r>
          <w:r w:rsidRPr="00910ED5">
            <w:rPr>
              <w:color w:val="724793" w:themeColor="accent2"/>
              <w:spacing w:val="-4"/>
              <w:sz w:val="18"/>
              <w:szCs w:val="18"/>
            </w:rPr>
            <w:t>ct.gov.au</w:t>
          </w:r>
        </w:p>
      </w:tc>
    </w:tr>
    <w:tr w:rsidR="001E1C2A" w:rsidRPr="00910ED5" w14:paraId="0A578472" w14:textId="77777777" w:rsidTr="001E1C2A">
      <w:trPr>
        <w:trHeight w:val="20"/>
        <w:jc w:val="right"/>
      </w:trPr>
      <w:tc>
        <w:tcPr>
          <w:tcW w:w="425" w:type="dxa"/>
          <w:tcBorders>
            <w:top w:val="nil"/>
            <w:bottom w:val="nil"/>
          </w:tcBorders>
          <w:vAlign w:val="center"/>
        </w:tcPr>
        <w:p w14:paraId="0276E984"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p>
      </w:tc>
      <w:tc>
        <w:tcPr>
          <w:tcW w:w="1843" w:type="dxa"/>
          <w:tcBorders>
            <w:top w:val="single" w:sz="4" w:space="0" w:color="724793"/>
            <w:bottom w:val="nil"/>
          </w:tcBorders>
          <w:vAlign w:val="center"/>
        </w:tcPr>
        <w:p w14:paraId="26E925C0" w14:textId="77777777" w:rsidR="001E1C2A" w:rsidRPr="00910ED5" w:rsidRDefault="001E1C2A" w:rsidP="001E1C2A">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7731F928" wp14:editId="5330644C">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2CC67700"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Pr="00910ED5">
            <w:rPr>
              <w:color w:val="724793" w:themeColor="accent2"/>
              <w:spacing w:val="-4"/>
              <w:sz w:val="18"/>
              <w:szCs w:val="18"/>
            </w:rPr>
            <w:t>@</w:t>
          </w:r>
          <w:r>
            <w:rPr>
              <w:color w:val="724793" w:themeColor="accent2"/>
              <w:spacing w:val="-4"/>
              <w:sz w:val="18"/>
              <w:szCs w:val="18"/>
            </w:rPr>
            <w:t>ShaneRattenbury</w:t>
          </w:r>
        </w:p>
      </w:tc>
      <w:tc>
        <w:tcPr>
          <w:tcW w:w="2268" w:type="dxa"/>
          <w:vAlign w:val="center"/>
        </w:tcPr>
        <w:p w14:paraId="595A0474" w14:textId="77777777" w:rsidR="001E1C2A" w:rsidRPr="00910ED5" w:rsidRDefault="00261999" w:rsidP="001E1C2A">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02849FB0" wp14:editId="34EEE1E1">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728EF1F"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1E1C2A" w:rsidRPr="00910ED5">
            <w:rPr>
              <w:color w:val="724793" w:themeColor="accent2"/>
              <w:spacing w:val="-4"/>
              <w:sz w:val="18"/>
              <w:szCs w:val="18"/>
            </w:rPr>
            <w:t xml:space="preserve">  </w:t>
          </w:r>
          <w:proofErr w:type="spellStart"/>
          <w:r w:rsidR="001E1C2A">
            <w:rPr>
              <w:color w:val="724793" w:themeColor="accent2"/>
              <w:spacing w:val="-4"/>
              <w:sz w:val="18"/>
              <w:szCs w:val="18"/>
            </w:rPr>
            <w:t>shanerattenburymla</w:t>
          </w:r>
          <w:proofErr w:type="spellEnd"/>
        </w:p>
      </w:tc>
      <w:tc>
        <w:tcPr>
          <w:tcW w:w="2268" w:type="dxa"/>
          <w:vAlign w:val="center"/>
        </w:tcPr>
        <w:p w14:paraId="6D69AE7B" w14:textId="77777777" w:rsidR="001E1C2A" w:rsidRPr="00910ED5" w:rsidRDefault="00261999" w:rsidP="001E1C2A">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4B5C3E65" wp14:editId="2CD28860">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70B1757"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1E1C2A" w:rsidRPr="00910ED5">
            <w:rPr>
              <w:color w:val="724793" w:themeColor="accent2"/>
              <w:spacing w:val="-4"/>
              <w:sz w:val="18"/>
              <w:szCs w:val="18"/>
            </w:rPr>
            <w:t xml:space="preserve">  </w:t>
          </w:r>
          <w:proofErr w:type="spellStart"/>
          <w:r w:rsidR="001E1C2A">
            <w:rPr>
              <w:color w:val="724793" w:themeColor="accent2"/>
              <w:spacing w:val="-4"/>
              <w:sz w:val="18"/>
              <w:szCs w:val="18"/>
            </w:rPr>
            <w:t>shanerattenbury</w:t>
          </w:r>
          <w:proofErr w:type="spellEnd"/>
        </w:p>
      </w:tc>
    </w:tr>
  </w:tbl>
  <w:p w14:paraId="5A80C249" w14:textId="77777777" w:rsidR="008C5119" w:rsidRDefault="008C5119" w:rsidP="001E1C2A">
    <w:pPr>
      <w:pStyle w:val="Footer"/>
      <w:tabs>
        <w:tab w:val="clear" w:pos="4513"/>
        <w:tab w:val="clear" w:pos="9026"/>
        <w:tab w:val="left" w:pos="8064"/>
      </w:tabs>
      <w:jc w:val="left"/>
    </w:pPr>
  </w:p>
  <w:p w14:paraId="18AA3F31"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7E9CE" w14:textId="77777777" w:rsidR="00E666B3" w:rsidRDefault="00E666B3" w:rsidP="00AD7D31">
      <w:pPr>
        <w:spacing w:after="0" w:line="240" w:lineRule="auto"/>
      </w:pPr>
      <w:r>
        <w:separator/>
      </w:r>
    </w:p>
  </w:footnote>
  <w:footnote w:type="continuationSeparator" w:id="0">
    <w:p w14:paraId="666CE9FA" w14:textId="77777777" w:rsidR="00E666B3" w:rsidRDefault="00E666B3"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1024"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1B2AD369" wp14:editId="54FD156C">
          <wp:simplePos x="0" y="0"/>
          <wp:positionH relativeFrom="margin">
            <wp:posOffset>-619758</wp:posOffset>
          </wp:positionH>
          <wp:positionV relativeFrom="paragraph">
            <wp:posOffset>-36195</wp:posOffset>
          </wp:positionV>
          <wp:extent cx="7538814" cy="1580719"/>
          <wp:effectExtent l="0" t="0" r="5080" b="63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0C2BA582" wp14:editId="01791478">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73F3C6E6"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6508ECBF" w14:textId="77777777" w:rsidR="006F4E04" w:rsidRPr="00DD766A" w:rsidRDefault="00F255AE" w:rsidP="006F4E04">
    <w:pPr>
      <w:pStyle w:val="Portfolios"/>
    </w:pPr>
    <w:r>
      <w:rPr>
        <w:b/>
        <w:color w:val="231F20"/>
        <w:spacing w:val="-1"/>
        <w:sz w:val="24"/>
      </w:rPr>
      <w:t>Shane Rattenbury</w:t>
    </w:r>
    <w:r w:rsidR="006F4E04">
      <w:rPr>
        <w:b/>
        <w:color w:val="231F20"/>
        <w:spacing w:val="-1"/>
        <w:sz w:val="24"/>
      </w:rPr>
      <w:t xml:space="preserve"> MLA</w:t>
    </w:r>
    <w:r w:rsidR="006F4E04" w:rsidRPr="00DD766A">
      <w:t xml:space="preserve"> </w:t>
    </w:r>
    <w:r w:rsidR="006F4E04">
      <w:br/>
    </w:r>
    <w:r>
      <w:t>Attorney-General</w:t>
    </w:r>
    <w:r>
      <w:br/>
      <w:t xml:space="preserve">Minister for Consumer Affairs </w:t>
    </w:r>
    <w:r>
      <w:br/>
      <w:t>Minister for Water, Energy and Emissions Reduction</w:t>
    </w:r>
    <w:r>
      <w:br/>
      <w:t>Minister for Gaming</w:t>
    </w:r>
  </w:p>
  <w:p w14:paraId="226F5A05" w14:textId="77777777" w:rsidR="00F255AE" w:rsidRPr="00003B4A" w:rsidRDefault="00F255AE" w:rsidP="00F255AE">
    <w:pPr>
      <w:pStyle w:val="Portfolio"/>
      <w:spacing w:after="80" w:line="240" w:lineRule="exact"/>
      <w:ind w:right="-626"/>
      <w:rPr>
        <w:rFonts w:ascii="Calibri" w:hAnsi="Calibri"/>
        <w:sz w:val="20"/>
        <w:szCs w:val="20"/>
      </w:rPr>
    </w:pPr>
    <w:r>
      <w:rPr>
        <w:rFonts w:ascii="Calibri" w:hAnsi="Calibri"/>
        <w:noProof/>
        <w:sz w:val="12"/>
        <w:szCs w:val="20"/>
      </w:rPr>
      <mc:AlternateContent>
        <mc:Choice Requires="wps">
          <w:drawing>
            <wp:anchor distT="0" distB="0" distL="114300" distR="114300" simplePos="0" relativeHeight="251680768" behindDoc="0" locked="0" layoutInCell="1" allowOverlap="1" wp14:anchorId="1D12E177" wp14:editId="7860499A">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017A0C" id="Straight Connector 100" o:spid="_x0000_s1026" style="position:absolute;z-index:251680768;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r w:rsidRPr="0046418A">
      <w:rPr>
        <w:rFonts w:ascii="Calibri" w:hAnsi="Calibri"/>
        <w:sz w:val="20"/>
        <w:szCs w:val="20"/>
      </w:rPr>
      <w:t xml:space="preserve">Member for </w:t>
    </w:r>
    <w:proofErr w:type="spellStart"/>
    <w:r>
      <w:rPr>
        <w:rFonts w:ascii="Calibri" w:hAnsi="Calibri"/>
        <w:sz w:val="20"/>
        <w:szCs w:val="20"/>
      </w:rPr>
      <w:t>Kurrajong</w:t>
    </w:r>
    <w:proofErr w:type="spellEnd"/>
  </w:p>
  <w:p w14:paraId="24DD243F" w14:textId="77777777" w:rsidR="00A6097C" w:rsidRPr="00003B4A" w:rsidRDefault="00A6097C" w:rsidP="00F255AE">
    <w:pPr>
      <w:pStyle w:val="Portfolio"/>
      <w:spacing w:after="80" w:line="240" w:lineRule="exact"/>
      <w:ind w:right="-626"/>
      <w:rPr>
        <w:rFonts w:ascii="Calibri" w:hAnsi="Calibri"/>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E28"/>
    <w:rsid w:val="00003B4A"/>
    <w:rsid w:val="000125FC"/>
    <w:rsid w:val="00027AFE"/>
    <w:rsid w:val="0006371F"/>
    <w:rsid w:val="000C331E"/>
    <w:rsid w:val="00131016"/>
    <w:rsid w:val="001450DC"/>
    <w:rsid w:val="00146F6C"/>
    <w:rsid w:val="001804F3"/>
    <w:rsid w:val="001851B2"/>
    <w:rsid w:val="00195EAD"/>
    <w:rsid w:val="001A1415"/>
    <w:rsid w:val="001D7389"/>
    <w:rsid w:val="001E1C2A"/>
    <w:rsid w:val="00240F3E"/>
    <w:rsid w:val="002450E9"/>
    <w:rsid w:val="00261999"/>
    <w:rsid w:val="002D4441"/>
    <w:rsid w:val="002E1D40"/>
    <w:rsid w:val="002E6EC4"/>
    <w:rsid w:val="00313E4A"/>
    <w:rsid w:val="003D327A"/>
    <w:rsid w:val="003E4068"/>
    <w:rsid w:val="0041104E"/>
    <w:rsid w:val="004517FA"/>
    <w:rsid w:val="004E6351"/>
    <w:rsid w:val="005351C5"/>
    <w:rsid w:val="0055749D"/>
    <w:rsid w:val="005C4787"/>
    <w:rsid w:val="005E7DE1"/>
    <w:rsid w:val="0061634E"/>
    <w:rsid w:val="0064748B"/>
    <w:rsid w:val="00655CD8"/>
    <w:rsid w:val="00696899"/>
    <w:rsid w:val="006A1B70"/>
    <w:rsid w:val="006C6335"/>
    <w:rsid w:val="006E463C"/>
    <w:rsid w:val="006F4E04"/>
    <w:rsid w:val="00712BA7"/>
    <w:rsid w:val="00725519"/>
    <w:rsid w:val="00742013"/>
    <w:rsid w:val="00751F7B"/>
    <w:rsid w:val="00795E1D"/>
    <w:rsid w:val="007B465C"/>
    <w:rsid w:val="007D7FAC"/>
    <w:rsid w:val="007F5BA8"/>
    <w:rsid w:val="00806ACB"/>
    <w:rsid w:val="008316D5"/>
    <w:rsid w:val="00834846"/>
    <w:rsid w:val="00853319"/>
    <w:rsid w:val="00855531"/>
    <w:rsid w:val="008A04F4"/>
    <w:rsid w:val="008C5119"/>
    <w:rsid w:val="008D15E5"/>
    <w:rsid w:val="008D37E0"/>
    <w:rsid w:val="00905F4F"/>
    <w:rsid w:val="009B6D21"/>
    <w:rsid w:val="009C2877"/>
    <w:rsid w:val="00A031A0"/>
    <w:rsid w:val="00A13178"/>
    <w:rsid w:val="00A2718B"/>
    <w:rsid w:val="00A6097C"/>
    <w:rsid w:val="00AD7D31"/>
    <w:rsid w:val="00AF08DA"/>
    <w:rsid w:val="00AF2B15"/>
    <w:rsid w:val="00B36774"/>
    <w:rsid w:val="00B85096"/>
    <w:rsid w:val="00B91F55"/>
    <w:rsid w:val="00C03E28"/>
    <w:rsid w:val="00C04DFF"/>
    <w:rsid w:val="00C54E03"/>
    <w:rsid w:val="00CA0045"/>
    <w:rsid w:val="00CA4B9B"/>
    <w:rsid w:val="00D83A7F"/>
    <w:rsid w:val="00D9426E"/>
    <w:rsid w:val="00DD766A"/>
    <w:rsid w:val="00E04FD9"/>
    <w:rsid w:val="00E51F94"/>
    <w:rsid w:val="00E6125A"/>
    <w:rsid w:val="00E666B3"/>
    <w:rsid w:val="00E80BC3"/>
    <w:rsid w:val="00EA7B1C"/>
    <w:rsid w:val="00EB388C"/>
    <w:rsid w:val="00ED5634"/>
    <w:rsid w:val="00EE6CA3"/>
    <w:rsid w:val="00EF0A8B"/>
    <w:rsid w:val="00F14007"/>
    <w:rsid w:val="00F255AE"/>
    <w:rsid w:val="00F50739"/>
    <w:rsid w:val="00FB6C11"/>
    <w:rsid w:val="00FD5D20"/>
    <w:rsid w:val="00FE090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B30F9D"/>
  <w15:chartTrackingRefBased/>
  <w15:docId w15:val="{C997E163-D373-4867-B6D4-1573882C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customStyle="1" w:styleId="Default">
    <w:name w:val="Default"/>
    <w:rsid w:val="00D9426E"/>
    <w:pPr>
      <w:autoSpaceDE w:val="0"/>
      <w:autoSpaceDN w:val="0"/>
      <w:adjustRightInd w:val="0"/>
    </w:pPr>
    <w:rPr>
      <w:rFonts w:cs="Calibri"/>
      <w:color w:val="000000"/>
      <w:sz w:val="24"/>
      <w:szCs w:val="24"/>
    </w:rPr>
  </w:style>
  <w:style w:type="character" w:styleId="Strong">
    <w:name w:val="Strong"/>
    <w:basedOn w:val="DefaultParagraphFont"/>
    <w:uiPriority w:val="22"/>
    <w:qFormat/>
    <w:rsid w:val="00D9426E"/>
    <w:rPr>
      <w:b/>
      <w:bCs/>
    </w:rPr>
  </w:style>
  <w:style w:type="paragraph" w:styleId="NormalWeb">
    <w:name w:val="Normal (Web)"/>
    <w:basedOn w:val="Normal"/>
    <w:uiPriority w:val="99"/>
    <w:semiHidden/>
    <w:unhideWhenUsed/>
    <w:rsid w:val="00146F6C"/>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938102805">
      <w:bodyDiv w:val="1"/>
      <w:marLeft w:val="0"/>
      <w:marRight w:val="0"/>
      <w:marTop w:val="0"/>
      <w:marBottom w:val="0"/>
      <w:divBdr>
        <w:top w:val="none" w:sz="0" w:space="0" w:color="auto"/>
        <w:left w:val="none" w:sz="0" w:space="0" w:color="auto"/>
        <w:bottom w:val="none" w:sz="0" w:space="0" w:color="auto"/>
        <w:right w:val="none" w:sz="0" w:space="0" w:color="auto"/>
      </w:divBdr>
    </w:div>
    <w:div w:id="1261446348">
      <w:bodyDiv w:val="1"/>
      <w:marLeft w:val="0"/>
      <w:marRight w:val="0"/>
      <w:marTop w:val="0"/>
      <w:marBottom w:val="0"/>
      <w:divBdr>
        <w:top w:val="none" w:sz="0" w:space="0" w:color="auto"/>
        <w:left w:val="none" w:sz="0" w:space="0" w:color="auto"/>
        <w:bottom w:val="none" w:sz="0" w:space="0" w:color="auto"/>
        <w:right w:val="none" w:sz="0" w:space="0" w:color="auto"/>
      </w:divBdr>
    </w:div>
    <w:div w:id="1725104884">
      <w:bodyDiv w:val="1"/>
      <w:marLeft w:val="0"/>
      <w:marRight w:val="0"/>
      <w:marTop w:val="0"/>
      <w:marBottom w:val="0"/>
      <w:divBdr>
        <w:top w:val="none" w:sz="0" w:space="0" w:color="auto"/>
        <w:left w:val="none" w:sz="0" w:space="0" w:color="auto"/>
        <w:bottom w:val="none" w:sz="0" w:space="0" w:color="auto"/>
        <w:right w:val="none" w:sz="0" w:space="0" w:color="auto"/>
      </w:divBdr>
      <w:divsChild>
        <w:div w:id="891307579">
          <w:marLeft w:val="0"/>
          <w:marRight w:val="0"/>
          <w:marTop w:val="0"/>
          <w:marBottom w:val="0"/>
          <w:divBdr>
            <w:top w:val="none" w:sz="0" w:space="0" w:color="auto"/>
            <w:left w:val="none" w:sz="0" w:space="0" w:color="auto"/>
            <w:bottom w:val="none" w:sz="0" w:space="0" w:color="auto"/>
            <w:right w:val="none" w:sz="0" w:space="0" w:color="auto"/>
          </w:divBdr>
        </w:div>
        <w:div w:id="1605839033">
          <w:marLeft w:val="0"/>
          <w:marRight w:val="0"/>
          <w:marTop w:val="0"/>
          <w:marBottom w:val="0"/>
          <w:divBdr>
            <w:top w:val="none" w:sz="0" w:space="0" w:color="auto"/>
            <w:left w:val="none" w:sz="0" w:space="0" w:color="auto"/>
            <w:bottom w:val="none" w:sz="0" w:space="0" w:color="auto"/>
            <w:right w:val="none" w:sz="0" w:space="0" w:color="auto"/>
          </w:divBdr>
        </w:div>
      </w:divsChild>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parliament.act.gov.au/members/tenth-assembly-members/ginninderra/cain-peter"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2.xml><?xml version="1.0" encoding="utf-8"?>
<ds:datastoreItem xmlns:ds="http://schemas.openxmlformats.org/officeDocument/2006/customXml" ds:itemID="{B02733C5-51FF-453B-99D7-6EFDCCE023AD}">
  <ds:schemaRefs>
    <ds:schemaRef ds:uri="http://schemas.microsoft.com/office/2006/metadata/properties"/>
    <ds:schemaRef ds:uri="http://schemas.microsoft.com/office/infopath/2007/PartnerControls"/>
    <ds:schemaRef ds:uri="f6c841be-bb08-4901-87b0-0033aa80d2c6"/>
  </ds:schemaRefs>
</ds:datastoreItem>
</file>

<file path=customXml/itemProps3.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4.xml><?xml version="1.0" encoding="utf-8"?>
<ds:datastoreItem xmlns:ds="http://schemas.openxmlformats.org/officeDocument/2006/customXml" ds:itemID="{4AB46B7D-06A9-4F43-B28D-0F33C75AC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553</Words>
  <Characters>3154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Wahren, Lee-Anne</dc:creator>
  <cp:keywords/>
  <dc:description/>
  <cp:lastModifiedBy>Ng, Jessica</cp:lastModifiedBy>
  <cp:revision>2</cp:revision>
  <cp:lastPrinted>2018-08-24T07:17:00Z</cp:lastPrinted>
  <dcterms:created xsi:type="dcterms:W3CDTF">2022-05-03T00:55:00Z</dcterms:created>
  <dcterms:modified xsi:type="dcterms:W3CDTF">2022-05-03T00:55:00Z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ies>
</file>