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09119" w14:textId="628F505F" w:rsidR="00ED225C" w:rsidRPr="00ED225C" w:rsidRDefault="007317E4" w:rsidP="00CD7F25">
      <w:pPr>
        <w:pStyle w:val="Heading1"/>
      </w:pPr>
      <w:r>
        <w:t>Inquiry into the 2020 ACT Election and the Electoral Act</w:t>
      </w:r>
    </w:p>
    <w:p w14:paraId="7F7B4B8A" w14:textId="212E16FC" w:rsidR="00ED225C" w:rsidRPr="004001FB" w:rsidRDefault="007317E4" w:rsidP="00D01952">
      <w:pPr>
        <w:pStyle w:val="CommitteeName"/>
      </w:pPr>
      <w:r>
        <w:t>Standing Committee on Justice and Community Safety</w:t>
      </w:r>
    </w:p>
    <w:p w14:paraId="380DD6B5" w14:textId="273FF44F" w:rsidR="00ED225C" w:rsidRPr="001B4B71" w:rsidRDefault="00051AFE" w:rsidP="001B4B71">
      <w:pPr>
        <w:pStyle w:val="Date"/>
      </w:pPr>
      <w:r w:rsidRPr="00366A9C">
        <w:t>August 2021</w:t>
      </w:r>
    </w:p>
    <w:p w14:paraId="05F2B50D" w14:textId="18AA65CB" w:rsidR="004001FB"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7317E4">
        <w:rPr>
          <w:rFonts w:ascii="Arial Narrow" w:hAnsi="Arial Narrow"/>
          <w:smallCaps/>
          <w:sz w:val="24"/>
        </w:rPr>
        <w:t>2</w:t>
      </w:r>
    </w:p>
    <w:p w14:paraId="4B18584A" w14:textId="77777777" w:rsidR="0020656E" w:rsidRDefault="0020656E" w:rsidP="0096033A">
      <w:pPr>
        <w:spacing w:before="480"/>
      </w:pPr>
    </w:p>
    <w:p w14:paraId="7FFFDAEE" w14:textId="77777777" w:rsidR="00970AC4" w:rsidRDefault="00970AC4" w:rsidP="0096033A"/>
    <w:p w14:paraId="157EEAAE" w14:textId="77777777" w:rsidR="00970AC4" w:rsidRDefault="00970AC4" w:rsidP="0096033A"/>
    <w:p w14:paraId="40FDBF65"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61A469A5"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78535721"/>
      <w:r>
        <w:lastRenderedPageBreak/>
        <w:t>The Committee</w:t>
      </w:r>
      <w:bookmarkEnd w:id="0"/>
      <w:bookmarkEnd w:id="1"/>
      <w:bookmarkEnd w:id="2"/>
      <w:bookmarkEnd w:id="3"/>
      <w:bookmarkEnd w:id="4"/>
    </w:p>
    <w:p w14:paraId="3BD615BC" w14:textId="77777777" w:rsidR="00540A07" w:rsidRDefault="00540A07" w:rsidP="00540A07">
      <w:pPr>
        <w:pStyle w:val="Heading3"/>
        <w:ind w:hanging="567"/>
      </w:pPr>
      <w:bookmarkStart w:id="5" w:name="_Toc502671581"/>
      <w:bookmarkStart w:id="6" w:name="_Toc502671760"/>
      <w:bookmarkStart w:id="7" w:name="_Toc502671865"/>
      <w:bookmarkStart w:id="8" w:name="_Toc502672798"/>
      <w:bookmarkStart w:id="9" w:name="_Toc67650112"/>
      <w:bookmarkStart w:id="10" w:name="_Toc502671584"/>
      <w:bookmarkStart w:id="11" w:name="_Toc502671763"/>
      <w:bookmarkStart w:id="12" w:name="_Toc502671868"/>
      <w:bookmarkStart w:id="13" w:name="_Toc502672801"/>
      <w:bookmarkStart w:id="14" w:name="_Toc78535722"/>
      <w:r>
        <w:t>Committee Membership</w:t>
      </w:r>
      <w:bookmarkEnd w:id="5"/>
      <w:bookmarkEnd w:id="6"/>
      <w:bookmarkEnd w:id="7"/>
      <w:bookmarkEnd w:id="8"/>
      <w:bookmarkEnd w:id="9"/>
      <w:bookmarkEnd w:id="14"/>
    </w:p>
    <w:p w14:paraId="1F0C98D4" w14:textId="77777777" w:rsidR="00540A07" w:rsidRDefault="00540A07" w:rsidP="00540A07">
      <w:pPr>
        <w:pStyle w:val="ListNoBullet"/>
      </w:pPr>
      <w:r>
        <w:t xml:space="preserve">Mr Jeremy Hanson MLA </w:t>
      </w:r>
      <w:r>
        <w:tab/>
        <w:t>Chair from 8 December 2020</w:t>
      </w:r>
    </w:p>
    <w:p w14:paraId="414FB417" w14:textId="77777777" w:rsidR="00540A07" w:rsidRDefault="00540A07" w:rsidP="00540A07">
      <w:pPr>
        <w:pStyle w:val="ListNoBullet"/>
      </w:pPr>
      <w:r>
        <w:t xml:space="preserve">Dr Marisa Paterson MLA </w:t>
      </w:r>
      <w:r>
        <w:tab/>
        <w:t>Deputy Chair from 8 December 2020</w:t>
      </w:r>
    </w:p>
    <w:p w14:paraId="29BC9D3D" w14:textId="77777777" w:rsidR="00540A07" w:rsidRDefault="00540A07" w:rsidP="00540A07">
      <w:pPr>
        <w:pStyle w:val="ListNoBullet"/>
      </w:pPr>
      <w:r>
        <w:t>Ms Jo Clay MLA</w:t>
      </w:r>
      <w:r>
        <w:tab/>
      </w:r>
      <w:r>
        <w:tab/>
      </w:r>
      <w:r>
        <w:tab/>
        <w:t>Member from 2 December 2020</w:t>
      </w:r>
    </w:p>
    <w:p w14:paraId="5F4E7946" w14:textId="77777777" w:rsidR="00540A07" w:rsidRDefault="00540A07" w:rsidP="00540A07">
      <w:pPr>
        <w:pStyle w:val="Heading3"/>
        <w:ind w:hanging="567"/>
      </w:pPr>
      <w:bookmarkStart w:id="15" w:name="_Toc502671582"/>
      <w:bookmarkStart w:id="16" w:name="_Toc502671761"/>
      <w:bookmarkStart w:id="17" w:name="_Toc502671866"/>
      <w:bookmarkStart w:id="18" w:name="_Toc502672799"/>
      <w:bookmarkStart w:id="19" w:name="_Toc67650114"/>
      <w:bookmarkStart w:id="20" w:name="_Toc78535723"/>
      <w:r>
        <w:t>Secretariat</w:t>
      </w:r>
      <w:bookmarkEnd w:id="15"/>
      <w:bookmarkEnd w:id="16"/>
      <w:bookmarkEnd w:id="17"/>
      <w:bookmarkEnd w:id="18"/>
      <w:bookmarkEnd w:id="19"/>
      <w:bookmarkEnd w:id="20"/>
    </w:p>
    <w:p w14:paraId="608F6D29" w14:textId="77777777" w:rsidR="00540A07" w:rsidRPr="00E87CDB" w:rsidRDefault="00540A07" w:rsidP="00540A07">
      <w:pPr>
        <w:pStyle w:val="ListNoBullet"/>
      </w:pPr>
      <w:r>
        <w:t xml:space="preserve">Brianna McGill </w:t>
      </w:r>
      <w:r>
        <w:tab/>
      </w:r>
      <w:r>
        <w:tab/>
      </w:r>
      <w:r>
        <w:tab/>
        <w:t>Committee Secretary</w:t>
      </w:r>
    </w:p>
    <w:p w14:paraId="795BABF6" w14:textId="5E228366" w:rsidR="00540A07" w:rsidRDefault="00E06E07" w:rsidP="00540A07">
      <w:pPr>
        <w:pStyle w:val="ListNoBullet"/>
      </w:pPr>
      <w:r>
        <w:t xml:space="preserve">Dr </w:t>
      </w:r>
      <w:r w:rsidR="00540A07">
        <w:t>Christine Regan</w:t>
      </w:r>
      <w:r w:rsidR="00540A07">
        <w:tab/>
      </w:r>
      <w:r w:rsidR="00540A07">
        <w:tab/>
        <w:t>Senior Research Officer</w:t>
      </w:r>
    </w:p>
    <w:p w14:paraId="5F577BD0" w14:textId="02F5DBBC" w:rsidR="00540A07" w:rsidRPr="00E87CDB" w:rsidRDefault="00540A07" w:rsidP="00540A07">
      <w:pPr>
        <w:pStyle w:val="ListNoBullet"/>
      </w:pPr>
      <w:r>
        <w:t xml:space="preserve">Samuel Thompson </w:t>
      </w:r>
      <w:r>
        <w:tab/>
      </w:r>
      <w:r>
        <w:tab/>
        <w:t>Senior Research Officer</w:t>
      </w:r>
    </w:p>
    <w:p w14:paraId="4CE0F60D" w14:textId="77777777" w:rsidR="00540A07" w:rsidRPr="00E87CDB" w:rsidRDefault="00540A07" w:rsidP="00540A07">
      <w:pPr>
        <w:pStyle w:val="ListNoBullet"/>
      </w:pPr>
      <w:r>
        <w:t xml:space="preserve">Lydia Chung </w:t>
      </w:r>
      <w:r>
        <w:tab/>
      </w:r>
      <w:r>
        <w:tab/>
      </w:r>
      <w:r>
        <w:tab/>
        <w:t>Administrative Assistant</w:t>
      </w:r>
    </w:p>
    <w:p w14:paraId="6D4C29F6" w14:textId="77777777" w:rsidR="00540A07" w:rsidRPr="00E87CDB" w:rsidRDefault="00540A07" w:rsidP="00540A07">
      <w:pPr>
        <w:pStyle w:val="ListNoBullet"/>
      </w:pPr>
      <w:bookmarkStart w:id="21" w:name="_Toc502671583"/>
      <w:bookmarkStart w:id="22" w:name="_Toc502671762"/>
      <w:bookmarkStart w:id="23" w:name="_Toc502671867"/>
      <w:bookmarkStart w:id="24" w:name="_Toc502672800"/>
      <w:r>
        <w:t xml:space="preserve">Michelle Atkins </w:t>
      </w:r>
      <w:r>
        <w:tab/>
      </w:r>
      <w:r>
        <w:tab/>
      </w:r>
      <w:r>
        <w:tab/>
        <w:t>Administrative Assistant</w:t>
      </w:r>
    </w:p>
    <w:p w14:paraId="1DF2A905" w14:textId="77777777" w:rsidR="00540A07" w:rsidRDefault="00540A07" w:rsidP="00540A07">
      <w:pPr>
        <w:pStyle w:val="Heading3"/>
        <w:ind w:hanging="567"/>
      </w:pPr>
      <w:bookmarkStart w:id="25" w:name="_Toc67650115"/>
      <w:bookmarkStart w:id="26" w:name="_Toc78535724"/>
      <w:r>
        <w:t>Contact Information</w:t>
      </w:r>
      <w:bookmarkEnd w:id="21"/>
      <w:bookmarkEnd w:id="22"/>
      <w:bookmarkEnd w:id="23"/>
      <w:bookmarkEnd w:id="24"/>
      <w:bookmarkEnd w:id="25"/>
      <w:bookmarkEnd w:id="26"/>
    </w:p>
    <w:p w14:paraId="014AF8F7" w14:textId="77777777" w:rsidR="00540A07" w:rsidRDefault="00540A07" w:rsidP="00540A07">
      <w:pPr>
        <w:spacing w:before="40" w:after="60"/>
      </w:pPr>
      <w:r>
        <w:t>Telephone</w:t>
      </w:r>
      <w:r>
        <w:tab/>
        <w:t>02 6207 0524</w:t>
      </w:r>
    </w:p>
    <w:p w14:paraId="343DCE88" w14:textId="77777777" w:rsidR="00540A07" w:rsidRDefault="00540A07" w:rsidP="00540A07">
      <w:pPr>
        <w:tabs>
          <w:tab w:val="left" w:pos="1418"/>
        </w:tabs>
        <w:spacing w:before="40" w:after="60"/>
      </w:pPr>
      <w:r>
        <w:t>Post</w:t>
      </w:r>
      <w:r>
        <w:tab/>
        <w:t>GPO Box 1020, CANBERRA ACT 2601</w:t>
      </w:r>
    </w:p>
    <w:p w14:paraId="42291717" w14:textId="77777777" w:rsidR="00540A07" w:rsidRDefault="00540A07" w:rsidP="00540A07">
      <w:pPr>
        <w:tabs>
          <w:tab w:val="left" w:pos="1418"/>
        </w:tabs>
        <w:spacing w:before="40" w:after="60"/>
      </w:pPr>
      <w:r>
        <w:t>Email</w:t>
      </w:r>
      <w:r>
        <w:tab/>
      </w:r>
      <w:hyperlink r:id="rId10" w:history="1">
        <w:r w:rsidRPr="00CD50D9">
          <w:rPr>
            <w:rStyle w:val="Hyperlink"/>
          </w:rPr>
          <w:t>LACommitteeJCS@parliament.act.gov.au</w:t>
        </w:r>
      </w:hyperlink>
    </w:p>
    <w:p w14:paraId="3D67B0F9" w14:textId="77777777" w:rsidR="00540A07" w:rsidRDefault="00540A07" w:rsidP="00540A07">
      <w:pPr>
        <w:tabs>
          <w:tab w:val="left" w:pos="1418"/>
        </w:tabs>
        <w:spacing w:before="40" w:after="60"/>
      </w:pPr>
      <w:r>
        <w:t>Website</w:t>
      </w:r>
      <w:r>
        <w:tab/>
      </w:r>
      <w:hyperlink r:id="rId11" w:history="1">
        <w:r w:rsidRPr="005B531D">
          <w:rPr>
            <w:rStyle w:val="Hyperlink"/>
          </w:rPr>
          <w:t>www.parliament.act.gov.au</w:t>
        </w:r>
      </w:hyperlink>
      <w:r>
        <w:t xml:space="preserve"> </w:t>
      </w:r>
    </w:p>
    <w:p w14:paraId="7FBA00D3" w14:textId="2DD85698" w:rsidR="004001FB" w:rsidRDefault="00D532AE" w:rsidP="001C75D2">
      <w:pPr>
        <w:pStyle w:val="Heading3"/>
        <w:ind w:hanging="567"/>
      </w:pPr>
      <w:r>
        <w:br w:type="page"/>
      </w:r>
      <w:bookmarkStart w:id="27" w:name="_Toc78535725"/>
      <w:r w:rsidR="004001FB">
        <w:lastRenderedPageBreak/>
        <w:t xml:space="preserve">Resolution of </w:t>
      </w:r>
      <w:r w:rsidR="00195C0C">
        <w:t>A</w:t>
      </w:r>
      <w:r w:rsidR="004001FB">
        <w:t>ppointment</w:t>
      </w:r>
      <w:bookmarkEnd w:id="10"/>
      <w:bookmarkEnd w:id="11"/>
      <w:bookmarkEnd w:id="12"/>
      <w:bookmarkEnd w:id="13"/>
      <w:bookmarkEnd w:id="27"/>
    </w:p>
    <w:p w14:paraId="1DBE9BB6" w14:textId="4C91B9A7" w:rsidR="00D532AE" w:rsidRDefault="00540A07" w:rsidP="00D532AE">
      <w:bookmarkStart w:id="28" w:name="_Toc502671585"/>
      <w:bookmarkStart w:id="29" w:name="_Toc502671764"/>
      <w:bookmarkStart w:id="30" w:name="_Toc502671869"/>
      <w:bookmarkStart w:id="31" w:name="_Toc502672802"/>
      <w:r>
        <w:t>On 2 December 2020, the Legislative Assembly for the ACT resolved to establish a Standing Committee on Justice and Community Safety ‘</w:t>
      </w:r>
      <w:r w:rsidRPr="00540A07">
        <w:t xml:space="preserve">to enhance the scrutiny of the Executive, to examine and suggest improvements to any bills referred to it, to enable the citizens of the territory to engage and to participate in law-making and policy review, to enable financial scrutiny of the Executive’s budget proposals and to review annual reports or taxpayer funded </w:t>
      </w:r>
      <w:proofErr w:type="gramStart"/>
      <w:r w:rsidRPr="00540A07">
        <w:t>agencies</w:t>
      </w:r>
      <w:r>
        <w:t>’</w:t>
      </w:r>
      <w:proofErr w:type="gramEnd"/>
      <w:r>
        <w:t>.</w:t>
      </w:r>
      <w:r>
        <w:rPr>
          <w:rStyle w:val="FootnoteReference"/>
        </w:rPr>
        <w:footnoteReference w:id="1"/>
      </w:r>
    </w:p>
    <w:p w14:paraId="0D8C0986" w14:textId="21964A37" w:rsidR="00E7547C" w:rsidRDefault="00E7547C" w:rsidP="00D532AE">
      <w:r>
        <w:t xml:space="preserve">The Standing Committee on Justice and Community Safety </w:t>
      </w:r>
      <w:r w:rsidR="00FB0F11">
        <w:t>is responsible</w:t>
      </w:r>
      <w:r>
        <w:t xml:space="preserve"> for the following policy areas:</w:t>
      </w:r>
      <w:r>
        <w:rPr>
          <w:rStyle w:val="FootnoteReference"/>
        </w:rPr>
        <w:footnoteReference w:id="2"/>
      </w:r>
    </w:p>
    <w:p w14:paraId="791DC2D2" w14:textId="77777777" w:rsidR="00E7547C" w:rsidRDefault="00E7547C" w:rsidP="00E7547C">
      <w:pPr>
        <w:pStyle w:val="ListBullet"/>
      </w:pPr>
      <w:r>
        <w:t>ACT Electoral Commission</w:t>
      </w:r>
    </w:p>
    <w:p w14:paraId="05C7E1DC" w14:textId="77777777" w:rsidR="00E7547C" w:rsidRDefault="00E7547C" w:rsidP="00E7547C">
      <w:pPr>
        <w:pStyle w:val="ListBullet"/>
      </w:pPr>
      <w:r>
        <w:t>ACT Integrity Commission</w:t>
      </w:r>
    </w:p>
    <w:p w14:paraId="60307A3B" w14:textId="77777777" w:rsidR="00E7547C" w:rsidRDefault="00E7547C" w:rsidP="00E7547C">
      <w:pPr>
        <w:pStyle w:val="ListBullet"/>
      </w:pPr>
      <w:r>
        <w:t>Gaming</w:t>
      </w:r>
    </w:p>
    <w:p w14:paraId="3ECE03F3" w14:textId="77777777" w:rsidR="00E7547C" w:rsidRDefault="00E7547C" w:rsidP="00E7547C">
      <w:pPr>
        <w:pStyle w:val="ListBullet"/>
      </w:pPr>
      <w:r>
        <w:t>Special Minister of State (Justice and Community Safety reporting areas)</w:t>
      </w:r>
    </w:p>
    <w:p w14:paraId="007A44F1" w14:textId="77777777" w:rsidR="00E7547C" w:rsidRDefault="00E7547C" w:rsidP="00E7547C">
      <w:pPr>
        <w:pStyle w:val="ListBullet"/>
      </w:pPr>
      <w:r>
        <w:t>Emergency management and the Emergency Services Agency</w:t>
      </w:r>
    </w:p>
    <w:p w14:paraId="6DB385D9" w14:textId="77777777" w:rsidR="00E7547C" w:rsidRDefault="00E7547C" w:rsidP="00E7547C">
      <w:pPr>
        <w:pStyle w:val="ListBullet"/>
      </w:pPr>
      <w:r>
        <w:t>Policing and ACT Policing</w:t>
      </w:r>
    </w:p>
    <w:p w14:paraId="1B22CDCC" w14:textId="77777777" w:rsidR="00E7547C" w:rsidRDefault="00E7547C" w:rsidP="00E7547C">
      <w:pPr>
        <w:pStyle w:val="ListBullet"/>
      </w:pPr>
      <w:r>
        <w:t>Corrective services</w:t>
      </w:r>
    </w:p>
    <w:p w14:paraId="213DC2C9" w14:textId="77777777" w:rsidR="00E7547C" w:rsidRDefault="00E7547C" w:rsidP="00E7547C">
      <w:pPr>
        <w:pStyle w:val="ListBullet"/>
      </w:pPr>
      <w:r>
        <w:t>Attorney-General</w:t>
      </w:r>
    </w:p>
    <w:p w14:paraId="59664AEC" w14:textId="77777777" w:rsidR="00E7547C" w:rsidRDefault="00E7547C" w:rsidP="00E7547C">
      <w:pPr>
        <w:pStyle w:val="ListBullet"/>
      </w:pPr>
      <w:r>
        <w:t>Consumer affairs</w:t>
      </w:r>
    </w:p>
    <w:p w14:paraId="44551886" w14:textId="77777777" w:rsidR="00E7547C" w:rsidRDefault="00E7547C" w:rsidP="00E7547C">
      <w:pPr>
        <w:pStyle w:val="ListBullet"/>
      </w:pPr>
      <w:r>
        <w:t>Human rights</w:t>
      </w:r>
    </w:p>
    <w:p w14:paraId="0F9AAFE3" w14:textId="77777777" w:rsidR="00E7547C" w:rsidRDefault="00E7547C" w:rsidP="00E7547C">
      <w:pPr>
        <w:pStyle w:val="ListBullet"/>
      </w:pPr>
      <w:r>
        <w:t>Victims of crime</w:t>
      </w:r>
    </w:p>
    <w:p w14:paraId="3C5A5DD3" w14:textId="77777777" w:rsidR="00E7547C" w:rsidRDefault="00E7547C" w:rsidP="00E7547C">
      <w:pPr>
        <w:pStyle w:val="ListBullet"/>
      </w:pPr>
      <w:r>
        <w:t>Access to justice and restorative practice</w:t>
      </w:r>
    </w:p>
    <w:p w14:paraId="71CE30A1" w14:textId="7272BDAB" w:rsidR="00E7547C" w:rsidRDefault="00E7547C" w:rsidP="00E7547C">
      <w:pPr>
        <w:pStyle w:val="ListBullet"/>
      </w:pPr>
      <w:r>
        <w:t>Public Trustee and Guardian</w:t>
      </w:r>
    </w:p>
    <w:p w14:paraId="36E3455A" w14:textId="5FFBCCD1" w:rsidR="00E7547C" w:rsidRDefault="00E7547C" w:rsidP="00E7547C">
      <w:r>
        <w:t>The Committee is also required to examine matters related to corruption and integrity in public administration; and to monitor, review and report on the performance of the Integrity Commission and the Inspector of the Integrity Commission.</w:t>
      </w:r>
      <w:r>
        <w:rPr>
          <w:rStyle w:val="FootnoteReference"/>
        </w:rPr>
        <w:footnoteReference w:id="3"/>
      </w:r>
    </w:p>
    <w:p w14:paraId="59ED5926" w14:textId="77777777" w:rsidR="00A2604C" w:rsidRDefault="00A2604C" w:rsidP="00E7547C"/>
    <w:p w14:paraId="34684EBD" w14:textId="67D4FDCB" w:rsidR="004001FB" w:rsidRDefault="004001FB" w:rsidP="001C75D2">
      <w:pPr>
        <w:pStyle w:val="Heading3"/>
        <w:ind w:hanging="567"/>
      </w:pPr>
      <w:bookmarkStart w:id="32" w:name="_Toc78535726"/>
      <w:r>
        <w:lastRenderedPageBreak/>
        <w:t xml:space="preserve">Terms of </w:t>
      </w:r>
      <w:r w:rsidR="00195C0C">
        <w:t>R</w:t>
      </w:r>
      <w:r>
        <w:t>eference</w:t>
      </w:r>
      <w:bookmarkEnd w:id="28"/>
      <w:bookmarkEnd w:id="29"/>
      <w:bookmarkEnd w:id="30"/>
      <w:bookmarkEnd w:id="31"/>
      <w:bookmarkEnd w:id="32"/>
      <w:r>
        <w:t xml:space="preserve"> </w:t>
      </w:r>
    </w:p>
    <w:p w14:paraId="20A1764A" w14:textId="101F7033" w:rsidR="00E15D75" w:rsidRDefault="00E7547C" w:rsidP="004001FB">
      <w:r>
        <w:t>On 2 December 2020, the Assembly resolved ‘[t]hat the Standing Committee on Justice and Community Safety inquire into the operation of the 2020 ACT election and the Electoral Act and other relevant legislation and policies concerning election-related matters, with particular reference to:</w:t>
      </w:r>
    </w:p>
    <w:p w14:paraId="212002FD" w14:textId="51721D67" w:rsidR="00E7547C" w:rsidRDefault="00E7547C" w:rsidP="00E7547C">
      <w:pPr>
        <w:pStyle w:val="ListNumber"/>
      </w:pPr>
      <w:r>
        <w:t>the impact of COVID-19 on the ACT election and mitigation measures taken by the ACT Electoral Commission,</w:t>
      </w:r>
    </w:p>
    <w:p w14:paraId="35A3CF30" w14:textId="167C168E" w:rsidR="00E7547C" w:rsidRDefault="00E7547C" w:rsidP="00E7547C">
      <w:pPr>
        <w:pStyle w:val="ListNumber"/>
      </w:pPr>
      <w:r>
        <w:t>the report of the ACT Electoral Commissioner into the 2020 ACT election,</w:t>
      </w:r>
    </w:p>
    <w:p w14:paraId="3179FCF6" w14:textId="688B2528" w:rsidR="00E7547C" w:rsidRDefault="00E7547C" w:rsidP="00E7547C">
      <w:pPr>
        <w:pStyle w:val="ListNumber"/>
      </w:pPr>
      <w:r>
        <w:t>the timeframe and accessibility of early voting,</w:t>
      </w:r>
    </w:p>
    <w:p w14:paraId="3D1D5BCE" w14:textId="687F23E9" w:rsidR="00E7547C" w:rsidRDefault="00E7547C" w:rsidP="00E7547C">
      <w:pPr>
        <w:pStyle w:val="ListNumber"/>
      </w:pPr>
      <w:r>
        <w:t>the number and location of ordinary polling places,</w:t>
      </w:r>
    </w:p>
    <w:p w14:paraId="70919EFF" w14:textId="1A65102E" w:rsidR="00E7547C" w:rsidRDefault="00E7547C" w:rsidP="00E7547C">
      <w:pPr>
        <w:pStyle w:val="ListNumber"/>
      </w:pPr>
      <w:r>
        <w:t xml:space="preserve">the implementation, </w:t>
      </w:r>
      <w:proofErr w:type="gramStart"/>
      <w:r>
        <w:t>security</w:t>
      </w:r>
      <w:proofErr w:type="gramEnd"/>
      <w:r>
        <w:t xml:space="preserve"> and transparency of electronic voting,</w:t>
      </w:r>
    </w:p>
    <w:p w14:paraId="322A8124" w14:textId="49DDA6E0" w:rsidR="00E7547C" w:rsidRDefault="00E7547C" w:rsidP="00E7547C">
      <w:pPr>
        <w:pStyle w:val="ListNumber"/>
      </w:pPr>
      <w:r>
        <w:t>the efficacy of the six-week campaign period, including restrictions on roadside signage,</w:t>
      </w:r>
    </w:p>
    <w:p w14:paraId="5757C55A" w14:textId="78E44D1E" w:rsidR="00E7547C" w:rsidRDefault="00FB0F11" w:rsidP="00E7547C">
      <w:pPr>
        <w:pStyle w:val="ListNumber"/>
      </w:pPr>
      <w:r>
        <w:t xml:space="preserve">improving donation rules and donation reporting timeframes, </w:t>
      </w:r>
    </w:p>
    <w:p w14:paraId="696F7C4B" w14:textId="5ECB2688" w:rsidR="00FB0F11" w:rsidRDefault="00FB0F11" w:rsidP="00E7547C">
      <w:pPr>
        <w:pStyle w:val="ListNumber"/>
      </w:pPr>
      <w:r>
        <w:t>increasing voter turnout and participation in elections and encouraging political activity,</w:t>
      </w:r>
    </w:p>
    <w:p w14:paraId="329210E4" w14:textId="24BDEECF" w:rsidR="00FB0F11" w:rsidRDefault="00FB0F11" w:rsidP="00E7547C">
      <w:pPr>
        <w:pStyle w:val="ListNumber"/>
      </w:pPr>
      <w:r>
        <w:t>restrictions on campaigning activities outside polling places,</w:t>
      </w:r>
    </w:p>
    <w:p w14:paraId="257F38A4" w14:textId="1612AF57" w:rsidR="00FB0F11" w:rsidRDefault="00FB0F11" w:rsidP="00E7547C">
      <w:pPr>
        <w:pStyle w:val="ListNumber"/>
      </w:pPr>
      <w:r>
        <w:t>lowering the voting age, and</w:t>
      </w:r>
    </w:p>
    <w:p w14:paraId="65DD58EC" w14:textId="4C0DF893" w:rsidR="00FB0F11" w:rsidRDefault="00FB0F11" w:rsidP="00E7547C">
      <w:pPr>
        <w:pStyle w:val="ListNumber"/>
      </w:pPr>
      <w:r>
        <w:t>any other relevant matter.’</w:t>
      </w:r>
      <w:r>
        <w:rPr>
          <w:rStyle w:val="FootnoteReference"/>
        </w:rPr>
        <w:footnoteReference w:id="4"/>
      </w:r>
    </w:p>
    <w:p w14:paraId="6D43AF40" w14:textId="77777777" w:rsidR="004001FB" w:rsidRDefault="00A86276" w:rsidP="007104A7">
      <w:pPr>
        <w:pStyle w:val="Heading2"/>
        <w:numPr>
          <w:ilvl w:val="0"/>
          <w:numId w:val="0"/>
        </w:numPr>
      </w:pPr>
      <w:bookmarkStart w:id="33" w:name="_Toc78535727"/>
      <w:r w:rsidRPr="00E227F5">
        <w:lastRenderedPageBreak/>
        <w:t>A</w:t>
      </w:r>
      <w:r w:rsidR="00D37A0C" w:rsidRPr="00E227F5">
        <w:t>cronyms</w:t>
      </w:r>
      <w:bookmarkEnd w:id="33"/>
    </w:p>
    <w:tbl>
      <w:tblPr>
        <w:tblStyle w:val="CommitteeTable"/>
        <w:tblW w:w="9072" w:type="dxa"/>
        <w:tblInd w:w="-5" w:type="dxa"/>
        <w:tblLook w:val="04A0" w:firstRow="1" w:lastRow="0" w:firstColumn="1" w:lastColumn="0" w:noHBand="0" w:noVBand="1"/>
      </w:tblPr>
      <w:tblGrid>
        <w:gridCol w:w="2098"/>
        <w:gridCol w:w="6974"/>
      </w:tblGrid>
      <w:tr w:rsidR="00B47374" w14:paraId="258B25D4"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4DD0BDCC" w14:textId="12B58630" w:rsidR="00B47374" w:rsidRPr="00B47374" w:rsidRDefault="00B47374" w:rsidP="0056020D">
            <w:pPr>
              <w:pStyle w:val="TableText"/>
              <w:rPr>
                <w:b w:val="0"/>
              </w:rPr>
            </w:pPr>
            <w:r>
              <w:rPr>
                <w:b w:val="0"/>
              </w:rPr>
              <w:t>ACTCOSS</w:t>
            </w:r>
          </w:p>
        </w:tc>
        <w:tc>
          <w:tcPr>
            <w:tcW w:w="6974" w:type="dxa"/>
          </w:tcPr>
          <w:p w14:paraId="5C0E2415" w14:textId="72235B1D" w:rsidR="00B47374" w:rsidRPr="00B47374" w:rsidRDefault="00E227F5" w:rsidP="0056020D">
            <w:pPr>
              <w:pStyle w:val="TableText"/>
              <w:rPr>
                <w:b w:val="0"/>
              </w:rPr>
            </w:pPr>
            <w:r>
              <w:rPr>
                <w:b w:val="0"/>
              </w:rPr>
              <w:t>ACT Council of Social Service</w:t>
            </w:r>
          </w:p>
        </w:tc>
      </w:tr>
      <w:tr w:rsidR="00FD509B" w14:paraId="174DF7CC"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8A71732" w14:textId="631F22A8" w:rsidR="00FD509B" w:rsidRPr="00B47374" w:rsidRDefault="00F02110" w:rsidP="0056020D">
            <w:pPr>
              <w:pStyle w:val="TableText"/>
              <w:rPr>
                <w:b/>
              </w:rPr>
            </w:pPr>
            <w:r w:rsidRPr="00B47374">
              <w:t>AEC</w:t>
            </w:r>
          </w:p>
        </w:tc>
        <w:tc>
          <w:tcPr>
            <w:tcW w:w="6974" w:type="dxa"/>
          </w:tcPr>
          <w:p w14:paraId="1D31B734" w14:textId="7CE971AE" w:rsidR="00FD509B" w:rsidRPr="00B47374" w:rsidRDefault="00F02110" w:rsidP="0056020D">
            <w:pPr>
              <w:pStyle w:val="TableText"/>
              <w:rPr>
                <w:b/>
              </w:rPr>
            </w:pPr>
            <w:r w:rsidRPr="00B47374">
              <w:t xml:space="preserve">Australian Electoral Commission </w:t>
            </w:r>
          </w:p>
        </w:tc>
      </w:tr>
      <w:tr w:rsidR="00B47374" w14:paraId="5A804BA9" w14:textId="77777777" w:rsidTr="002F2404">
        <w:tc>
          <w:tcPr>
            <w:tcW w:w="2098" w:type="dxa"/>
          </w:tcPr>
          <w:p w14:paraId="425B76C2" w14:textId="00452656" w:rsidR="00B47374" w:rsidRPr="00B47374" w:rsidRDefault="00B47374" w:rsidP="0056020D">
            <w:pPr>
              <w:pStyle w:val="TableText"/>
            </w:pPr>
            <w:r w:rsidRPr="00B47374">
              <w:t>AMC</w:t>
            </w:r>
          </w:p>
        </w:tc>
        <w:tc>
          <w:tcPr>
            <w:tcW w:w="6974" w:type="dxa"/>
          </w:tcPr>
          <w:p w14:paraId="49E7BE67" w14:textId="62209C60" w:rsidR="00B47374" w:rsidRPr="00B47374" w:rsidRDefault="00B47374" w:rsidP="0056020D">
            <w:pPr>
              <w:pStyle w:val="TableText"/>
            </w:pPr>
            <w:r w:rsidRPr="00B47374">
              <w:t>Alexander Maconochie Centre</w:t>
            </w:r>
          </w:p>
        </w:tc>
      </w:tr>
      <w:tr w:rsidR="00B47374" w14:paraId="3687C6EC"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D29ABFB" w14:textId="617E683D" w:rsidR="00B47374" w:rsidRPr="00B47374" w:rsidRDefault="00B47374" w:rsidP="0056020D">
            <w:pPr>
              <w:pStyle w:val="TableText"/>
            </w:pPr>
            <w:r>
              <w:t>ANULRSJRH</w:t>
            </w:r>
          </w:p>
        </w:tc>
        <w:tc>
          <w:tcPr>
            <w:tcW w:w="6974" w:type="dxa"/>
          </w:tcPr>
          <w:p w14:paraId="62B78C21" w14:textId="6EE31862" w:rsidR="00B47374" w:rsidRPr="00B47374" w:rsidRDefault="00B47374" w:rsidP="0056020D">
            <w:pPr>
              <w:pStyle w:val="TableText"/>
            </w:pPr>
            <w:r>
              <w:t>Australian National University Law Reform and Social Justice Research Hub</w:t>
            </w:r>
          </w:p>
        </w:tc>
      </w:tr>
      <w:tr w:rsidR="00B47374" w14:paraId="7548F6D1" w14:textId="77777777" w:rsidTr="002F2404">
        <w:tc>
          <w:tcPr>
            <w:tcW w:w="2098" w:type="dxa"/>
          </w:tcPr>
          <w:p w14:paraId="16536813" w14:textId="61F82A6E" w:rsidR="00B47374" w:rsidRPr="00B47374" w:rsidRDefault="00B47374" w:rsidP="0056020D">
            <w:pPr>
              <w:pStyle w:val="TableText"/>
            </w:pPr>
            <w:proofErr w:type="spellStart"/>
            <w:r>
              <w:t>CaPAD</w:t>
            </w:r>
            <w:proofErr w:type="spellEnd"/>
          </w:p>
        </w:tc>
        <w:tc>
          <w:tcPr>
            <w:tcW w:w="6974" w:type="dxa"/>
          </w:tcPr>
          <w:p w14:paraId="18CC6B9C" w14:textId="6113D123" w:rsidR="00B47374" w:rsidRPr="00B47374" w:rsidRDefault="00E227F5" w:rsidP="0056020D">
            <w:pPr>
              <w:pStyle w:val="TableText"/>
            </w:pPr>
            <w:r>
              <w:t xml:space="preserve">Canberra Alliance for Participatory Democracy </w:t>
            </w:r>
          </w:p>
        </w:tc>
      </w:tr>
      <w:tr w:rsidR="00FD509B" w14:paraId="60BBF62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527FF8A" w14:textId="38BA517E" w:rsidR="00FD509B" w:rsidRPr="00B47374" w:rsidRDefault="00B47374" w:rsidP="0056020D">
            <w:pPr>
              <w:pStyle w:val="TableText"/>
            </w:pPr>
            <w:bookmarkStart w:id="34" w:name="RowTitle_Acronyms"/>
            <w:bookmarkEnd w:id="34"/>
            <w:r w:rsidRPr="00B47374">
              <w:t>COVID-19</w:t>
            </w:r>
          </w:p>
        </w:tc>
        <w:tc>
          <w:tcPr>
            <w:tcW w:w="6974" w:type="dxa"/>
          </w:tcPr>
          <w:p w14:paraId="0A830DFA" w14:textId="4DE4CB25" w:rsidR="00FD509B" w:rsidRPr="00B47374" w:rsidRDefault="00E227F5" w:rsidP="0056020D">
            <w:pPr>
              <w:pStyle w:val="TableText"/>
            </w:pPr>
            <w:r w:rsidRPr="00E227F5">
              <w:t>Coronavirus disease 2019 caused by severe acute respiratory syndrome coronavirus 2 (SARS-CoV-2)</w:t>
            </w:r>
          </w:p>
        </w:tc>
      </w:tr>
      <w:tr w:rsidR="00FD509B" w14:paraId="2A2EFF2F" w14:textId="77777777" w:rsidTr="002F2404">
        <w:tc>
          <w:tcPr>
            <w:tcW w:w="2098" w:type="dxa"/>
          </w:tcPr>
          <w:p w14:paraId="25E00BB1" w14:textId="73DA2612" w:rsidR="00FD509B" w:rsidRPr="00B47374" w:rsidRDefault="00B47374" w:rsidP="0056020D">
            <w:pPr>
              <w:pStyle w:val="TableText"/>
            </w:pPr>
            <w:r w:rsidRPr="00B47374">
              <w:t xml:space="preserve">ECPT </w:t>
            </w:r>
          </w:p>
        </w:tc>
        <w:tc>
          <w:tcPr>
            <w:tcW w:w="6974" w:type="dxa"/>
          </w:tcPr>
          <w:p w14:paraId="1F2D5BFF" w14:textId="670DA450" w:rsidR="00FD509B" w:rsidRPr="00B47374" w:rsidRDefault="00B47374" w:rsidP="0056020D">
            <w:pPr>
              <w:pStyle w:val="TableText"/>
            </w:pPr>
            <w:r w:rsidRPr="00B47374">
              <w:t xml:space="preserve">Election Contingency Planning Team </w:t>
            </w:r>
          </w:p>
        </w:tc>
      </w:tr>
      <w:tr w:rsidR="00B47374" w14:paraId="62263AC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0E1E899" w14:textId="38194FC4" w:rsidR="00B47374" w:rsidRPr="00B47374" w:rsidRDefault="00B47374" w:rsidP="0056020D">
            <w:pPr>
              <w:pStyle w:val="TableText"/>
            </w:pPr>
            <w:r>
              <w:t>EEP</w:t>
            </w:r>
          </w:p>
        </w:tc>
        <w:tc>
          <w:tcPr>
            <w:tcW w:w="6974" w:type="dxa"/>
          </w:tcPr>
          <w:p w14:paraId="45A4E65C" w14:textId="019761DB" w:rsidR="00B47374" w:rsidRPr="00B47374" w:rsidRDefault="00B47374" w:rsidP="0056020D">
            <w:pPr>
              <w:pStyle w:val="TableText"/>
            </w:pPr>
            <w:r>
              <w:t xml:space="preserve">Eligible elector population </w:t>
            </w:r>
          </w:p>
        </w:tc>
      </w:tr>
      <w:tr w:rsidR="00E227F5" w14:paraId="5AEAAD02" w14:textId="77777777" w:rsidTr="002F2404">
        <w:tc>
          <w:tcPr>
            <w:tcW w:w="2098" w:type="dxa"/>
          </w:tcPr>
          <w:p w14:paraId="1E856FBD" w14:textId="64AE021A" w:rsidR="00E227F5" w:rsidRDefault="00E227F5" w:rsidP="0056020D">
            <w:pPr>
              <w:pStyle w:val="TableText"/>
            </w:pPr>
            <w:r>
              <w:t>EMC</w:t>
            </w:r>
          </w:p>
        </w:tc>
        <w:tc>
          <w:tcPr>
            <w:tcW w:w="6974" w:type="dxa"/>
          </w:tcPr>
          <w:p w14:paraId="001C5B64" w14:textId="7007153C" w:rsidR="00E227F5" w:rsidRDefault="00E227F5" w:rsidP="0056020D">
            <w:pPr>
              <w:pStyle w:val="TableText"/>
            </w:pPr>
            <w:r>
              <w:t>Early Morning Centre</w:t>
            </w:r>
          </w:p>
        </w:tc>
      </w:tr>
      <w:tr w:rsidR="00FD509B" w14:paraId="15C32198"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80074BB" w14:textId="188820FA" w:rsidR="00FD509B" w:rsidRPr="00B47374" w:rsidRDefault="00F02110" w:rsidP="0056020D">
            <w:pPr>
              <w:pStyle w:val="TableText"/>
            </w:pPr>
            <w:proofErr w:type="spellStart"/>
            <w:r w:rsidRPr="00B47374">
              <w:t>eVACS</w:t>
            </w:r>
            <w:proofErr w:type="spellEnd"/>
          </w:p>
        </w:tc>
        <w:tc>
          <w:tcPr>
            <w:tcW w:w="6974" w:type="dxa"/>
          </w:tcPr>
          <w:p w14:paraId="748B0EC9" w14:textId="58EF8A83" w:rsidR="00FD509B" w:rsidRPr="00B47374" w:rsidRDefault="00E227F5" w:rsidP="0056020D">
            <w:pPr>
              <w:pStyle w:val="TableText"/>
            </w:pPr>
            <w:r>
              <w:t>Electronic voting and counting system</w:t>
            </w:r>
          </w:p>
        </w:tc>
      </w:tr>
      <w:tr w:rsidR="00E227F5" w14:paraId="5ED6AFF2" w14:textId="77777777" w:rsidTr="002F2404">
        <w:tc>
          <w:tcPr>
            <w:tcW w:w="2098" w:type="dxa"/>
          </w:tcPr>
          <w:p w14:paraId="3D6387B8" w14:textId="2729FF5E" w:rsidR="00E227F5" w:rsidRPr="00B47374" w:rsidRDefault="00E227F5" w:rsidP="00E227F5">
            <w:pPr>
              <w:pStyle w:val="TableText"/>
            </w:pPr>
            <w:r w:rsidRPr="00B47374">
              <w:t>ICT</w:t>
            </w:r>
          </w:p>
        </w:tc>
        <w:tc>
          <w:tcPr>
            <w:tcW w:w="6974" w:type="dxa"/>
          </w:tcPr>
          <w:p w14:paraId="2E5A7211" w14:textId="11367DF0" w:rsidR="00E227F5" w:rsidRPr="00B47374" w:rsidRDefault="00E227F5" w:rsidP="00E227F5">
            <w:pPr>
              <w:pStyle w:val="TableText"/>
            </w:pPr>
            <w:r w:rsidRPr="00B47374">
              <w:t>Information and communications technology</w:t>
            </w:r>
          </w:p>
        </w:tc>
      </w:tr>
      <w:tr w:rsidR="00E227F5" w14:paraId="674E0B2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1A2C3604" w14:textId="5818211A" w:rsidR="00E227F5" w:rsidRPr="00B47374" w:rsidRDefault="00E227F5" w:rsidP="0056020D">
            <w:pPr>
              <w:pStyle w:val="TableText"/>
            </w:pPr>
            <w:r>
              <w:t>JACS Committee</w:t>
            </w:r>
          </w:p>
        </w:tc>
        <w:tc>
          <w:tcPr>
            <w:tcW w:w="6974" w:type="dxa"/>
          </w:tcPr>
          <w:p w14:paraId="2D210874" w14:textId="035C4C62" w:rsidR="00E227F5" w:rsidRPr="00B47374" w:rsidRDefault="00E227F5" w:rsidP="0056020D">
            <w:pPr>
              <w:pStyle w:val="TableText"/>
            </w:pPr>
            <w:r>
              <w:t xml:space="preserve">Legislative Assembly Standing Committee on Justice and Community Safety </w:t>
            </w:r>
          </w:p>
        </w:tc>
      </w:tr>
      <w:tr w:rsidR="00FD509B" w14:paraId="5CB9227A" w14:textId="77777777" w:rsidTr="002F2404">
        <w:tc>
          <w:tcPr>
            <w:tcW w:w="2098" w:type="dxa"/>
          </w:tcPr>
          <w:p w14:paraId="79EC7F55" w14:textId="7E5A0270" w:rsidR="00FD509B" w:rsidRPr="00B47374" w:rsidRDefault="00E227F5" w:rsidP="0056020D">
            <w:pPr>
              <w:pStyle w:val="TableText"/>
            </w:pPr>
            <w:r>
              <w:t xml:space="preserve">JACS Directorate </w:t>
            </w:r>
          </w:p>
        </w:tc>
        <w:tc>
          <w:tcPr>
            <w:tcW w:w="6974" w:type="dxa"/>
          </w:tcPr>
          <w:p w14:paraId="00DDEC26" w14:textId="68771E35" w:rsidR="00FD509B" w:rsidRPr="00B47374" w:rsidRDefault="00E227F5" w:rsidP="0056020D">
            <w:pPr>
              <w:pStyle w:val="TableText"/>
            </w:pPr>
            <w:r>
              <w:t>Justice and Community Safety Directorate of ACT Government</w:t>
            </w:r>
          </w:p>
        </w:tc>
      </w:tr>
      <w:tr w:rsidR="00E227F5" w14:paraId="4C9FF177"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56C96C3" w14:textId="786961D3" w:rsidR="00E227F5" w:rsidRPr="00B47374" w:rsidRDefault="00E227F5" w:rsidP="00E227F5">
            <w:pPr>
              <w:pStyle w:val="TableText"/>
            </w:pPr>
            <w:r>
              <w:t>LAPPERDS</w:t>
            </w:r>
          </w:p>
        </w:tc>
        <w:tc>
          <w:tcPr>
            <w:tcW w:w="6974" w:type="dxa"/>
          </w:tcPr>
          <w:p w14:paraId="71E0801E" w14:textId="3D19D00C" w:rsidR="00E227F5" w:rsidRPr="00B47374" w:rsidRDefault="00E227F5" w:rsidP="00E227F5">
            <w:pPr>
              <w:pStyle w:val="TableText"/>
            </w:pPr>
            <w:r w:rsidRPr="00E227F5">
              <w:t>Legislative Assembly Polling Place and Election Results Display System</w:t>
            </w:r>
          </w:p>
        </w:tc>
      </w:tr>
      <w:tr w:rsidR="00E227F5" w14:paraId="650CEC18" w14:textId="77777777" w:rsidTr="002F2404">
        <w:tc>
          <w:tcPr>
            <w:tcW w:w="2098" w:type="dxa"/>
          </w:tcPr>
          <w:p w14:paraId="2EFF31BB" w14:textId="4E82EEFC" w:rsidR="00E227F5" w:rsidRPr="00B47374" w:rsidRDefault="00E227F5" w:rsidP="00E227F5">
            <w:pPr>
              <w:pStyle w:val="TableText"/>
            </w:pPr>
            <w:r>
              <w:t>MLA</w:t>
            </w:r>
          </w:p>
        </w:tc>
        <w:tc>
          <w:tcPr>
            <w:tcW w:w="6974" w:type="dxa"/>
          </w:tcPr>
          <w:p w14:paraId="0F23A210" w14:textId="10170A9F" w:rsidR="00E227F5" w:rsidRPr="00B47374" w:rsidRDefault="00E227F5" w:rsidP="00E227F5">
            <w:pPr>
              <w:pStyle w:val="TableText"/>
            </w:pPr>
            <w:r>
              <w:t>Member of the Legislative Assembly</w:t>
            </w:r>
          </w:p>
        </w:tc>
      </w:tr>
      <w:tr w:rsidR="00FD509B" w14:paraId="2EDFB895"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BCA3BF8" w14:textId="32349DE3" w:rsidR="00FD509B" w:rsidRPr="00B47374" w:rsidRDefault="00B47374" w:rsidP="0056020D">
            <w:pPr>
              <w:pStyle w:val="TableText"/>
            </w:pPr>
            <w:r>
              <w:t>OSEV</w:t>
            </w:r>
          </w:p>
        </w:tc>
        <w:tc>
          <w:tcPr>
            <w:tcW w:w="6974" w:type="dxa"/>
          </w:tcPr>
          <w:p w14:paraId="586B7E78" w14:textId="1C013A47" w:rsidR="00FD509B" w:rsidRPr="00B47374" w:rsidRDefault="00B47374" w:rsidP="0056020D">
            <w:pPr>
              <w:pStyle w:val="TableText"/>
            </w:pPr>
            <w:r>
              <w:t>Overseas e-voting system</w:t>
            </w:r>
          </w:p>
        </w:tc>
      </w:tr>
      <w:tr w:rsidR="00FD509B" w14:paraId="456CDBA5" w14:textId="77777777" w:rsidTr="002F2404">
        <w:tc>
          <w:tcPr>
            <w:tcW w:w="2098" w:type="dxa"/>
          </w:tcPr>
          <w:p w14:paraId="57B8F0B0" w14:textId="4D674734" w:rsidR="00FD509B" w:rsidRPr="00B47374" w:rsidRDefault="00B47374" w:rsidP="0056020D">
            <w:pPr>
              <w:pStyle w:val="TableText"/>
            </w:pPr>
            <w:r w:rsidRPr="00B47374">
              <w:t>PPE</w:t>
            </w:r>
          </w:p>
        </w:tc>
        <w:tc>
          <w:tcPr>
            <w:tcW w:w="6974" w:type="dxa"/>
          </w:tcPr>
          <w:p w14:paraId="6CF6717E" w14:textId="304D1E7C" w:rsidR="00FD509B" w:rsidRPr="00B47374" w:rsidRDefault="00B47374" w:rsidP="0056020D">
            <w:pPr>
              <w:pStyle w:val="TableText"/>
            </w:pPr>
            <w:r w:rsidRPr="00B47374">
              <w:t>Personal protective equipment</w:t>
            </w:r>
          </w:p>
        </w:tc>
      </w:tr>
      <w:tr w:rsidR="00FD509B" w14:paraId="176CCC10"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C331FEE" w14:textId="0FA4B424" w:rsidR="00FD509B" w:rsidRPr="00B47374" w:rsidRDefault="00B47374" w:rsidP="0056020D">
            <w:pPr>
              <w:pStyle w:val="TableText"/>
            </w:pPr>
            <w:r>
              <w:t>QR code</w:t>
            </w:r>
          </w:p>
        </w:tc>
        <w:tc>
          <w:tcPr>
            <w:tcW w:w="6974" w:type="dxa"/>
          </w:tcPr>
          <w:p w14:paraId="505CE93E" w14:textId="50F2F79C" w:rsidR="00FD509B" w:rsidRPr="00B47374" w:rsidRDefault="00E227F5" w:rsidP="0056020D">
            <w:pPr>
              <w:pStyle w:val="TableText"/>
            </w:pPr>
            <w:r>
              <w:t>Quick response code</w:t>
            </w:r>
          </w:p>
        </w:tc>
      </w:tr>
      <w:tr w:rsidR="00B47374" w14:paraId="6736FC6D" w14:textId="77777777" w:rsidTr="002F2404">
        <w:tc>
          <w:tcPr>
            <w:tcW w:w="2098" w:type="dxa"/>
          </w:tcPr>
          <w:p w14:paraId="49916147" w14:textId="4712098C" w:rsidR="00B47374" w:rsidRDefault="00B47374" w:rsidP="0056020D">
            <w:pPr>
              <w:pStyle w:val="TableText"/>
            </w:pPr>
            <w:r>
              <w:t>TCCS</w:t>
            </w:r>
          </w:p>
        </w:tc>
        <w:tc>
          <w:tcPr>
            <w:tcW w:w="6974" w:type="dxa"/>
          </w:tcPr>
          <w:p w14:paraId="694DC2CC" w14:textId="58ED7A93" w:rsidR="00B47374" w:rsidRPr="00B47374" w:rsidRDefault="00B47374" w:rsidP="0056020D">
            <w:pPr>
              <w:pStyle w:val="TableText"/>
            </w:pPr>
            <w:r>
              <w:t>Transport Canberra and City Services</w:t>
            </w:r>
          </w:p>
        </w:tc>
      </w:tr>
    </w:tbl>
    <w:p w14:paraId="43DD41CD" w14:textId="77777777" w:rsidR="00D37A0C" w:rsidRDefault="00D37A0C" w:rsidP="00D37A0C"/>
    <w:p w14:paraId="1A3233F6" w14:textId="77777777" w:rsidR="005973EA" w:rsidRPr="0064133C" w:rsidRDefault="004001FB" w:rsidP="0064133C">
      <w:pPr>
        <w:pStyle w:val="TOCHeading"/>
      </w:pPr>
      <w:r>
        <w:br w:type="page"/>
      </w:r>
      <w:r w:rsidR="00566B91" w:rsidRPr="0064133C">
        <w:lastRenderedPageBreak/>
        <w:t>Table of Contents</w:t>
      </w:r>
    </w:p>
    <w:p w14:paraId="0595F848" w14:textId="389B3F42" w:rsidR="00136DB8"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78535721" w:history="1">
        <w:r w:rsidR="00136DB8" w:rsidRPr="000C2452">
          <w:rPr>
            <w:rStyle w:val="Hyperlink"/>
            <w:noProof/>
          </w:rPr>
          <w:t>The Committee</w:t>
        </w:r>
        <w:r w:rsidR="00136DB8">
          <w:rPr>
            <w:noProof/>
            <w:webHidden/>
          </w:rPr>
          <w:tab/>
        </w:r>
        <w:r w:rsidR="00136DB8">
          <w:rPr>
            <w:noProof/>
            <w:webHidden/>
          </w:rPr>
          <w:fldChar w:fldCharType="begin"/>
        </w:r>
        <w:r w:rsidR="00136DB8">
          <w:rPr>
            <w:noProof/>
            <w:webHidden/>
          </w:rPr>
          <w:instrText xml:space="preserve"> PAGEREF _Toc78535721 \h </w:instrText>
        </w:r>
        <w:r w:rsidR="00136DB8">
          <w:rPr>
            <w:noProof/>
            <w:webHidden/>
          </w:rPr>
        </w:r>
        <w:r w:rsidR="00136DB8">
          <w:rPr>
            <w:noProof/>
            <w:webHidden/>
          </w:rPr>
          <w:fldChar w:fldCharType="separate"/>
        </w:r>
        <w:r w:rsidR="00416A60">
          <w:rPr>
            <w:noProof/>
            <w:webHidden/>
          </w:rPr>
          <w:t>i</w:t>
        </w:r>
        <w:r w:rsidR="00136DB8">
          <w:rPr>
            <w:noProof/>
            <w:webHidden/>
          </w:rPr>
          <w:fldChar w:fldCharType="end"/>
        </w:r>
      </w:hyperlink>
    </w:p>
    <w:p w14:paraId="6562A777" w14:textId="6A70BB5B" w:rsidR="00136DB8" w:rsidRDefault="00136DB8">
      <w:pPr>
        <w:pStyle w:val="TOC2"/>
        <w:rPr>
          <w:rFonts w:asciiTheme="minorHAnsi" w:eastAsiaTheme="minorEastAsia" w:hAnsiTheme="minorHAnsi" w:cstheme="minorBidi"/>
          <w:b w:val="0"/>
          <w:noProof/>
          <w:sz w:val="22"/>
          <w:szCs w:val="22"/>
          <w:lang w:eastAsia="en-AU"/>
        </w:rPr>
      </w:pPr>
      <w:hyperlink w:anchor="_Toc78535722" w:history="1">
        <w:r w:rsidRPr="000C2452">
          <w:rPr>
            <w:rStyle w:val="Hyperlink"/>
            <w:noProof/>
          </w:rPr>
          <w:t>Committee Membership</w:t>
        </w:r>
        <w:r>
          <w:rPr>
            <w:noProof/>
            <w:webHidden/>
          </w:rPr>
          <w:tab/>
        </w:r>
        <w:r>
          <w:rPr>
            <w:noProof/>
            <w:webHidden/>
          </w:rPr>
          <w:fldChar w:fldCharType="begin"/>
        </w:r>
        <w:r>
          <w:rPr>
            <w:noProof/>
            <w:webHidden/>
          </w:rPr>
          <w:instrText xml:space="preserve"> PAGEREF _Toc78535722 \h </w:instrText>
        </w:r>
        <w:r>
          <w:rPr>
            <w:noProof/>
            <w:webHidden/>
          </w:rPr>
        </w:r>
        <w:r>
          <w:rPr>
            <w:noProof/>
            <w:webHidden/>
          </w:rPr>
          <w:fldChar w:fldCharType="separate"/>
        </w:r>
        <w:r w:rsidR="00416A60">
          <w:rPr>
            <w:noProof/>
            <w:webHidden/>
          </w:rPr>
          <w:t>i</w:t>
        </w:r>
        <w:r>
          <w:rPr>
            <w:noProof/>
            <w:webHidden/>
          </w:rPr>
          <w:fldChar w:fldCharType="end"/>
        </w:r>
      </w:hyperlink>
    </w:p>
    <w:p w14:paraId="14BF5ABF" w14:textId="377CD48E" w:rsidR="00136DB8" w:rsidRDefault="00136DB8">
      <w:pPr>
        <w:pStyle w:val="TOC2"/>
        <w:rPr>
          <w:rFonts w:asciiTheme="minorHAnsi" w:eastAsiaTheme="minorEastAsia" w:hAnsiTheme="minorHAnsi" w:cstheme="minorBidi"/>
          <w:b w:val="0"/>
          <w:noProof/>
          <w:sz w:val="22"/>
          <w:szCs w:val="22"/>
          <w:lang w:eastAsia="en-AU"/>
        </w:rPr>
      </w:pPr>
      <w:hyperlink w:anchor="_Toc78535723" w:history="1">
        <w:r w:rsidRPr="000C2452">
          <w:rPr>
            <w:rStyle w:val="Hyperlink"/>
            <w:noProof/>
          </w:rPr>
          <w:t>Secretariat</w:t>
        </w:r>
        <w:r>
          <w:rPr>
            <w:noProof/>
            <w:webHidden/>
          </w:rPr>
          <w:tab/>
        </w:r>
        <w:r>
          <w:rPr>
            <w:noProof/>
            <w:webHidden/>
          </w:rPr>
          <w:fldChar w:fldCharType="begin"/>
        </w:r>
        <w:r>
          <w:rPr>
            <w:noProof/>
            <w:webHidden/>
          </w:rPr>
          <w:instrText xml:space="preserve"> PAGEREF _Toc78535723 \h </w:instrText>
        </w:r>
        <w:r>
          <w:rPr>
            <w:noProof/>
            <w:webHidden/>
          </w:rPr>
        </w:r>
        <w:r>
          <w:rPr>
            <w:noProof/>
            <w:webHidden/>
          </w:rPr>
          <w:fldChar w:fldCharType="separate"/>
        </w:r>
        <w:r w:rsidR="00416A60">
          <w:rPr>
            <w:noProof/>
            <w:webHidden/>
          </w:rPr>
          <w:t>i</w:t>
        </w:r>
        <w:r>
          <w:rPr>
            <w:noProof/>
            <w:webHidden/>
          </w:rPr>
          <w:fldChar w:fldCharType="end"/>
        </w:r>
      </w:hyperlink>
    </w:p>
    <w:p w14:paraId="0C09150D" w14:textId="68ED7D71" w:rsidR="00136DB8" w:rsidRDefault="00136DB8">
      <w:pPr>
        <w:pStyle w:val="TOC2"/>
        <w:rPr>
          <w:rFonts w:asciiTheme="minorHAnsi" w:eastAsiaTheme="minorEastAsia" w:hAnsiTheme="minorHAnsi" w:cstheme="minorBidi"/>
          <w:b w:val="0"/>
          <w:noProof/>
          <w:sz w:val="22"/>
          <w:szCs w:val="22"/>
          <w:lang w:eastAsia="en-AU"/>
        </w:rPr>
      </w:pPr>
      <w:hyperlink w:anchor="_Toc78535724" w:history="1">
        <w:r w:rsidRPr="000C2452">
          <w:rPr>
            <w:rStyle w:val="Hyperlink"/>
            <w:noProof/>
          </w:rPr>
          <w:t>Contact Information</w:t>
        </w:r>
        <w:r>
          <w:rPr>
            <w:noProof/>
            <w:webHidden/>
          </w:rPr>
          <w:tab/>
        </w:r>
        <w:r>
          <w:rPr>
            <w:noProof/>
            <w:webHidden/>
          </w:rPr>
          <w:fldChar w:fldCharType="begin"/>
        </w:r>
        <w:r>
          <w:rPr>
            <w:noProof/>
            <w:webHidden/>
          </w:rPr>
          <w:instrText xml:space="preserve"> PAGEREF _Toc78535724 \h </w:instrText>
        </w:r>
        <w:r>
          <w:rPr>
            <w:noProof/>
            <w:webHidden/>
          </w:rPr>
        </w:r>
        <w:r>
          <w:rPr>
            <w:noProof/>
            <w:webHidden/>
          </w:rPr>
          <w:fldChar w:fldCharType="separate"/>
        </w:r>
        <w:r w:rsidR="00416A60">
          <w:rPr>
            <w:noProof/>
            <w:webHidden/>
          </w:rPr>
          <w:t>i</w:t>
        </w:r>
        <w:r>
          <w:rPr>
            <w:noProof/>
            <w:webHidden/>
          </w:rPr>
          <w:fldChar w:fldCharType="end"/>
        </w:r>
      </w:hyperlink>
    </w:p>
    <w:p w14:paraId="53794806" w14:textId="5C0642C6" w:rsidR="00136DB8" w:rsidRDefault="00136DB8">
      <w:pPr>
        <w:pStyle w:val="TOC2"/>
        <w:rPr>
          <w:rFonts w:asciiTheme="minorHAnsi" w:eastAsiaTheme="minorEastAsia" w:hAnsiTheme="minorHAnsi" w:cstheme="minorBidi"/>
          <w:b w:val="0"/>
          <w:noProof/>
          <w:sz w:val="22"/>
          <w:szCs w:val="22"/>
          <w:lang w:eastAsia="en-AU"/>
        </w:rPr>
      </w:pPr>
      <w:hyperlink w:anchor="_Toc78535725" w:history="1">
        <w:r w:rsidRPr="000C2452">
          <w:rPr>
            <w:rStyle w:val="Hyperlink"/>
            <w:noProof/>
          </w:rPr>
          <w:t>Resolution of Appointment</w:t>
        </w:r>
        <w:r>
          <w:rPr>
            <w:noProof/>
            <w:webHidden/>
          </w:rPr>
          <w:tab/>
        </w:r>
        <w:r>
          <w:rPr>
            <w:noProof/>
            <w:webHidden/>
          </w:rPr>
          <w:fldChar w:fldCharType="begin"/>
        </w:r>
        <w:r>
          <w:rPr>
            <w:noProof/>
            <w:webHidden/>
          </w:rPr>
          <w:instrText xml:space="preserve"> PAGEREF _Toc78535725 \h </w:instrText>
        </w:r>
        <w:r>
          <w:rPr>
            <w:noProof/>
            <w:webHidden/>
          </w:rPr>
        </w:r>
        <w:r>
          <w:rPr>
            <w:noProof/>
            <w:webHidden/>
          </w:rPr>
          <w:fldChar w:fldCharType="separate"/>
        </w:r>
        <w:r w:rsidR="00416A60">
          <w:rPr>
            <w:noProof/>
            <w:webHidden/>
          </w:rPr>
          <w:t>ii</w:t>
        </w:r>
        <w:r>
          <w:rPr>
            <w:noProof/>
            <w:webHidden/>
          </w:rPr>
          <w:fldChar w:fldCharType="end"/>
        </w:r>
      </w:hyperlink>
    </w:p>
    <w:p w14:paraId="6ECCDFC6" w14:textId="69545F56" w:rsidR="00136DB8" w:rsidRDefault="00136DB8">
      <w:pPr>
        <w:pStyle w:val="TOC2"/>
        <w:rPr>
          <w:rFonts w:asciiTheme="minorHAnsi" w:eastAsiaTheme="minorEastAsia" w:hAnsiTheme="minorHAnsi" w:cstheme="minorBidi"/>
          <w:b w:val="0"/>
          <w:noProof/>
          <w:sz w:val="22"/>
          <w:szCs w:val="22"/>
          <w:lang w:eastAsia="en-AU"/>
        </w:rPr>
      </w:pPr>
      <w:hyperlink w:anchor="_Toc78535726" w:history="1">
        <w:r w:rsidRPr="000C2452">
          <w:rPr>
            <w:rStyle w:val="Hyperlink"/>
            <w:noProof/>
          </w:rPr>
          <w:t>Terms of Reference</w:t>
        </w:r>
        <w:r>
          <w:rPr>
            <w:noProof/>
            <w:webHidden/>
          </w:rPr>
          <w:tab/>
        </w:r>
        <w:r>
          <w:rPr>
            <w:noProof/>
            <w:webHidden/>
          </w:rPr>
          <w:fldChar w:fldCharType="begin"/>
        </w:r>
        <w:r>
          <w:rPr>
            <w:noProof/>
            <w:webHidden/>
          </w:rPr>
          <w:instrText xml:space="preserve"> PAGEREF _Toc78535726 \h </w:instrText>
        </w:r>
        <w:r>
          <w:rPr>
            <w:noProof/>
            <w:webHidden/>
          </w:rPr>
        </w:r>
        <w:r>
          <w:rPr>
            <w:noProof/>
            <w:webHidden/>
          </w:rPr>
          <w:fldChar w:fldCharType="separate"/>
        </w:r>
        <w:r w:rsidR="00416A60">
          <w:rPr>
            <w:noProof/>
            <w:webHidden/>
          </w:rPr>
          <w:t>iii</w:t>
        </w:r>
        <w:r>
          <w:rPr>
            <w:noProof/>
            <w:webHidden/>
          </w:rPr>
          <w:fldChar w:fldCharType="end"/>
        </w:r>
      </w:hyperlink>
    </w:p>
    <w:p w14:paraId="44B1A7B7" w14:textId="27938C5E"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27" w:history="1">
        <w:r w:rsidRPr="000C2452">
          <w:rPr>
            <w:rStyle w:val="Hyperlink"/>
            <w:noProof/>
          </w:rPr>
          <w:t>Acronyms</w:t>
        </w:r>
        <w:r>
          <w:rPr>
            <w:noProof/>
            <w:webHidden/>
          </w:rPr>
          <w:tab/>
        </w:r>
        <w:r>
          <w:rPr>
            <w:noProof/>
            <w:webHidden/>
          </w:rPr>
          <w:fldChar w:fldCharType="begin"/>
        </w:r>
        <w:r>
          <w:rPr>
            <w:noProof/>
            <w:webHidden/>
          </w:rPr>
          <w:instrText xml:space="preserve"> PAGEREF _Toc78535727 \h </w:instrText>
        </w:r>
        <w:r>
          <w:rPr>
            <w:noProof/>
            <w:webHidden/>
          </w:rPr>
        </w:r>
        <w:r>
          <w:rPr>
            <w:noProof/>
            <w:webHidden/>
          </w:rPr>
          <w:fldChar w:fldCharType="separate"/>
        </w:r>
        <w:r w:rsidR="00416A60">
          <w:rPr>
            <w:noProof/>
            <w:webHidden/>
          </w:rPr>
          <w:t>iv</w:t>
        </w:r>
        <w:r>
          <w:rPr>
            <w:noProof/>
            <w:webHidden/>
          </w:rPr>
          <w:fldChar w:fldCharType="end"/>
        </w:r>
      </w:hyperlink>
    </w:p>
    <w:p w14:paraId="6E7BE9D3" w14:textId="64C7E754"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28" w:history="1">
        <w:r w:rsidRPr="000C2452">
          <w:rPr>
            <w:rStyle w:val="Hyperlink"/>
            <w:noProof/>
          </w:rPr>
          <w:t>Recommendations</w:t>
        </w:r>
        <w:r>
          <w:rPr>
            <w:noProof/>
            <w:webHidden/>
          </w:rPr>
          <w:tab/>
        </w:r>
        <w:r>
          <w:rPr>
            <w:noProof/>
            <w:webHidden/>
          </w:rPr>
          <w:fldChar w:fldCharType="begin"/>
        </w:r>
        <w:r>
          <w:rPr>
            <w:noProof/>
            <w:webHidden/>
          </w:rPr>
          <w:instrText xml:space="preserve"> PAGEREF _Toc78535728 \h </w:instrText>
        </w:r>
        <w:r>
          <w:rPr>
            <w:noProof/>
            <w:webHidden/>
          </w:rPr>
        </w:r>
        <w:r>
          <w:rPr>
            <w:noProof/>
            <w:webHidden/>
          </w:rPr>
          <w:fldChar w:fldCharType="separate"/>
        </w:r>
        <w:r w:rsidR="00416A60">
          <w:rPr>
            <w:noProof/>
            <w:webHidden/>
          </w:rPr>
          <w:t>vii</w:t>
        </w:r>
        <w:r>
          <w:rPr>
            <w:noProof/>
            <w:webHidden/>
          </w:rPr>
          <w:fldChar w:fldCharType="end"/>
        </w:r>
      </w:hyperlink>
    </w:p>
    <w:p w14:paraId="22C63565" w14:textId="4A5D7962"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29" w:history="1">
        <w:r w:rsidRPr="000C2452">
          <w:rPr>
            <w:rStyle w:val="Hyperlink"/>
            <w:noProof/>
          </w:rPr>
          <w:t>1  Introduction</w:t>
        </w:r>
        <w:r>
          <w:rPr>
            <w:noProof/>
            <w:webHidden/>
          </w:rPr>
          <w:tab/>
        </w:r>
        <w:r>
          <w:rPr>
            <w:noProof/>
            <w:webHidden/>
          </w:rPr>
          <w:fldChar w:fldCharType="begin"/>
        </w:r>
        <w:r>
          <w:rPr>
            <w:noProof/>
            <w:webHidden/>
          </w:rPr>
          <w:instrText xml:space="preserve"> PAGEREF _Toc78535729 \h </w:instrText>
        </w:r>
        <w:r>
          <w:rPr>
            <w:noProof/>
            <w:webHidden/>
          </w:rPr>
        </w:r>
        <w:r>
          <w:rPr>
            <w:noProof/>
            <w:webHidden/>
          </w:rPr>
          <w:fldChar w:fldCharType="separate"/>
        </w:r>
        <w:r w:rsidR="00416A60">
          <w:rPr>
            <w:noProof/>
            <w:webHidden/>
          </w:rPr>
          <w:t>1</w:t>
        </w:r>
        <w:r>
          <w:rPr>
            <w:noProof/>
            <w:webHidden/>
          </w:rPr>
          <w:fldChar w:fldCharType="end"/>
        </w:r>
      </w:hyperlink>
    </w:p>
    <w:p w14:paraId="28FB3358" w14:textId="39722C99" w:rsidR="00136DB8" w:rsidRDefault="00136DB8">
      <w:pPr>
        <w:pStyle w:val="TOC2"/>
        <w:rPr>
          <w:rFonts w:asciiTheme="minorHAnsi" w:eastAsiaTheme="minorEastAsia" w:hAnsiTheme="minorHAnsi" w:cstheme="minorBidi"/>
          <w:b w:val="0"/>
          <w:noProof/>
          <w:sz w:val="22"/>
          <w:szCs w:val="22"/>
          <w:lang w:eastAsia="en-AU"/>
        </w:rPr>
      </w:pPr>
      <w:hyperlink w:anchor="_Toc78535730" w:history="1">
        <w:r w:rsidRPr="000C2452">
          <w:rPr>
            <w:rStyle w:val="Hyperlink"/>
            <w:noProof/>
          </w:rPr>
          <w:t>Conduct of the Inquiry</w:t>
        </w:r>
        <w:r>
          <w:rPr>
            <w:noProof/>
            <w:webHidden/>
          </w:rPr>
          <w:tab/>
        </w:r>
        <w:r>
          <w:rPr>
            <w:noProof/>
            <w:webHidden/>
          </w:rPr>
          <w:fldChar w:fldCharType="begin"/>
        </w:r>
        <w:r>
          <w:rPr>
            <w:noProof/>
            <w:webHidden/>
          </w:rPr>
          <w:instrText xml:space="preserve"> PAGEREF _Toc78535730 \h </w:instrText>
        </w:r>
        <w:r>
          <w:rPr>
            <w:noProof/>
            <w:webHidden/>
          </w:rPr>
        </w:r>
        <w:r>
          <w:rPr>
            <w:noProof/>
            <w:webHidden/>
          </w:rPr>
          <w:fldChar w:fldCharType="separate"/>
        </w:r>
        <w:r w:rsidR="00416A60">
          <w:rPr>
            <w:noProof/>
            <w:webHidden/>
          </w:rPr>
          <w:t>1</w:t>
        </w:r>
        <w:r>
          <w:rPr>
            <w:noProof/>
            <w:webHidden/>
          </w:rPr>
          <w:fldChar w:fldCharType="end"/>
        </w:r>
      </w:hyperlink>
    </w:p>
    <w:p w14:paraId="47ED6DAB" w14:textId="017044C5" w:rsidR="00136DB8" w:rsidRDefault="00136DB8">
      <w:pPr>
        <w:pStyle w:val="TOC2"/>
        <w:rPr>
          <w:rFonts w:asciiTheme="minorHAnsi" w:eastAsiaTheme="minorEastAsia" w:hAnsiTheme="minorHAnsi" w:cstheme="minorBidi"/>
          <w:b w:val="0"/>
          <w:noProof/>
          <w:sz w:val="22"/>
          <w:szCs w:val="22"/>
          <w:lang w:eastAsia="en-AU"/>
        </w:rPr>
      </w:pPr>
      <w:hyperlink w:anchor="_Toc78535731" w:history="1">
        <w:r w:rsidRPr="000C2452">
          <w:rPr>
            <w:rStyle w:val="Hyperlink"/>
            <w:noProof/>
          </w:rPr>
          <w:t>Structure of the Report</w:t>
        </w:r>
        <w:r>
          <w:rPr>
            <w:noProof/>
            <w:webHidden/>
          </w:rPr>
          <w:tab/>
        </w:r>
        <w:r>
          <w:rPr>
            <w:noProof/>
            <w:webHidden/>
          </w:rPr>
          <w:fldChar w:fldCharType="begin"/>
        </w:r>
        <w:r>
          <w:rPr>
            <w:noProof/>
            <w:webHidden/>
          </w:rPr>
          <w:instrText xml:space="preserve"> PAGEREF _Toc78535731 \h </w:instrText>
        </w:r>
        <w:r>
          <w:rPr>
            <w:noProof/>
            <w:webHidden/>
          </w:rPr>
        </w:r>
        <w:r>
          <w:rPr>
            <w:noProof/>
            <w:webHidden/>
          </w:rPr>
          <w:fldChar w:fldCharType="separate"/>
        </w:r>
        <w:r w:rsidR="00416A60">
          <w:rPr>
            <w:noProof/>
            <w:webHidden/>
          </w:rPr>
          <w:t>1</w:t>
        </w:r>
        <w:r>
          <w:rPr>
            <w:noProof/>
            <w:webHidden/>
          </w:rPr>
          <w:fldChar w:fldCharType="end"/>
        </w:r>
      </w:hyperlink>
    </w:p>
    <w:p w14:paraId="7A950386" w14:textId="7DBE8A75" w:rsidR="00136DB8" w:rsidRDefault="00136DB8">
      <w:pPr>
        <w:pStyle w:val="TOC2"/>
        <w:rPr>
          <w:rFonts w:asciiTheme="minorHAnsi" w:eastAsiaTheme="minorEastAsia" w:hAnsiTheme="minorHAnsi" w:cstheme="minorBidi"/>
          <w:b w:val="0"/>
          <w:noProof/>
          <w:sz w:val="22"/>
          <w:szCs w:val="22"/>
          <w:lang w:eastAsia="en-AU"/>
        </w:rPr>
      </w:pPr>
      <w:hyperlink w:anchor="_Toc78535732" w:history="1">
        <w:r w:rsidRPr="000C2452">
          <w:rPr>
            <w:rStyle w:val="Hyperlink"/>
            <w:noProof/>
          </w:rPr>
          <w:t>Acknowledgements</w:t>
        </w:r>
        <w:r>
          <w:rPr>
            <w:noProof/>
            <w:webHidden/>
          </w:rPr>
          <w:tab/>
        </w:r>
        <w:r>
          <w:rPr>
            <w:noProof/>
            <w:webHidden/>
          </w:rPr>
          <w:fldChar w:fldCharType="begin"/>
        </w:r>
        <w:r>
          <w:rPr>
            <w:noProof/>
            <w:webHidden/>
          </w:rPr>
          <w:instrText xml:space="preserve"> PAGEREF _Toc78535732 \h </w:instrText>
        </w:r>
        <w:r>
          <w:rPr>
            <w:noProof/>
            <w:webHidden/>
          </w:rPr>
        </w:r>
        <w:r>
          <w:rPr>
            <w:noProof/>
            <w:webHidden/>
          </w:rPr>
          <w:fldChar w:fldCharType="separate"/>
        </w:r>
        <w:r w:rsidR="00416A60">
          <w:rPr>
            <w:noProof/>
            <w:webHidden/>
          </w:rPr>
          <w:t>2</w:t>
        </w:r>
        <w:r>
          <w:rPr>
            <w:noProof/>
            <w:webHidden/>
          </w:rPr>
          <w:fldChar w:fldCharType="end"/>
        </w:r>
      </w:hyperlink>
    </w:p>
    <w:p w14:paraId="41B513AE" w14:textId="5AAC4AE9"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33" w:history="1">
        <w:r w:rsidRPr="000C2452">
          <w:rPr>
            <w:rStyle w:val="Hyperlink"/>
            <w:noProof/>
          </w:rPr>
          <w:t>2</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Overview of the 2020 Election</w:t>
        </w:r>
        <w:r>
          <w:rPr>
            <w:noProof/>
            <w:webHidden/>
          </w:rPr>
          <w:tab/>
        </w:r>
        <w:r>
          <w:rPr>
            <w:noProof/>
            <w:webHidden/>
          </w:rPr>
          <w:fldChar w:fldCharType="begin"/>
        </w:r>
        <w:r>
          <w:rPr>
            <w:noProof/>
            <w:webHidden/>
          </w:rPr>
          <w:instrText xml:space="preserve"> PAGEREF _Toc78535733 \h </w:instrText>
        </w:r>
        <w:r>
          <w:rPr>
            <w:noProof/>
            <w:webHidden/>
          </w:rPr>
        </w:r>
        <w:r>
          <w:rPr>
            <w:noProof/>
            <w:webHidden/>
          </w:rPr>
          <w:fldChar w:fldCharType="separate"/>
        </w:r>
        <w:r w:rsidR="00416A60">
          <w:rPr>
            <w:noProof/>
            <w:webHidden/>
          </w:rPr>
          <w:t>3</w:t>
        </w:r>
        <w:r>
          <w:rPr>
            <w:noProof/>
            <w:webHidden/>
          </w:rPr>
          <w:fldChar w:fldCharType="end"/>
        </w:r>
      </w:hyperlink>
    </w:p>
    <w:p w14:paraId="5AC0D88B" w14:textId="2D5CCA81"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34" w:history="1">
        <w:r w:rsidRPr="000C2452">
          <w:rPr>
            <w:rStyle w:val="Hyperlink"/>
            <w:noProof/>
          </w:rPr>
          <w:t>3</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COVID-19 Pandemic</w:t>
        </w:r>
        <w:r>
          <w:rPr>
            <w:noProof/>
            <w:webHidden/>
          </w:rPr>
          <w:tab/>
        </w:r>
        <w:r>
          <w:rPr>
            <w:noProof/>
            <w:webHidden/>
          </w:rPr>
          <w:fldChar w:fldCharType="begin"/>
        </w:r>
        <w:r>
          <w:rPr>
            <w:noProof/>
            <w:webHidden/>
          </w:rPr>
          <w:instrText xml:space="preserve"> PAGEREF _Toc78535734 \h </w:instrText>
        </w:r>
        <w:r>
          <w:rPr>
            <w:noProof/>
            <w:webHidden/>
          </w:rPr>
        </w:r>
        <w:r>
          <w:rPr>
            <w:noProof/>
            <w:webHidden/>
          </w:rPr>
          <w:fldChar w:fldCharType="separate"/>
        </w:r>
        <w:r w:rsidR="00416A60">
          <w:rPr>
            <w:noProof/>
            <w:webHidden/>
          </w:rPr>
          <w:t>5</w:t>
        </w:r>
        <w:r>
          <w:rPr>
            <w:noProof/>
            <w:webHidden/>
          </w:rPr>
          <w:fldChar w:fldCharType="end"/>
        </w:r>
      </w:hyperlink>
    </w:p>
    <w:p w14:paraId="334040A3" w14:textId="0ECC1C0B"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35" w:history="1">
        <w:r w:rsidRPr="000C2452">
          <w:rPr>
            <w:rStyle w:val="Hyperlink"/>
            <w:noProof/>
          </w:rPr>
          <w:t>4</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Early Voting</w:t>
        </w:r>
        <w:r>
          <w:rPr>
            <w:noProof/>
            <w:webHidden/>
          </w:rPr>
          <w:tab/>
        </w:r>
        <w:r>
          <w:rPr>
            <w:noProof/>
            <w:webHidden/>
          </w:rPr>
          <w:fldChar w:fldCharType="begin"/>
        </w:r>
        <w:r>
          <w:rPr>
            <w:noProof/>
            <w:webHidden/>
          </w:rPr>
          <w:instrText xml:space="preserve"> PAGEREF _Toc78535735 \h </w:instrText>
        </w:r>
        <w:r>
          <w:rPr>
            <w:noProof/>
            <w:webHidden/>
          </w:rPr>
        </w:r>
        <w:r>
          <w:rPr>
            <w:noProof/>
            <w:webHidden/>
          </w:rPr>
          <w:fldChar w:fldCharType="separate"/>
        </w:r>
        <w:r w:rsidR="00416A60">
          <w:rPr>
            <w:noProof/>
            <w:webHidden/>
          </w:rPr>
          <w:t>8</w:t>
        </w:r>
        <w:r>
          <w:rPr>
            <w:noProof/>
            <w:webHidden/>
          </w:rPr>
          <w:fldChar w:fldCharType="end"/>
        </w:r>
      </w:hyperlink>
    </w:p>
    <w:p w14:paraId="42FC7585" w14:textId="45A9CB69"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36" w:history="1">
        <w:r w:rsidRPr="000C2452">
          <w:rPr>
            <w:rStyle w:val="Hyperlink"/>
            <w:noProof/>
          </w:rPr>
          <w:t>5</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Electronic Voting</w:t>
        </w:r>
        <w:r>
          <w:rPr>
            <w:noProof/>
            <w:webHidden/>
          </w:rPr>
          <w:tab/>
        </w:r>
        <w:r>
          <w:rPr>
            <w:noProof/>
            <w:webHidden/>
          </w:rPr>
          <w:fldChar w:fldCharType="begin"/>
        </w:r>
        <w:r>
          <w:rPr>
            <w:noProof/>
            <w:webHidden/>
          </w:rPr>
          <w:instrText xml:space="preserve"> PAGEREF _Toc78535736 \h </w:instrText>
        </w:r>
        <w:r>
          <w:rPr>
            <w:noProof/>
            <w:webHidden/>
          </w:rPr>
        </w:r>
        <w:r>
          <w:rPr>
            <w:noProof/>
            <w:webHidden/>
          </w:rPr>
          <w:fldChar w:fldCharType="separate"/>
        </w:r>
        <w:r w:rsidR="00416A60">
          <w:rPr>
            <w:noProof/>
            <w:webHidden/>
          </w:rPr>
          <w:t>12</w:t>
        </w:r>
        <w:r>
          <w:rPr>
            <w:noProof/>
            <w:webHidden/>
          </w:rPr>
          <w:fldChar w:fldCharType="end"/>
        </w:r>
      </w:hyperlink>
    </w:p>
    <w:p w14:paraId="6A355405" w14:textId="351E7681" w:rsidR="00136DB8" w:rsidRDefault="00136DB8">
      <w:pPr>
        <w:pStyle w:val="TOC2"/>
        <w:rPr>
          <w:rFonts w:asciiTheme="minorHAnsi" w:eastAsiaTheme="minorEastAsia" w:hAnsiTheme="minorHAnsi" w:cstheme="minorBidi"/>
          <w:b w:val="0"/>
          <w:noProof/>
          <w:sz w:val="22"/>
          <w:szCs w:val="22"/>
          <w:lang w:eastAsia="en-AU"/>
        </w:rPr>
      </w:pPr>
      <w:hyperlink w:anchor="_Toc78535737" w:history="1">
        <w:r w:rsidRPr="000C2452">
          <w:rPr>
            <w:rStyle w:val="Hyperlink"/>
            <w:noProof/>
          </w:rPr>
          <w:t>Security and Integrity</w:t>
        </w:r>
        <w:r>
          <w:rPr>
            <w:noProof/>
            <w:webHidden/>
          </w:rPr>
          <w:tab/>
        </w:r>
        <w:r>
          <w:rPr>
            <w:noProof/>
            <w:webHidden/>
          </w:rPr>
          <w:fldChar w:fldCharType="begin"/>
        </w:r>
        <w:r>
          <w:rPr>
            <w:noProof/>
            <w:webHidden/>
          </w:rPr>
          <w:instrText xml:space="preserve"> PAGEREF _Toc78535737 \h </w:instrText>
        </w:r>
        <w:r>
          <w:rPr>
            <w:noProof/>
            <w:webHidden/>
          </w:rPr>
        </w:r>
        <w:r>
          <w:rPr>
            <w:noProof/>
            <w:webHidden/>
          </w:rPr>
          <w:fldChar w:fldCharType="separate"/>
        </w:r>
        <w:r w:rsidR="00416A60">
          <w:rPr>
            <w:noProof/>
            <w:webHidden/>
          </w:rPr>
          <w:t>13</w:t>
        </w:r>
        <w:r>
          <w:rPr>
            <w:noProof/>
            <w:webHidden/>
          </w:rPr>
          <w:fldChar w:fldCharType="end"/>
        </w:r>
      </w:hyperlink>
    </w:p>
    <w:p w14:paraId="1AE52274" w14:textId="772B58C7" w:rsidR="00136DB8" w:rsidRDefault="00136DB8">
      <w:pPr>
        <w:pStyle w:val="TOC2"/>
        <w:rPr>
          <w:rFonts w:asciiTheme="minorHAnsi" w:eastAsiaTheme="minorEastAsia" w:hAnsiTheme="minorHAnsi" w:cstheme="minorBidi"/>
          <w:b w:val="0"/>
          <w:noProof/>
          <w:sz w:val="22"/>
          <w:szCs w:val="22"/>
          <w:lang w:eastAsia="en-AU"/>
        </w:rPr>
      </w:pPr>
      <w:hyperlink w:anchor="_Toc78535738" w:history="1">
        <w:r w:rsidRPr="000C2452">
          <w:rPr>
            <w:rStyle w:val="Hyperlink"/>
            <w:noProof/>
          </w:rPr>
          <w:t>Transparency</w:t>
        </w:r>
        <w:r>
          <w:rPr>
            <w:noProof/>
            <w:webHidden/>
          </w:rPr>
          <w:tab/>
        </w:r>
        <w:r>
          <w:rPr>
            <w:noProof/>
            <w:webHidden/>
          </w:rPr>
          <w:fldChar w:fldCharType="begin"/>
        </w:r>
        <w:r>
          <w:rPr>
            <w:noProof/>
            <w:webHidden/>
          </w:rPr>
          <w:instrText xml:space="preserve"> PAGEREF _Toc78535738 \h </w:instrText>
        </w:r>
        <w:r>
          <w:rPr>
            <w:noProof/>
            <w:webHidden/>
          </w:rPr>
        </w:r>
        <w:r>
          <w:rPr>
            <w:noProof/>
            <w:webHidden/>
          </w:rPr>
          <w:fldChar w:fldCharType="separate"/>
        </w:r>
        <w:r w:rsidR="00416A60">
          <w:rPr>
            <w:noProof/>
            <w:webHidden/>
          </w:rPr>
          <w:t>17</w:t>
        </w:r>
        <w:r>
          <w:rPr>
            <w:noProof/>
            <w:webHidden/>
          </w:rPr>
          <w:fldChar w:fldCharType="end"/>
        </w:r>
      </w:hyperlink>
    </w:p>
    <w:p w14:paraId="63677F6D" w14:textId="0C2B0F49"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39" w:history="1">
        <w:r w:rsidRPr="000C2452">
          <w:rPr>
            <w:rStyle w:val="Hyperlink"/>
            <w:noProof/>
          </w:rPr>
          <w:t>6</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Administration of Elections</w:t>
        </w:r>
        <w:r>
          <w:rPr>
            <w:noProof/>
            <w:webHidden/>
          </w:rPr>
          <w:tab/>
        </w:r>
        <w:r>
          <w:rPr>
            <w:noProof/>
            <w:webHidden/>
          </w:rPr>
          <w:fldChar w:fldCharType="begin"/>
        </w:r>
        <w:r>
          <w:rPr>
            <w:noProof/>
            <w:webHidden/>
          </w:rPr>
          <w:instrText xml:space="preserve"> PAGEREF _Toc78535739 \h </w:instrText>
        </w:r>
        <w:r>
          <w:rPr>
            <w:noProof/>
            <w:webHidden/>
          </w:rPr>
        </w:r>
        <w:r>
          <w:rPr>
            <w:noProof/>
            <w:webHidden/>
          </w:rPr>
          <w:fldChar w:fldCharType="separate"/>
        </w:r>
        <w:r w:rsidR="00416A60">
          <w:rPr>
            <w:noProof/>
            <w:webHidden/>
          </w:rPr>
          <w:t>23</w:t>
        </w:r>
        <w:r>
          <w:rPr>
            <w:noProof/>
            <w:webHidden/>
          </w:rPr>
          <w:fldChar w:fldCharType="end"/>
        </w:r>
      </w:hyperlink>
    </w:p>
    <w:p w14:paraId="149056C9" w14:textId="7F7DD38E" w:rsidR="00136DB8" w:rsidRDefault="00136DB8">
      <w:pPr>
        <w:pStyle w:val="TOC2"/>
        <w:rPr>
          <w:rFonts w:asciiTheme="minorHAnsi" w:eastAsiaTheme="minorEastAsia" w:hAnsiTheme="minorHAnsi" w:cstheme="minorBidi"/>
          <w:b w:val="0"/>
          <w:noProof/>
          <w:sz w:val="22"/>
          <w:szCs w:val="22"/>
          <w:lang w:eastAsia="en-AU"/>
        </w:rPr>
      </w:pPr>
      <w:hyperlink w:anchor="_Toc78535740" w:history="1">
        <w:r w:rsidRPr="000C2452">
          <w:rPr>
            <w:rStyle w:val="Hyperlink"/>
            <w:noProof/>
          </w:rPr>
          <w:t>Political Party Registration</w:t>
        </w:r>
        <w:r>
          <w:rPr>
            <w:noProof/>
            <w:webHidden/>
          </w:rPr>
          <w:tab/>
        </w:r>
        <w:r>
          <w:rPr>
            <w:noProof/>
            <w:webHidden/>
          </w:rPr>
          <w:fldChar w:fldCharType="begin"/>
        </w:r>
        <w:r>
          <w:rPr>
            <w:noProof/>
            <w:webHidden/>
          </w:rPr>
          <w:instrText xml:space="preserve"> PAGEREF _Toc78535740 \h </w:instrText>
        </w:r>
        <w:r>
          <w:rPr>
            <w:noProof/>
            <w:webHidden/>
          </w:rPr>
        </w:r>
        <w:r>
          <w:rPr>
            <w:noProof/>
            <w:webHidden/>
          </w:rPr>
          <w:fldChar w:fldCharType="separate"/>
        </w:r>
        <w:r w:rsidR="00416A60">
          <w:rPr>
            <w:noProof/>
            <w:webHidden/>
          </w:rPr>
          <w:t>23</w:t>
        </w:r>
        <w:r>
          <w:rPr>
            <w:noProof/>
            <w:webHidden/>
          </w:rPr>
          <w:fldChar w:fldCharType="end"/>
        </w:r>
      </w:hyperlink>
    </w:p>
    <w:p w14:paraId="005E1CDD" w14:textId="755C33ED" w:rsidR="00136DB8" w:rsidRDefault="00136DB8">
      <w:pPr>
        <w:pStyle w:val="TOC2"/>
        <w:rPr>
          <w:rFonts w:asciiTheme="minorHAnsi" w:eastAsiaTheme="minorEastAsia" w:hAnsiTheme="minorHAnsi" w:cstheme="minorBidi"/>
          <w:b w:val="0"/>
          <w:noProof/>
          <w:sz w:val="22"/>
          <w:szCs w:val="22"/>
          <w:lang w:eastAsia="en-AU"/>
        </w:rPr>
      </w:pPr>
      <w:hyperlink w:anchor="_Toc78535741" w:history="1">
        <w:r w:rsidRPr="000C2452">
          <w:rPr>
            <w:rStyle w:val="Hyperlink"/>
            <w:noProof/>
          </w:rPr>
          <w:t>Candidate Nominations</w:t>
        </w:r>
        <w:r>
          <w:rPr>
            <w:noProof/>
            <w:webHidden/>
          </w:rPr>
          <w:tab/>
        </w:r>
        <w:r>
          <w:rPr>
            <w:noProof/>
            <w:webHidden/>
          </w:rPr>
          <w:fldChar w:fldCharType="begin"/>
        </w:r>
        <w:r>
          <w:rPr>
            <w:noProof/>
            <w:webHidden/>
          </w:rPr>
          <w:instrText xml:space="preserve"> PAGEREF _Toc78535741 \h </w:instrText>
        </w:r>
        <w:r>
          <w:rPr>
            <w:noProof/>
            <w:webHidden/>
          </w:rPr>
        </w:r>
        <w:r>
          <w:rPr>
            <w:noProof/>
            <w:webHidden/>
          </w:rPr>
          <w:fldChar w:fldCharType="separate"/>
        </w:r>
        <w:r w:rsidR="00416A60">
          <w:rPr>
            <w:noProof/>
            <w:webHidden/>
          </w:rPr>
          <w:t>25</w:t>
        </w:r>
        <w:r>
          <w:rPr>
            <w:noProof/>
            <w:webHidden/>
          </w:rPr>
          <w:fldChar w:fldCharType="end"/>
        </w:r>
      </w:hyperlink>
    </w:p>
    <w:p w14:paraId="3585F479" w14:textId="6FE322C1" w:rsidR="00136DB8" w:rsidRDefault="00136DB8">
      <w:pPr>
        <w:pStyle w:val="TOC2"/>
        <w:rPr>
          <w:rFonts w:asciiTheme="minorHAnsi" w:eastAsiaTheme="minorEastAsia" w:hAnsiTheme="minorHAnsi" w:cstheme="minorBidi"/>
          <w:b w:val="0"/>
          <w:noProof/>
          <w:sz w:val="22"/>
          <w:szCs w:val="22"/>
          <w:lang w:eastAsia="en-AU"/>
        </w:rPr>
      </w:pPr>
      <w:hyperlink w:anchor="_Toc78535742" w:history="1">
        <w:r w:rsidRPr="000C2452">
          <w:rPr>
            <w:rStyle w:val="Hyperlink"/>
            <w:noProof/>
          </w:rPr>
          <w:t>Polling Places</w:t>
        </w:r>
        <w:r>
          <w:rPr>
            <w:noProof/>
            <w:webHidden/>
          </w:rPr>
          <w:tab/>
        </w:r>
        <w:r>
          <w:rPr>
            <w:noProof/>
            <w:webHidden/>
          </w:rPr>
          <w:fldChar w:fldCharType="begin"/>
        </w:r>
        <w:r>
          <w:rPr>
            <w:noProof/>
            <w:webHidden/>
          </w:rPr>
          <w:instrText xml:space="preserve"> PAGEREF _Toc78535742 \h </w:instrText>
        </w:r>
        <w:r>
          <w:rPr>
            <w:noProof/>
            <w:webHidden/>
          </w:rPr>
        </w:r>
        <w:r>
          <w:rPr>
            <w:noProof/>
            <w:webHidden/>
          </w:rPr>
          <w:fldChar w:fldCharType="separate"/>
        </w:r>
        <w:r w:rsidR="00416A60">
          <w:rPr>
            <w:noProof/>
            <w:webHidden/>
          </w:rPr>
          <w:t>27</w:t>
        </w:r>
        <w:r>
          <w:rPr>
            <w:noProof/>
            <w:webHidden/>
          </w:rPr>
          <w:fldChar w:fldCharType="end"/>
        </w:r>
      </w:hyperlink>
    </w:p>
    <w:p w14:paraId="6F00838C" w14:textId="1730812E" w:rsidR="00136DB8" w:rsidRDefault="00136DB8">
      <w:pPr>
        <w:pStyle w:val="TOC2"/>
        <w:rPr>
          <w:rFonts w:asciiTheme="minorHAnsi" w:eastAsiaTheme="minorEastAsia" w:hAnsiTheme="minorHAnsi" w:cstheme="minorBidi"/>
          <w:b w:val="0"/>
          <w:noProof/>
          <w:sz w:val="22"/>
          <w:szCs w:val="22"/>
          <w:lang w:eastAsia="en-AU"/>
        </w:rPr>
      </w:pPr>
      <w:hyperlink w:anchor="_Toc78535743" w:history="1">
        <w:r w:rsidRPr="000C2452">
          <w:rPr>
            <w:rStyle w:val="Hyperlink"/>
            <w:noProof/>
          </w:rPr>
          <w:t>Electoral Roll</w:t>
        </w:r>
        <w:r>
          <w:rPr>
            <w:noProof/>
            <w:webHidden/>
          </w:rPr>
          <w:tab/>
        </w:r>
        <w:r>
          <w:rPr>
            <w:noProof/>
            <w:webHidden/>
          </w:rPr>
          <w:fldChar w:fldCharType="begin"/>
        </w:r>
        <w:r>
          <w:rPr>
            <w:noProof/>
            <w:webHidden/>
          </w:rPr>
          <w:instrText xml:space="preserve"> PAGEREF _Toc78535743 \h </w:instrText>
        </w:r>
        <w:r>
          <w:rPr>
            <w:noProof/>
            <w:webHidden/>
          </w:rPr>
        </w:r>
        <w:r>
          <w:rPr>
            <w:noProof/>
            <w:webHidden/>
          </w:rPr>
          <w:fldChar w:fldCharType="separate"/>
        </w:r>
        <w:r w:rsidR="00416A60">
          <w:rPr>
            <w:noProof/>
            <w:webHidden/>
          </w:rPr>
          <w:t>28</w:t>
        </w:r>
        <w:r>
          <w:rPr>
            <w:noProof/>
            <w:webHidden/>
          </w:rPr>
          <w:fldChar w:fldCharType="end"/>
        </w:r>
      </w:hyperlink>
    </w:p>
    <w:p w14:paraId="01C385ED" w14:textId="1D9E7DE7" w:rsidR="00136DB8" w:rsidRDefault="00136DB8">
      <w:pPr>
        <w:pStyle w:val="TOC2"/>
        <w:rPr>
          <w:rFonts w:asciiTheme="minorHAnsi" w:eastAsiaTheme="minorEastAsia" w:hAnsiTheme="minorHAnsi" w:cstheme="minorBidi"/>
          <w:b w:val="0"/>
          <w:noProof/>
          <w:sz w:val="22"/>
          <w:szCs w:val="22"/>
          <w:lang w:eastAsia="en-AU"/>
        </w:rPr>
      </w:pPr>
      <w:hyperlink w:anchor="_Toc78535744" w:history="1">
        <w:r w:rsidRPr="000C2452">
          <w:rPr>
            <w:rStyle w:val="Hyperlink"/>
            <w:noProof/>
          </w:rPr>
          <w:t>Calculation of Results</w:t>
        </w:r>
        <w:r>
          <w:rPr>
            <w:noProof/>
            <w:webHidden/>
          </w:rPr>
          <w:tab/>
        </w:r>
        <w:r>
          <w:rPr>
            <w:noProof/>
            <w:webHidden/>
          </w:rPr>
          <w:fldChar w:fldCharType="begin"/>
        </w:r>
        <w:r>
          <w:rPr>
            <w:noProof/>
            <w:webHidden/>
          </w:rPr>
          <w:instrText xml:space="preserve"> PAGEREF _Toc78535744 \h </w:instrText>
        </w:r>
        <w:r>
          <w:rPr>
            <w:noProof/>
            <w:webHidden/>
          </w:rPr>
        </w:r>
        <w:r>
          <w:rPr>
            <w:noProof/>
            <w:webHidden/>
          </w:rPr>
          <w:fldChar w:fldCharType="separate"/>
        </w:r>
        <w:r w:rsidR="00416A60">
          <w:rPr>
            <w:noProof/>
            <w:webHidden/>
          </w:rPr>
          <w:t>30</w:t>
        </w:r>
        <w:r>
          <w:rPr>
            <w:noProof/>
            <w:webHidden/>
          </w:rPr>
          <w:fldChar w:fldCharType="end"/>
        </w:r>
      </w:hyperlink>
    </w:p>
    <w:p w14:paraId="44F59683" w14:textId="0CD40F46"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45" w:history="1">
        <w:r w:rsidRPr="000C2452">
          <w:rPr>
            <w:rStyle w:val="Hyperlink"/>
            <w:noProof/>
          </w:rPr>
          <w:t>7</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Campaigning</w:t>
        </w:r>
        <w:r>
          <w:rPr>
            <w:noProof/>
            <w:webHidden/>
          </w:rPr>
          <w:tab/>
        </w:r>
        <w:r>
          <w:rPr>
            <w:noProof/>
            <w:webHidden/>
          </w:rPr>
          <w:fldChar w:fldCharType="begin"/>
        </w:r>
        <w:r>
          <w:rPr>
            <w:noProof/>
            <w:webHidden/>
          </w:rPr>
          <w:instrText xml:space="preserve"> PAGEREF _Toc78535745 \h </w:instrText>
        </w:r>
        <w:r>
          <w:rPr>
            <w:noProof/>
            <w:webHidden/>
          </w:rPr>
        </w:r>
        <w:r>
          <w:rPr>
            <w:noProof/>
            <w:webHidden/>
          </w:rPr>
          <w:fldChar w:fldCharType="separate"/>
        </w:r>
        <w:r w:rsidR="00416A60">
          <w:rPr>
            <w:noProof/>
            <w:webHidden/>
          </w:rPr>
          <w:t>32</w:t>
        </w:r>
        <w:r>
          <w:rPr>
            <w:noProof/>
            <w:webHidden/>
          </w:rPr>
          <w:fldChar w:fldCharType="end"/>
        </w:r>
      </w:hyperlink>
    </w:p>
    <w:p w14:paraId="1C9BE906" w14:textId="379C3DF4" w:rsidR="00136DB8" w:rsidRDefault="00136DB8">
      <w:pPr>
        <w:pStyle w:val="TOC2"/>
        <w:rPr>
          <w:rFonts w:asciiTheme="minorHAnsi" w:eastAsiaTheme="minorEastAsia" w:hAnsiTheme="minorHAnsi" w:cstheme="minorBidi"/>
          <w:b w:val="0"/>
          <w:noProof/>
          <w:sz w:val="22"/>
          <w:szCs w:val="22"/>
          <w:lang w:eastAsia="en-AU"/>
        </w:rPr>
      </w:pPr>
      <w:hyperlink w:anchor="_Toc78535746" w:history="1">
        <w:r w:rsidRPr="000C2452">
          <w:rPr>
            <w:rStyle w:val="Hyperlink"/>
            <w:noProof/>
          </w:rPr>
          <w:t>Campaign Period</w:t>
        </w:r>
        <w:r>
          <w:rPr>
            <w:noProof/>
            <w:webHidden/>
          </w:rPr>
          <w:tab/>
        </w:r>
        <w:r>
          <w:rPr>
            <w:noProof/>
            <w:webHidden/>
          </w:rPr>
          <w:fldChar w:fldCharType="begin"/>
        </w:r>
        <w:r>
          <w:rPr>
            <w:noProof/>
            <w:webHidden/>
          </w:rPr>
          <w:instrText xml:space="preserve"> PAGEREF _Toc78535746 \h </w:instrText>
        </w:r>
        <w:r>
          <w:rPr>
            <w:noProof/>
            <w:webHidden/>
          </w:rPr>
        </w:r>
        <w:r>
          <w:rPr>
            <w:noProof/>
            <w:webHidden/>
          </w:rPr>
          <w:fldChar w:fldCharType="separate"/>
        </w:r>
        <w:r w:rsidR="00416A60">
          <w:rPr>
            <w:noProof/>
            <w:webHidden/>
          </w:rPr>
          <w:t>32</w:t>
        </w:r>
        <w:r>
          <w:rPr>
            <w:noProof/>
            <w:webHidden/>
          </w:rPr>
          <w:fldChar w:fldCharType="end"/>
        </w:r>
      </w:hyperlink>
    </w:p>
    <w:p w14:paraId="244755F6" w14:textId="54CC06A7" w:rsidR="00136DB8" w:rsidRDefault="00136DB8">
      <w:pPr>
        <w:pStyle w:val="TOC2"/>
        <w:rPr>
          <w:rFonts w:asciiTheme="minorHAnsi" w:eastAsiaTheme="minorEastAsia" w:hAnsiTheme="minorHAnsi" w:cstheme="minorBidi"/>
          <w:b w:val="0"/>
          <w:noProof/>
          <w:sz w:val="22"/>
          <w:szCs w:val="22"/>
          <w:lang w:eastAsia="en-AU"/>
        </w:rPr>
      </w:pPr>
      <w:hyperlink w:anchor="_Toc78535747" w:history="1">
        <w:r w:rsidRPr="000C2452">
          <w:rPr>
            <w:rStyle w:val="Hyperlink"/>
            <w:noProof/>
          </w:rPr>
          <w:t>Exclusion Zone outside Polling Places</w:t>
        </w:r>
        <w:r>
          <w:rPr>
            <w:noProof/>
            <w:webHidden/>
          </w:rPr>
          <w:tab/>
        </w:r>
        <w:r>
          <w:rPr>
            <w:noProof/>
            <w:webHidden/>
          </w:rPr>
          <w:fldChar w:fldCharType="begin"/>
        </w:r>
        <w:r>
          <w:rPr>
            <w:noProof/>
            <w:webHidden/>
          </w:rPr>
          <w:instrText xml:space="preserve"> PAGEREF _Toc78535747 \h </w:instrText>
        </w:r>
        <w:r>
          <w:rPr>
            <w:noProof/>
            <w:webHidden/>
          </w:rPr>
        </w:r>
        <w:r>
          <w:rPr>
            <w:noProof/>
            <w:webHidden/>
          </w:rPr>
          <w:fldChar w:fldCharType="separate"/>
        </w:r>
        <w:r w:rsidR="00416A60">
          <w:rPr>
            <w:noProof/>
            <w:webHidden/>
          </w:rPr>
          <w:t>32</w:t>
        </w:r>
        <w:r>
          <w:rPr>
            <w:noProof/>
            <w:webHidden/>
          </w:rPr>
          <w:fldChar w:fldCharType="end"/>
        </w:r>
      </w:hyperlink>
    </w:p>
    <w:p w14:paraId="5FB97C7B" w14:textId="45AA71CB" w:rsidR="00136DB8" w:rsidRDefault="00136DB8">
      <w:pPr>
        <w:pStyle w:val="TOC2"/>
        <w:rPr>
          <w:rFonts w:asciiTheme="minorHAnsi" w:eastAsiaTheme="minorEastAsia" w:hAnsiTheme="minorHAnsi" w:cstheme="minorBidi"/>
          <w:b w:val="0"/>
          <w:noProof/>
          <w:sz w:val="22"/>
          <w:szCs w:val="22"/>
          <w:lang w:eastAsia="en-AU"/>
        </w:rPr>
      </w:pPr>
      <w:hyperlink w:anchor="_Toc78535748" w:history="1">
        <w:r w:rsidRPr="000C2452">
          <w:rPr>
            <w:rStyle w:val="Hyperlink"/>
            <w:noProof/>
          </w:rPr>
          <w:t>Roadside Signs</w:t>
        </w:r>
        <w:r>
          <w:rPr>
            <w:noProof/>
            <w:webHidden/>
          </w:rPr>
          <w:tab/>
        </w:r>
        <w:r>
          <w:rPr>
            <w:noProof/>
            <w:webHidden/>
          </w:rPr>
          <w:fldChar w:fldCharType="begin"/>
        </w:r>
        <w:r>
          <w:rPr>
            <w:noProof/>
            <w:webHidden/>
          </w:rPr>
          <w:instrText xml:space="preserve"> PAGEREF _Toc78535748 \h </w:instrText>
        </w:r>
        <w:r>
          <w:rPr>
            <w:noProof/>
            <w:webHidden/>
          </w:rPr>
        </w:r>
        <w:r>
          <w:rPr>
            <w:noProof/>
            <w:webHidden/>
          </w:rPr>
          <w:fldChar w:fldCharType="separate"/>
        </w:r>
        <w:r w:rsidR="00416A60">
          <w:rPr>
            <w:noProof/>
            <w:webHidden/>
          </w:rPr>
          <w:t>36</w:t>
        </w:r>
        <w:r>
          <w:rPr>
            <w:noProof/>
            <w:webHidden/>
          </w:rPr>
          <w:fldChar w:fldCharType="end"/>
        </w:r>
      </w:hyperlink>
    </w:p>
    <w:p w14:paraId="69E96AC6" w14:textId="3FF1184A" w:rsidR="00136DB8" w:rsidRDefault="00136DB8">
      <w:pPr>
        <w:pStyle w:val="TOC2"/>
        <w:rPr>
          <w:rFonts w:asciiTheme="minorHAnsi" w:eastAsiaTheme="minorEastAsia" w:hAnsiTheme="minorHAnsi" w:cstheme="minorBidi"/>
          <w:b w:val="0"/>
          <w:noProof/>
          <w:sz w:val="22"/>
          <w:szCs w:val="22"/>
          <w:lang w:eastAsia="en-AU"/>
        </w:rPr>
      </w:pPr>
      <w:hyperlink w:anchor="_Toc78535749" w:history="1">
        <w:r w:rsidRPr="000C2452">
          <w:rPr>
            <w:rStyle w:val="Hyperlink"/>
            <w:noProof/>
          </w:rPr>
          <w:t>Publication of Candidate Information</w:t>
        </w:r>
        <w:r>
          <w:rPr>
            <w:noProof/>
            <w:webHidden/>
          </w:rPr>
          <w:tab/>
        </w:r>
        <w:r>
          <w:rPr>
            <w:noProof/>
            <w:webHidden/>
          </w:rPr>
          <w:fldChar w:fldCharType="begin"/>
        </w:r>
        <w:r>
          <w:rPr>
            <w:noProof/>
            <w:webHidden/>
          </w:rPr>
          <w:instrText xml:space="preserve"> PAGEREF _Toc78535749 \h </w:instrText>
        </w:r>
        <w:r>
          <w:rPr>
            <w:noProof/>
            <w:webHidden/>
          </w:rPr>
        </w:r>
        <w:r>
          <w:rPr>
            <w:noProof/>
            <w:webHidden/>
          </w:rPr>
          <w:fldChar w:fldCharType="separate"/>
        </w:r>
        <w:r w:rsidR="00416A60">
          <w:rPr>
            <w:noProof/>
            <w:webHidden/>
          </w:rPr>
          <w:t>40</w:t>
        </w:r>
        <w:r>
          <w:rPr>
            <w:noProof/>
            <w:webHidden/>
          </w:rPr>
          <w:fldChar w:fldCharType="end"/>
        </w:r>
      </w:hyperlink>
    </w:p>
    <w:p w14:paraId="3AB223F1" w14:textId="1C7E675F" w:rsidR="00136DB8" w:rsidRDefault="00136DB8">
      <w:pPr>
        <w:pStyle w:val="TOC2"/>
        <w:rPr>
          <w:rFonts w:asciiTheme="minorHAnsi" w:eastAsiaTheme="minorEastAsia" w:hAnsiTheme="minorHAnsi" w:cstheme="minorBidi"/>
          <w:b w:val="0"/>
          <w:noProof/>
          <w:sz w:val="22"/>
          <w:szCs w:val="22"/>
          <w:lang w:eastAsia="en-AU"/>
        </w:rPr>
      </w:pPr>
      <w:hyperlink w:anchor="_Toc78535750" w:history="1">
        <w:r w:rsidRPr="000C2452">
          <w:rPr>
            <w:rStyle w:val="Hyperlink"/>
            <w:noProof/>
          </w:rPr>
          <w:t>Authorisation of Electoral Matter</w:t>
        </w:r>
        <w:r>
          <w:rPr>
            <w:noProof/>
            <w:webHidden/>
          </w:rPr>
          <w:tab/>
        </w:r>
        <w:r>
          <w:rPr>
            <w:noProof/>
            <w:webHidden/>
          </w:rPr>
          <w:fldChar w:fldCharType="begin"/>
        </w:r>
        <w:r>
          <w:rPr>
            <w:noProof/>
            <w:webHidden/>
          </w:rPr>
          <w:instrText xml:space="preserve"> PAGEREF _Toc78535750 \h </w:instrText>
        </w:r>
        <w:r>
          <w:rPr>
            <w:noProof/>
            <w:webHidden/>
          </w:rPr>
        </w:r>
        <w:r>
          <w:rPr>
            <w:noProof/>
            <w:webHidden/>
          </w:rPr>
          <w:fldChar w:fldCharType="separate"/>
        </w:r>
        <w:r w:rsidR="00416A60">
          <w:rPr>
            <w:noProof/>
            <w:webHidden/>
          </w:rPr>
          <w:t>44</w:t>
        </w:r>
        <w:r>
          <w:rPr>
            <w:noProof/>
            <w:webHidden/>
          </w:rPr>
          <w:fldChar w:fldCharType="end"/>
        </w:r>
      </w:hyperlink>
    </w:p>
    <w:p w14:paraId="5F19B19C" w14:textId="0034F144" w:rsidR="00136DB8" w:rsidRDefault="00136DB8">
      <w:pPr>
        <w:pStyle w:val="TOC2"/>
        <w:rPr>
          <w:rFonts w:asciiTheme="minorHAnsi" w:eastAsiaTheme="minorEastAsia" w:hAnsiTheme="minorHAnsi" w:cstheme="minorBidi"/>
          <w:b w:val="0"/>
          <w:noProof/>
          <w:sz w:val="22"/>
          <w:szCs w:val="22"/>
          <w:lang w:eastAsia="en-AU"/>
        </w:rPr>
      </w:pPr>
      <w:hyperlink w:anchor="_Toc78535751" w:history="1">
        <w:r w:rsidRPr="000C2452">
          <w:rPr>
            <w:rStyle w:val="Hyperlink"/>
            <w:noProof/>
          </w:rPr>
          <w:t>Truth in Political Advertising</w:t>
        </w:r>
        <w:r>
          <w:rPr>
            <w:noProof/>
            <w:webHidden/>
          </w:rPr>
          <w:tab/>
        </w:r>
        <w:r>
          <w:rPr>
            <w:noProof/>
            <w:webHidden/>
          </w:rPr>
          <w:fldChar w:fldCharType="begin"/>
        </w:r>
        <w:r>
          <w:rPr>
            <w:noProof/>
            <w:webHidden/>
          </w:rPr>
          <w:instrText xml:space="preserve"> PAGEREF _Toc78535751 \h </w:instrText>
        </w:r>
        <w:r>
          <w:rPr>
            <w:noProof/>
            <w:webHidden/>
          </w:rPr>
        </w:r>
        <w:r>
          <w:rPr>
            <w:noProof/>
            <w:webHidden/>
          </w:rPr>
          <w:fldChar w:fldCharType="separate"/>
        </w:r>
        <w:r w:rsidR="00416A60">
          <w:rPr>
            <w:noProof/>
            <w:webHidden/>
          </w:rPr>
          <w:t>49</w:t>
        </w:r>
        <w:r>
          <w:rPr>
            <w:noProof/>
            <w:webHidden/>
          </w:rPr>
          <w:fldChar w:fldCharType="end"/>
        </w:r>
      </w:hyperlink>
    </w:p>
    <w:p w14:paraId="77BF9E70" w14:textId="63A446F2" w:rsidR="00136DB8" w:rsidRDefault="00136DB8">
      <w:pPr>
        <w:pStyle w:val="TOC2"/>
        <w:rPr>
          <w:rFonts w:asciiTheme="minorHAnsi" w:eastAsiaTheme="minorEastAsia" w:hAnsiTheme="minorHAnsi" w:cstheme="minorBidi"/>
          <w:b w:val="0"/>
          <w:noProof/>
          <w:sz w:val="22"/>
          <w:szCs w:val="22"/>
          <w:lang w:eastAsia="en-AU"/>
        </w:rPr>
      </w:pPr>
      <w:hyperlink w:anchor="_Toc78535752" w:history="1">
        <w:r w:rsidRPr="000C2452">
          <w:rPr>
            <w:rStyle w:val="Hyperlink"/>
            <w:noProof/>
          </w:rPr>
          <w:t>Independent and Small Party Candidates</w:t>
        </w:r>
        <w:r>
          <w:rPr>
            <w:noProof/>
            <w:webHidden/>
          </w:rPr>
          <w:tab/>
        </w:r>
        <w:r>
          <w:rPr>
            <w:noProof/>
            <w:webHidden/>
          </w:rPr>
          <w:fldChar w:fldCharType="begin"/>
        </w:r>
        <w:r>
          <w:rPr>
            <w:noProof/>
            <w:webHidden/>
          </w:rPr>
          <w:instrText xml:space="preserve"> PAGEREF _Toc78535752 \h </w:instrText>
        </w:r>
        <w:r>
          <w:rPr>
            <w:noProof/>
            <w:webHidden/>
          </w:rPr>
        </w:r>
        <w:r>
          <w:rPr>
            <w:noProof/>
            <w:webHidden/>
          </w:rPr>
          <w:fldChar w:fldCharType="separate"/>
        </w:r>
        <w:r w:rsidR="00416A60">
          <w:rPr>
            <w:noProof/>
            <w:webHidden/>
          </w:rPr>
          <w:t>53</w:t>
        </w:r>
        <w:r>
          <w:rPr>
            <w:noProof/>
            <w:webHidden/>
          </w:rPr>
          <w:fldChar w:fldCharType="end"/>
        </w:r>
      </w:hyperlink>
    </w:p>
    <w:p w14:paraId="0D2E16B1" w14:textId="092AC4E6"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53" w:history="1">
        <w:r w:rsidRPr="000C2452">
          <w:rPr>
            <w:rStyle w:val="Hyperlink"/>
            <w:noProof/>
          </w:rPr>
          <w:t>8</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Campaign Finance and Disclosure</w:t>
        </w:r>
        <w:r>
          <w:rPr>
            <w:noProof/>
            <w:webHidden/>
          </w:rPr>
          <w:tab/>
        </w:r>
        <w:r>
          <w:rPr>
            <w:noProof/>
            <w:webHidden/>
          </w:rPr>
          <w:fldChar w:fldCharType="begin"/>
        </w:r>
        <w:r>
          <w:rPr>
            <w:noProof/>
            <w:webHidden/>
          </w:rPr>
          <w:instrText xml:space="preserve"> PAGEREF _Toc78535753 \h </w:instrText>
        </w:r>
        <w:r>
          <w:rPr>
            <w:noProof/>
            <w:webHidden/>
          </w:rPr>
        </w:r>
        <w:r>
          <w:rPr>
            <w:noProof/>
            <w:webHidden/>
          </w:rPr>
          <w:fldChar w:fldCharType="separate"/>
        </w:r>
        <w:r w:rsidR="00416A60">
          <w:rPr>
            <w:noProof/>
            <w:webHidden/>
          </w:rPr>
          <w:t>56</w:t>
        </w:r>
        <w:r>
          <w:rPr>
            <w:noProof/>
            <w:webHidden/>
          </w:rPr>
          <w:fldChar w:fldCharType="end"/>
        </w:r>
      </w:hyperlink>
    </w:p>
    <w:p w14:paraId="3C293C46" w14:textId="7DFCDA83" w:rsidR="00136DB8" w:rsidRDefault="00136DB8">
      <w:pPr>
        <w:pStyle w:val="TOC2"/>
        <w:rPr>
          <w:rFonts w:asciiTheme="minorHAnsi" w:eastAsiaTheme="minorEastAsia" w:hAnsiTheme="minorHAnsi" w:cstheme="minorBidi"/>
          <w:b w:val="0"/>
          <w:noProof/>
          <w:sz w:val="22"/>
          <w:szCs w:val="22"/>
          <w:lang w:eastAsia="en-AU"/>
        </w:rPr>
      </w:pPr>
      <w:hyperlink w:anchor="_Toc78535754" w:history="1">
        <w:r w:rsidRPr="000C2452">
          <w:rPr>
            <w:rStyle w:val="Hyperlink"/>
            <w:noProof/>
          </w:rPr>
          <w:t>Donation Rules</w:t>
        </w:r>
        <w:r>
          <w:rPr>
            <w:noProof/>
            <w:webHidden/>
          </w:rPr>
          <w:tab/>
        </w:r>
        <w:r>
          <w:rPr>
            <w:noProof/>
            <w:webHidden/>
          </w:rPr>
          <w:fldChar w:fldCharType="begin"/>
        </w:r>
        <w:r>
          <w:rPr>
            <w:noProof/>
            <w:webHidden/>
          </w:rPr>
          <w:instrText xml:space="preserve"> PAGEREF _Toc78535754 \h </w:instrText>
        </w:r>
        <w:r>
          <w:rPr>
            <w:noProof/>
            <w:webHidden/>
          </w:rPr>
        </w:r>
        <w:r>
          <w:rPr>
            <w:noProof/>
            <w:webHidden/>
          </w:rPr>
          <w:fldChar w:fldCharType="separate"/>
        </w:r>
        <w:r w:rsidR="00416A60">
          <w:rPr>
            <w:noProof/>
            <w:webHidden/>
          </w:rPr>
          <w:t>56</w:t>
        </w:r>
        <w:r>
          <w:rPr>
            <w:noProof/>
            <w:webHidden/>
          </w:rPr>
          <w:fldChar w:fldCharType="end"/>
        </w:r>
      </w:hyperlink>
    </w:p>
    <w:p w14:paraId="14FA1735" w14:textId="0D30FB64" w:rsidR="00136DB8" w:rsidRDefault="00136DB8">
      <w:pPr>
        <w:pStyle w:val="TOC2"/>
        <w:rPr>
          <w:rFonts w:asciiTheme="minorHAnsi" w:eastAsiaTheme="minorEastAsia" w:hAnsiTheme="minorHAnsi" w:cstheme="minorBidi"/>
          <w:b w:val="0"/>
          <w:noProof/>
          <w:sz w:val="22"/>
          <w:szCs w:val="22"/>
          <w:lang w:eastAsia="en-AU"/>
        </w:rPr>
      </w:pPr>
      <w:hyperlink w:anchor="_Toc78535755" w:history="1">
        <w:r w:rsidRPr="000C2452">
          <w:rPr>
            <w:rStyle w:val="Hyperlink"/>
            <w:noProof/>
          </w:rPr>
          <w:t>Public Funding</w:t>
        </w:r>
        <w:r>
          <w:rPr>
            <w:noProof/>
            <w:webHidden/>
          </w:rPr>
          <w:tab/>
        </w:r>
        <w:r>
          <w:rPr>
            <w:noProof/>
            <w:webHidden/>
          </w:rPr>
          <w:fldChar w:fldCharType="begin"/>
        </w:r>
        <w:r>
          <w:rPr>
            <w:noProof/>
            <w:webHidden/>
          </w:rPr>
          <w:instrText xml:space="preserve"> PAGEREF _Toc78535755 \h </w:instrText>
        </w:r>
        <w:r>
          <w:rPr>
            <w:noProof/>
            <w:webHidden/>
          </w:rPr>
        </w:r>
        <w:r>
          <w:rPr>
            <w:noProof/>
            <w:webHidden/>
          </w:rPr>
          <w:fldChar w:fldCharType="separate"/>
        </w:r>
        <w:r w:rsidR="00416A60">
          <w:rPr>
            <w:noProof/>
            <w:webHidden/>
          </w:rPr>
          <w:t>63</w:t>
        </w:r>
        <w:r>
          <w:rPr>
            <w:noProof/>
            <w:webHidden/>
          </w:rPr>
          <w:fldChar w:fldCharType="end"/>
        </w:r>
      </w:hyperlink>
    </w:p>
    <w:p w14:paraId="5959148F" w14:textId="586308BE" w:rsidR="00136DB8" w:rsidRDefault="00136DB8">
      <w:pPr>
        <w:pStyle w:val="TOC2"/>
        <w:rPr>
          <w:rFonts w:asciiTheme="minorHAnsi" w:eastAsiaTheme="minorEastAsia" w:hAnsiTheme="minorHAnsi" w:cstheme="minorBidi"/>
          <w:b w:val="0"/>
          <w:noProof/>
          <w:sz w:val="22"/>
          <w:szCs w:val="22"/>
          <w:lang w:eastAsia="en-AU"/>
        </w:rPr>
      </w:pPr>
      <w:hyperlink w:anchor="_Toc78535756" w:history="1">
        <w:r w:rsidRPr="000C2452">
          <w:rPr>
            <w:rStyle w:val="Hyperlink"/>
            <w:noProof/>
          </w:rPr>
          <w:t>Donation Reporting</w:t>
        </w:r>
        <w:r>
          <w:rPr>
            <w:noProof/>
            <w:webHidden/>
          </w:rPr>
          <w:tab/>
        </w:r>
        <w:r>
          <w:rPr>
            <w:noProof/>
            <w:webHidden/>
          </w:rPr>
          <w:fldChar w:fldCharType="begin"/>
        </w:r>
        <w:r>
          <w:rPr>
            <w:noProof/>
            <w:webHidden/>
          </w:rPr>
          <w:instrText xml:space="preserve"> PAGEREF _Toc78535756 \h </w:instrText>
        </w:r>
        <w:r>
          <w:rPr>
            <w:noProof/>
            <w:webHidden/>
          </w:rPr>
        </w:r>
        <w:r>
          <w:rPr>
            <w:noProof/>
            <w:webHidden/>
          </w:rPr>
          <w:fldChar w:fldCharType="separate"/>
        </w:r>
        <w:r w:rsidR="00416A60">
          <w:rPr>
            <w:noProof/>
            <w:webHidden/>
          </w:rPr>
          <w:t>66</w:t>
        </w:r>
        <w:r>
          <w:rPr>
            <w:noProof/>
            <w:webHidden/>
          </w:rPr>
          <w:fldChar w:fldCharType="end"/>
        </w:r>
      </w:hyperlink>
    </w:p>
    <w:p w14:paraId="497696A7" w14:textId="16CC5909" w:rsidR="00136DB8" w:rsidRDefault="00136DB8">
      <w:pPr>
        <w:pStyle w:val="TOC2"/>
        <w:rPr>
          <w:rFonts w:asciiTheme="minorHAnsi" w:eastAsiaTheme="minorEastAsia" w:hAnsiTheme="minorHAnsi" w:cstheme="minorBidi"/>
          <w:b w:val="0"/>
          <w:noProof/>
          <w:sz w:val="22"/>
          <w:szCs w:val="22"/>
          <w:lang w:eastAsia="en-AU"/>
        </w:rPr>
      </w:pPr>
      <w:hyperlink w:anchor="_Toc78535757" w:history="1">
        <w:r w:rsidRPr="000C2452">
          <w:rPr>
            <w:rStyle w:val="Hyperlink"/>
            <w:noProof/>
          </w:rPr>
          <w:t>Expenditure Cap</w:t>
        </w:r>
        <w:r>
          <w:rPr>
            <w:noProof/>
            <w:webHidden/>
          </w:rPr>
          <w:tab/>
        </w:r>
        <w:r>
          <w:rPr>
            <w:noProof/>
            <w:webHidden/>
          </w:rPr>
          <w:fldChar w:fldCharType="begin"/>
        </w:r>
        <w:r>
          <w:rPr>
            <w:noProof/>
            <w:webHidden/>
          </w:rPr>
          <w:instrText xml:space="preserve"> PAGEREF _Toc78535757 \h </w:instrText>
        </w:r>
        <w:r>
          <w:rPr>
            <w:noProof/>
            <w:webHidden/>
          </w:rPr>
        </w:r>
        <w:r>
          <w:rPr>
            <w:noProof/>
            <w:webHidden/>
          </w:rPr>
          <w:fldChar w:fldCharType="separate"/>
        </w:r>
        <w:r w:rsidR="00416A60">
          <w:rPr>
            <w:noProof/>
            <w:webHidden/>
          </w:rPr>
          <w:t>69</w:t>
        </w:r>
        <w:r>
          <w:rPr>
            <w:noProof/>
            <w:webHidden/>
          </w:rPr>
          <w:fldChar w:fldCharType="end"/>
        </w:r>
      </w:hyperlink>
    </w:p>
    <w:p w14:paraId="657E634D" w14:textId="3382A7E9"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58" w:history="1">
        <w:r w:rsidRPr="000C2452">
          <w:rPr>
            <w:rStyle w:val="Hyperlink"/>
            <w:noProof/>
          </w:rPr>
          <w:t>9</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Participation in Elections</w:t>
        </w:r>
        <w:r>
          <w:rPr>
            <w:noProof/>
            <w:webHidden/>
          </w:rPr>
          <w:tab/>
        </w:r>
        <w:r>
          <w:rPr>
            <w:noProof/>
            <w:webHidden/>
          </w:rPr>
          <w:fldChar w:fldCharType="begin"/>
        </w:r>
        <w:r>
          <w:rPr>
            <w:noProof/>
            <w:webHidden/>
          </w:rPr>
          <w:instrText xml:space="preserve"> PAGEREF _Toc78535758 \h </w:instrText>
        </w:r>
        <w:r>
          <w:rPr>
            <w:noProof/>
            <w:webHidden/>
          </w:rPr>
        </w:r>
        <w:r>
          <w:rPr>
            <w:noProof/>
            <w:webHidden/>
          </w:rPr>
          <w:fldChar w:fldCharType="separate"/>
        </w:r>
        <w:r w:rsidR="00416A60">
          <w:rPr>
            <w:noProof/>
            <w:webHidden/>
          </w:rPr>
          <w:t>74</w:t>
        </w:r>
        <w:r>
          <w:rPr>
            <w:noProof/>
            <w:webHidden/>
          </w:rPr>
          <w:fldChar w:fldCharType="end"/>
        </w:r>
      </w:hyperlink>
    </w:p>
    <w:p w14:paraId="3CB46A9F" w14:textId="0E69C826" w:rsidR="00136DB8" w:rsidRDefault="00136DB8">
      <w:pPr>
        <w:pStyle w:val="TOC2"/>
        <w:rPr>
          <w:rFonts w:asciiTheme="minorHAnsi" w:eastAsiaTheme="minorEastAsia" w:hAnsiTheme="minorHAnsi" w:cstheme="minorBidi"/>
          <w:b w:val="0"/>
          <w:noProof/>
          <w:sz w:val="22"/>
          <w:szCs w:val="22"/>
          <w:lang w:eastAsia="en-AU"/>
        </w:rPr>
      </w:pPr>
      <w:hyperlink w:anchor="_Toc78535759" w:history="1">
        <w:r w:rsidRPr="000C2452">
          <w:rPr>
            <w:rStyle w:val="Hyperlink"/>
            <w:noProof/>
          </w:rPr>
          <w:t>Participation in the 2020 Election</w:t>
        </w:r>
        <w:r>
          <w:rPr>
            <w:noProof/>
            <w:webHidden/>
          </w:rPr>
          <w:tab/>
        </w:r>
        <w:r>
          <w:rPr>
            <w:noProof/>
            <w:webHidden/>
          </w:rPr>
          <w:fldChar w:fldCharType="begin"/>
        </w:r>
        <w:r>
          <w:rPr>
            <w:noProof/>
            <w:webHidden/>
          </w:rPr>
          <w:instrText xml:space="preserve"> PAGEREF _Toc78535759 \h </w:instrText>
        </w:r>
        <w:r>
          <w:rPr>
            <w:noProof/>
            <w:webHidden/>
          </w:rPr>
        </w:r>
        <w:r>
          <w:rPr>
            <w:noProof/>
            <w:webHidden/>
          </w:rPr>
          <w:fldChar w:fldCharType="separate"/>
        </w:r>
        <w:r w:rsidR="00416A60">
          <w:rPr>
            <w:noProof/>
            <w:webHidden/>
          </w:rPr>
          <w:t>74</w:t>
        </w:r>
        <w:r>
          <w:rPr>
            <w:noProof/>
            <w:webHidden/>
          </w:rPr>
          <w:fldChar w:fldCharType="end"/>
        </w:r>
      </w:hyperlink>
    </w:p>
    <w:p w14:paraId="706B33F2" w14:textId="50A7D03A" w:rsidR="00136DB8" w:rsidRDefault="00136DB8">
      <w:pPr>
        <w:pStyle w:val="TOC2"/>
        <w:rPr>
          <w:rFonts w:asciiTheme="minorHAnsi" w:eastAsiaTheme="minorEastAsia" w:hAnsiTheme="minorHAnsi" w:cstheme="minorBidi"/>
          <w:b w:val="0"/>
          <w:noProof/>
          <w:sz w:val="22"/>
          <w:szCs w:val="22"/>
          <w:lang w:eastAsia="en-AU"/>
        </w:rPr>
      </w:pPr>
      <w:hyperlink w:anchor="_Toc78535760" w:history="1">
        <w:r w:rsidRPr="000C2452">
          <w:rPr>
            <w:rStyle w:val="Hyperlink"/>
            <w:noProof/>
          </w:rPr>
          <w:t>Encouraging Participation in Elections</w:t>
        </w:r>
        <w:r>
          <w:rPr>
            <w:noProof/>
            <w:webHidden/>
          </w:rPr>
          <w:tab/>
        </w:r>
        <w:r>
          <w:rPr>
            <w:noProof/>
            <w:webHidden/>
          </w:rPr>
          <w:fldChar w:fldCharType="begin"/>
        </w:r>
        <w:r>
          <w:rPr>
            <w:noProof/>
            <w:webHidden/>
          </w:rPr>
          <w:instrText xml:space="preserve"> PAGEREF _Toc78535760 \h </w:instrText>
        </w:r>
        <w:r>
          <w:rPr>
            <w:noProof/>
            <w:webHidden/>
          </w:rPr>
        </w:r>
        <w:r>
          <w:rPr>
            <w:noProof/>
            <w:webHidden/>
          </w:rPr>
          <w:fldChar w:fldCharType="separate"/>
        </w:r>
        <w:r w:rsidR="00416A60">
          <w:rPr>
            <w:noProof/>
            <w:webHidden/>
          </w:rPr>
          <w:t>75</w:t>
        </w:r>
        <w:r>
          <w:rPr>
            <w:noProof/>
            <w:webHidden/>
          </w:rPr>
          <w:fldChar w:fldCharType="end"/>
        </w:r>
      </w:hyperlink>
    </w:p>
    <w:p w14:paraId="5BB4B11D" w14:textId="10326764" w:rsidR="00136DB8" w:rsidRDefault="00136DB8">
      <w:pPr>
        <w:pStyle w:val="TOC2"/>
        <w:rPr>
          <w:rFonts w:asciiTheme="minorHAnsi" w:eastAsiaTheme="minorEastAsia" w:hAnsiTheme="minorHAnsi" w:cstheme="minorBidi"/>
          <w:b w:val="0"/>
          <w:noProof/>
          <w:sz w:val="22"/>
          <w:szCs w:val="22"/>
          <w:lang w:eastAsia="en-AU"/>
        </w:rPr>
      </w:pPr>
      <w:hyperlink w:anchor="_Toc78535761" w:history="1">
        <w:r w:rsidRPr="000C2452">
          <w:rPr>
            <w:rStyle w:val="Hyperlink"/>
            <w:noProof/>
          </w:rPr>
          <w:t>Vulnerable Voters</w:t>
        </w:r>
        <w:r>
          <w:rPr>
            <w:noProof/>
            <w:webHidden/>
          </w:rPr>
          <w:tab/>
        </w:r>
        <w:r>
          <w:rPr>
            <w:noProof/>
            <w:webHidden/>
          </w:rPr>
          <w:fldChar w:fldCharType="begin"/>
        </w:r>
        <w:r>
          <w:rPr>
            <w:noProof/>
            <w:webHidden/>
          </w:rPr>
          <w:instrText xml:space="preserve"> PAGEREF _Toc78535761 \h </w:instrText>
        </w:r>
        <w:r>
          <w:rPr>
            <w:noProof/>
            <w:webHidden/>
          </w:rPr>
        </w:r>
        <w:r>
          <w:rPr>
            <w:noProof/>
            <w:webHidden/>
          </w:rPr>
          <w:fldChar w:fldCharType="separate"/>
        </w:r>
        <w:r w:rsidR="00416A60">
          <w:rPr>
            <w:noProof/>
            <w:webHidden/>
          </w:rPr>
          <w:t>76</w:t>
        </w:r>
        <w:r>
          <w:rPr>
            <w:noProof/>
            <w:webHidden/>
          </w:rPr>
          <w:fldChar w:fldCharType="end"/>
        </w:r>
      </w:hyperlink>
    </w:p>
    <w:p w14:paraId="3DFB9C72" w14:textId="5A95172F"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62" w:history="1">
        <w:r w:rsidRPr="000C2452">
          <w:rPr>
            <w:rStyle w:val="Hyperlink"/>
            <w:noProof/>
          </w:rPr>
          <w:t>10</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Lowering the Voting Age</w:t>
        </w:r>
        <w:r>
          <w:rPr>
            <w:noProof/>
            <w:webHidden/>
          </w:rPr>
          <w:tab/>
        </w:r>
        <w:r>
          <w:rPr>
            <w:noProof/>
            <w:webHidden/>
          </w:rPr>
          <w:fldChar w:fldCharType="begin"/>
        </w:r>
        <w:r>
          <w:rPr>
            <w:noProof/>
            <w:webHidden/>
          </w:rPr>
          <w:instrText xml:space="preserve"> PAGEREF _Toc78535762 \h </w:instrText>
        </w:r>
        <w:r>
          <w:rPr>
            <w:noProof/>
            <w:webHidden/>
          </w:rPr>
        </w:r>
        <w:r>
          <w:rPr>
            <w:noProof/>
            <w:webHidden/>
          </w:rPr>
          <w:fldChar w:fldCharType="separate"/>
        </w:r>
        <w:r w:rsidR="00416A60">
          <w:rPr>
            <w:noProof/>
            <w:webHidden/>
          </w:rPr>
          <w:t>81</w:t>
        </w:r>
        <w:r>
          <w:rPr>
            <w:noProof/>
            <w:webHidden/>
          </w:rPr>
          <w:fldChar w:fldCharType="end"/>
        </w:r>
      </w:hyperlink>
    </w:p>
    <w:p w14:paraId="78ADA55E" w14:textId="3F51856C"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63" w:history="1">
        <w:r w:rsidRPr="000C2452">
          <w:rPr>
            <w:rStyle w:val="Hyperlink"/>
            <w:noProof/>
          </w:rPr>
          <w:t>11</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Preparing for future Elections</w:t>
        </w:r>
        <w:r>
          <w:rPr>
            <w:noProof/>
            <w:webHidden/>
          </w:rPr>
          <w:tab/>
        </w:r>
        <w:r>
          <w:rPr>
            <w:noProof/>
            <w:webHidden/>
          </w:rPr>
          <w:fldChar w:fldCharType="begin"/>
        </w:r>
        <w:r>
          <w:rPr>
            <w:noProof/>
            <w:webHidden/>
          </w:rPr>
          <w:instrText xml:space="preserve"> PAGEREF _Toc78535763 \h </w:instrText>
        </w:r>
        <w:r>
          <w:rPr>
            <w:noProof/>
            <w:webHidden/>
          </w:rPr>
        </w:r>
        <w:r>
          <w:rPr>
            <w:noProof/>
            <w:webHidden/>
          </w:rPr>
          <w:fldChar w:fldCharType="separate"/>
        </w:r>
        <w:r w:rsidR="00416A60">
          <w:rPr>
            <w:noProof/>
            <w:webHidden/>
          </w:rPr>
          <w:t>86</w:t>
        </w:r>
        <w:r>
          <w:rPr>
            <w:noProof/>
            <w:webHidden/>
          </w:rPr>
          <w:fldChar w:fldCharType="end"/>
        </w:r>
      </w:hyperlink>
    </w:p>
    <w:p w14:paraId="38ADECD4" w14:textId="63D6EB93"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64" w:history="1">
        <w:r w:rsidRPr="000C2452">
          <w:rPr>
            <w:rStyle w:val="Hyperlink"/>
            <w:noProof/>
          </w:rPr>
          <w:t>12</w:t>
        </w:r>
        <w:r>
          <w:rPr>
            <w:rFonts w:asciiTheme="minorHAnsi" w:eastAsiaTheme="minorEastAsia" w:hAnsiTheme="minorHAnsi" w:cstheme="minorBidi"/>
            <w:b w:val="0"/>
            <w:bCs w:val="0"/>
            <w:smallCaps w:val="0"/>
            <w:noProof/>
            <w:spacing w:val="0"/>
            <w:sz w:val="22"/>
            <w:szCs w:val="22"/>
            <w:lang w:eastAsia="en-AU"/>
          </w:rPr>
          <w:tab/>
        </w:r>
        <w:r w:rsidRPr="000C2452">
          <w:rPr>
            <w:rStyle w:val="Hyperlink"/>
            <w:noProof/>
          </w:rPr>
          <w:t>Conclusion</w:t>
        </w:r>
        <w:r>
          <w:rPr>
            <w:noProof/>
            <w:webHidden/>
          </w:rPr>
          <w:tab/>
        </w:r>
        <w:r>
          <w:rPr>
            <w:noProof/>
            <w:webHidden/>
          </w:rPr>
          <w:fldChar w:fldCharType="begin"/>
        </w:r>
        <w:r>
          <w:rPr>
            <w:noProof/>
            <w:webHidden/>
          </w:rPr>
          <w:instrText xml:space="preserve"> PAGEREF _Toc78535764 \h </w:instrText>
        </w:r>
        <w:r>
          <w:rPr>
            <w:noProof/>
            <w:webHidden/>
          </w:rPr>
        </w:r>
        <w:r>
          <w:rPr>
            <w:noProof/>
            <w:webHidden/>
          </w:rPr>
          <w:fldChar w:fldCharType="separate"/>
        </w:r>
        <w:r w:rsidR="00416A60">
          <w:rPr>
            <w:noProof/>
            <w:webHidden/>
          </w:rPr>
          <w:t>89</w:t>
        </w:r>
        <w:r>
          <w:rPr>
            <w:noProof/>
            <w:webHidden/>
          </w:rPr>
          <w:fldChar w:fldCharType="end"/>
        </w:r>
      </w:hyperlink>
    </w:p>
    <w:p w14:paraId="0363473A" w14:textId="0AFA7E74"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65" w:history="1">
        <w:r w:rsidRPr="000C2452">
          <w:rPr>
            <w:rStyle w:val="Hyperlink"/>
            <w:noProof/>
          </w:rPr>
          <w:t>Appendix A – Witnesses</w:t>
        </w:r>
        <w:r>
          <w:rPr>
            <w:noProof/>
            <w:webHidden/>
          </w:rPr>
          <w:tab/>
        </w:r>
        <w:r>
          <w:rPr>
            <w:noProof/>
            <w:webHidden/>
          </w:rPr>
          <w:fldChar w:fldCharType="begin"/>
        </w:r>
        <w:r>
          <w:rPr>
            <w:noProof/>
            <w:webHidden/>
          </w:rPr>
          <w:instrText xml:space="preserve"> PAGEREF _Toc78535765 \h </w:instrText>
        </w:r>
        <w:r>
          <w:rPr>
            <w:noProof/>
            <w:webHidden/>
          </w:rPr>
        </w:r>
        <w:r>
          <w:rPr>
            <w:noProof/>
            <w:webHidden/>
          </w:rPr>
          <w:fldChar w:fldCharType="separate"/>
        </w:r>
        <w:r w:rsidR="00416A60">
          <w:rPr>
            <w:noProof/>
            <w:webHidden/>
          </w:rPr>
          <w:t>91</w:t>
        </w:r>
        <w:r>
          <w:rPr>
            <w:noProof/>
            <w:webHidden/>
          </w:rPr>
          <w:fldChar w:fldCharType="end"/>
        </w:r>
      </w:hyperlink>
    </w:p>
    <w:p w14:paraId="12B0371E" w14:textId="7D80FB72" w:rsidR="00136DB8" w:rsidRDefault="00136DB8">
      <w:pPr>
        <w:pStyle w:val="TOC2"/>
        <w:rPr>
          <w:rFonts w:asciiTheme="minorHAnsi" w:eastAsiaTheme="minorEastAsia" w:hAnsiTheme="minorHAnsi" w:cstheme="minorBidi"/>
          <w:b w:val="0"/>
          <w:noProof/>
          <w:sz w:val="22"/>
          <w:szCs w:val="22"/>
          <w:lang w:eastAsia="en-AU"/>
        </w:rPr>
      </w:pPr>
      <w:hyperlink w:anchor="_Toc78535766" w:history="1">
        <w:r w:rsidRPr="000C2452">
          <w:rPr>
            <w:rStyle w:val="Hyperlink"/>
            <w:noProof/>
          </w:rPr>
          <w:t>19 May 2021</w:t>
        </w:r>
        <w:r>
          <w:rPr>
            <w:noProof/>
            <w:webHidden/>
          </w:rPr>
          <w:tab/>
        </w:r>
        <w:r>
          <w:rPr>
            <w:noProof/>
            <w:webHidden/>
          </w:rPr>
          <w:fldChar w:fldCharType="begin"/>
        </w:r>
        <w:r>
          <w:rPr>
            <w:noProof/>
            <w:webHidden/>
          </w:rPr>
          <w:instrText xml:space="preserve"> PAGEREF _Toc78535766 \h </w:instrText>
        </w:r>
        <w:r>
          <w:rPr>
            <w:noProof/>
            <w:webHidden/>
          </w:rPr>
        </w:r>
        <w:r>
          <w:rPr>
            <w:noProof/>
            <w:webHidden/>
          </w:rPr>
          <w:fldChar w:fldCharType="separate"/>
        </w:r>
        <w:r w:rsidR="00416A60">
          <w:rPr>
            <w:noProof/>
            <w:webHidden/>
          </w:rPr>
          <w:t>91</w:t>
        </w:r>
        <w:r>
          <w:rPr>
            <w:noProof/>
            <w:webHidden/>
          </w:rPr>
          <w:fldChar w:fldCharType="end"/>
        </w:r>
      </w:hyperlink>
    </w:p>
    <w:p w14:paraId="0D3F3279" w14:textId="720112F5" w:rsidR="00136DB8" w:rsidRDefault="00136DB8">
      <w:pPr>
        <w:pStyle w:val="TOC2"/>
        <w:rPr>
          <w:rFonts w:asciiTheme="minorHAnsi" w:eastAsiaTheme="minorEastAsia" w:hAnsiTheme="minorHAnsi" w:cstheme="minorBidi"/>
          <w:b w:val="0"/>
          <w:noProof/>
          <w:sz w:val="22"/>
          <w:szCs w:val="22"/>
          <w:lang w:eastAsia="en-AU"/>
        </w:rPr>
      </w:pPr>
      <w:hyperlink w:anchor="_Toc78535767" w:history="1">
        <w:r w:rsidRPr="000C2452">
          <w:rPr>
            <w:rStyle w:val="Hyperlink"/>
            <w:noProof/>
          </w:rPr>
          <w:t>26 May 2021</w:t>
        </w:r>
        <w:r>
          <w:rPr>
            <w:noProof/>
            <w:webHidden/>
          </w:rPr>
          <w:tab/>
        </w:r>
        <w:r>
          <w:rPr>
            <w:noProof/>
            <w:webHidden/>
          </w:rPr>
          <w:fldChar w:fldCharType="begin"/>
        </w:r>
        <w:r>
          <w:rPr>
            <w:noProof/>
            <w:webHidden/>
          </w:rPr>
          <w:instrText xml:space="preserve"> PAGEREF _Toc78535767 \h </w:instrText>
        </w:r>
        <w:r>
          <w:rPr>
            <w:noProof/>
            <w:webHidden/>
          </w:rPr>
        </w:r>
        <w:r>
          <w:rPr>
            <w:noProof/>
            <w:webHidden/>
          </w:rPr>
          <w:fldChar w:fldCharType="separate"/>
        </w:r>
        <w:r w:rsidR="00416A60">
          <w:rPr>
            <w:noProof/>
            <w:webHidden/>
          </w:rPr>
          <w:t>91</w:t>
        </w:r>
        <w:r>
          <w:rPr>
            <w:noProof/>
            <w:webHidden/>
          </w:rPr>
          <w:fldChar w:fldCharType="end"/>
        </w:r>
      </w:hyperlink>
    </w:p>
    <w:p w14:paraId="4C8004C1" w14:textId="161C5AB3"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68" w:history="1">
        <w:r w:rsidRPr="000C2452">
          <w:rPr>
            <w:rStyle w:val="Hyperlink"/>
            <w:noProof/>
          </w:rPr>
          <w:t>Appendix B – Submissions</w:t>
        </w:r>
        <w:r>
          <w:rPr>
            <w:noProof/>
            <w:webHidden/>
          </w:rPr>
          <w:tab/>
        </w:r>
        <w:r>
          <w:rPr>
            <w:noProof/>
            <w:webHidden/>
          </w:rPr>
          <w:fldChar w:fldCharType="begin"/>
        </w:r>
        <w:r>
          <w:rPr>
            <w:noProof/>
            <w:webHidden/>
          </w:rPr>
          <w:instrText xml:space="preserve"> PAGEREF _Toc78535768 \h </w:instrText>
        </w:r>
        <w:r>
          <w:rPr>
            <w:noProof/>
            <w:webHidden/>
          </w:rPr>
        </w:r>
        <w:r>
          <w:rPr>
            <w:noProof/>
            <w:webHidden/>
          </w:rPr>
          <w:fldChar w:fldCharType="separate"/>
        </w:r>
        <w:r w:rsidR="00416A60">
          <w:rPr>
            <w:noProof/>
            <w:webHidden/>
          </w:rPr>
          <w:t>92</w:t>
        </w:r>
        <w:r>
          <w:rPr>
            <w:noProof/>
            <w:webHidden/>
          </w:rPr>
          <w:fldChar w:fldCharType="end"/>
        </w:r>
      </w:hyperlink>
    </w:p>
    <w:p w14:paraId="66432DD0" w14:textId="485F0FAA"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69" w:history="1">
        <w:r w:rsidRPr="000C2452">
          <w:rPr>
            <w:rStyle w:val="Hyperlink"/>
            <w:noProof/>
          </w:rPr>
          <w:t>Appendix C – Questions taken on Notice</w:t>
        </w:r>
        <w:r>
          <w:rPr>
            <w:noProof/>
            <w:webHidden/>
          </w:rPr>
          <w:tab/>
        </w:r>
        <w:r>
          <w:rPr>
            <w:noProof/>
            <w:webHidden/>
          </w:rPr>
          <w:fldChar w:fldCharType="begin"/>
        </w:r>
        <w:r>
          <w:rPr>
            <w:noProof/>
            <w:webHidden/>
          </w:rPr>
          <w:instrText xml:space="preserve"> PAGEREF _Toc78535769 \h </w:instrText>
        </w:r>
        <w:r>
          <w:rPr>
            <w:noProof/>
            <w:webHidden/>
          </w:rPr>
        </w:r>
        <w:r>
          <w:rPr>
            <w:noProof/>
            <w:webHidden/>
          </w:rPr>
          <w:fldChar w:fldCharType="separate"/>
        </w:r>
        <w:r w:rsidR="00416A60">
          <w:rPr>
            <w:noProof/>
            <w:webHidden/>
          </w:rPr>
          <w:t>94</w:t>
        </w:r>
        <w:r>
          <w:rPr>
            <w:noProof/>
            <w:webHidden/>
          </w:rPr>
          <w:fldChar w:fldCharType="end"/>
        </w:r>
      </w:hyperlink>
    </w:p>
    <w:p w14:paraId="3A416C44" w14:textId="57FE2570" w:rsidR="00136DB8" w:rsidRDefault="00136DB8">
      <w:pPr>
        <w:pStyle w:val="TOC1"/>
        <w:rPr>
          <w:rFonts w:asciiTheme="minorHAnsi" w:eastAsiaTheme="minorEastAsia" w:hAnsiTheme="minorHAnsi" w:cstheme="minorBidi"/>
          <w:b w:val="0"/>
          <w:bCs w:val="0"/>
          <w:smallCaps w:val="0"/>
          <w:noProof/>
          <w:spacing w:val="0"/>
          <w:sz w:val="22"/>
          <w:szCs w:val="22"/>
          <w:lang w:eastAsia="en-AU"/>
        </w:rPr>
      </w:pPr>
      <w:hyperlink w:anchor="_Toc78535770" w:history="1">
        <w:r w:rsidRPr="000C2452">
          <w:rPr>
            <w:rStyle w:val="Hyperlink"/>
            <w:noProof/>
          </w:rPr>
          <w:t>Appendix D – Dissenting Report – Ms Jo Clay MLA</w:t>
        </w:r>
        <w:r>
          <w:rPr>
            <w:noProof/>
            <w:webHidden/>
          </w:rPr>
          <w:tab/>
        </w:r>
        <w:r>
          <w:rPr>
            <w:noProof/>
            <w:webHidden/>
          </w:rPr>
          <w:fldChar w:fldCharType="begin"/>
        </w:r>
        <w:r>
          <w:rPr>
            <w:noProof/>
            <w:webHidden/>
          </w:rPr>
          <w:instrText xml:space="preserve"> PAGEREF _Toc78535770 \h </w:instrText>
        </w:r>
        <w:r>
          <w:rPr>
            <w:noProof/>
            <w:webHidden/>
          </w:rPr>
        </w:r>
        <w:r>
          <w:rPr>
            <w:noProof/>
            <w:webHidden/>
          </w:rPr>
          <w:fldChar w:fldCharType="separate"/>
        </w:r>
        <w:r w:rsidR="00416A60">
          <w:rPr>
            <w:noProof/>
            <w:webHidden/>
          </w:rPr>
          <w:t>95</w:t>
        </w:r>
        <w:r>
          <w:rPr>
            <w:noProof/>
            <w:webHidden/>
          </w:rPr>
          <w:fldChar w:fldCharType="end"/>
        </w:r>
      </w:hyperlink>
    </w:p>
    <w:p w14:paraId="44B32A51" w14:textId="7AE32F29" w:rsidR="005973EA" w:rsidRDefault="00171CA7">
      <w:r>
        <w:fldChar w:fldCharType="end"/>
      </w:r>
    </w:p>
    <w:p w14:paraId="286B3D2B" w14:textId="77777777"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351668FF" w14:textId="77777777" w:rsidR="004001FB" w:rsidRDefault="004001FB" w:rsidP="007104A7">
      <w:pPr>
        <w:pStyle w:val="Heading2"/>
        <w:numPr>
          <w:ilvl w:val="0"/>
          <w:numId w:val="0"/>
        </w:numPr>
      </w:pPr>
      <w:bookmarkStart w:id="35" w:name="_Toc78535728"/>
      <w:r>
        <w:lastRenderedPageBreak/>
        <w:t>Recommendations</w:t>
      </w:r>
      <w:bookmarkEnd w:id="35"/>
    </w:p>
    <w:p w14:paraId="2E6B616A" w14:textId="77777777" w:rsidR="003768CC"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78382463" w:history="1">
        <w:r w:rsidR="003768CC" w:rsidRPr="00B72F87">
          <w:rPr>
            <w:rStyle w:val="Hyperlink"/>
            <w:noProof/>
          </w:rPr>
          <w:t>Recommendation 1</w:t>
        </w:r>
      </w:hyperlink>
    </w:p>
    <w:p w14:paraId="6884DFCB"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64" w:history="1">
        <w:r w:rsidR="003768CC" w:rsidRPr="00B72F87">
          <w:rPr>
            <w:rStyle w:val="Hyperlink"/>
            <w:noProof/>
          </w:rPr>
          <w:t>4.18</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 xml:space="preserve">The Committee recommends that s136B </w:t>
        </w:r>
        <w:r w:rsidR="003768CC" w:rsidRPr="00B72F87">
          <w:rPr>
            <w:rStyle w:val="Hyperlink"/>
            <w:i/>
            <w:iCs/>
            <w:noProof/>
          </w:rPr>
          <w:t>Electoral Act 1992</w:t>
        </w:r>
        <w:r w:rsidR="003768CC" w:rsidRPr="00B72F87">
          <w:rPr>
            <w:rStyle w:val="Hyperlink"/>
            <w:noProof/>
          </w:rPr>
          <w:t xml:space="preserve"> be amended to provide that any elector may vote during the early voting period without the need to declare they are unable to attend a polling place on election day.</w:t>
        </w:r>
      </w:hyperlink>
    </w:p>
    <w:p w14:paraId="4C8A691B"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65" w:history="1">
        <w:r w:rsidR="003768CC" w:rsidRPr="00B72F87">
          <w:rPr>
            <w:rStyle w:val="Hyperlink"/>
            <w:noProof/>
          </w:rPr>
          <w:t>Recommendation 2</w:t>
        </w:r>
      </w:hyperlink>
    </w:p>
    <w:p w14:paraId="74EEFC09"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66" w:history="1">
        <w:r w:rsidR="003768CC" w:rsidRPr="00B72F87">
          <w:rPr>
            <w:rStyle w:val="Hyperlink"/>
            <w:noProof/>
          </w:rPr>
          <w:t>4.19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 xml:space="preserve">The Committee recommends that s136B </w:t>
        </w:r>
        <w:r w:rsidR="003768CC" w:rsidRPr="00B72F87">
          <w:rPr>
            <w:rStyle w:val="Hyperlink"/>
            <w:i/>
            <w:iCs/>
            <w:noProof/>
          </w:rPr>
          <w:t>Electoral Act 1992</w:t>
        </w:r>
        <w:r w:rsidR="003768CC" w:rsidRPr="00B72F87">
          <w:rPr>
            <w:rStyle w:val="Hyperlink"/>
            <w:noProof/>
          </w:rPr>
          <w:t xml:space="preserve"> be amended to establish an early voting period of 2 weeks (outside periods of public health emergency).</w:t>
        </w:r>
      </w:hyperlink>
    </w:p>
    <w:p w14:paraId="0F47CD3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67" w:history="1">
        <w:r w:rsidR="003768CC" w:rsidRPr="00B72F87">
          <w:rPr>
            <w:rStyle w:val="Hyperlink"/>
            <w:noProof/>
          </w:rPr>
          <w:t>Recommendation 3</w:t>
        </w:r>
      </w:hyperlink>
    </w:p>
    <w:p w14:paraId="5097CE9B"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68" w:history="1">
        <w:r w:rsidR="003768CC" w:rsidRPr="00B72F87">
          <w:rPr>
            <w:rStyle w:val="Hyperlink"/>
            <w:noProof/>
          </w:rPr>
          <w:t>4.20</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early voting centres be limited to one per electorate for elections conducted during ordinary circumstances (outside periods of public health emergency).</w:t>
        </w:r>
      </w:hyperlink>
    </w:p>
    <w:p w14:paraId="6ADDE92C"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69" w:history="1">
        <w:r w:rsidR="003768CC" w:rsidRPr="00B72F87">
          <w:rPr>
            <w:rStyle w:val="Hyperlink"/>
            <w:noProof/>
          </w:rPr>
          <w:t>Recommendation 4</w:t>
        </w:r>
      </w:hyperlink>
    </w:p>
    <w:p w14:paraId="5E472728"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70" w:history="1">
        <w:r w:rsidR="003768CC" w:rsidRPr="00B72F87">
          <w:rPr>
            <w:rStyle w:val="Hyperlink"/>
            <w:noProof/>
          </w:rPr>
          <w:t>5.15</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any planned/scheduled modifications to the electronic voting system, and any required audits and declarations, be completed before candidate nomination closes.</w:t>
        </w:r>
      </w:hyperlink>
    </w:p>
    <w:p w14:paraId="6AB61234"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71" w:history="1">
        <w:r w:rsidR="003768CC" w:rsidRPr="00B72F87">
          <w:rPr>
            <w:rStyle w:val="Hyperlink"/>
            <w:noProof/>
          </w:rPr>
          <w:t>Recommendation 5</w:t>
        </w:r>
      </w:hyperlink>
    </w:p>
    <w:p w14:paraId="65E54B93"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72" w:history="1">
        <w:r w:rsidR="003768CC" w:rsidRPr="00B72F87">
          <w:rPr>
            <w:rStyle w:val="Hyperlink"/>
            <w:noProof/>
          </w:rPr>
          <w:t>5.21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e-voting system incorporate a voter-verifiable paper record, so the voter can check that their vote was recorded as they intended.</w:t>
        </w:r>
      </w:hyperlink>
    </w:p>
    <w:p w14:paraId="28913BD1"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73" w:history="1">
        <w:r w:rsidR="003768CC" w:rsidRPr="00B72F87">
          <w:rPr>
            <w:rStyle w:val="Hyperlink"/>
            <w:noProof/>
          </w:rPr>
          <w:t>Recommendation 6</w:t>
        </w:r>
      </w:hyperlink>
    </w:p>
    <w:p w14:paraId="66B08C9A"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74" w:history="1">
        <w:r w:rsidR="003768CC" w:rsidRPr="00B72F87">
          <w:rPr>
            <w:rStyle w:val="Hyperlink"/>
            <w:noProof/>
          </w:rPr>
          <w:t>5.22</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Electoral Act be amended to require a public audit of randomly selected paper records of electronic votes, to compare each ballot against its electronic record and check for discrepancies.</w:t>
        </w:r>
      </w:hyperlink>
    </w:p>
    <w:p w14:paraId="1E0EDB5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75" w:history="1">
        <w:r w:rsidR="003768CC" w:rsidRPr="00B72F87">
          <w:rPr>
            <w:rStyle w:val="Hyperlink"/>
            <w:noProof/>
          </w:rPr>
          <w:t>Recommendation 7</w:t>
        </w:r>
      </w:hyperlink>
    </w:p>
    <w:p w14:paraId="3B00976E"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76" w:history="1">
        <w:r w:rsidR="003768CC" w:rsidRPr="00B72F87">
          <w:rPr>
            <w:rStyle w:val="Hyperlink"/>
            <w:noProof/>
          </w:rPr>
          <w:t>5.31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assess the benefits and risks of providing an online voting system for overseas voters outside periods of public health emergency, and report to the Assembly by March 2022.</w:t>
        </w:r>
      </w:hyperlink>
    </w:p>
    <w:p w14:paraId="20BE2B1C"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77" w:history="1">
        <w:r w:rsidR="003768CC" w:rsidRPr="00B72F87">
          <w:rPr>
            <w:rStyle w:val="Hyperlink"/>
            <w:noProof/>
          </w:rPr>
          <w:t>Recommendation 8</w:t>
        </w:r>
      </w:hyperlink>
    </w:p>
    <w:p w14:paraId="3A8883F9"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78" w:history="1">
        <w:r w:rsidR="003768CC" w:rsidRPr="00B72F87">
          <w:rPr>
            <w:rStyle w:val="Hyperlink"/>
            <w:noProof/>
          </w:rPr>
          <w:t>5.34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provide the Electoral Commission with assurance of funding for continuous modernisation of ICT systems.</w:t>
        </w:r>
      </w:hyperlink>
    </w:p>
    <w:p w14:paraId="223BC725"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79" w:history="1">
        <w:r w:rsidR="003768CC" w:rsidRPr="00B72F87">
          <w:rPr>
            <w:rStyle w:val="Hyperlink"/>
            <w:noProof/>
          </w:rPr>
          <w:t>Recommendation 9</w:t>
        </w:r>
      </w:hyperlink>
    </w:p>
    <w:p w14:paraId="6A538831"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80" w:history="1">
        <w:r w:rsidR="003768CC" w:rsidRPr="00B72F87">
          <w:rPr>
            <w:rStyle w:val="Hyperlink"/>
            <w:noProof/>
          </w:rPr>
          <w:t>5.48</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terms of the non-disclosure agreement applied to the release of the electronic voting source code be revised to:</w:t>
        </w:r>
      </w:hyperlink>
    </w:p>
    <w:p w14:paraId="219CB105" w14:textId="77777777" w:rsidR="003768CC" w:rsidRDefault="00281336">
      <w:pPr>
        <w:pStyle w:val="TOC3"/>
        <w:tabs>
          <w:tab w:val="left" w:pos="1276"/>
        </w:tabs>
        <w:rPr>
          <w:rFonts w:asciiTheme="minorHAnsi" w:eastAsiaTheme="minorEastAsia" w:hAnsiTheme="minorHAnsi" w:cstheme="minorBidi"/>
          <w:b w:val="0"/>
          <w:iCs w:val="0"/>
          <w:sz w:val="22"/>
        </w:rPr>
      </w:pPr>
      <w:hyperlink w:anchor="_Toc78382481" w:history="1">
        <w:r w:rsidR="003768CC" w:rsidRPr="00B72F87">
          <w:rPr>
            <w:rStyle w:val="Hyperlink"/>
            <w:rFonts w:ascii="Wingdings" w:hAnsi="Wingdings"/>
          </w:rPr>
          <w:t></w:t>
        </w:r>
        <w:r w:rsidR="003768CC">
          <w:rPr>
            <w:rFonts w:asciiTheme="minorHAnsi" w:eastAsiaTheme="minorEastAsia" w:hAnsiTheme="minorHAnsi" w:cstheme="minorBidi"/>
            <w:b w:val="0"/>
            <w:iCs w:val="0"/>
            <w:sz w:val="22"/>
          </w:rPr>
          <w:tab/>
        </w:r>
        <w:r w:rsidR="003768CC" w:rsidRPr="00B72F87">
          <w:rPr>
            <w:rStyle w:val="Hyperlink"/>
          </w:rPr>
          <w:t>apply the 60-day restriction on publication only if the source code is available at least six months before the election, and</w:t>
        </w:r>
      </w:hyperlink>
    </w:p>
    <w:p w14:paraId="133FD1E7" w14:textId="77777777" w:rsidR="003768CC" w:rsidRDefault="00281336">
      <w:pPr>
        <w:pStyle w:val="TOC3"/>
        <w:tabs>
          <w:tab w:val="left" w:pos="1276"/>
        </w:tabs>
        <w:rPr>
          <w:rFonts w:asciiTheme="minorHAnsi" w:eastAsiaTheme="minorEastAsia" w:hAnsiTheme="minorHAnsi" w:cstheme="minorBidi"/>
          <w:b w:val="0"/>
          <w:iCs w:val="0"/>
          <w:sz w:val="22"/>
        </w:rPr>
      </w:pPr>
      <w:hyperlink w:anchor="_Toc78382482" w:history="1">
        <w:r w:rsidR="003768CC" w:rsidRPr="00B72F87">
          <w:rPr>
            <w:rStyle w:val="Hyperlink"/>
            <w:rFonts w:ascii="Wingdings" w:hAnsi="Wingdings"/>
          </w:rPr>
          <w:t></w:t>
        </w:r>
        <w:r w:rsidR="003768CC">
          <w:rPr>
            <w:rFonts w:asciiTheme="minorHAnsi" w:eastAsiaTheme="minorEastAsia" w:hAnsiTheme="minorHAnsi" w:cstheme="minorBidi"/>
            <w:b w:val="0"/>
            <w:iCs w:val="0"/>
            <w:sz w:val="22"/>
          </w:rPr>
          <w:tab/>
        </w:r>
        <w:r w:rsidR="003768CC" w:rsidRPr="00B72F87">
          <w:rPr>
            <w:rStyle w:val="Hyperlink"/>
          </w:rPr>
          <w:t>give explicit assurance that there is no barrier to publication of findings if the conditions of the agreement are met.</w:t>
        </w:r>
      </w:hyperlink>
    </w:p>
    <w:p w14:paraId="12645088"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83" w:history="1">
        <w:r w:rsidR="003768CC" w:rsidRPr="00B72F87">
          <w:rPr>
            <w:rStyle w:val="Hyperlink"/>
            <w:noProof/>
          </w:rPr>
          <w:t>Recommendation 10</w:t>
        </w:r>
      </w:hyperlink>
    </w:p>
    <w:p w14:paraId="2D721B11"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84" w:history="1">
        <w:r w:rsidR="003768CC" w:rsidRPr="00B72F87">
          <w:rPr>
            <w:rStyle w:val="Hyperlink"/>
            <w:noProof/>
          </w:rPr>
          <w:t>5.54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eVACS source code and system documentation be available for inspection at least six months before election day and within seven days of request.</w:t>
        </w:r>
      </w:hyperlink>
    </w:p>
    <w:p w14:paraId="0D8534B8"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85" w:history="1">
        <w:r w:rsidR="003768CC" w:rsidRPr="00B72F87">
          <w:rPr>
            <w:rStyle w:val="Hyperlink"/>
            <w:noProof/>
          </w:rPr>
          <w:t>Recommendation 11</w:t>
        </w:r>
      </w:hyperlink>
    </w:p>
    <w:p w14:paraId="4A442CA4"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86" w:history="1">
        <w:r w:rsidR="003768CC" w:rsidRPr="00B72F87">
          <w:rPr>
            <w:rStyle w:val="Hyperlink"/>
            <w:noProof/>
          </w:rPr>
          <w:t>5.60</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Electoral Act require public release of the electronic voting code and system documentation, and that the scope of this requirement be defined in an instrument under the Act, following consultation with electronic voting experts.</w:t>
        </w:r>
      </w:hyperlink>
    </w:p>
    <w:p w14:paraId="34717974"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87" w:history="1">
        <w:r w:rsidR="003768CC" w:rsidRPr="00B72F87">
          <w:rPr>
            <w:rStyle w:val="Hyperlink"/>
            <w:noProof/>
          </w:rPr>
          <w:t>Recommendation 12</w:t>
        </w:r>
      </w:hyperlink>
    </w:p>
    <w:p w14:paraId="004D23DF" w14:textId="77777777" w:rsidR="003768CC" w:rsidRDefault="00281336">
      <w:pPr>
        <w:pStyle w:val="TOC2"/>
        <w:tabs>
          <w:tab w:val="left" w:pos="992"/>
        </w:tabs>
        <w:rPr>
          <w:rFonts w:asciiTheme="minorHAnsi" w:eastAsiaTheme="minorEastAsia" w:hAnsiTheme="minorHAnsi" w:cstheme="minorBidi"/>
          <w:b w:val="0"/>
          <w:noProof/>
          <w:sz w:val="22"/>
          <w:szCs w:val="22"/>
          <w:lang w:eastAsia="en-AU"/>
        </w:rPr>
      </w:pPr>
      <w:hyperlink w:anchor="_Toc78382488" w:history="1">
        <w:r w:rsidR="003768CC" w:rsidRPr="00B72F87">
          <w:rPr>
            <w:rStyle w:val="Hyperlink"/>
            <w:noProof/>
          </w:rPr>
          <w:t>6.4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require party secretaries to supply name and address to the Electoral Commission.</w:t>
        </w:r>
      </w:hyperlink>
    </w:p>
    <w:p w14:paraId="2A65D57D"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89" w:history="1">
        <w:r w:rsidR="003768CC" w:rsidRPr="00B72F87">
          <w:rPr>
            <w:rStyle w:val="Hyperlink"/>
            <w:noProof/>
          </w:rPr>
          <w:t>Recommendation 13</w:t>
        </w:r>
      </w:hyperlink>
    </w:p>
    <w:p w14:paraId="1FBBEE16" w14:textId="77777777" w:rsidR="003768CC" w:rsidRDefault="00281336">
      <w:pPr>
        <w:pStyle w:val="TOC2"/>
        <w:tabs>
          <w:tab w:val="left" w:pos="992"/>
        </w:tabs>
        <w:rPr>
          <w:rFonts w:asciiTheme="minorHAnsi" w:eastAsiaTheme="minorEastAsia" w:hAnsiTheme="minorHAnsi" w:cstheme="minorBidi"/>
          <w:b w:val="0"/>
          <w:noProof/>
          <w:sz w:val="22"/>
          <w:szCs w:val="22"/>
          <w:lang w:eastAsia="en-AU"/>
        </w:rPr>
      </w:pPr>
      <w:hyperlink w:anchor="_Toc78382490" w:history="1">
        <w:r w:rsidR="003768CC" w:rsidRPr="00B72F87">
          <w:rPr>
            <w:rStyle w:val="Hyperlink"/>
            <w:noProof/>
          </w:rPr>
          <w:t>6.7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require parties to supply dates of birth and email addresses (where available) for purpose of party membership checks.</w:t>
        </w:r>
      </w:hyperlink>
    </w:p>
    <w:p w14:paraId="07A98369"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91" w:history="1">
        <w:r w:rsidR="003768CC" w:rsidRPr="00B72F87">
          <w:rPr>
            <w:rStyle w:val="Hyperlink"/>
            <w:noProof/>
          </w:rPr>
          <w:t>Recommendation 14</w:t>
        </w:r>
      </w:hyperlink>
    </w:p>
    <w:p w14:paraId="0D22F637"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92" w:history="1">
        <w:r w:rsidR="003768CC" w:rsidRPr="00B72F87">
          <w:rPr>
            <w:rStyle w:val="Hyperlink"/>
            <w:noProof/>
          </w:rPr>
          <w:t>6.14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ACT Government raise with Commonwealth, state and territory counterparts the potential for a more rigorous test for party name registration with the aim of preventing voter confusion.</w:t>
        </w:r>
      </w:hyperlink>
    </w:p>
    <w:p w14:paraId="114C4FC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93" w:history="1">
        <w:r w:rsidR="003768CC" w:rsidRPr="00B72F87">
          <w:rPr>
            <w:rStyle w:val="Hyperlink"/>
            <w:noProof/>
          </w:rPr>
          <w:t>Recommendation 15</w:t>
        </w:r>
      </w:hyperlink>
    </w:p>
    <w:p w14:paraId="379C8CA9"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94" w:history="1">
        <w:r w:rsidR="003768CC" w:rsidRPr="00B72F87">
          <w:rPr>
            <w:rStyle w:val="Hyperlink"/>
            <w:noProof/>
          </w:rPr>
          <w:t>6.17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limit the number of candidates that a registered party can run to five per electorate.</w:t>
        </w:r>
      </w:hyperlink>
    </w:p>
    <w:p w14:paraId="0BCCF84E"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95" w:history="1">
        <w:r w:rsidR="003768CC" w:rsidRPr="00B72F87">
          <w:rPr>
            <w:rStyle w:val="Hyperlink"/>
            <w:noProof/>
          </w:rPr>
          <w:t>Recommendation 16</w:t>
        </w:r>
      </w:hyperlink>
    </w:p>
    <w:p w14:paraId="515E71B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96" w:history="1">
        <w:r w:rsidR="003768CC" w:rsidRPr="00B72F87">
          <w:rPr>
            <w:rStyle w:val="Hyperlink"/>
            <w:noProof/>
          </w:rPr>
          <w:t>6.21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provide the Commission an extra 24 hours between formal nomination of candidates and commencement of voting.</w:t>
        </w:r>
      </w:hyperlink>
    </w:p>
    <w:p w14:paraId="2F3C9DB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97" w:history="1">
        <w:r w:rsidR="003768CC" w:rsidRPr="00B72F87">
          <w:rPr>
            <w:rStyle w:val="Hyperlink"/>
            <w:noProof/>
          </w:rPr>
          <w:t>Recommendation 17</w:t>
        </w:r>
      </w:hyperlink>
    </w:p>
    <w:p w14:paraId="437A7BF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498" w:history="1">
        <w:r w:rsidR="003768CC" w:rsidRPr="00B72F87">
          <w:rPr>
            <w:rStyle w:val="Hyperlink"/>
            <w:noProof/>
          </w:rPr>
          <w:t>6.27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commercial premises only be designated as a polling place if the tenancy agreement permits the Electoral Commission to display prominent signage directing people to the venue throughout the voting period.</w:t>
        </w:r>
      </w:hyperlink>
    </w:p>
    <w:p w14:paraId="4CF1DB4A"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499" w:history="1">
        <w:r w:rsidR="003768CC" w:rsidRPr="00B72F87">
          <w:rPr>
            <w:rStyle w:val="Hyperlink"/>
            <w:noProof/>
          </w:rPr>
          <w:t>Recommendation 18</w:t>
        </w:r>
      </w:hyperlink>
    </w:p>
    <w:p w14:paraId="757680B1"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00" w:history="1">
        <w:r w:rsidR="003768CC" w:rsidRPr="00B72F87">
          <w:rPr>
            <w:rStyle w:val="Hyperlink"/>
            <w:noProof/>
          </w:rPr>
          <w:t>6.35</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investigate the feasibility of allowing people who are already on the ACT electoral roll to notify change of address up to 6pm on polling day.</w:t>
        </w:r>
      </w:hyperlink>
    </w:p>
    <w:p w14:paraId="5E340C3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01" w:history="1">
        <w:r w:rsidR="003768CC" w:rsidRPr="00B72F87">
          <w:rPr>
            <w:rStyle w:val="Hyperlink"/>
            <w:noProof/>
          </w:rPr>
          <w:t>Recommendation 19</w:t>
        </w:r>
      </w:hyperlink>
    </w:p>
    <w:p w14:paraId="0DC4CAC9"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02" w:history="1">
        <w:r w:rsidR="003768CC" w:rsidRPr="00B72F87">
          <w:rPr>
            <w:rStyle w:val="Hyperlink"/>
            <w:noProof/>
          </w:rPr>
          <w:t>6.37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expand the definition of ‘eligible elector’ for purpose of telephone voting to include ACT electors based in Antarctica.</w:t>
        </w:r>
      </w:hyperlink>
    </w:p>
    <w:p w14:paraId="51A434B8"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03" w:history="1">
        <w:r w:rsidR="003768CC" w:rsidRPr="00B72F87">
          <w:rPr>
            <w:rStyle w:val="Hyperlink"/>
            <w:noProof/>
          </w:rPr>
          <w:t>Recommendation 20</w:t>
        </w:r>
      </w:hyperlink>
    </w:p>
    <w:p w14:paraId="23875D6C"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04" w:history="1">
        <w:r w:rsidR="003768CC" w:rsidRPr="00B72F87">
          <w:rPr>
            <w:rStyle w:val="Hyperlink"/>
            <w:noProof/>
          </w:rPr>
          <w:t>6.41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ACT Government assess whether Schedule 4 of the Electoral Act should be amended to define ‘surplus’ as ‘the candidate’s total votes less the quota, if the resulting number of votes is greater than zero’.</w:t>
        </w:r>
      </w:hyperlink>
    </w:p>
    <w:p w14:paraId="1B17C54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05" w:history="1">
        <w:r w:rsidR="003768CC" w:rsidRPr="00B72F87">
          <w:rPr>
            <w:rStyle w:val="Hyperlink"/>
            <w:noProof/>
          </w:rPr>
          <w:t>Recommendation 21</w:t>
        </w:r>
      </w:hyperlink>
    </w:p>
    <w:p w14:paraId="79F76AB0"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06" w:history="1">
        <w:r w:rsidR="003768CC" w:rsidRPr="00B72F87">
          <w:rPr>
            <w:rStyle w:val="Hyperlink"/>
            <w:noProof/>
          </w:rPr>
          <w:t>7.15</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current 100 metre exclusion zone for campaigning outside polling places be retained.</w:t>
        </w:r>
      </w:hyperlink>
    </w:p>
    <w:p w14:paraId="23C4C97E"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07" w:history="1">
        <w:r w:rsidR="003768CC" w:rsidRPr="00B72F87">
          <w:rPr>
            <w:rStyle w:val="Hyperlink"/>
            <w:noProof/>
          </w:rPr>
          <w:t>Recommendation 22</w:t>
        </w:r>
      </w:hyperlink>
    </w:p>
    <w:p w14:paraId="4F729B73"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08" w:history="1">
        <w:r w:rsidR="003768CC" w:rsidRPr="00B72F87">
          <w:rPr>
            <w:rStyle w:val="Hyperlink"/>
            <w:noProof/>
          </w:rPr>
          <w:t>7.16</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Electoral Act be amended to prohibit campaigning on election day, in line with the legislative framework in Tasmania.</w:t>
        </w:r>
      </w:hyperlink>
    </w:p>
    <w:p w14:paraId="7AC258D9"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09" w:history="1">
        <w:r w:rsidR="003768CC" w:rsidRPr="00B72F87">
          <w:rPr>
            <w:rStyle w:val="Hyperlink"/>
            <w:noProof/>
          </w:rPr>
          <w:t>Recommendation 23</w:t>
        </w:r>
      </w:hyperlink>
    </w:p>
    <w:p w14:paraId="0CD78761"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10" w:history="1">
        <w:r w:rsidR="003768CC" w:rsidRPr="00B72F87">
          <w:rPr>
            <w:rStyle w:val="Hyperlink"/>
            <w:noProof/>
          </w:rPr>
          <w:t>7.22</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review the legislative powers and resources available to enforce rules on campaigning outside polling places.</w:t>
        </w:r>
      </w:hyperlink>
    </w:p>
    <w:p w14:paraId="4371422B"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11" w:history="1">
        <w:r w:rsidR="003768CC" w:rsidRPr="00B72F87">
          <w:rPr>
            <w:rStyle w:val="Hyperlink"/>
            <w:noProof/>
          </w:rPr>
          <w:t>Recommendation 24</w:t>
        </w:r>
      </w:hyperlink>
    </w:p>
    <w:p w14:paraId="6B0452B8"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12" w:history="1">
        <w:r w:rsidR="003768CC" w:rsidRPr="00B72F87">
          <w:rPr>
            <w:rStyle w:val="Hyperlink"/>
            <w:noProof/>
          </w:rPr>
          <w:t>7.34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prohibit roadside signs for electoral advertising on public land.  If Constitutional or human rights considerations present a barrier to this outcome, the Committee recommends that ACT Government consult with the community and report to the Assembly on the nearest alternative options by March 2022.</w:t>
        </w:r>
      </w:hyperlink>
    </w:p>
    <w:p w14:paraId="1FE65AA7"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13" w:history="1">
        <w:r w:rsidR="003768CC" w:rsidRPr="00B72F87">
          <w:rPr>
            <w:rStyle w:val="Hyperlink"/>
            <w:noProof/>
          </w:rPr>
          <w:t>Recommendation 25</w:t>
        </w:r>
      </w:hyperlink>
    </w:p>
    <w:p w14:paraId="63306B3E"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14" w:history="1">
        <w:r w:rsidR="003768CC" w:rsidRPr="00B72F87">
          <w:rPr>
            <w:rStyle w:val="Hyperlink"/>
            <w:noProof/>
          </w:rPr>
          <w:t>7.39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prohibit the practice of waving electoral signs at the side of the road to attract attention from passing motorists.  If Constitutional or human rights considerations present a barrier to this outcome, the Committee recommends that ACT Government consult with the community and report to the Assembly on the nearest alternative options by March 2022.</w:t>
        </w:r>
      </w:hyperlink>
    </w:p>
    <w:p w14:paraId="538F1AAA"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15" w:history="1">
        <w:r w:rsidR="003768CC" w:rsidRPr="00B72F87">
          <w:rPr>
            <w:rStyle w:val="Hyperlink"/>
            <w:noProof/>
          </w:rPr>
          <w:t>Recommendation 26</w:t>
        </w:r>
      </w:hyperlink>
    </w:p>
    <w:p w14:paraId="33FED03D"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16" w:history="1">
        <w:r w:rsidR="003768CC" w:rsidRPr="00B72F87">
          <w:rPr>
            <w:rStyle w:val="Hyperlink"/>
            <w:noProof/>
          </w:rPr>
          <w:t>7.59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allow candidate statements to be lodged earlier in time, at the point of nomination.</w:t>
        </w:r>
      </w:hyperlink>
    </w:p>
    <w:p w14:paraId="51877DE4"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17" w:history="1">
        <w:r w:rsidR="003768CC" w:rsidRPr="00B72F87">
          <w:rPr>
            <w:rStyle w:val="Hyperlink"/>
            <w:noProof/>
          </w:rPr>
          <w:t>Recommendation 27</w:t>
        </w:r>
      </w:hyperlink>
    </w:p>
    <w:p w14:paraId="55F5637A"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18" w:history="1">
        <w:r w:rsidR="003768CC" w:rsidRPr="00B72F87">
          <w:rPr>
            <w:rStyle w:val="Hyperlink"/>
            <w:noProof/>
          </w:rPr>
          <w:t>7.66</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a legislative instrument be established under s292 of the Electoral Act to clarify how an authorisation statement is to appear on printed material.</w:t>
        </w:r>
      </w:hyperlink>
    </w:p>
    <w:p w14:paraId="41F61C6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19" w:history="1">
        <w:r w:rsidR="003768CC" w:rsidRPr="00B72F87">
          <w:rPr>
            <w:rStyle w:val="Hyperlink"/>
            <w:noProof/>
          </w:rPr>
          <w:t>Recommendation 28</w:t>
        </w:r>
      </w:hyperlink>
    </w:p>
    <w:p w14:paraId="19ABA60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20" w:history="1">
        <w:r w:rsidR="003768CC" w:rsidRPr="00B72F87">
          <w:rPr>
            <w:rStyle w:val="Hyperlink"/>
            <w:noProof/>
          </w:rPr>
          <w:t>7.69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a legislative instrument be established under s292 of the Electoral Act to clarify how an authorisation statement is to appear within social media accounts.</w:t>
        </w:r>
      </w:hyperlink>
    </w:p>
    <w:p w14:paraId="690C5C5D"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21" w:history="1">
        <w:r w:rsidR="003768CC" w:rsidRPr="00B72F87">
          <w:rPr>
            <w:rStyle w:val="Hyperlink"/>
            <w:noProof/>
          </w:rPr>
          <w:t>Recommendation 29</w:t>
        </w:r>
      </w:hyperlink>
    </w:p>
    <w:p w14:paraId="1A403A1F"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22" w:history="1">
        <w:r w:rsidR="003768CC" w:rsidRPr="00B72F87">
          <w:rPr>
            <w:rStyle w:val="Hyperlink"/>
            <w:noProof/>
          </w:rPr>
          <w:t>7.72</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explore options for refining the scope of ‘personal views on social media’ in s293A Electoral Act, to meet the policy intention outlined by the Electoral Commission and avoid unintended consequences; and report to the Assembly by March 2022.</w:t>
        </w:r>
      </w:hyperlink>
    </w:p>
    <w:p w14:paraId="2D02850A"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23" w:history="1">
        <w:r w:rsidR="003768CC" w:rsidRPr="00B72F87">
          <w:rPr>
            <w:rStyle w:val="Hyperlink"/>
            <w:noProof/>
          </w:rPr>
          <w:t>Recommendation 30</w:t>
        </w:r>
      </w:hyperlink>
    </w:p>
    <w:p w14:paraId="54B698F0"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24" w:history="1">
        <w:r w:rsidR="003768CC" w:rsidRPr="00B72F87">
          <w:rPr>
            <w:rStyle w:val="Hyperlink"/>
            <w:noProof/>
          </w:rPr>
          <w:t>7.82</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Commission provide regulatory guidance on how it interprets the definition of ‘electoral matter’ in s4 Electoral Act, and how it enforces the offence of ‘disseminating unauthorised electoral matter’ in s292 Electoral Act, to provide clarity to entities outside the electoral process who may be captured under the provisions.</w:t>
        </w:r>
      </w:hyperlink>
    </w:p>
    <w:p w14:paraId="7C1613E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25" w:history="1">
        <w:r w:rsidR="003768CC" w:rsidRPr="00B72F87">
          <w:rPr>
            <w:rStyle w:val="Hyperlink"/>
            <w:noProof/>
          </w:rPr>
          <w:t>Recommendation 31</w:t>
        </w:r>
      </w:hyperlink>
    </w:p>
    <w:p w14:paraId="7605F076"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26" w:history="1">
        <w:r w:rsidR="003768CC" w:rsidRPr="00B72F87">
          <w:rPr>
            <w:rStyle w:val="Hyperlink"/>
            <w:noProof/>
          </w:rPr>
          <w:t>7.83</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investigate the feasibility of amending the definition of ‘electoral matter’ in s4 of the Electoral Act to align with the equivalent Commonwealth provision.</w:t>
        </w:r>
      </w:hyperlink>
    </w:p>
    <w:p w14:paraId="5CE6C897"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27" w:history="1">
        <w:r w:rsidR="003768CC" w:rsidRPr="00B72F87">
          <w:rPr>
            <w:rStyle w:val="Hyperlink"/>
            <w:noProof/>
          </w:rPr>
          <w:t>Recommendation 32</w:t>
        </w:r>
      </w:hyperlink>
    </w:p>
    <w:p w14:paraId="1CAA2E16"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28" w:history="1">
        <w:r w:rsidR="003768CC" w:rsidRPr="00B72F87">
          <w:rPr>
            <w:rStyle w:val="Hyperlink"/>
            <w:noProof/>
          </w:rPr>
          <w:t>7.86</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Electoral Act be amended to establish the offence of falsely authorising electoral matter, to the extent that such conduct is not already prohibited under section 297.</w:t>
        </w:r>
      </w:hyperlink>
    </w:p>
    <w:p w14:paraId="47B6C4AE"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29" w:history="1">
        <w:r w:rsidR="003768CC" w:rsidRPr="00B72F87">
          <w:rPr>
            <w:rStyle w:val="Hyperlink"/>
            <w:noProof/>
          </w:rPr>
          <w:t>Recommendation 33</w:t>
        </w:r>
      </w:hyperlink>
    </w:p>
    <w:p w14:paraId="49A41403"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30" w:history="1">
        <w:r w:rsidR="003768CC" w:rsidRPr="00B72F87">
          <w:rPr>
            <w:rStyle w:val="Hyperlink"/>
            <w:noProof/>
          </w:rPr>
          <w:t>8.12</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 xml:space="preserve">The Committee recommends that the Electoral Commission provide regulatory guidance to parties and candidates on the interpretation and enforcement of the ban on developer donations under s222I </w:t>
        </w:r>
        <w:r w:rsidR="003768CC" w:rsidRPr="00B72F87">
          <w:rPr>
            <w:rStyle w:val="Hyperlink"/>
            <w:i/>
            <w:iCs/>
            <w:noProof/>
          </w:rPr>
          <w:t>Electoral Act 1992</w:t>
        </w:r>
        <w:r w:rsidR="003768CC" w:rsidRPr="00B72F87">
          <w:rPr>
            <w:rStyle w:val="Hyperlink"/>
            <w:noProof/>
          </w:rPr>
          <w:t>.</w:t>
        </w:r>
      </w:hyperlink>
    </w:p>
    <w:p w14:paraId="36A097E6"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31" w:history="1">
        <w:r w:rsidR="003768CC" w:rsidRPr="00B72F87">
          <w:rPr>
            <w:rStyle w:val="Hyperlink"/>
            <w:noProof/>
          </w:rPr>
          <w:t>Recommendation 34</w:t>
        </w:r>
      </w:hyperlink>
    </w:p>
    <w:p w14:paraId="49F0201B"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32" w:history="1">
        <w:r w:rsidR="003768CC" w:rsidRPr="00B72F87">
          <w:rPr>
            <w:rStyle w:val="Hyperlink"/>
            <w:noProof/>
          </w:rPr>
          <w:t>8.13</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 xml:space="preserve">The Committee recommends ACT Government use the Development Application database to establish and maintain a public register of property developers as defined in s222C </w:t>
        </w:r>
        <w:r w:rsidR="003768CC" w:rsidRPr="00B72F87">
          <w:rPr>
            <w:rStyle w:val="Hyperlink"/>
            <w:i/>
            <w:iCs/>
            <w:noProof/>
          </w:rPr>
          <w:t>Electoral Act 1992</w:t>
        </w:r>
        <w:r w:rsidR="003768CC" w:rsidRPr="00B72F87">
          <w:rPr>
            <w:rStyle w:val="Hyperlink"/>
            <w:noProof/>
          </w:rPr>
          <w:t>.</w:t>
        </w:r>
      </w:hyperlink>
    </w:p>
    <w:p w14:paraId="1C0C859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33" w:history="1">
        <w:r w:rsidR="003768CC" w:rsidRPr="00B72F87">
          <w:rPr>
            <w:rStyle w:val="Hyperlink"/>
            <w:noProof/>
          </w:rPr>
          <w:t>Recommendation 35</w:t>
        </w:r>
      </w:hyperlink>
    </w:p>
    <w:p w14:paraId="276D231C"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34" w:history="1">
        <w:r w:rsidR="003768CC" w:rsidRPr="00B72F87">
          <w:rPr>
            <w:rStyle w:val="Hyperlink"/>
            <w:noProof/>
          </w:rPr>
          <w:t>8.25</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explore options for reinstating the $10,000 cap on political donations, to remove the risk of perception of undue influence of private money in ACT elections; and report to the Assembly by March 2022.</w:t>
        </w:r>
      </w:hyperlink>
    </w:p>
    <w:p w14:paraId="20E8A05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35" w:history="1">
        <w:r w:rsidR="003768CC" w:rsidRPr="00B72F87">
          <w:rPr>
            <w:rStyle w:val="Hyperlink"/>
            <w:noProof/>
          </w:rPr>
          <w:t>Recommendation 36</w:t>
        </w:r>
      </w:hyperlink>
    </w:p>
    <w:p w14:paraId="175B37A4"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36" w:history="1">
        <w:r w:rsidR="003768CC" w:rsidRPr="00B72F87">
          <w:rPr>
            <w:rStyle w:val="Hyperlink"/>
            <w:noProof/>
          </w:rPr>
          <w:t>8.31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explore legislative options for banning political donations from foreign sources, consult with the community, and report to the Assembly on preferred options by March 2022.</w:t>
        </w:r>
      </w:hyperlink>
    </w:p>
    <w:p w14:paraId="21725DDB"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37" w:history="1">
        <w:r w:rsidR="003768CC" w:rsidRPr="00B72F87">
          <w:rPr>
            <w:rStyle w:val="Hyperlink"/>
            <w:noProof/>
          </w:rPr>
          <w:t>Recommendation 37</w:t>
        </w:r>
      </w:hyperlink>
    </w:p>
    <w:p w14:paraId="3B8754C7"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38" w:history="1">
        <w:r w:rsidR="003768CC" w:rsidRPr="00B72F87">
          <w:rPr>
            <w:rStyle w:val="Hyperlink"/>
            <w:noProof/>
          </w:rPr>
          <w:t>8.37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explore options for banning donations from tobacco, liquor and gambling entities and associated industry representative bodies.</w:t>
        </w:r>
      </w:hyperlink>
    </w:p>
    <w:p w14:paraId="51CC354D"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39" w:history="1">
        <w:r w:rsidR="003768CC" w:rsidRPr="00B72F87">
          <w:rPr>
            <w:rStyle w:val="Hyperlink"/>
            <w:noProof/>
          </w:rPr>
          <w:t>Recommendation 38</w:t>
        </w:r>
      </w:hyperlink>
    </w:p>
    <w:p w14:paraId="2225B11A"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40" w:history="1">
        <w:r w:rsidR="003768CC" w:rsidRPr="00B72F87">
          <w:rPr>
            <w:rStyle w:val="Hyperlink"/>
            <w:noProof/>
          </w:rPr>
          <w:t>8.53</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limit the amount of public funding received by a party or candidate to not exceed the amount of electoral expenditure incurred.</w:t>
        </w:r>
      </w:hyperlink>
    </w:p>
    <w:p w14:paraId="1B07FC07"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41" w:history="1">
        <w:r w:rsidR="003768CC" w:rsidRPr="00B72F87">
          <w:rPr>
            <w:rStyle w:val="Hyperlink"/>
            <w:noProof/>
          </w:rPr>
          <w:t>Recommendation 39</w:t>
        </w:r>
      </w:hyperlink>
    </w:p>
    <w:p w14:paraId="1C5C5A4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42" w:history="1">
        <w:r w:rsidR="003768CC" w:rsidRPr="00B72F87">
          <w:rPr>
            <w:rStyle w:val="Hyperlink"/>
            <w:noProof/>
          </w:rPr>
          <w:t>8.60</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Legislative Assembly Standing Committee on Administration and Procedure:</w:t>
        </w:r>
      </w:hyperlink>
    </w:p>
    <w:p w14:paraId="1DFF54EB" w14:textId="77777777" w:rsidR="003768CC" w:rsidRDefault="00281336">
      <w:pPr>
        <w:pStyle w:val="TOC3"/>
        <w:tabs>
          <w:tab w:val="left" w:pos="1276"/>
        </w:tabs>
        <w:rPr>
          <w:rFonts w:asciiTheme="minorHAnsi" w:eastAsiaTheme="minorEastAsia" w:hAnsiTheme="minorHAnsi" w:cstheme="minorBidi"/>
          <w:b w:val="0"/>
          <w:iCs w:val="0"/>
          <w:sz w:val="22"/>
        </w:rPr>
      </w:pPr>
      <w:hyperlink w:anchor="_Toc78382543" w:history="1">
        <w:r w:rsidR="003768CC" w:rsidRPr="00B72F87">
          <w:rPr>
            <w:rStyle w:val="Hyperlink"/>
            <w:rFonts w:ascii="Wingdings" w:hAnsi="Wingdings"/>
          </w:rPr>
          <w:t></w:t>
        </w:r>
        <w:r w:rsidR="003768CC">
          <w:rPr>
            <w:rFonts w:asciiTheme="minorHAnsi" w:eastAsiaTheme="minorEastAsia" w:hAnsiTheme="minorHAnsi" w:cstheme="minorBidi"/>
            <w:b w:val="0"/>
            <w:iCs w:val="0"/>
            <w:sz w:val="22"/>
          </w:rPr>
          <w:tab/>
        </w:r>
        <w:r w:rsidR="003768CC" w:rsidRPr="00B72F87">
          <w:rPr>
            <w:rStyle w:val="Hyperlink"/>
          </w:rPr>
          <w:t>consult with the Electoral Commission on potential opportunities to streamline and remove duplication in reporting requirements for gifts to MLAs,</w:t>
        </w:r>
      </w:hyperlink>
    </w:p>
    <w:p w14:paraId="67698506" w14:textId="77777777" w:rsidR="003768CC" w:rsidRDefault="00281336">
      <w:pPr>
        <w:pStyle w:val="TOC3"/>
        <w:tabs>
          <w:tab w:val="left" w:pos="1276"/>
        </w:tabs>
        <w:rPr>
          <w:rFonts w:asciiTheme="minorHAnsi" w:eastAsiaTheme="minorEastAsia" w:hAnsiTheme="minorHAnsi" w:cstheme="minorBidi"/>
          <w:b w:val="0"/>
          <w:iCs w:val="0"/>
          <w:sz w:val="22"/>
        </w:rPr>
      </w:pPr>
      <w:hyperlink w:anchor="_Toc78382544" w:history="1">
        <w:r w:rsidR="003768CC" w:rsidRPr="00B72F87">
          <w:rPr>
            <w:rStyle w:val="Hyperlink"/>
            <w:rFonts w:ascii="Wingdings" w:hAnsi="Wingdings"/>
          </w:rPr>
          <w:t></w:t>
        </w:r>
        <w:r w:rsidR="003768CC">
          <w:rPr>
            <w:rFonts w:asciiTheme="minorHAnsi" w:eastAsiaTheme="minorEastAsia" w:hAnsiTheme="minorHAnsi" w:cstheme="minorBidi"/>
            <w:b w:val="0"/>
            <w:iCs w:val="0"/>
            <w:sz w:val="22"/>
          </w:rPr>
          <w:tab/>
        </w:r>
        <w:r w:rsidR="003768CC" w:rsidRPr="00B72F87">
          <w:rPr>
            <w:rStyle w:val="Hyperlink"/>
          </w:rPr>
          <w:t>pursue any identified amendments to the ‘statement of registerable interests’ under Continuing Resolution 6 of Standing Orders, and</w:t>
        </w:r>
      </w:hyperlink>
    </w:p>
    <w:p w14:paraId="56212639" w14:textId="77777777" w:rsidR="003768CC" w:rsidRDefault="00281336">
      <w:pPr>
        <w:pStyle w:val="TOC3"/>
        <w:tabs>
          <w:tab w:val="left" w:pos="1276"/>
        </w:tabs>
        <w:rPr>
          <w:rFonts w:asciiTheme="minorHAnsi" w:eastAsiaTheme="minorEastAsia" w:hAnsiTheme="minorHAnsi" w:cstheme="minorBidi"/>
          <w:b w:val="0"/>
          <w:iCs w:val="0"/>
          <w:sz w:val="22"/>
        </w:rPr>
      </w:pPr>
      <w:hyperlink w:anchor="_Toc78382545" w:history="1">
        <w:r w:rsidR="003768CC" w:rsidRPr="00B72F87">
          <w:rPr>
            <w:rStyle w:val="Hyperlink"/>
            <w:rFonts w:ascii="Wingdings" w:hAnsi="Wingdings"/>
          </w:rPr>
          <w:t></w:t>
        </w:r>
        <w:r w:rsidR="003768CC">
          <w:rPr>
            <w:rFonts w:asciiTheme="minorHAnsi" w:eastAsiaTheme="minorEastAsia" w:hAnsiTheme="minorHAnsi" w:cstheme="minorBidi"/>
            <w:b w:val="0"/>
            <w:iCs w:val="0"/>
            <w:sz w:val="22"/>
          </w:rPr>
          <w:tab/>
        </w:r>
        <w:r w:rsidR="003768CC" w:rsidRPr="00B72F87">
          <w:rPr>
            <w:rStyle w:val="Hyperlink"/>
          </w:rPr>
          <w:t>publicly report any recommendations for amendment to the Electoral Act, for consideration by JACS Committee and ACT Government.</w:t>
        </w:r>
      </w:hyperlink>
    </w:p>
    <w:p w14:paraId="50C439E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46" w:history="1">
        <w:r w:rsidR="003768CC" w:rsidRPr="00B72F87">
          <w:rPr>
            <w:rStyle w:val="Hyperlink"/>
            <w:noProof/>
          </w:rPr>
          <w:t>Recommendation 40</w:t>
        </w:r>
      </w:hyperlink>
    </w:p>
    <w:p w14:paraId="12EDA9DC"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47" w:history="1">
        <w:r w:rsidR="003768CC" w:rsidRPr="00B72F87">
          <w:rPr>
            <w:rStyle w:val="Hyperlink"/>
            <w:noProof/>
          </w:rPr>
          <w:t>8.63</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provision be made in the Electoral Act to allow for an 'Alternate Reporting Agent', to assist with reporting duties in peak times.</w:t>
        </w:r>
      </w:hyperlink>
    </w:p>
    <w:p w14:paraId="429A2215"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48" w:history="1">
        <w:r w:rsidR="003768CC" w:rsidRPr="00B72F87">
          <w:rPr>
            <w:rStyle w:val="Hyperlink"/>
            <w:noProof/>
          </w:rPr>
          <w:t>Recommendation 41</w:t>
        </w:r>
      </w:hyperlink>
    </w:p>
    <w:p w14:paraId="2E1A4C35"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49" w:history="1">
        <w:r w:rsidR="003768CC" w:rsidRPr="00B72F87">
          <w:rPr>
            <w:rStyle w:val="Hyperlink"/>
            <w:noProof/>
          </w:rPr>
          <w:t>8.66</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Commission minimise the conduct of past-year audits within the 7-day reporting period leading up to an election.</w:t>
        </w:r>
      </w:hyperlink>
    </w:p>
    <w:p w14:paraId="41EA5928"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50" w:history="1">
        <w:r w:rsidR="003768CC" w:rsidRPr="00B72F87">
          <w:rPr>
            <w:rStyle w:val="Hyperlink"/>
            <w:noProof/>
          </w:rPr>
          <w:t>Recommendation 42</w:t>
        </w:r>
      </w:hyperlink>
    </w:p>
    <w:p w14:paraId="566B2D7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51" w:history="1">
        <w:r w:rsidR="003768CC" w:rsidRPr="00B72F87">
          <w:rPr>
            <w:rStyle w:val="Hyperlink"/>
            <w:noProof/>
          </w:rPr>
          <w:t>8.68</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extend the timeframe for reporting electoral expenditure from seven days to 21 days.</w:t>
        </w:r>
      </w:hyperlink>
    </w:p>
    <w:p w14:paraId="68BB470D"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52" w:history="1">
        <w:r w:rsidR="003768CC" w:rsidRPr="00B72F87">
          <w:rPr>
            <w:rStyle w:val="Hyperlink"/>
            <w:noProof/>
          </w:rPr>
          <w:t>Recommendation 43</w:t>
        </w:r>
      </w:hyperlink>
    </w:p>
    <w:p w14:paraId="73A1B95A"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53" w:history="1">
        <w:r w:rsidR="003768CC" w:rsidRPr="00B72F87">
          <w:rPr>
            <w:rStyle w:val="Hyperlink"/>
            <w:noProof/>
          </w:rPr>
          <w:t>8.79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ACT Government consider the feasibility of amending s198 Electoral Act to incorporate ‘related political parties’ for the purpose of electoral expenditure cap calculations.</w:t>
        </w:r>
      </w:hyperlink>
    </w:p>
    <w:p w14:paraId="1E50A6A9"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54" w:history="1">
        <w:r w:rsidR="003768CC" w:rsidRPr="00B72F87">
          <w:rPr>
            <w:rStyle w:val="Hyperlink"/>
            <w:noProof/>
          </w:rPr>
          <w:t>Recommendation 44</w:t>
        </w:r>
      </w:hyperlink>
    </w:p>
    <w:p w14:paraId="171669B4"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55" w:history="1">
        <w:r w:rsidR="003768CC" w:rsidRPr="00B72F87">
          <w:rPr>
            <w:rStyle w:val="Hyperlink"/>
            <w:noProof/>
          </w:rPr>
          <w:t>8.89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ACT Government re-establish a legislative prohibition on third party campaigners acting in concert with others, in terms that comply with recent High Court judgments.</w:t>
        </w:r>
      </w:hyperlink>
    </w:p>
    <w:p w14:paraId="51E1DCBB"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56" w:history="1">
        <w:r w:rsidR="003768CC" w:rsidRPr="00B72F87">
          <w:rPr>
            <w:rStyle w:val="Hyperlink"/>
            <w:noProof/>
          </w:rPr>
          <w:t>Recommendation 45</w:t>
        </w:r>
      </w:hyperlink>
    </w:p>
    <w:p w14:paraId="60DDD091"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57" w:history="1">
        <w:r w:rsidR="003768CC" w:rsidRPr="00B72F87">
          <w:rPr>
            <w:rStyle w:val="Hyperlink"/>
            <w:noProof/>
          </w:rPr>
          <w:t>9.19</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permanently reintroduce supporting legislation for telephone voting for voters with disability.</w:t>
        </w:r>
      </w:hyperlink>
    </w:p>
    <w:p w14:paraId="3897345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58" w:history="1">
        <w:r w:rsidR="003768CC" w:rsidRPr="00B72F87">
          <w:rPr>
            <w:rStyle w:val="Hyperlink"/>
            <w:noProof/>
          </w:rPr>
          <w:t>Recommendation 46</w:t>
        </w:r>
      </w:hyperlink>
    </w:p>
    <w:p w14:paraId="1BBF3257"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59" w:history="1">
        <w:r w:rsidR="003768CC" w:rsidRPr="00B72F87">
          <w:rPr>
            <w:rStyle w:val="Hyperlink"/>
            <w:noProof/>
          </w:rPr>
          <w:t>9.26</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the Electoral Act be amended to allow mobile polling to be conducted at locations across the ACT where people experiencing homeless gather to access government services and community support.</w:t>
        </w:r>
      </w:hyperlink>
    </w:p>
    <w:p w14:paraId="10FAF373"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60" w:history="1">
        <w:r w:rsidR="003768CC" w:rsidRPr="00B72F87">
          <w:rPr>
            <w:rStyle w:val="Hyperlink"/>
            <w:noProof/>
          </w:rPr>
          <w:t>Recommendation 47</w:t>
        </w:r>
      </w:hyperlink>
    </w:p>
    <w:p w14:paraId="065A2CF7"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61" w:history="1">
        <w:r w:rsidR="003768CC" w:rsidRPr="00B72F87">
          <w:rPr>
            <w:rStyle w:val="Hyperlink"/>
            <w:noProof/>
          </w:rPr>
          <w:t>9.31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investigate options for a process whereby parties and candidates can submit electoral material for distribution to detainees at Alexander Maconochie Centre.</w:t>
        </w:r>
      </w:hyperlink>
    </w:p>
    <w:p w14:paraId="4C7BBD52"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62" w:history="1">
        <w:r w:rsidR="003768CC" w:rsidRPr="00B72F87">
          <w:rPr>
            <w:rStyle w:val="Hyperlink"/>
            <w:noProof/>
          </w:rPr>
          <w:t>Recommendation 48</w:t>
        </w:r>
      </w:hyperlink>
    </w:p>
    <w:p w14:paraId="421AD878"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63" w:history="1">
        <w:r w:rsidR="003768CC" w:rsidRPr="00B72F87">
          <w:rPr>
            <w:rStyle w:val="Hyperlink"/>
            <w:noProof/>
          </w:rPr>
          <w:t>9.34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voting instructions in multiple languages be provided to voters using either electronic voting or paper ballots in future elections.</w:t>
        </w:r>
      </w:hyperlink>
    </w:p>
    <w:p w14:paraId="1AEF39BB"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64" w:history="1">
        <w:r w:rsidR="003768CC" w:rsidRPr="00B72F87">
          <w:rPr>
            <w:rStyle w:val="Hyperlink"/>
            <w:noProof/>
          </w:rPr>
          <w:t>Recommendation 49</w:t>
        </w:r>
      </w:hyperlink>
    </w:p>
    <w:p w14:paraId="66866F0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65" w:history="1">
        <w:r w:rsidR="003768CC" w:rsidRPr="00B72F87">
          <w:rPr>
            <w:rStyle w:val="Hyperlink"/>
            <w:noProof/>
          </w:rPr>
          <w:t>10.27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the voting age be retained at age 18 years.</w:t>
        </w:r>
      </w:hyperlink>
    </w:p>
    <w:p w14:paraId="4E5D82C8"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66" w:history="1">
        <w:r w:rsidR="003768CC" w:rsidRPr="00B72F87">
          <w:rPr>
            <w:rStyle w:val="Hyperlink"/>
            <w:noProof/>
          </w:rPr>
          <w:t>Recommendation 50</w:t>
        </w:r>
      </w:hyperlink>
    </w:p>
    <w:p w14:paraId="746F1170"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67" w:history="1">
        <w:r w:rsidR="003768CC" w:rsidRPr="00B72F87">
          <w:rPr>
            <w:rStyle w:val="Hyperlink"/>
            <w:noProof/>
          </w:rPr>
          <w:t>11.4</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consider increased staffing resources for the Electoral Commission commensurate with the increase in legislative functions in recent years.</w:t>
        </w:r>
      </w:hyperlink>
    </w:p>
    <w:p w14:paraId="63FCED45"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68" w:history="1">
        <w:r w:rsidR="003768CC" w:rsidRPr="00B72F87">
          <w:rPr>
            <w:rStyle w:val="Hyperlink"/>
            <w:noProof/>
          </w:rPr>
          <w:t>Recommendation 51</w:t>
        </w:r>
      </w:hyperlink>
    </w:p>
    <w:p w14:paraId="79276C5F"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69" w:history="1">
        <w:r w:rsidR="003768CC" w:rsidRPr="00B72F87">
          <w:rPr>
            <w:rStyle w:val="Hyperlink"/>
            <w:noProof/>
          </w:rPr>
          <w:t>11.7</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review the accommodation provided to the Electoral Commission to assess suitability for their needs.</w:t>
        </w:r>
      </w:hyperlink>
    </w:p>
    <w:p w14:paraId="78755F76" w14:textId="77777777" w:rsidR="003768CC" w:rsidRDefault="00281336">
      <w:pPr>
        <w:pStyle w:val="TOC1"/>
        <w:rPr>
          <w:rFonts w:asciiTheme="minorHAnsi" w:eastAsiaTheme="minorEastAsia" w:hAnsiTheme="minorHAnsi" w:cstheme="minorBidi"/>
          <w:b w:val="0"/>
          <w:bCs w:val="0"/>
          <w:smallCaps w:val="0"/>
          <w:noProof/>
          <w:spacing w:val="0"/>
          <w:sz w:val="22"/>
          <w:szCs w:val="22"/>
          <w:lang w:eastAsia="en-AU"/>
        </w:rPr>
      </w:pPr>
      <w:hyperlink w:anchor="_Toc78382570" w:history="1">
        <w:r w:rsidR="003768CC" w:rsidRPr="00B72F87">
          <w:rPr>
            <w:rStyle w:val="Hyperlink"/>
            <w:noProof/>
          </w:rPr>
          <w:t>Recommendation 52</w:t>
        </w:r>
      </w:hyperlink>
    </w:p>
    <w:p w14:paraId="49DC21E2" w14:textId="77777777" w:rsidR="003768CC" w:rsidRDefault="00281336">
      <w:pPr>
        <w:pStyle w:val="TOC2"/>
        <w:tabs>
          <w:tab w:val="left" w:pos="1276"/>
        </w:tabs>
        <w:rPr>
          <w:rFonts w:asciiTheme="minorHAnsi" w:eastAsiaTheme="minorEastAsia" w:hAnsiTheme="minorHAnsi" w:cstheme="minorBidi"/>
          <w:b w:val="0"/>
          <w:noProof/>
          <w:sz w:val="22"/>
          <w:szCs w:val="22"/>
          <w:lang w:eastAsia="en-AU"/>
        </w:rPr>
      </w:pPr>
      <w:hyperlink w:anchor="_Toc78382571" w:history="1">
        <w:r w:rsidR="003768CC" w:rsidRPr="00B72F87">
          <w:rPr>
            <w:rStyle w:val="Hyperlink"/>
            <w:noProof/>
          </w:rPr>
          <w:t>11.11</w:t>
        </w:r>
        <w:r w:rsidR="003768CC">
          <w:rPr>
            <w:rFonts w:asciiTheme="minorHAnsi" w:eastAsiaTheme="minorEastAsia" w:hAnsiTheme="minorHAnsi" w:cstheme="minorBidi"/>
            <w:b w:val="0"/>
            <w:noProof/>
            <w:sz w:val="22"/>
            <w:szCs w:val="22"/>
            <w:lang w:eastAsia="en-AU"/>
          </w:rPr>
          <w:tab/>
        </w:r>
        <w:r w:rsidR="003768CC" w:rsidRPr="00B72F87">
          <w:rPr>
            <w:rStyle w:val="Hyperlink"/>
            <w:noProof/>
          </w:rPr>
          <w:t>The Committee recommends that ACT Government review their consultative processes, and identify opportunities to engage with the Electoral Commission early in the development of proposed amendments to the Electoral Act 1992.</w:t>
        </w:r>
      </w:hyperlink>
    </w:p>
    <w:p w14:paraId="19F11468" w14:textId="77777777" w:rsidR="002A2E7F" w:rsidRDefault="002A2E7F" w:rsidP="00974481">
      <w:pPr>
        <w:pStyle w:val="Heading2"/>
        <w:numPr>
          <w:ilvl w:val="0"/>
          <w:numId w:val="0"/>
        </w:numPr>
        <w:ind w:left="567" w:hanging="567"/>
        <w:sectPr w:rsidR="002A2E7F" w:rsidSect="002A2E7F">
          <w:footerReference w:type="default" r:id="rId16"/>
          <w:type w:val="oddPage"/>
          <w:pgSz w:w="11907" w:h="16840" w:code="9"/>
          <w:pgMar w:top="1588" w:right="1418" w:bottom="1418" w:left="1418" w:header="720" w:footer="851" w:gutter="0"/>
          <w:pgNumType w:fmt="lowerRoman"/>
          <w:cols w:space="720"/>
          <w:docGrid w:linePitch="360"/>
        </w:sectPr>
      </w:pPr>
    </w:p>
    <w:p w14:paraId="73C6C3D3" w14:textId="3AA43AE7" w:rsidR="00111850" w:rsidRDefault="00BE235D" w:rsidP="00974481">
      <w:pPr>
        <w:pStyle w:val="Heading2"/>
        <w:numPr>
          <w:ilvl w:val="0"/>
          <w:numId w:val="0"/>
        </w:numPr>
        <w:ind w:left="567" w:hanging="567"/>
      </w:pPr>
      <w:r>
        <w:lastRenderedPageBreak/>
        <w:fldChar w:fldCharType="end"/>
      </w:r>
      <w:bookmarkStart w:id="36" w:name="_Toc78535729"/>
      <w:r w:rsidR="00AE4B7C" w:rsidRPr="002A2E7F">
        <w:rPr>
          <w:b/>
          <w:bCs w:val="0"/>
        </w:rPr>
        <w:t>1</w:t>
      </w:r>
      <w:r w:rsidR="00AE4B7C">
        <w:t xml:space="preserve"> </w:t>
      </w:r>
      <w:r w:rsidR="00136DB8">
        <w:t xml:space="preserve"> </w:t>
      </w:r>
      <w:r w:rsidR="00B83DF6">
        <w:t>Introduction</w:t>
      </w:r>
      <w:bookmarkEnd w:id="36"/>
    </w:p>
    <w:p w14:paraId="2C23C9C8" w14:textId="0DADC9B0" w:rsidR="00195C0C" w:rsidRDefault="00117ABC" w:rsidP="00195C0C">
      <w:pPr>
        <w:pStyle w:val="BodyText"/>
      </w:pPr>
      <w:r>
        <w:t xml:space="preserve">On </w:t>
      </w:r>
      <w:r w:rsidR="00B97458">
        <w:t>2</w:t>
      </w:r>
      <w:r>
        <w:t xml:space="preserve"> December 2020 the Assembly </w:t>
      </w:r>
      <w:r w:rsidR="00B97458">
        <w:t>passed a resolution requiring</w:t>
      </w:r>
      <w:r>
        <w:t xml:space="preserve"> t</w:t>
      </w:r>
      <w:r w:rsidR="00FF5B9B">
        <w:t xml:space="preserve">he Standing Committee on Justice and Community Safety to inquire and report on </w:t>
      </w:r>
      <w:r w:rsidR="00B97458">
        <w:t xml:space="preserve">the 2020 Election and the Electoral Act. </w:t>
      </w:r>
    </w:p>
    <w:p w14:paraId="38D22747" w14:textId="3C01CD0A" w:rsidR="00B0702E" w:rsidRDefault="00195C0C" w:rsidP="00195C0C">
      <w:pPr>
        <w:pStyle w:val="Heading3"/>
      </w:pPr>
      <w:bookmarkStart w:id="37" w:name="_Toc78535730"/>
      <w:r>
        <w:t>Conduct of the Inquiry</w:t>
      </w:r>
      <w:bookmarkEnd w:id="37"/>
      <w:r>
        <w:t xml:space="preserve"> </w:t>
      </w:r>
    </w:p>
    <w:p w14:paraId="6609310E" w14:textId="73F43451" w:rsidR="00117ABC" w:rsidRDefault="00117ABC" w:rsidP="00FF5B9B">
      <w:pPr>
        <w:pStyle w:val="BodyText"/>
      </w:pPr>
      <w:r>
        <w:t xml:space="preserve">On </w:t>
      </w:r>
      <w:r w:rsidR="00B97458">
        <w:t>1 February 2021</w:t>
      </w:r>
      <w:r>
        <w:t xml:space="preserve"> the Committee published a media release inviting public submissions by </w:t>
      </w:r>
      <w:r w:rsidR="00B97458">
        <w:t>7 April 2021</w:t>
      </w:r>
      <w:r>
        <w:t xml:space="preserve">.  The inquiry was publicised </w:t>
      </w:r>
      <w:r w:rsidR="00B97458">
        <w:t>through</w:t>
      </w:r>
      <w:r>
        <w:t xml:space="preserve"> social media</w:t>
      </w:r>
      <w:r w:rsidR="00B97458">
        <w:t>, and direct emails to stakeholders</w:t>
      </w:r>
      <w:r>
        <w:t xml:space="preserve">. </w:t>
      </w:r>
    </w:p>
    <w:p w14:paraId="31039FC1" w14:textId="16FFD355" w:rsidR="00FF5B9B" w:rsidRDefault="00117ABC" w:rsidP="00FF5B9B">
      <w:pPr>
        <w:pStyle w:val="BodyText"/>
      </w:pPr>
      <w:r>
        <w:t xml:space="preserve">The closing date was extended to </w:t>
      </w:r>
      <w:r w:rsidR="00B97458">
        <w:t>30 April 2021</w:t>
      </w:r>
      <w:r>
        <w:t xml:space="preserve"> when it became apparent that some major stakeholders required further time. </w:t>
      </w:r>
    </w:p>
    <w:bookmarkStart w:id="38" w:name="_Hlk75541803"/>
    <w:p w14:paraId="40E1A63D" w14:textId="177DCBC5" w:rsidR="00117ABC" w:rsidRDefault="00B97458" w:rsidP="00FF5B9B">
      <w:pPr>
        <w:pStyle w:val="BodyText"/>
      </w:pPr>
      <w:r>
        <w:fldChar w:fldCharType="begin"/>
      </w:r>
      <w:r>
        <w:instrText xml:space="preserve"> HYPERLINK "https://www.parliament.act.gov.au/parliamentary-business/in-committees/committees/jcs/inquiry-into-2020-act-election-and-the-electoral-act" \l "tab1695217-2id" </w:instrText>
      </w:r>
      <w:r>
        <w:fldChar w:fldCharType="separate"/>
      </w:r>
      <w:r w:rsidRPr="00B97458">
        <w:rPr>
          <w:rStyle w:val="Hyperlink"/>
        </w:rPr>
        <w:t>29</w:t>
      </w:r>
      <w:r w:rsidR="00117ABC" w:rsidRPr="00B97458">
        <w:rPr>
          <w:rStyle w:val="Hyperlink"/>
        </w:rPr>
        <w:t xml:space="preserve"> submissions</w:t>
      </w:r>
      <w:r>
        <w:fldChar w:fldCharType="end"/>
      </w:r>
      <w:bookmarkEnd w:id="38"/>
      <w:r w:rsidR="00625207">
        <w:rPr>
          <w:rStyle w:val="FootnoteReference"/>
        </w:rPr>
        <w:footnoteReference w:id="5"/>
      </w:r>
      <w:r w:rsidR="00117ABC">
        <w:t xml:space="preserve"> are published on the inquiry webpage and </w:t>
      </w:r>
      <w:r>
        <w:t xml:space="preserve">listed </w:t>
      </w:r>
      <w:r w:rsidR="00117ABC">
        <w:t xml:space="preserve">at </w:t>
      </w:r>
      <w:r w:rsidR="00117ABC" w:rsidRPr="00B97458">
        <w:rPr>
          <w:u w:val="single"/>
        </w:rPr>
        <w:t xml:space="preserve">Attachment </w:t>
      </w:r>
      <w:r w:rsidRPr="00B97458">
        <w:rPr>
          <w:u w:val="single"/>
        </w:rPr>
        <w:t>B</w:t>
      </w:r>
      <w:r w:rsidR="00117ABC">
        <w:t xml:space="preserve">. </w:t>
      </w:r>
    </w:p>
    <w:p w14:paraId="5CFAC1E9" w14:textId="427AD4C7" w:rsidR="00625207" w:rsidRDefault="00117ABC" w:rsidP="00CC1741">
      <w:pPr>
        <w:pStyle w:val="BodyText"/>
      </w:pPr>
      <w:r>
        <w:t xml:space="preserve">Public hearings were held on 19 May 2021 and 26 May 2021.  </w:t>
      </w:r>
      <w:r w:rsidR="0075659A">
        <w:t xml:space="preserve">Witnesses who appeared before the Committee are listed at </w:t>
      </w:r>
      <w:r w:rsidR="0075659A" w:rsidRPr="00625207">
        <w:rPr>
          <w:u w:val="single"/>
        </w:rPr>
        <w:t>Appendix A</w:t>
      </w:r>
      <w:r w:rsidR="0075659A">
        <w:t>.</w:t>
      </w:r>
      <w:r w:rsidR="00625207">
        <w:t xml:space="preserve"> </w:t>
      </w:r>
      <w:r w:rsidR="0075659A">
        <w:t xml:space="preserve"> Transcripts from </w:t>
      </w:r>
      <w:hyperlink r:id="rId17" w:history="1">
        <w:r w:rsidR="0075659A" w:rsidRPr="00625207">
          <w:rPr>
            <w:rStyle w:val="Hyperlink"/>
          </w:rPr>
          <w:t>day one</w:t>
        </w:r>
      </w:hyperlink>
      <w:r w:rsidR="00625207">
        <w:rPr>
          <w:rStyle w:val="FootnoteReference"/>
        </w:rPr>
        <w:footnoteReference w:id="6"/>
      </w:r>
      <w:r w:rsidR="0075659A">
        <w:t xml:space="preserve"> and </w:t>
      </w:r>
      <w:hyperlink r:id="rId18" w:history="1">
        <w:r w:rsidR="0075659A" w:rsidRPr="00625207">
          <w:rPr>
            <w:rStyle w:val="Hyperlink"/>
          </w:rPr>
          <w:t>day two</w:t>
        </w:r>
      </w:hyperlink>
      <w:r w:rsidR="00625207">
        <w:rPr>
          <w:rStyle w:val="FootnoteReference"/>
        </w:rPr>
        <w:footnoteReference w:id="7"/>
      </w:r>
      <w:r w:rsidR="0075659A">
        <w:t xml:space="preserve"> of the hearings are available on the Assembly website. </w:t>
      </w:r>
      <w:r w:rsidR="00625207">
        <w:t xml:space="preserve"> </w:t>
      </w:r>
      <w:r w:rsidR="00A2604C">
        <w:t>Video recording</w:t>
      </w:r>
      <w:r w:rsidR="0075659A">
        <w:t xml:space="preserve"> of the hearings (</w:t>
      </w:r>
      <w:hyperlink r:id="rId19" w:history="1">
        <w:r w:rsidR="00625207">
          <w:rPr>
            <w:rStyle w:val="Hyperlink"/>
          </w:rPr>
          <w:t>d</w:t>
        </w:r>
        <w:r w:rsidR="0075659A" w:rsidRPr="00625207">
          <w:rPr>
            <w:rStyle w:val="Hyperlink"/>
          </w:rPr>
          <w:t>ay 1</w:t>
        </w:r>
      </w:hyperlink>
      <w:r w:rsidR="00625207">
        <w:rPr>
          <w:rStyle w:val="FootnoteReference"/>
        </w:rPr>
        <w:footnoteReference w:id="8"/>
      </w:r>
      <w:r w:rsidR="0075659A">
        <w:t xml:space="preserve"> </w:t>
      </w:r>
      <w:r w:rsidR="00625207">
        <w:t xml:space="preserve">and </w:t>
      </w:r>
      <w:hyperlink r:id="rId20" w:history="1">
        <w:r w:rsidR="00625207" w:rsidRPr="00625207">
          <w:rPr>
            <w:rStyle w:val="Hyperlink"/>
          </w:rPr>
          <w:t>d</w:t>
        </w:r>
        <w:r w:rsidR="0075659A" w:rsidRPr="00625207">
          <w:rPr>
            <w:rStyle w:val="Hyperlink"/>
          </w:rPr>
          <w:t xml:space="preserve">ay </w:t>
        </w:r>
        <w:r w:rsidR="00625207" w:rsidRPr="00625207">
          <w:rPr>
            <w:rStyle w:val="Hyperlink"/>
          </w:rPr>
          <w:t>2</w:t>
        </w:r>
      </w:hyperlink>
      <w:r w:rsidR="00625207">
        <w:rPr>
          <w:rStyle w:val="FootnoteReference"/>
        </w:rPr>
        <w:footnoteReference w:id="9"/>
      </w:r>
      <w:r w:rsidR="0075659A">
        <w:t>) is available via video on demand on the Legislative Assembly website.</w:t>
      </w:r>
    </w:p>
    <w:p w14:paraId="4F85FCA9" w14:textId="20DE1030" w:rsidR="0075659A" w:rsidRDefault="00625207" w:rsidP="00CC1741">
      <w:pPr>
        <w:pStyle w:val="BodyText"/>
      </w:pPr>
      <w:r>
        <w:t xml:space="preserve">This </w:t>
      </w:r>
      <w:r w:rsidR="0075659A">
        <w:t>inquiry took place during the COVID-19 pandemic; therefore, hearings were conducted under COVID-Safe arrangements, with limits on the numbers of people at the hearing table and in the public gallery.</w:t>
      </w:r>
    </w:p>
    <w:p w14:paraId="021FCD58" w14:textId="0B33A022" w:rsidR="00625207" w:rsidRDefault="00625207" w:rsidP="00CC1741">
      <w:pPr>
        <w:pStyle w:val="BodyText"/>
      </w:pPr>
      <w:r>
        <w:t xml:space="preserve">Five questions were taken on notice during the hearings.  The </w:t>
      </w:r>
      <w:hyperlink r:id="rId21" w:anchor="tab1695217-8id" w:history="1">
        <w:r w:rsidRPr="00A44C20">
          <w:rPr>
            <w:rStyle w:val="Hyperlink"/>
          </w:rPr>
          <w:t>answers to questions</w:t>
        </w:r>
      </w:hyperlink>
      <w:r>
        <w:rPr>
          <w:rStyle w:val="FootnoteReference"/>
        </w:rPr>
        <w:footnoteReference w:id="10"/>
      </w:r>
      <w:r>
        <w:t xml:space="preserve"> are listed at </w:t>
      </w:r>
      <w:r w:rsidRPr="00625207">
        <w:rPr>
          <w:u w:val="single"/>
        </w:rPr>
        <w:t>Appendix C</w:t>
      </w:r>
      <w:r>
        <w:t>, and available on the inquiry webpage.</w:t>
      </w:r>
    </w:p>
    <w:p w14:paraId="13540147" w14:textId="40D0AF4D" w:rsidR="00FF5B9B" w:rsidRDefault="00FF5B9B" w:rsidP="00117ABC">
      <w:pPr>
        <w:pStyle w:val="Heading3"/>
      </w:pPr>
      <w:bookmarkStart w:id="39" w:name="_Toc78535731"/>
      <w:r>
        <w:t>Structure of the Report</w:t>
      </w:r>
      <w:bookmarkEnd w:id="39"/>
    </w:p>
    <w:p w14:paraId="20E1ED99" w14:textId="68F5F7C1" w:rsidR="00FF5B9B" w:rsidRDefault="00AE4B7C" w:rsidP="00FF5B9B">
      <w:pPr>
        <w:pStyle w:val="BodyText"/>
      </w:pPr>
      <w:r>
        <w:t xml:space="preserve">Chapter 2 provides an </w:t>
      </w:r>
      <w:r w:rsidRPr="003236E3">
        <w:rPr>
          <w:b/>
          <w:bCs/>
        </w:rPr>
        <w:t>overview</w:t>
      </w:r>
      <w:r>
        <w:t xml:space="preserve"> of the 2020 </w:t>
      </w:r>
      <w:proofErr w:type="gramStart"/>
      <w:r>
        <w:t>election, and</w:t>
      </w:r>
      <w:proofErr w:type="gramEnd"/>
      <w:r>
        <w:t xml:space="preserve"> summarises amendments to the Electoral Act 1992 in recent years.   </w:t>
      </w:r>
    </w:p>
    <w:p w14:paraId="4F9749C5" w14:textId="6E1D9357" w:rsidR="00AE4B7C" w:rsidRDefault="00AE4B7C" w:rsidP="00FF5B9B">
      <w:pPr>
        <w:pStyle w:val="BodyText"/>
      </w:pPr>
      <w:r>
        <w:lastRenderedPageBreak/>
        <w:t xml:space="preserve">Chapter 3 outlines the impact of the </w:t>
      </w:r>
      <w:r w:rsidRPr="003236E3">
        <w:rPr>
          <w:b/>
          <w:bCs/>
        </w:rPr>
        <w:t>COVID-19 pandemic</w:t>
      </w:r>
      <w:r>
        <w:t xml:space="preserve"> on the conduct of the election. </w:t>
      </w:r>
    </w:p>
    <w:p w14:paraId="0F04D225" w14:textId="59A4D0CA" w:rsidR="00AE4B7C" w:rsidRDefault="00AE4B7C" w:rsidP="00FF5B9B">
      <w:pPr>
        <w:pStyle w:val="BodyText"/>
      </w:pPr>
      <w:r>
        <w:t xml:space="preserve">Chapter 4 examines the question of </w:t>
      </w:r>
      <w:r w:rsidRPr="003236E3">
        <w:rPr>
          <w:b/>
          <w:bCs/>
        </w:rPr>
        <w:t>early voting</w:t>
      </w:r>
      <w:r>
        <w:t xml:space="preserve">, including eligibility criteria, and duration of the pre-polling period. </w:t>
      </w:r>
    </w:p>
    <w:p w14:paraId="1B2BF728" w14:textId="2DA83262" w:rsidR="00AE4B7C" w:rsidRDefault="00AE4B7C" w:rsidP="00FF5B9B">
      <w:pPr>
        <w:pStyle w:val="BodyText"/>
      </w:pPr>
      <w:r>
        <w:t xml:space="preserve">Chapter 5 focuses on </w:t>
      </w:r>
      <w:r w:rsidRPr="003236E3">
        <w:rPr>
          <w:b/>
          <w:bCs/>
        </w:rPr>
        <w:t>electronic voting</w:t>
      </w:r>
      <w:r>
        <w:t xml:space="preserve">, and arrangements to ensure security, </w:t>
      </w:r>
      <w:proofErr w:type="gramStart"/>
      <w:r>
        <w:t>integrity</w:t>
      </w:r>
      <w:proofErr w:type="gramEnd"/>
      <w:r>
        <w:t xml:space="preserve"> and transparency of the electronic voting system.  </w:t>
      </w:r>
    </w:p>
    <w:p w14:paraId="4B135D6D" w14:textId="27C6BB99" w:rsidR="00AE4B7C" w:rsidRDefault="00AE4B7C" w:rsidP="00FF5B9B">
      <w:pPr>
        <w:pStyle w:val="BodyText"/>
      </w:pPr>
      <w:r>
        <w:t xml:space="preserve">Chapter 6 </w:t>
      </w:r>
      <w:proofErr w:type="gramStart"/>
      <w:r>
        <w:t>gathers together</w:t>
      </w:r>
      <w:proofErr w:type="gramEnd"/>
      <w:r>
        <w:t xml:space="preserve"> several </w:t>
      </w:r>
      <w:r w:rsidRPr="003236E3">
        <w:rPr>
          <w:b/>
          <w:bCs/>
        </w:rPr>
        <w:t>administrative topics</w:t>
      </w:r>
      <w:r>
        <w:t xml:space="preserve"> put forward during the inquiry, including political party registration, candidate nominations, polling places,</w:t>
      </w:r>
      <w:r w:rsidR="00B97458">
        <w:t xml:space="preserve"> electoral roll, and</w:t>
      </w:r>
      <w:r>
        <w:t xml:space="preserve"> calculation of results in the Hare-Clark system. </w:t>
      </w:r>
    </w:p>
    <w:p w14:paraId="4C268D4A" w14:textId="43168E3B" w:rsidR="00AE4B7C" w:rsidRDefault="00AE4B7C" w:rsidP="00FF5B9B">
      <w:pPr>
        <w:pStyle w:val="BodyText"/>
      </w:pPr>
      <w:r>
        <w:t xml:space="preserve">Chapter 7 considers </w:t>
      </w:r>
      <w:r w:rsidRPr="003236E3">
        <w:rPr>
          <w:b/>
          <w:bCs/>
        </w:rPr>
        <w:t xml:space="preserve">campaign </w:t>
      </w:r>
      <w:r w:rsidR="003236E3" w:rsidRPr="003236E3">
        <w:rPr>
          <w:b/>
          <w:bCs/>
        </w:rPr>
        <w:t>matters</w:t>
      </w:r>
      <w:r w:rsidR="003236E3">
        <w:t xml:space="preserve">, </w:t>
      </w:r>
      <w:r>
        <w:t xml:space="preserve">including duration of the campaign period, exclusion zones outside polling places, roadside signs (corflutes), publication of candidate information, authorisation of electoral matter, truth in political advertising, and independent and small party candidates. </w:t>
      </w:r>
    </w:p>
    <w:p w14:paraId="7C4D31C2" w14:textId="6ADBAD0B" w:rsidR="00AE4B7C" w:rsidRDefault="00AE4B7C" w:rsidP="00FF5B9B">
      <w:pPr>
        <w:pStyle w:val="BodyText"/>
      </w:pPr>
      <w:r>
        <w:t xml:space="preserve">Chapter 8 examines </w:t>
      </w:r>
      <w:r w:rsidRPr="003236E3">
        <w:rPr>
          <w:b/>
          <w:bCs/>
        </w:rPr>
        <w:t>campaign finance and disclosure</w:t>
      </w:r>
      <w:r>
        <w:t xml:space="preserve">, including donation rules, </w:t>
      </w:r>
      <w:r w:rsidR="00B97458">
        <w:t xml:space="preserve">public funding, </w:t>
      </w:r>
      <w:r>
        <w:t xml:space="preserve">donation reporting, </w:t>
      </w:r>
      <w:r w:rsidR="00B97458">
        <w:t xml:space="preserve">and </w:t>
      </w:r>
      <w:r>
        <w:t xml:space="preserve">expenditure caps. </w:t>
      </w:r>
    </w:p>
    <w:p w14:paraId="3FD74759" w14:textId="4711E8B0" w:rsidR="00AE4B7C" w:rsidRDefault="003621BA" w:rsidP="00FF5B9B">
      <w:pPr>
        <w:pStyle w:val="BodyText"/>
      </w:pPr>
      <w:r>
        <w:t xml:space="preserve">Chapter 9 focuses on </w:t>
      </w:r>
      <w:r w:rsidRPr="003236E3">
        <w:rPr>
          <w:b/>
          <w:bCs/>
        </w:rPr>
        <w:t>participation in elections</w:t>
      </w:r>
      <w:r>
        <w:t xml:space="preserve">, including voter turnout, and measures to engage vulnerable voters during an election, such as people with disability, people experiencing homelessness, detainees in Alexander Maconochie Centre, and people from non-English speaking backgrounds.  </w:t>
      </w:r>
    </w:p>
    <w:p w14:paraId="1D42E231" w14:textId="3D6FB4AD" w:rsidR="003621BA" w:rsidRDefault="003621BA" w:rsidP="00FF5B9B">
      <w:pPr>
        <w:pStyle w:val="BodyText"/>
      </w:pPr>
      <w:r>
        <w:t xml:space="preserve">Chapter 10 addresses </w:t>
      </w:r>
      <w:r w:rsidR="00051AFE">
        <w:t>the term of reference relating</w:t>
      </w:r>
      <w:r>
        <w:t xml:space="preserve"> to </w:t>
      </w:r>
      <w:r w:rsidRPr="003236E3">
        <w:rPr>
          <w:b/>
          <w:bCs/>
        </w:rPr>
        <w:t>lower</w:t>
      </w:r>
      <w:r w:rsidR="00051AFE">
        <w:rPr>
          <w:b/>
          <w:bCs/>
        </w:rPr>
        <w:t>ing</w:t>
      </w:r>
      <w:r w:rsidRPr="003236E3">
        <w:rPr>
          <w:b/>
          <w:bCs/>
        </w:rPr>
        <w:t xml:space="preserve"> the voting age</w:t>
      </w:r>
      <w:r>
        <w:t xml:space="preserve"> from 18 years to 16 years. </w:t>
      </w:r>
    </w:p>
    <w:p w14:paraId="4581FF0D" w14:textId="1DD37865" w:rsidR="003621BA" w:rsidRPr="00FF5B9B" w:rsidRDefault="003621BA" w:rsidP="00FF5B9B">
      <w:pPr>
        <w:pStyle w:val="BodyText"/>
      </w:pPr>
      <w:r>
        <w:t xml:space="preserve">Chapter 11 looks ahead to </w:t>
      </w:r>
      <w:r w:rsidRPr="003236E3">
        <w:rPr>
          <w:b/>
          <w:bCs/>
        </w:rPr>
        <w:t>the next election</w:t>
      </w:r>
      <w:r>
        <w:t xml:space="preserve">, recommending secure resourcing for the Electoral Commission, and a considered and consultative approach to future amendments to the Electoral Act.  </w:t>
      </w:r>
    </w:p>
    <w:p w14:paraId="1F0DCD04" w14:textId="772B7EB1" w:rsidR="00FF5B9B" w:rsidRDefault="00FF5B9B" w:rsidP="00117ABC">
      <w:pPr>
        <w:pStyle w:val="Heading3"/>
      </w:pPr>
      <w:bookmarkStart w:id="40" w:name="_Toc78535732"/>
      <w:r>
        <w:t>Acknowledgements</w:t>
      </w:r>
      <w:bookmarkEnd w:id="40"/>
      <w:r>
        <w:t xml:space="preserve"> </w:t>
      </w:r>
    </w:p>
    <w:p w14:paraId="385D182D" w14:textId="3358DBF2" w:rsidR="003621BA" w:rsidRDefault="00AE4B7C" w:rsidP="00625207">
      <w:pPr>
        <w:pStyle w:val="BodyText"/>
      </w:pPr>
      <w:r>
        <w:t xml:space="preserve">The Committee </w:t>
      </w:r>
      <w:r w:rsidR="00B44439">
        <w:t xml:space="preserve">thanks </w:t>
      </w:r>
      <w:r w:rsidR="00625207">
        <w:t xml:space="preserve">everyone who </w:t>
      </w:r>
      <w:r w:rsidR="00A44C20">
        <w:t>contributed to</w:t>
      </w:r>
      <w:r w:rsidR="00625207">
        <w:t xml:space="preserve"> this inquiry by making submissions and attending hearings.  </w:t>
      </w:r>
    </w:p>
    <w:p w14:paraId="76CFC8B6" w14:textId="5E5A5E88" w:rsidR="00472185" w:rsidRDefault="00472185" w:rsidP="00472185">
      <w:pPr>
        <w:pStyle w:val="BodyText"/>
      </w:pPr>
      <w:r>
        <w:t xml:space="preserve">At the outset of this report, the Committee wishes to acknowledge the extraordinary efforts by </w:t>
      </w:r>
      <w:r w:rsidR="00335CD3">
        <w:t xml:space="preserve">the </w:t>
      </w:r>
      <w:r>
        <w:t xml:space="preserve">Electoral Commission to conduct a free, </w:t>
      </w:r>
      <w:proofErr w:type="gramStart"/>
      <w:r>
        <w:t>fair</w:t>
      </w:r>
      <w:proofErr w:type="gramEnd"/>
      <w:r>
        <w:t xml:space="preserve"> and safe election in the dramatic and evolving circumstances of a pandemic.  The Committee thanks the staff of the Electoral Commission </w:t>
      </w:r>
      <w:r w:rsidRPr="00B73396">
        <w:t xml:space="preserve">(permanent and casual), Access Canberra contact centre staff, </w:t>
      </w:r>
      <w:r>
        <w:t xml:space="preserve">and the external agencies that supported the Electoral Commission on </w:t>
      </w:r>
      <w:r w:rsidR="00335CD3">
        <w:t xml:space="preserve">working groups for </w:t>
      </w:r>
      <w:r>
        <w:t xml:space="preserve">contingency planning, </w:t>
      </w:r>
      <w:proofErr w:type="gramStart"/>
      <w:r w:rsidR="00335CD3">
        <w:t>ICT</w:t>
      </w:r>
      <w:proofErr w:type="gramEnd"/>
      <w:r w:rsidR="00335CD3">
        <w:t xml:space="preserve"> and </w:t>
      </w:r>
      <w:r w:rsidRPr="00B73396">
        <w:t xml:space="preserve">security. </w:t>
      </w:r>
    </w:p>
    <w:p w14:paraId="5AA83CD7" w14:textId="74D5FA00" w:rsidR="00FF5B9B" w:rsidRDefault="00D02D0E" w:rsidP="00974481">
      <w:pPr>
        <w:pStyle w:val="Heading2"/>
      </w:pPr>
      <w:bookmarkStart w:id="41" w:name="_Toc78535733"/>
      <w:r>
        <w:lastRenderedPageBreak/>
        <w:t>Overview of the 2020 Election</w:t>
      </w:r>
      <w:bookmarkEnd w:id="41"/>
    </w:p>
    <w:p w14:paraId="719EF558" w14:textId="4955C54F" w:rsidR="005F7D4B" w:rsidRDefault="005F7D4B" w:rsidP="00D02D0E">
      <w:pPr>
        <w:pStyle w:val="BodyText"/>
      </w:pPr>
      <w:r>
        <w:t>A Territory election is held every four years, on the third Saturday of October.</w:t>
      </w:r>
      <w:r>
        <w:rPr>
          <w:rStyle w:val="FootnoteReference"/>
        </w:rPr>
        <w:footnoteReference w:id="11"/>
      </w:r>
      <w:r>
        <w:t xml:space="preserve">  </w:t>
      </w:r>
      <w:r w:rsidR="00A2604C">
        <w:t>P</w:t>
      </w:r>
      <w:r w:rsidR="00CC1741">
        <w:t>olling day for t</w:t>
      </w:r>
      <w:r>
        <w:t xml:space="preserve">he 2020 election </w:t>
      </w:r>
      <w:r w:rsidR="00CC1741">
        <w:t>was</w:t>
      </w:r>
      <w:r>
        <w:t xml:space="preserve"> 17 October</w:t>
      </w:r>
      <w:r w:rsidR="00A2604C">
        <w:t>, and early voting commenced on 28 September</w:t>
      </w:r>
      <w:r>
        <w:t xml:space="preserve">.  </w:t>
      </w:r>
    </w:p>
    <w:p w14:paraId="7113B5AA" w14:textId="34F33B5F" w:rsidR="00892BD3" w:rsidRDefault="00CC1741" w:rsidP="005F7D4B">
      <w:pPr>
        <w:pStyle w:val="BodyText"/>
      </w:pPr>
      <w:r>
        <w:t>16</w:t>
      </w:r>
      <w:r w:rsidR="00136411" w:rsidRPr="00136411">
        <w:t xml:space="preserve"> political parties</w:t>
      </w:r>
      <w:r>
        <w:t xml:space="preserve"> were</w:t>
      </w:r>
      <w:r w:rsidR="00136411" w:rsidRPr="00136411">
        <w:t xml:space="preserve"> registered</w:t>
      </w:r>
      <w:r w:rsidR="005F7D4B">
        <w:t>, and 137 candidates nominated to contest the election.</w:t>
      </w:r>
      <w:r w:rsidR="005F7D4B">
        <w:rPr>
          <w:rStyle w:val="FootnoteReference"/>
        </w:rPr>
        <w:footnoteReference w:id="12"/>
      </w:r>
    </w:p>
    <w:p w14:paraId="3EF99451" w14:textId="69D1B2BB" w:rsidR="005F7D4B" w:rsidRDefault="005F7D4B" w:rsidP="005F7D4B">
      <w:pPr>
        <w:pStyle w:val="BodyText"/>
      </w:pPr>
      <w:r>
        <w:t xml:space="preserve">The </w:t>
      </w:r>
      <w:r w:rsidRPr="007F624B">
        <w:t xml:space="preserve">final electoral roll </w:t>
      </w:r>
      <w:r>
        <w:t>was</w:t>
      </w:r>
      <w:r w:rsidRPr="007F624B">
        <w:t xml:space="preserve"> 306,000 eligible electors</w:t>
      </w:r>
      <w:r>
        <w:t xml:space="preserve">; </w:t>
      </w:r>
      <w:r w:rsidRPr="007F624B">
        <w:t xml:space="preserve">an increase of 22,838 </w:t>
      </w:r>
      <w:r>
        <w:t>from the</w:t>
      </w:r>
      <w:r w:rsidRPr="007F624B">
        <w:t xml:space="preserve"> 2016 election.</w:t>
      </w:r>
      <w:r>
        <w:rPr>
          <w:rStyle w:val="FootnoteReference"/>
        </w:rPr>
        <w:footnoteReference w:id="13"/>
      </w:r>
    </w:p>
    <w:p w14:paraId="37E42D47" w14:textId="7DBD3982" w:rsidR="00171AAF" w:rsidRDefault="00171AAF" w:rsidP="00D02D0E">
      <w:pPr>
        <w:pStyle w:val="BodyText"/>
      </w:pPr>
      <w:r>
        <w:t xml:space="preserve">Of the 137 candidates, </w:t>
      </w:r>
      <w:r w:rsidR="005F7D4B">
        <w:t>10</w:t>
      </w:r>
      <w:r>
        <w:t xml:space="preserve"> Members of ACT </w:t>
      </w:r>
      <w:proofErr w:type="spellStart"/>
      <w:r>
        <w:t>Labor</w:t>
      </w:r>
      <w:proofErr w:type="spellEnd"/>
      <w:r>
        <w:t xml:space="preserve">, </w:t>
      </w:r>
      <w:r w:rsidR="005F7D4B">
        <w:t>9</w:t>
      </w:r>
      <w:r>
        <w:t xml:space="preserve"> Members of Canberra Liberals, and </w:t>
      </w:r>
      <w:r w:rsidR="005F7D4B">
        <w:t>6</w:t>
      </w:r>
      <w:r>
        <w:t xml:space="preserve"> Members of ACT Greens were elected</w:t>
      </w:r>
      <w:r w:rsidR="005F7D4B">
        <w:t xml:space="preserve"> to the Assembly, across the five electorates of Brindabella, Ginninderra, Kurrajong, Murrumbidgee, </w:t>
      </w:r>
      <w:proofErr w:type="spellStart"/>
      <w:r w:rsidR="005F7D4B">
        <w:t>Yerrabi</w:t>
      </w:r>
      <w:proofErr w:type="spellEnd"/>
      <w:r w:rsidR="005F7D4B">
        <w:t xml:space="preserve">. </w:t>
      </w:r>
    </w:p>
    <w:p w14:paraId="43963BB5" w14:textId="35BA0D03" w:rsidR="00171AAF" w:rsidRDefault="00171AAF" w:rsidP="009814DC">
      <w:pPr>
        <w:pStyle w:val="Heading4"/>
      </w:pPr>
      <w:r>
        <w:t>Notable features of the 2020 Election</w:t>
      </w:r>
    </w:p>
    <w:p w14:paraId="688D90A9" w14:textId="47D3F13B" w:rsidR="0086591C" w:rsidRDefault="00CC1741" w:rsidP="0086591C">
      <w:pPr>
        <w:pStyle w:val="BodyText"/>
      </w:pPr>
      <w:r>
        <w:t xml:space="preserve">Due to the </w:t>
      </w:r>
      <w:r w:rsidR="002C2E4A">
        <w:t xml:space="preserve">COVID-19 </w:t>
      </w:r>
      <w:r>
        <w:t xml:space="preserve">pandemic, an unusually high number of </w:t>
      </w:r>
      <w:r w:rsidR="0086591C">
        <w:t>15 early voting centres</w:t>
      </w:r>
      <w:r>
        <w:t xml:space="preserve"> were open for the </w:t>
      </w:r>
      <w:r w:rsidR="00A2604C">
        <w:t>three-week</w:t>
      </w:r>
      <w:r>
        <w:t xml:space="preserve"> period between 28 September and 17 October.  </w:t>
      </w:r>
      <w:r w:rsidR="005760D0">
        <w:t xml:space="preserve">On election day, </w:t>
      </w:r>
      <w:r>
        <w:t xml:space="preserve">82 polling places </w:t>
      </w:r>
      <w:r w:rsidR="005760D0">
        <w:t xml:space="preserve">were </w:t>
      </w:r>
      <w:r>
        <w:t>open.</w:t>
      </w:r>
      <w:r>
        <w:rPr>
          <w:rStyle w:val="FootnoteReference"/>
        </w:rPr>
        <w:footnoteReference w:id="14"/>
      </w:r>
      <w:r w:rsidR="0086591C">
        <w:t xml:space="preserve"> </w:t>
      </w:r>
    </w:p>
    <w:p w14:paraId="0553F0BE" w14:textId="7C3EE153" w:rsidR="00CC1741" w:rsidRDefault="00CC1741" w:rsidP="0086591C">
      <w:pPr>
        <w:pStyle w:val="BodyText"/>
      </w:pPr>
      <w:r>
        <w:t xml:space="preserve">The Electoral Commission </w:t>
      </w:r>
      <w:r w:rsidR="005760D0">
        <w:t>employed</w:t>
      </w:r>
      <w:r>
        <w:t xml:space="preserve"> 353 staff to operate the early voting centres, compared with 100 staff at the 2016 election.  458 staff were employed to work at the additional polling places on election day.</w:t>
      </w:r>
      <w:r>
        <w:rPr>
          <w:rStyle w:val="FootnoteReference"/>
        </w:rPr>
        <w:footnoteReference w:id="15"/>
      </w:r>
    </w:p>
    <w:p w14:paraId="2263AE05" w14:textId="75CA2EDD" w:rsidR="00CC1741" w:rsidRDefault="00CC1741" w:rsidP="00EA6BE2">
      <w:pPr>
        <w:pStyle w:val="BodyText"/>
      </w:pPr>
      <w:r w:rsidRPr="00BC4C6B">
        <w:t xml:space="preserve">76% </w:t>
      </w:r>
      <w:r>
        <w:t>of</w:t>
      </w:r>
      <w:r w:rsidR="00A2604C">
        <w:t xml:space="preserve"> people</w:t>
      </w:r>
      <w:r>
        <w:t xml:space="preserve"> </w:t>
      </w:r>
      <w:r w:rsidRPr="00BC4C6B">
        <w:t>voted early</w:t>
      </w:r>
      <w:r>
        <w:t xml:space="preserve"> in the 2020 election</w:t>
      </w:r>
      <w:r w:rsidR="0096739F">
        <w:t xml:space="preserve"> (</w:t>
      </w:r>
      <w:proofErr w:type="spellStart"/>
      <w:r w:rsidR="0096739F">
        <w:t>ie</w:t>
      </w:r>
      <w:proofErr w:type="spellEnd"/>
      <w:r w:rsidR="0096739F">
        <w:t>. before polling day)</w:t>
      </w:r>
      <w:r>
        <w:t>, which the Electoral Commission reports</w:t>
      </w:r>
      <w:r w:rsidR="00EA6BE2">
        <w:t xml:space="preserve"> is an </w:t>
      </w:r>
      <w:r w:rsidRPr="00BC4C6B">
        <w:t>historical Australian record</w:t>
      </w:r>
      <w:r w:rsidR="00EA6BE2">
        <w:t>.  This figure</w:t>
      </w:r>
      <w:r w:rsidR="00A2604C">
        <w:t xml:space="preserve"> includes postal </w:t>
      </w:r>
      <w:proofErr w:type="gramStart"/>
      <w:r w:rsidR="00A2604C">
        <w:t>votes, and</w:t>
      </w:r>
      <w:proofErr w:type="gramEnd"/>
      <w:r w:rsidR="00EA6BE2">
        <w:t xml:space="preserve"> compares with </w:t>
      </w:r>
      <w:r w:rsidRPr="00BC4C6B">
        <w:t>38.9% in 2016 and 31.2% in 2012.</w:t>
      </w:r>
      <w:r w:rsidR="00EA6BE2">
        <w:rPr>
          <w:rStyle w:val="FootnoteReference"/>
        </w:rPr>
        <w:footnoteReference w:id="16"/>
      </w:r>
      <w:r w:rsidR="00EA6BE2">
        <w:t xml:space="preserve">  (When excluding postal votes, 69% of electors voted early onsite at an early voting centre.  Early voting centre votes accounted for 26.9% of all votes in 2012, and 20.3% in 2008.)</w:t>
      </w:r>
      <w:r w:rsidR="00EA6BE2">
        <w:rPr>
          <w:rStyle w:val="FootnoteReference"/>
        </w:rPr>
        <w:footnoteReference w:id="17"/>
      </w:r>
    </w:p>
    <w:p w14:paraId="675A6B87" w14:textId="691C4226" w:rsidR="00EA6BE2" w:rsidRDefault="00EA6BE2" w:rsidP="00EA6BE2">
      <w:pPr>
        <w:pStyle w:val="BodyText"/>
      </w:pPr>
      <w:r>
        <w:t xml:space="preserve">A </w:t>
      </w:r>
      <w:r w:rsidR="00BE5032">
        <w:t>second</w:t>
      </w:r>
      <w:r>
        <w:t xml:space="preserve"> record was set with </w:t>
      </w:r>
      <w:r w:rsidRPr="00BC4C6B">
        <w:t>94% of early votes cast electronically</w:t>
      </w:r>
      <w:r>
        <w:t xml:space="preserve">.  The Electoral Commission reports that </w:t>
      </w:r>
      <w:r w:rsidRPr="00BC4C6B">
        <w:t>‘</w:t>
      </w:r>
      <w:r>
        <w:t>[t]</w:t>
      </w:r>
      <w:r w:rsidRPr="00BC4C6B">
        <w:t>his is another significant increase in both absolute numbers (72,203 in 2016 and 50,767 in 2012) and percentage terms (86.2% in 2016 and 82.3% in 2012).</w:t>
      </w:r>
      <w:r>
        <w:rPr>
          <w:rStyle w:val="FootnoteReference"/>
        </w:rPr>
        <w:footnoteReference w:id="18"/>
      </w:r>
      <w:r w:rsidRPr="00BC4C6B">
        <w:t xml:space="preserve"> </w:t>
      </w:r>
    </w:p>
    <w:p w14:paraId="6CBE4BE9" w14:textId="19F2F728" w:rsidR="00EA6BE2" w:rsidRPr="00BC4C6B" w:rsidRDefault="00EA6BE2" w:rsidP="00EA6BE2">
      <w:pPr>
        <w:pStyle w:val="BodyText"/>
      </w:pPr>
      <w:r>
        <w:lastRenderedPageBreak/>
        <w:t xml:space="preserve">The </w:t>
      </w:r>
      <w:r w:rsidRPr="002D4BC1">
        <w:t xml:space="preserve">historically low informal </w:t>
      </w:r>
      <w:r w:rsidR="00B42062">
        <w:t xml:space="preserve">vote </w:t>
      </w:r>
      <w:r w:rsidRPr="002D4BC1">
        <w:t>rate of 1.54</w:t>
      </w:r>
      <w:r w:rsidR="00B42062">
        <w:t xml:space="preserve">% is a </w:t>
      </w:r>
      <w:r w:rsidR="00BE5032">
        <w:t>third</w:t>
      </w:r>
      <w:r w:rsidR="00B42062">
        <w:t xml:space="preserve"> record set during the 2020 election.</w:t>
      </w:r>
      <w:r w:rsidR="00B42062">
        <w:rPr>
          <w:rStyle w:val="FootnoteReference"/>
        </w:rPr>
        <w:footnoteReference w:id="19"/>
      </w:r>
    </w:p>
    <w:p w14:paraId="1D37EBD3" w14:textId="231A679F" w:rsidR="00800E94" w:rsidRDefault="00800E94" w:rsidP="00800E94">
      <w:pPr>
        <w:pStyle w:val="BodyText"/>
      </w:pPr>
      <w:r>
        <w:t>22,317 postal votes were dispatched in 2020</w:t>
      </w:r>
      <w:r w:rsidR="00EA6BE2">
        <w:t>, and</w:t>
      </w:r>
      <w:r>
        <w:t xml:space="preserve"> 17,172 were returned </w:t>
      </w:r>
      <w:r w:rsidR="00EA6BE2">
        <w:t>before 23 October (the</w:t>
      </w:r>
      <w:r>
        <w:t xml:space="preserve"> last date for receipt of postal votes) and admitted to the count.</w:t>
      </w:r>
      <w:r w:rsidR="00EA6BE2">
        <w:rPr>
          <w:rStyle w:val="FootnoteReference"/>
        </w:rPr>
        <w:footnoteReference w:id="20"/>
      </w:r>
      <w:r>
        <w:t xml:space="preserve"> </w:t>
      </w:r>
    </w:p>
    <w:p w14:paraId="5E007352" w14:textId="6ED1C2B5" w:rsidR="00707F05" w:rsidRPr="00707F05" w:rsidRDefault="002C2E4A" w:rsidP="00707F05">
      <w:pPr>
        <w:pStyle w:val="BodyText"/>
      </w:pPr>
      <w:r>
        <w:t>There was a d</w:t>
      </w:r>
      <w:r w:rsidR="00707F05">
        <w:t>ecline in interstate voting</w:t>
      </w:r>
      <w:r>
        <w:t xml:space="preserve">, due to </w:t>
      </w:r>
      <w:r w:rsidR="00A2604C">
        <w:t>limited travel</w:t>
      </w:r>
      <w:r>
        <w:t xml:space="preserve"> during the pandemic, with</w:t>
      </w:r>
      <w:r w:rsidR="00707F05" w:rsidRPr="00707F05">
        <w:t xml:space="preserve"> 111 votes issued at the offices of the state and territory electoral commissions during the 2020 election</w:t>
      </w:r>
      <w:r w:rsidR="00A2604C">
        <w:t>,</w:t>
      </w:r>
      <w:r w:rsidR="00707F05" w:rsidRPr="00707F05">
        <w:t xml:space="preserve"> compared to 557 in 2016 and 559 in 2012</w:t>
      </w:r>
      <w:r>
        <w:t>.</w:t>
      </w:r>
      <w:r>
        <w:rPr>
          <w:rStyle w:val="FootnoteReference"/>
        </w:rPr>
        <w:footnoteReference w:id="21"/>
      </w:r>
      <w:r>
        <w:t xml:space="preserve"> </w:t>
      </w:r>
    </w:p>
    <w:p w14:paraId="32172D7D" w14:textId="7C02E089" w:rsidR="00114E34" w:rsidRDefault="002C2E4A" w:rsidP="00017B38">
      <w:pPr>
        <w:pStyle w:val="BodyText"/>
      </w:pPr>
      <w:r>
        <w:t>The Electoral Commission received</w:t>
      </w:r>
      <w:r w:rsidR="00136F40">
        <w:t xml:space="preserve"> 135 complaints</w:t>
      </w:r>
      <w:r>
        <w:t xml:space="preserve"> about alleged breaches of the Electoral Act</w:t>
      </w:r>
      <w:r w:rsidR="005760D0">
        <w:t>,</w:t>
      </w:r>
      <w:r>
        <w:rPr>
          <w:rStyle w:val="FootnoteReference"/>
        </w:rPr>
        <w:footnoteReference w:id="22"/>
      </w:r>
      <w:r>
        <w:t xml:space="preserve"> </w:t>
      </w:r>
      <w:r w:rsidR="005760D0">
        <w:t xml:space="preserve">and 16 allegations of breaches of the </w:t>
      </w:r>
      <w:r w:rsidR="00A2604C">
        <w:t>100-metre</w:t>
      </w:r>
      <w:r w:rsidR="005760D0">
        <w:t xml:space="preserve"> exclusion zone outside polling places.</w:t>
      </w:r>
      <w:r w:rsidR="005760D0">
        <w:rPr>
          <w:rStyle w:val="FootnoteReference"/>
        </w:rPr>
        <w:footnoteReference w:id="23"/>
      </w:r>
      <w:r w:rsidR="005760D0">
        <w:t xml:space="preserve">  There were 17 complaints about the placement of campaign advertisements on public unleased land.</w:t>
      </w:r>
      <w:r w:rsidR="005760D0">
        <w:rPr>
          <w:rStyle w:val="FootnoteReference"/>
        </w:rPr>
        <w:footnoteReference w:id="24"/>
      </w:r>
      <w:r w:rsidR="005760D0">
        <w:t xml:space="preserve">  No</w:t>
      </w:r>
      <w:r w:rsidR="00114E34" w:rsidRPr="00114E34">
        <w:t xml:space="preserve"> unauthorised material </w:t>
      </w:r>
      <w:r w:rsidR="00B42062">
        <w:t xml:space="preserve">was </w:t>
      </w:r>
      <w:r w:rsidR="00114E34" w:rsidRPr="00114E34">
        <w:t>sent for prosecution in 2020 election</w:t>
      </w:r>
      <w:r>
        <w:t>.</w:t>
      </w:r>
      <w:r>
        <w:rPr>
          <w:rStyle w:val="FootnoteReference"/>
        </w:rPr>
        <w:footnoteReference w:id="25"/>
      </w:r>
      <w:r>
        <w:t xml:space="preserve">  </w:t>
      </w:r>
    </w:p>
    <w:p w14:paraId="104C0E16" w14:textId="5CC18DE1" w:rsidR="005A03C1" w:rsidRDefault="00892BD3" w:rsidP="009814DC">
      <w:pPr>
        <w:pStyle w:val="Heading4"/>
      </w:pPr>
      <w:r>
        <w:t>Recent A</w:t>
      </w:r>
      <w:r w:rsidR="005A03C1">
        <w:t>mendments to the Electoral Act 1992</w:t>
      </w:r>
      <w:r>
        <w:t xml:space="preserve"> </w:t>
      </w:r>
    </w:p>
    <w:p w14:paraId="7BFF24FF" w14:textId="47B74EF2" w:rsidR="005760D0" w:rsidRDefault="005760D0" w:rsidP="005A03C1">
      <w:pPr>
        <w:pStyle w:val="BodyText"/>
      </w:pPr>
      <w:r>
        <w:t xml:space="preserve">The </w:t>
      </w:r>
      <w:r w:rsidRPr="005760D0">
        <w:rPr>
          <w:i/>
          <w:iCs/>
        </w:rPr>
        <w:t>Electoral Act 1992</w:t>
      </w:r>
      <w:r>
        <w:t xml:space="preserve"> was amended by the following instruments in the period between the 2016 and 2020 elections:</w:t>
      </w:r>
    </w:p>
    <w:p w14:paraId="487C8857" w14:textId="77777777" w:rsidR="005A03C1" w:rsidRDefault="005A03C1" w:rsidP="005A03C1">
      <w:pPr>
        <w:pStyle w:val="ListBullet"/>
      </w:pPr>
      <w:r>
        <w:t>COVID-19 Emergency Response Legislation Amendment Act 2020 (No.2)</w:t>
      </w:r>
    </w:p>
    <w:p w14:paraId="6C87576E" w14:textId="77777777" w:rsidR="005A03C1" w:rsidRDefault="005A03C1" w:rsidP="005A03C1">
      <w:pPr>
        <w:pStyle w:val="ListBullet"/>
      </w:pPr>
      <w:r>
        <w:t>Electoral Legislation Amendment Act 2020</w:t>
      </w:r>
    </w:p>
    <w:p w14:paraId="1F321165" w14:textId="77777777" w:rsidR="005A03C1" w:rsidRDefault="005A03C1" w:rsidP="005A03C1">
      <w:pPr>
        <w:pStyle w:val="ListBullet"/>
      </w:pPr>
      <w:r>
        <w:t>Electoral Amendment Act 2020</w:t>
      </w:r>
    </w:p>
    <w:p w14:paraId="24829F31" w14:textId="77777777" w:rsidR="005760D0" w:rsidRDefault="005760D0" w:rsidP="005760D0">
      <w:pPr>
        <w:pStyle w:val="ListBullet"/>
      </w:pPr>
      <w:r w:rsidRPr="005760D0">
        <w:t>Legislative Assembly Legislation Amendment Act 2017</w:t>
      </w:r>
    </w:p>
    <w:p w14:paraId="6AF1C600" w14:textId="77777777" w:rsidR="005760D0" w:rsidRDefault="005760D0" w:rsidP="005760D0">
      <w:pPr>
        <w:pStyle w:val="ListBullet"/>
      </w:pPr>
      <w:r w:rsidRPr="005760D0">
        <w:t>Statute Law Amendment Act 2017 (No 2)</w:t>
      </w:r>
    </w:p>
    <w:p w14:paraId="115CDC58" w14:textId="77777777" w:rsidR="00017B38" w:rsidRDefault="005760D0" w:rsidP="005760D0">
      <w:pPr>
        <w:pStyle w:val="ListBullet"/>
      </w:pPr>
      <w:r w:rsidRPr="005760D0">
        <w:t>Red Tape Reduction Legislation Amendment Act 2018.</w:t>
      </w:r>
    </w:p>
    <w:p w14:paraId="2C0A819D" w14:textId="45A6EAC4" w:rsidR="005760D0" w:rsidRDefault="005760D0" w:rsidP="00017B38">
      <w:pPr>
        <w:pStyle w:val="BodyText"/>
      </w:pPr>
      <w:r>
        <w:t>Description of these amendments is provided in the submissions by the Electoral Commission and ACT Government.</w:t>
      </w:r>
      <w:r>
        <w:rPr>
          <w:rStyle w:val="FootnoteReference"/>
        </w:rPr>
        <w:footnoteReference w:id="26"/>
      </w:r>
      <w:r>
        <w:t xml:space="preserve"> </w:t>
      </w:r>
    </w:p>
    <w:p w14:paraId="2F893559" w14:textId="4749AF7A" w:rsidR="003875FE" w:rsidRDefault="003875FE" w:rsidP="00017B38">
      <w:pPr>
        <w:pStyle w:val="BodyText"/>
      </w:pPr>
      <w:r>
        <w:t xml:space="preserve">The final amendments were passed in July, just two months before the commencement of voting.  </w:t>
      </w:r>
    </w:p>
    <w:p w14:paraId="7139AC73" w14:textId="10709707" w:rsidR="006F1579" w:rsidRDefault="00690194" w:rsidP="00CD7F25">
      <w:pPr>
        <w:pStyle w:val="Heading2"/>
      </w:pPr>
      <w:bookmarkStart w:id="42" w:name="_Toc502671588"/>
      <w:bookmarkStart w:id="43" w:name="_Toc502671766"/>
      <w:bookmarkStart w:id="44" w:name="_Toc502671872"/>
      <w:bookmarkStart w:id="45" w:name="_Toc502672804"/>
      <w:bookmarkStart w:id="46" w:name="_Toc78535734"/>
      <w:r>
        <w:lastRenderedPageBreak/>
        <w:t>C</w:t>
      </w:r>
      <w:bookmarkEnd w:id="42"/>
      <w:bookmarkEnd w:id="43"/>
      <w:bookmarkEnd w:id="44"/>
      <w:bookmarkEnd w:id="45"/>
      <w:r w:rsidR="003D2BD5">
        <w:t xml:space="preserve">OVID-19 </w:t>
      </w:r>
      <w:r w:rsidR="00FF5B9B">
        <w:t>P</w:t>
      </w:r>
      <w:r w:rsidR="003D2BD5">
        <w:t>andemic</w:t>
      </w:r>
      <w:bookmarkEnd w:id="46"/>
    </w:p>
    <w:p w14:paraId="4BD33E95" w14:textId="12F9B508" w:rsidR="00114E34" w:rsidRDefault="009814DC" w:rsidP="009814DC">
      <w:pPr>
        <w:pStyle w:val="Heading4"/>
      </w:pPr>
      <w:r>
        <w:t>Conducting an Election during a Pandemic</w:t>
      </w:r>
    </w:p>
    <w:p w14:paraId="1FD37E95" w14:textId="4E5D50B5" w:rsidR="00017B38" w:rsidRDefault="00A2604C" w:rsidP="00052AC4">
      <w:pPr>
        <w:pStyle w:val="BodyText"/>
      </w:pPr>
      <w:r>
        <w:t>One of the terms of reference for this inquiry is the impact of the COVID-19 pandemic on the election.</w:t>
      </w:r>
      <w:r w:rsidR="0096739F">
        <w:t xml:space="preserve">  </w:t>
      </w:r>
      <w:r w:rsidR="00017B38">
        <w:t xml:space="preserve">On 16 March 2020, the Minister for Health declared a public health emergency under the </w:t>
      </w:r>
      <w:r w:rsidR="00017B38" w:rsidRPr="0096739F">
        <w:rPr>
          <w:i/>
          <w:iCs/>
        </w:rPr>
        <w:t>Public Health Act 1997</w:t>
      </w:r>
      <w:r w:rsidR="00017B38">
        <w:t xml:space="preserve"> </w:t>
      </w:r>
      <w:r w:rsidR="00020BCF">
        <w:t>in response to the COVID-19 pandemic.</w:t>
      </w:r>
      <w:r w:rsidR="00020BCF">
        <w:rPr>
          <w:rStyle w:val="FootnoteReference"/>
        </w:rPr>
        <w:footnoteReference w:id="27"/>
      </w:r>
      <w:r w:rsidR="00020BCF">
        <w:t xml:space="preserve">  This authorised the Chief Health Officer to make a series of emergency directions to contain the spread of the virus, including restrictions on movement and public gatherings.</w:t>
      </w:r>
      <w:r w:rsidR="00020BCF">
        <w:rPr>
          <w:rStyle w:val="FootnoteReference"/>
        </w:rPr>
        <w:footnoteReference w:id="28"/>
      </w:r>
    </w:p>
    <w:p w14:paraId="7F02D3EC" w14:textId="69A5FC78" w:rsidR="00800E94" w:rsidRDefault="00800E94" w:rsidP="00892BD3">
      <w:pPr>
        <w:pStyle w:val="BodyText"/>
      </w:pPr>
      <w:r>
        <w:t xml:space="preserve">The Electoral Commission’s planning for the election, and the management of risk during the changing circumstances of the pandemic, is </w:t>
      </w:r>
      <w:r w:rsidR="00E80B3B">
        <w:t>detailed</w:t>
      </w:r>
      <w:r>
        <w:t xml:space="preserve"> in the Election Report 2020</w:t>
      </w:r>
      <w:r w:rsidR="00E80B3B">
        <w:t>, and summarised below</w:t>
      </w:r>
      <w:r>
        <w:t xml:space="preserve">.  </w:t>
      </w:r>
    </w:p>
    <w:p w14:paraId="06F9CEAA" w14:textId="46C7087B" w:rsidR="00821312" w:rsidRDefault="00821312" w:rsidP="00892BD3">
      <w:pPr>
        <w:pStyle w:val="BodyText"/>
      </w:pPr>
      <w:r>
        <w:t xml:space="preserve">The Electoral Commission stated that </w:t>
      </w:r>
      <w:r w:rsidR="00BD0A2B">
        <w:t xml:space="preserve">the main </w:t>
      </w:r>
      <w:r>
        <w:t xml:space="preserve">considerations </w:t>
      </w:r>
      <w:r w:rsidR="00BD0A2B">
        <w:t xml:space="preserve">in planning for the election </w:t>
      </w:r>
      <w:r>
        <w:t>were health and safety, and electoral integrity:</w:t>
      </w:r>
    </w:p>
    <w:p w14:paraId="49374495" w14:textId="68AF7AD2" w:rsidR="00892BD3" w:rsidRDefault="00892BD3" w:rsidP="00821312">
      <w:pPr>
        <w:pStyle w:val="Quote"/>
      </w:pPr>
      <w:r>
        <w:t>‘</w:t>
      </w:r>
      <w:r w:rsidR="00472185">
        <w:t>[T]</w:t>
      </w:r>
      <w:r>
        <w:t xml:space="preserve">he ACT Electoral Commission was mindful of the enduring impact of the COVID-19 pandemic and assumed ongoing and fluctuating community restrictions for its long-term planning for the conduct of the election. </w:t>
      </w:r>
      <w:r w:rsidR="00472185">
        <w:t xml:space="preserve"> </w:t>
      </w:r>
      <w:r>
        <w:t>The Commission considered these impacts in terms of health and safety and electoral integrity from the perspective of government, political parties and candidates, the ACT electoral staff and the wider ACT community.’</w:t>
      </w:r>
      <w:r w:rsidR="00821312">
        <w:rPr>
          <w:rStyle w:val="FootnoteReference"/>
        </w:rPr>
        <w:footnoteReference w:id="29"/>
      </w:r>
      <w:r>
        <w:t xml:space="preserve"> </w:t>
      </w:r>
    </w:p>
    <w:p w14:paraId="63569037" w14:textId="779BF3E8" w:rsidR="00A90E7F" w:rsidRPr="00A90E7F" w:rsidRDefault="00821312" w:rsidP="00A90E7F">
      <w:pPr>
        <w:pStyle w:val="BodyText"/>
      </w:pPr>
      <w:r>
        <w:t xml:space="preserve">The risks identified </w:t>
      </w:r>
      <w:r w:rsidR="00BD0A2B">
        <w:t xml:space="preserve">by the Commission </w:t>
      </w:r>
      <w:r>
        <w:t xml:space="preserve">in conducting an election during a pandemic were: </w:t>
      </w:r>
      <w:r w:rsidR="00A90E7F" w:rsidRPr="00A90E7F">
        <w:t>health and safety of electors</w:t>
      </w:r>
      <w:r>
        <w:t>;</w:t>
      </w:r>
      <w:r w:rsidR="00A90E7F" w:rsidRPr="00A90E7F">
        <w:t xml:space="preserve"> risks to election staff</w:t>
      </w:r>
      <w:r>
        <w:t>;</w:t>
      </w:r>
      <w:r w:rsidR="00A90E7F" w:rsidRPr="00A90E7F">
        <w:t xml:space="preserve"> electioneering</w:t>
      </w:r>
      <w:r>
        <w:t xml:space="preserve">; </w:t>
      </w:r>
      <w:r w:rsidR="00A90E7F" w:rsidRPr="00A90E7F">
        <w:t>community engagements</w:t>
      </w:r>
      <w:r>
        <w:t>;</w:t>
      </w:r>
      <w:r w:rsidR="00A90E7F" w:rsidRPr="00A90E7F">
        <w:t xml:space="preserve"> voter anxiety</w:t>
      </w:r>
      <w:r>
        <w:t>;</w:t>
      </w:r>
      <w:r w:rsidR="00A90E7F" w:rsidRPr="00A90E7F">
        <w:t xml:space="preserve"> remote working arrangements</w:t>
      </w:r>
      <w:r>
        <w:t>;</w:t>
      </w:r>
      <w:r w:rsidR="00A90E7F" w:rsidRPr="00A90E7F">
        <w:t xml:space="preserve"> lack of capacity and certainty</w:t>
      </w:r>
      <w:r>
        <w:t>;</w:t>
      </w:r>
      <w:r w:rsidR="00A90E7F" w:rsidRPr="00A90E7F">
        <w:t xml:space="preserve"> mobile polling</w:t>
      </w:r>
      <w:r>
        <w:t>;</w:t>
      </w:r>
      <w:r w:rsidR="00A90E7F" w:rsidRPr="00A90E7F">
        <w:t xml:space="preserve"> potential absence of key </w:t>
      </w:r>
      <w:r>
        <w:t xml:space="preserve">Electoral Commission </w:t>
      </w:r>
      <w:r w:rsidR="00A90E7F" w:rsidRPr="00A90E7F">
        <w:t>staff</w:t>
      </w:r>
      <w:r>
        <w:t>;</w:t>
      </w:r>
      <w:r w:rsidR="00A90E7F" w:rsidRPr="00A90E7F">
        <w:t xml:space="preserve"> </w:t>
      </w:r>
      <w:r>
        <w:t xml:space="preserve">and the need to </w:t>
      </w:r>
      <w:r w:rsidR="00A90E7F" w:rsidRPr="00A90E7F">
        <w:t>engage</w:t>
      </w:r>
      <w:r>
        <w:t>,</w:t>
      </w:r>
      <w:r w:rsidR="00A90E7F" w:rsidRPr="00A90E7F">
        <w:t xml:space="preserve"> train</w:t>
      </w:r>
      <w:r>
        <w:t>, and</w:t>
      </w:r>
      <w:r w:rsidR="00A90E7F" w:rsidRPr="00A90E7F">
        <w:t xml:space="preserve"> deploy 700 polling staff</w:t>
      </w:r>
      <w:r>
        <w:t>.</w:t>
      </w:r>
      <w:r>
        <w:rPr>
          <w:rStyle w:val="FootnoteReference"/>
        </w:rPr>
        <w:footnoteReference w:id="30"/>
      </w:r>
    </w:p>
    <w:p w14:paraId="38AE5163" w14:textId="687E15FD" w:rsidR="00A90E7F" w:rsidRDefault="00821312" w:rsidP="00A90E7F">
      <w:pPr>
        <w:pStyle w:val="BodyText"/>
      </w:pPr>
      <w:r>
        <w:t>The Electoral Commission established an Election Contingency Planning Team</w:t>
      </w:r>
      <w:r w:rsidR="00BD0A2B">
        <w:t xml:space="preserve"> (ECPT)</w:t>
      </w:r>
      <w:r>
        <w:t xml:space="preserve"> to develop options for the conduct of the election, compris</w:t>
      </w:r>
      <w:r w:rsidR="006A4234">
        <w:t>ing</w:t>
      </w:r>
      <w:r>
        <w:t xml:space="preserve"> ACT Policing, Health Directorate, Solicitor-General’s office, Shared Services ICT, and Australian Cyber Security Centre</w:t>
      </w:r>
      <w:r w:rsidR="00C13276">
        <w:t xml:space="preserve">.  The options identified </w:t>
      </w:r>
      <w:proofErr w:type="gramStart"/>
      <w:r w:rsidR="00C13276">
        <w:t>were:</w:t>
      </w:r>
      <w:proofErr w:type="gramEnd"/>
      <w:r w:rsidR="00BD0A2B">
        <w:t xml:space="preserve"> n</w:t>
      </w:r>
      <w:r w:rsidR="00A90E7F">
        <w:t>o change to date or election format</w:t>
      </w:r>
      <w:r w:rsidR="00BD0A2B">
        <w:t>; u</w:t>
      </w:r>
      <w:r w:rsidR="00A90E7F">
        <w:t>niversal online voting</w:t>
      </w:r>
      <w:r w:rsidR="00BD0A2B">
        <w:t>; u</w:t>
      </w:r>
      <w:r w:rsidR="00A90E7F">
        <w:t>niversal postal voting</w:t>
      </w:r>
      <w:r w:rsidR="00BD0A2B">
        <w:t>; e</w:t>
      </w:r>
      <w:r w:rsidR="00A90E7F">
        <w:t>xtend the election as per extant legislation</w:t>
      </w:r>
      <w:r w:rsidR="00BD0A2B">
        <w:t>; d</w:t>
      </w:r>
      <w:r w:rsidR="00A90E7F">
        <w:t>efer the election through amended legislation</w:t>
      </w:r>
      <w:r w:rsidR="00BD0A2B">
        <w:t>; or e</w:t>
      </w:r>
      <w:r w:rsidR="00A90E7F">
        <w:t>xpanded early voting</w:t>
      </w:r>
      <w:r w:rsidR="00BD0A2B">
        <w:t>.</w:t>
      </w:r>
      <w:r w:rsidR="00BD0A2B">
        <w:rPr>
          <w:rStyle w:val="FootnoteReference"/>
        </w:rPr>
        <w:footnoteReference w:id="31"/>
      </w:r>
    </w:p>
    <w:p w14:paraId="4AF9F2EF" w14:textId="68C52AC4" w:rsidR="00BD0A2B" w:rsidRDefault="006A4234" w:rsidP="00A90E7F">
      <w:pPr>
        <w:pStyle w:val="BodyText"/>
      </w:pPr>
      <w:r>
        <w:lastRenderedPageBreak/>
        <w:t>After consultation with t</w:t>
      </w:r>
      <w:r w:rsidR="00BD0A2B">
        <w:t>he ECPT</w:t>
      </w:r>
      <w:r>
        <w:t xml:space="preserve">, the Electoral Commission </w:t>
      </w:r>
      <w:r w:rsidR="00BD0A2B">
        <w:t>chose the sixth option of</w:t>
      </w:r>
      <w:r w:rsidR="00A90E7F">
        <w:t xml:space="preserve"> expanded early voting</w:t>
      </w:r>
      <w:r w:rsidR="00BD0A2B">
        <w:t>:</w:t>
      </w:r>
    </w:p>
    <w:p w14:paraId="75070F53" w14:textId="17FF5FBE" w:rsidR="00BD0A2B" w:rsidRDefault="00A90E7F" w:rsidP="00BD0A2B">
      <w:pPr>
        <w:pStyle w:val="Quote"/>
      </w:pPr>
      <w:r w:rsidRPr="00A90E7F">
        <w:t>‘</w:t>
      </w:r>
      <w:r w:rsidR="00020BCF">
        <w:t>[T]</w:t>
      </w:r>
      <w:r w:rsidRPr="00A90E7F">
        <w:t>he expanded early voting model best assured continued electoral integrity, required minimal legislative amendments, and provided a responsible and adaptive response to mitigate the community health risks of the virus as known at that time, and importantly guarded against possible further waves of outbreaks that may have occurred over the period leading up to the election.</w:t>
      </w:r>
      <w:r w:rsidR="00BD0A2B">
        <w:t>’</w:t>
      </w:r>
      <w:r w:rsidR="00BD0A2B">
        <w:rPr>
          <w:rStyle w:val="FootnoteReference"/>
        </w:rPr>
        <w:footnoteReference w:id="32"/>
      </w:r>
    </w:p>
    <w:p w14:paraId="3FFEC10E" w14:textId="0FC6E3B1" w:rsidR="00CF0536" w:rsidRDefault="00A90E7F" w:rsidP="00BD0A2B">
      <w:pPr>
        <w:pStyle w:val="BodyText"/>
      </w:pPr>
      <w:r w:rsidRPr="00A90E7F">
        <w:t xml:space="preserve">The Commission </w:t>
      </w:r>
      <w:r w:rsidR="00BD0A2B">
        <w:t>presented this recommendation</w:t>
      </w:r>
      <w:r w:rsidRPr="00A90E7F">
        <w:t xml:space="preserve"> to the Legislative Assembly through a </w:t>
      </w:r>
      <w:r w:rsidRPr="00BD0A2B">
        <w:rPr>
          <w:i/>
          <w:iCs/>
        </w:rPr>
        <w:t xml:space="preserve">Special Report </w:t>
      </w:r>
      <w:r w:rsidRPr="00A90E7F">
        <w:t xml:space="preserve">tabled in May 2020, seeking amendment to the </w:t>
      </w:r>
      <w:r w:rsidRPr="00CF0536">
        <w:t>Electoral Act</w:t>
      </w:r>
      <w:r w:rsidRPr="00BD0A2B">
        <w:rPr>
          <w:i/>
          <w:iCs/>
        </w:rPr>
        <w:t xml:space="preserve"> </w:t>
      </w:r>
      <w:r w:rsidRPr="00A90E7F">
        <w:t xml:space="preserve">to </w:t>
      </w:r>
      <w:r w:rsidR="00CF0536">
        <w:t>authorise</w:t>
      </w:r>
      <w:r w:rsidRPr="00A90E7F">
        <w:t xml:space="preserve"> all electors to vote early.</w:t>
      </w:r>
      <w:r w:rsidR="00020BCF">
        <w:rPr>
          <w:rStyle w:val="FootnoteReference"/>
        </w:rPr>
        <w:footnoteReference w:id="33"/>
      </w:r>
      <w:r w:rsidRPr="00A90E7F">
        <w:t xml:space="preserve"> </w:t>
      </w:r>
      <w:r w:rsidR="00BD0A2B">
        <w:t xml:space="preserve"> </w:t>
      </w:r>
    </w:p>
    <w:p w14:paraId="701C219C" w14:textId="2729B4A3" w:rsidR="00BD0A2B" w:rsidRDefault="00A90E7F" w:rsidP="00114E34">
      <w:pPr>
        <w:pStyle w:val="BodyText"/>
      </w:pPr>
      <w:r w:rsidRPr="00A90E7F">
        <w:t xml:space="preserve">The Electoral Commissioner </w:t>
      </w:r>
      <w:r w:rsidR="00CF0536">
        <w:t>increased</w:t>
      </w:r>
      <w:r w:rsidRPr="00A90E7F">
        <w:t xml:space="preserve"> the number and operating hours of early voting centres</w:t>
      </w:r>
      <w:r w:rsidR="00CF0536">
        <w:t xml:space="preserve">, and </w:t>
      </w:r>
      <w:r w:rsidR="00BD0A2B">
        <w:t>employ</w:t>
      </w:r>
      <w:r w:rsidR="00CF0536">
        <w:t>ed</w:t>
      </w:r>
      <w:r w:rsidR="00BD0A2B">
        <w:t xml:space="preserve"> extra staff at </w:t>
      </w:r>
      <w:r w:rsidR="00CF0536">
        <w:t xml:space="preserve">each </w:t>
      </w:r>
      <w:r w:rsidR="00BD0A2B">
        <w:t>polling centre:</w:t>
      </w:r>
    </w:p>
    <w:p w14:paraId="57C1A6DE" w14:textId="78298518" w:rsidR="00114E34" w:rsidRPr="00114E34" w:rsidRDefault="00114E34" w:rsidP="00BD0A2B">
      <w:pPr>
        <w:pStyle w:val="Quote"/>
      </w:pPr>
      <w:r w:rsidRPr="00114E34">
        <w:t xml:space="preserve">‘to increase the number of queue controllers and e-voting officers within each early voting location. </w:t>
      </w:r>
      <w:r w:rsidR="00BD0A2B">
        <w:t xml:space="preserve"> </w:t>
      </w:r>
      <w:r w:rsidRPr="00114E34">
        <w:t xml:space="preserve">This decision allowed for a queue controller to be stationed at the head of any queue, directing electors to a place in front of an issuing table, as is typically the practice within ACT polling places. </w:t>
      </w:r>
      <w:r w:rsidR="00BD0A2B">
        <w:t xml:space="preserve"> </w:t>
      </w:r>
      <w:r w:rsidRPr="00114E34">
        <w:t xml:space="preserve">The second queue controller provided for the additional oversight of COVID social distancing measures within any queue that may have formed. </w:t>
      </w:r>
      <w:r w:rsidR="00BD0A2B">
        <w:t xml:space="preserve"> </w:t>
      </w:r>
      <w:r w:rsidRPr="00114E34">
        <w:t>The addition of a second e-voting officer allowed for each electronic voting screen to be sanitised after every voter, while still ensuring that assistance was available to e-voting electors at all times.’</w:t>
      </w:r>
      <w:r w:rsidR="00BD0A2B">
        <w:rPr>
          <w:rStyle w:val="FootnoteReference"/>
        </w:rPr>
        <w:footnoteReference w:id="34"/>
      </w:r>
      <w:r w:rsidRPr="00114E34">
        <w:t xml:space="preserve"> </w:t>
      </w:r>
    </w:p>
    <w:p w14:paraId="501D95E9" w14:textId="79294C06" w:rsidR="00CF0536" w:rsidRDefault="00CF0536" w:rsidP="00171AAF">
      <w:pPr>
        <w:pStyle w:val="BodyText"/>
      </w:pPr>
      <w:r>
        <w:t>Public health restrictions required additional e</w:t>
      </w:r>
      <w:r w:rsidR="00171AAF">
        <w:t>quipment and logistics</w:t>
      </w:r>
      <w:r>
        <w:t xml:space="preserve"> at polling places:</w:t>
      </w:r>
    </w:p>
    <w:p w14:paraId="66963244" w14:textId="620D713D" w:rsidR="00171AAF" w:rsidRDefault="00171AAF" w:rsidP="00CF0536">
      <w:pPr>
        <w:pStyle w:val="Quote"/>
      </w:pPr>
      <w:r w:rsidRPr="00800E94">
        <w:t xml:space="preserve">‘New materials such as social distancing floor markers, room capacity and COVID check in posters and posters displaying COVID-safe procedures and practices, were developed for display within each polling location. </w:t>
      </w:r>
      <w:r w:rsidR="00CF0536">
        <w:t xml:space="preserve"> </w:t>
      </w:r>
      <w:r w:rsidRPr="00800E94">
        <w:t xml:space="preserve">Personal Protective Equipment (PPE), such as disinfectant, hand-sanitiser, </w:t>
      </w:r>
      <w:proofErr w:type="gramStart"/>
      <w:r w:rsidRPr="00800E94">
        <w:t>masks</w:t>
      </w:r>
      <w:proofErr w:type="gramEnd"/>
      <w:r w:rsidRPr="00800E94">
        <w:t xml:space="preserve"> and Perspex ‘sneeze-screens’ were procured in large numbers and dispersed across all facets of the Commission’s event conduct.’</w:t>
      </w:r>
      <w:r w:rsidR="00CF0536">
        <w:rPr>
          <w:rStyle w:val="FootnoteReference"/>
        </w:rPr>
        <w:footnoteReference w:id="35"/>
      </w:r>
    </w:p>
    <w:p w14:paraId="183AE7D0" w14:textId="40CAA3D3" w:rsidR="009873BE" w:rsidRDefault="009873BE" w:rsidP="00A2604C">
      <w:pPr>
        <w:pStyle w:val="BodyText"/>
      </w:pPr>
      <w:r>
        <w:t>The July 2020 amendments to the Electoral Act also authorised the Electoral Commission to establish</w:t>
      </w:r>
      <w:r w:rsidR="00020BCF">
        <w:t xml:space="preserve"> </w:t>
      </w:r>
      <w:r>
        <w:t xml:space="preserve">an online voting system for registered voters </w:t>
      </w:r>
      <w:r w:rsidR="00051AFE">
        <w:t xml:space="preserve">who were </w:t>
      </w:r>
      <w:r>
        <w:t>overseas at the time of the election, due to the delays in the global postal system during the pandemic</w:t>
      </w:r>
      <w:r w:rsidR="00051AFE">
        <w:t>;</w:t>
      </w:r>
      <w:r w:rsidR="006876C7">
        <w:t xml:space="preserve"> and</w:t>
      </w:r>
      <w:r w:rsidR="00020BCF">
        <w:t xml:space="preserve"> </w:t>
      </w:r>
      <w:r w:rsidR="006876C7">
        <w:t>a telephone voting system for blind and vision-impaired voters</w:t>
      </w:r>
      <w:r>
        <w:t>.</w:t>
      </w:r>
      <w:r>
        <w:rPr>
          <w:rStyle w:val="FootnoteReference"/>
        </w:rPr>
        <w:footnoteReference w:id="36"/>
      </w:r>
      <w:r>
        <w:t xml:space="preserve"> </w:t>
      </w:r>
    </w:p>
    <w:p w14:paraId="2771E6C8" w14:textId="74B3AC21" w:rsidR="00BD0A2B" w:rsidRDefault="00CF0536" w:rsidP="00BD0A2B">
      <w:pPr>
        <w:pStyle w:val="BodyText"/>
      </w:pPr>
      <w:r>
        <w:lastRenderedPageBreak/>
        <w:t xml:space="preserve">The expanded operations at polling places (more staff, more venues, longer venue hire, PPE) as well as </w:t>
      </w:r>
      <w:r w:rsidR="00D5106D">
        <w:t xml:space="preserve">additional </w:t>
      </w:r>
      <w:r>
        <w:t xml:space="preserve">communications and </w:t>
      </w:r>
      <w:r w:rsidR="009873BE">
        <w:t>the</w:t>
      </w:r>
      <w:r>
        <w:t xml:space="preserve"> online voting system for overseas voters, resulted in significant expansion to the Electoral Commission’s budget.  The Commissioner states that he requested $5 million from </w:t>
      </w:r>
      <w:proofErr w:type="gramStart"/>
      <w:r>
        <w:t>Treasury, and</w:t>
      </w:r>
      <w:proofErr w:type="gramEnd"/>
      <w:r>
        <w:t xml:space="preserve"> received $3.8 million </w:t>
      </w:r>
      <w:r w:rsidR="00D5106D">
        <w:t>‘</w:t>
      </w:r>
      <w:r>
        <w:t>with assurance of more if needed’.</w:t>
      </w:r>
      <w:r w:rsidR="00D5106D">
        <w:rPr>
          <w:rStyle w:val="FootnoteReference"/>
        </w:rPr>
        <w:footnoteReference w:id="37"/>
      </w:r>
      <w:r>
        <w:t xml:space="preserve">  The total budget for the 2020 Election was</w:t>
      </w:r>
      <w:r w:rsidR="00BD0A2B">
        <w:t xml:space="preserve"> $8 million</w:t>
      </w:r>
      <w:r w:rsidR="0096739F">
        <w:t>,</w:t>
      </w:r>
      <w:r>
        <w:rPr>
          <w:rStyle w:val="FootnoteReference"/>
        </w:rPr>
        <w:footnoteReference w:id="38"/>
      </w:r>
      <w:r w:rsidR="00BD0A2B">
        <w:t xml:space="preserve"> </w:t>
      </w:r>
      <w:r w:rsidR="0096739F">
        <w:t xml:space="preserve">compared with </w:t>
      </w:r>
      <w:r w:rsidR="0096739F" w:rsidRPr="0096739F">
        <w:t>$4.854 mil</w:t>
      </w:r>
      <w:r w:rsidR="0096739F">
        <w:t>lion for the 2016 election.</w:t>
      </w:r>
      <w:r w:rsidR="0096739F">
        <w:rPr>
          <w:rStyle w:val="FootnoteReference"/>
        </w:rPr>
        <w:footnoteReference w:id="39"/>
      </w:r>
    </w:p>
    <w:p w14:paraId="45090E9E" w14:textId="5D28EF2C" w:rsidR="00D5106D" w:rsidRDefault="00171AAF" w:rsidP="00171AAF">
      <w:pPr>
        <w:pStyle w:val="BodyText"/>
      </w:pPr>
      <w:r>
        <w:t xml:space="preserve">As </w:t>
      </w:r>
      <w:r w:rsidR="00D5106D">
        <w:t>discussed</w:t>
      </w:r>
      <w:r>
        <w:t xml:space="preserve"> in Chapter 9,</w:t>
      </w:r>
      <w:r w:rsidR="00D5106D">
        <w:t xml:space="preserve"> </w:t>
      </w:r>
      <w:r w:rsidR="006A4234">
        <w:t xml:space="preserve">some of </w:t>
      </w:r>
      <w:r w:rsidR="00D5106D">
        <w:t>the Electoral Commission’s usual practices</w:t>
      </w:r>
      <w:r w:rsidR="006A4234">
        <w:t>,</w:t>
      </w:r>
      <w:r w:rsidR="00D5106D">
        <w:t xml:space="preserve"> </w:t>
      </w:r>
      <w:r w:rsidR="006A4234">
        <w:t>such as</w:t>
      </w:r>
      <w:r>
        <w:t xml:space="preserve"> mobile polling </w:t>
      </w:r>
      <w:r w:rsidR="00D5106D" w:rsidRPr="004548FE">
        <w:t>at hospitals, nursing homes and the Alexander Maconochie Centre</w:t>
      </w:r>
      <w:r w:rsidR="00D5106D">
        <w:t xml:space="preserve">, and employment of bilingual educators, </w:t>
      </w:r>
      <w:r>
        <w:t>w</w:t>
      </w:r>
      <w:r w:rsidR="00D5106D">
        <w:t xml:space="preserve">ere </w:t>
      </w:r>
      <w:r w:rsidR="006A4234">
        <w:t>cancelled</w:t>
      </w:r>
      <w:r w:rsidR="00D5106D">
        <w:t xml:space="preserve"> due to</w:t>
      </w:r>
      <w:r>
        <w:t xml:space="preserve"> </w:t>
      </w:r>
      <w:r w:rsidR="006A4234">
        <w:t xml:space="preserve">public </w:t>
      </w:r>
      <w:r w:rsidR="00D5106D">
        <w:t xml:space="preserve">health concerns during </w:t>
      </w:r>
      <w:r>
        <w:t>the pandemic.</w:t>
      </w:r>
      <w:r w:rsidR="00D5106D">
        <w:rPr>
          <w:rStyle w:val="FootnoteReference"/>
        </w:rPr>
        <w:footnoteReference w:id="40"/>
      </w:r>
    </w:p>
    <w:p w14:paraId="309C95EE" w14:textId="69A3A392" w:rsidR="00892BD3" w:rsidRDefault="00114E34" w:rsidP="009873BE">
      <w:pPr>
        <w:pStyle w:val="Heading4"/>
      </w:pPr>
      <w:r>
        <w:t xml:space="preserve">Views expressed in </w:t>
      </w:r>
      <w:r w:rsidR="00800E94">
        <w:t>S</w:t>
      </w:r>
      <w:r>
        <w:t>ubmissions</w:t>
      </w:r>
      <w:r w:rsidR="00956304">
        <w:t xml:space="preserve"> and Hearings</w:t>
      </w:r>
    </w:p>
    <w:p w14:paraId="04038B1A" w14:textId="28A5456B" w:rsidR="00800E94" w:rsidRPr="00800E94" w:rsidRDefault="00974481" w:rsidP="00800E94">
      <w:pPr>
        <w:pStyle w:val="BodyText"/>
      </w:pPr>
      <w:r>
        <w:t>A strong theme in submissions to</w:t>
      </w:r>
      <w:r w:rsidR="00800E94" w:rsidRPr="00800E94">
        <w:t xml:space="preserve"> this inquiry was that the election was conducted well </w:t>
      </w:r>
      <w:r w:rsidR="00020BCF">
        <w:t>under</w:t>
      </w:r>
      <w:r w:rsidR="00800E94" w:rsidRPr="00800E94">
        <w:t xml:space="preserve"> </w:t>
      </w:r>
      <w:r w:rsidR="009873BE">
        <w:t xml:space="preserve">very </w:t>
      </w:r>
      <w:r w:rsidR="00800E94" w:rsidRPr="00800E94">
        <w:t>difficult circumstances</w:t>
      </w:r>
      <w:r w:rsidR="009873BE">
        <w:t xml:space="preserve">.  </w:t>
      </w:r>
    </w:p>
    <w:p w14:paraId="3FCE193B" w14:textId="2641C77C" w:rsidR="00C4628D" w:rsidRDefault="005A52DE" w:rsidP="005A52DE">
      <w:pPr>
        <w:pStyle w:val="Quote"/>
      </w:pPr>
      <w:r>
        <w:t>‘</w:t>
      </w:r>
      <w:r w:rsidR="00D5106D">
        <w:t>[T]</w:t>
      </w:r>
      <w:r w:rsidRPr="005A52DE">
        <w:t>he ACT election ran very well during COVID and the mitigation measures were more than was necessary, which is exactly what you should have done.’</w:t>
      </w:r>
      <w:r w:rsidR="009873BE">
        <w:rPr>
          <w:rStyle w:val="FootnoteReference"/>
        </w:rPr>
        <w:footnoteReference w:id="41"/>
      </w:r>
      <w:r>
        <w:t xml:space="preserve"> </w:t>
      </w:r>
    </w:p>
    <w:p w14:paraId="4E8AE1E0" w14:textId="022F6476" w:rsidR="002D4BC1" w:rsidRPr="002D4BC1" w:rsidRDefault="002D4BC1" w:rsidP="009873BE">
      <w:pPr>
        <w:pStyle w:val="Quote"/>
      </w:pPr>
      <w:r w:rsidRPr="002D4BC1">
        <w:t>‘The election was, by and large, administered competently by the Electoral Commission particularly in rapidly changing circumstances</w:t>
      </w:r>
      <w:r w:rsidR="009873BE">
        <w:t xml:space="preserve">… </w:t>
      </w:r>
      <w:r w:rsidRPr="002D4BC1">
        <w:t xml:space="preserve">the Liberal Party appreciated the open and frank communication as to how the risks of COVID-19 were going to be managed through the campaign, </w:t>
      </w:r>
      <w:proofErr w:type="gramStart"/>
      <w:r w:rsidRPr="002D4BC1">
        <w:t>in particular during</w:t>
      </w:r>
      <w:proofErr w:type="gramEnd"/>
      <w:r w:rsidRPr="002D4BC1">
        <w:t xml:space="preserve"> the voting process.’</w:t>
      </w:r>
      <w:r w:rsidR="009873BE">
        <w:rPr>
          <w:rStyle w:val="FootnoteReference"/>
        </w:rPr>
        <w:footnoteReference w:id="42"/>
      </w:r>
      <w:r w:rsidRPr="002D4BC1">
        <w:t xml:space="preserve"> </w:t>
      </w:r>
    </w:p>
    <w:p w14:paraId="5AFECE74" w14:textId="7AFD67A7" w:rsidR="002D4BC1" w:rsidRDefault="00274198" w:rsidP="009873BE">
      <w:pPr>
        <w:pStyle w:val="Quote"/>
      </w:pPr>
      <w:r>
        <w:t>‘</w:t>
      </w:r>
      <w:r w:rsidRPr="00274198">
        <w:t>Overall, my impression as a voter and a frontline official was that the Commission’s COVID-19 response measures were well executed.’</w:t>
      </w:r>
      <w:r w:rsidR="009873BE">
        <w:rPr>
          <w:rStyle w:val="FootnoteReference"/>
        </w:rPr>
        <w:footnoteReference w:id="43"/>
      </w:r>
    </w:p>
    <w:p w14:paraId="3879DFB3" w14:textId="27174841" w:rsidR="00174A57" w:rsidRDefault="00174A57" w:rsidP="009873BE">
      <w:pPr>
        <w:pStyle w:val="Quote"/>
      </w:pPr>
      <w:r>
        <w:t>‘This Submission is generally positive about the measures taken by Elections ACT in 2020 to mitigate the risks of COVID-19.’</w:t>
      </w:r>
      <w:r w:rsidR="009873BE">
        <w:rPr>
          <w:rStyle w:val="FootnoteReference"/>
        </w:rPr>
        <w:footnoteReference w:id="44"/>
      </w:r>
      <w:r>
        <w:t xml:space="preserve"> </w:t>
      </w:r>
    </w:p>
    <w:p w14:paraId="4D4E93EC" w14:textId="75F0A215" w:rsidR="009873BE" w:rsidRDefault="009873BE" w:rsidP="009873BE">
      <w:pPr>
        <w:pStyle w:val="BodyText"/>
      </w:pPr>
      <w:r>
        <w:t xml:space="preserve">Some submissions called for some of the temporary measures </w:t>
      </w:r>
      <w:r w:rsidR="006876C7">
        <w:t xml:space="preserve">put in place for the 2020 election to </w:t>
      </w:r>
      <w:r>
        <w:t>be restored permanently for future elections</w:t>
      </w:r>
      <w:r w:rsidR="006876C7">
        <w:t>, particularly the expanded access to early voting, online voting for overseas electors, and telephone voting for blind and vision-impaired voters.</w:t>
      </w:r>
      <w:r w:rsidR="006876C7">
        <w:rPr>
          <w:rStyle w:val="FootnoteReference"/>
        </w:rPr>
        <w:footnoteReference w:id="45"/>
      </w:r>
      <w:r w:rsidR="006876C7">
        <w:t xml:space="preserve">  These</w:t>
      </w:r>
      <w:r>
        <w:t xml:space="preserve"> suggestions are discussed </w:t>
      </w:r>
      <w:r w:rsidR="006876C7">
        <w:t>under relevant headings in this report</w:t>
      </w:r>
      <w:r>
        <w:t xml:space="preserve">. </w:t>
      </w:r>
    </w:p>
    <w:p w14:paraId="61D2BF81" w14:textId="4966937B" w:rsidR="0019591D" w:rsidRDefault="003D2BD5" w:rsidP="008C5FB0">
      <w:pPr>
        <w:pStyle w:val="Heading2"/>
      </w:pPr>
      <w:bookmarkStart w:id="47" w:name="_Toc78535735"/>
      <w:r>
        <w:lastRenderedPageBreak/>
        <w:t xml:space="preserve">Early </w:t>
      </w:r>
      <w:r w:rsidR="00195C0C">
        <w:t>V</w:t>
      </w:r>
      <w:r>
        <w:t>oting</w:t>
      </w:r>
      <w:bookmarkEnd w:id="47"/>
      <w:r>
        <w:t xml:space="preserve"> </w:t>
      </w:r>
    </w:p>
    <w:p w14:paraId="75DC2A26" w14:textId="77777777" w:rsidR="006876C7" w:rsidRDefault="006876C7" w:rsidP="009814DC">
      <w:pPr>
        <w:pStyle w:val="Heading4"/>
      </w:pPr>
      <w:r>
        <w:t>Legislative framework</w:t>
      </w:r>
    </w:p>
    <w:p w14:paraId="00379FBC" w14:textId="77777777" w:rsidR="001871AB" w:rsidRDefault="001871AB" w:rsidP="00AF7020">
      <w:pPr>
        <w:pStyle w:val="BodyText"/>
      </w:pPr>
      <w:r>
        <w:t>In ordinary times, a voter may submit their vote at an early voting centre if they expect to be unable to attend a polling place on polling day.</w:t>
      </w:r>
      <w:r>
        <w:rPr>
          <w:rStyle w:val="FootnoteReference"/>
        </w:rPr>
        <w:footnoteReference w:id="46"/>
      </w:r>
      <w:r>
        <w:t xml:space="preserve">  </w:t>
      </w:r>
    </w:p>
    <w:p w14:paraId="00F8116A" w14:textId="19D8C14C" w:rsidR="001871AB" w:rsidRDefault="001871AB" w:rsidP="00AF7020">
      <w:pPr>
        <w:pStyle w:val="BodyText"/>
      </w:pPr>
      <w:r>
        <w:t>Due to the risks presented by the COVID-19 pandemic, the Electoral Act was temporarily amended to allow any eligible elector to vote during the early voting period for the 2020 election.</w:t>
      </w:r>
      <w:r>
        <w:rPr>
          <w:rStyle w:val="FootnoteReference"/>
        </w:rPr>
        <w:footnoteReference w:id="47"/>
      </w:r>
      <w:r>
        <w:t xml:space="preserve">  </w:t>
      </w:r>
      <w:r w:rsidR="006715C3" w:rsidRPr="006715C3">
        <w:t xml:space="preserve">This </w:t>
      </w:r>
      <w:r w:rsidR="006715C3">
        <w:t>was to ‘</w:t>
      </w:r>
      <w:r w:rsidR="006715C3" w:rsidRPr="006715C3">
        <w:t>prevent large crowds of electors gathering on polling day as is normally the case, and thereby reduce the potential for exposure to, and spread of, COVID-19.</w:t>
      </w:r>
      <w:r w:rsidR="006715C3">
        <w:t>’</w:t>
      </w:r>
      <w:r w:rsidR="006715C3">
        <w:rPr>
          <w:rStyle w:val="FootnoteReference"/>
        </w:rPr>
        <w:footnoteReference w:id="48"/>
      </w:r>
      <w:r w:rsidR="006715C3">
        <w:t xml:space="preserve">  </w:t>
      </w:r>
      <w:r>
        <w:t>The</w:t>
      </w:r>
      <w:r w:rsidR="00542250">
        <w:t>se</w:t>
      </w:r>
      <w:r>
        <w:t xml:space="preserve"> provisions do not apply to future elections.  </w:t>
      </w:r>
    </w:p>
    <w:p w14:paraId="6CD0BC45" w14:textId="488F32C3" w:rsidR="006876C7" w:rsidRDefault="00956304" w:rsidP="009814DC">
      <w:pPr>
        <w:pStyle w:val="Heading4"/>
      </w:pPr>
      <w:r>
        <w:t>Early Voting during the</w:t>
      </w:r>
      <w:r w:rsidR="006876C7">
        <w:t xml:space="preserve"> 2020 </w:t>
      </w:r>
      <w:r w:rsidR="00F83BC8">
        <w:t>E</w:t>
      </w:r>
      <w:r w:rsidR="006876C7">
        <w:t>lection</w:t>
      </w:r>
    </w:p>
    <w:p w14:paraId="06F48839" w14:textId="0AF7130F" w:rsidR="00AF7020" w:rsidRDefault="00AF7020" w:rsidP="00AF7020">
      <w:pPr>
        <w:pStyle w:val="BodyText"/>
      </w:pPr>
      <w:r>
        <w:t>The times and locations of early voting were more extensive for the 2020 election than previous elections.  Fifteen early voting locations were open every day of the early voting period, including weekends and public holidays, from 9am to 5pm with extended hours of 9am to 8pm on Fridays.</w:t>
      </w:r>
      <w:r>
        <w:rPr>
          <w:rStyle w:val="FootnoteReference"/>
        </w:rPr>
        <w:footnoteReference w:id="49"/>
      </w:r>
      <w:r w:rsidRPr="00BC4C6B">
        <w:t xml:space="preserve"> </w:t>
      </w:r>
    </w:p>
    <w:p w14:paraId="2313D310" w14:textId="483392CE" w:rsidR="001871AB" w:rsidRDefault="001871AB" w:rsidP="001871AB">
      <w:pPr>
        <w:pStyle w:val="BodyText"/>
      </w:pPr>
      <w:r>
        <w:t xml:space="preserve">As mentioned above at </w:t>
      </w:r>
      <w:r w:rsidRPr="00366A9C">
        <w:t xml:space="preserve">paragraph </w:t>
      </w:r>
      <w:r w:rsidR="00F74B46" w:rsidRPr="00366A9C">
        <w:t>2.7</w:t>
      </w:r>
      <w:r w:rsidRPr="00366A9C">
        <w:t>, 76% of people</w:t>
      </w:r>
      <w:r>
        <w:t xml:space="preserve"> </w:t>
      </w:r>
      <w:r w:rsidRPr="00BC4C6B">
        <w:t>voted early</w:t>
      </w:r>
      <w:r>
        <w:t xml:space="preserve"> in the 2020 election, which the Electoral Commission reports is an </w:t>
      </w:r>
      <w:r w:rsidRPr="00BC4C6B">
        <w:t>historical Australian record</w:t>
      </w:r>
      <w:r>
        <w:t xml:space="preserve">.  This figure includes postal </w:t>
      </w:r>
      <w:proofErr w:type="gramStart"/>
      <w:r>
        <w:t>votes, and</w:t>
      </w:r>
      <w:proofErr w:type="gramEnd"/>
      <w:r>
        <w:t xml:space="preserve"> compares with </w:t>
      </w:r>
      <w:r w:rsidRPr="00BC4C6B">
        <w:t>38.9% in 2016 and 31.2% in 2012.</w:t>
      </w:r>
      <w:r>
        <w:rPr>
          <w:rStyle w:val="FootnoteReference"/>
        </w:rPr>
        <w:footnoteReference w:id="50"/>
      </w:r>
      <w:r>
        <w:t xml:space="preserve">  (When excluding postal votes, 69% of electors voted early onsite at an early voting centre.  Early voting centre votes accounted for 26.9% of all votes in 2012, and 20.3% in 2008.)</w:t>
      </w:r>
      <w:r>
        <w:rPr>
          <w:rStyle w:val="FootnoteReference"/>
        </w:rPr>
        <w:footnoteReference w:id="51"/>
      </w:r>
    </w:p>
    <w:p w14:paraId="11D6A88F" w14:textId="44A40119" w:rsidR="00AF7020" w:rsidRDefault="001871AB" w:rsidP="006876C7">
      <w:pPr>
        <w:pStyle w:val="BodyText"/>
      </w:pPr>
      <w:r>
        <w:t xml:space="preserve">The Electoral Commission published data showing the </w:t>
      </w:r>
      <w:r w:rsidR="0096739F">
        <w:t>declining trend</w:t>
      </w:r>
      <w:r>
        <w:t xml:space="preserve"> in ordinary voting at ACT elections</w:t>
      </w:r>
      <w:r w:rsidR="00542250">
        <w:t>, and the increasing trend in early voting</w:t>
      </w:r>
      <w:r>
        <w:t xml:space="preserve">.  </w:t>
      </w:r>
      <w:r w:rsidR="00AF7020">
        <w:t>A table is available on page 6, and a</w:t>
      </w:r>
      <w:r>
        <w:t xml:space="preserve"> graph is available on page 47 of the </w:t>
      </w:r>
      <w:hyperlink r:id="rId22" w:history="1">
        <w:r w:rsidRPr="00AF7020">
          <w:rPr>
            <w:rStyle w:val="Hyperlink"/>
          </w:rPr>
          <w:t>Election Report</w:t>
        </w:r>
      </w:hyperlink>
      <w:r>
        <w:t>.</w:t>
      </w:r>
      <w:r w:rsidR="00AF7020">
        <w:rPr>
          <w:rStyle w:val="FootnoteReference"/>
        </w:rPr>
        <w:footnoteReference w:id="52"/>
      </w:r>
    </w:p>
    <w:p w14:paraId="20DDD01A" w14:textId="4CCD41BA" w:rsidR="006876C7" w:rsidRDefault="006876C7" w:rsidP="00AF7020">
      <w:pPr>
        <w:pStyle w:val="Quote"/>
      </w:pPr>
      <w:r w:rsidRPr="00136F40">
        <w:t xml:space="preserve">‘The percentage of voters attending an early voting centre and casting their vote before election day has increased markedly at every ACT election held since 1995. Where one in ten electors cast an early vote in 1995, over one in three electors cast an </w:t>
      </w:r>
      <w:r w:rsidRPr="00136F40">
        <w:lastRenderedPageBreak/>
        <w:t>early vote in 2016, with the number increasing further to seven in ten electors in the pandemic-affected 2020 election.’</w:t>
      </w:r>
      <w:r w:rsidR="00AF7020">
        <w:rPr>
          <w:rStyle w:val="FootnoteReference"/>
        </w:rPr>
        <w:footnoteReference w:id="53"/>
      </w:r>
      <w:r w:rsidRPr="00136F40">
        <w:t xml:space="preserve"> </w:t>
      </w:r>
    </w:p>
    <w:p w14:paraId="6FD30DF6" w14:textId="335C0BE4" w:rsidR="006876C7" w:rsidRPr="00BC4C6B" w:rsidRDefault="006876C7" w:rsidP="009814DC">
      <w:pPr>
        <w:pStyle w:val="Heading4"/>
      </w:pPr>
      <w:r>
        <w:t>Views</w:t>
      </w:r>
      <w:r w:rsidR="00956304">
        <w:t xml:space="preserve"> expressed</w:t>
      </w:r>
      <w:r>
        <w:t xml:space="preserve"> in </w:t>
      </w:r>
      <w:r w:rsidR="00956304">
        <w:t>S</w:t>
      </w:r>
      <w:r>
        <w:t>ubmissions</w:t>
      </w:r>
      <w:r w:rsidR="00956304">
        <w:t xml:space="preserve"> and Hearings</w:t>
      </w:r>
    </w:p>
    <w:p w14:paraId="0787E84A" w14:textId="2DD1C45C" w:rsidR="00B52DF3" w:rsidRDefault="00B52DF3" w:rsidP="00B52DF3">
      <w:pPr>
        <w:pStyle w:val="BodyText"/>
      </w:pPr>
      <w:r>
        <w:t>Early voting was a common theme during the inquiry.  Three viewpoints emerged from submissions and hearings:</w:t>
      </w:r>
    </w:p>
    <w:p w14:paraId="31058D1F" w14:textId="21AB2387" w:rsidR="001016F8" w:rsidRDefault="00B52DF3" w:rsidP="00342A94">
      <w:pPr>
        <w:pStyle w:val="ListBullet"/>
      </w:pPr>
      <w:r>
        <w:t>Allow universal access to early voting in future elections,</w:t>
      </w:r>
      <w:r w:rsidR="001016F8">
        <w:t xml:space="preserve"> </w:t>
      </w:r>
    </w:p>
    <w:p w14:paraId="6A4A5A0E" w14:textId="00A725A6" w:rsidR="0057678B" w:rsidRDefault="00B52DF3" w:rsidP="00342A94">
      <w:pPr>
        <w:pStyle w:val="ListBullet"/>
      </w:pPr>
      <w:r>
        <w:t xml:space="preserve">Return to </w:t>
      </w:r>
      <w:r w:rsidR="0057678B">
        <w:t>early voting as the exception</w:t>
      </w:r>
      <w:r w:rsidR="006876C7">
        <w:t xml:space="preserve">, with </w:t>
      </w:r>
      <w:r w:rsidR="003072EB">
        <w:t xml:space="preserve">limited access, </w:t>
      </w:r>
      <w:r>
        <w:t xml:space="preserve">or </w:t>
      </w:r>
    </w:p>
    <w:p w14:paraId="61480147" w14:textId="07E421E6" w:rsidR="0057678B" w:rsidRDefault="00B52DF3" w:rsidP="00342A94">
      <w:pPr>
        <w:pStyle w:val="ListBullet"/>
      </w:pPr>
      <w:bookmarkStart w:id="48" w:name="_Hlk75096846"/>
      <w:r>
        <w:t>C</w:t>
      </w:r>
      <w:r w:rsidR="0057678B">
        <w:t xml:space="preserve">ompromise </w:t>
      </w:r>
      <w:r>
        <w:t>arrangement</w:t>
      </w:r>
      <w:r w:rsidR="0057678B">
        <w:t xml:space="preserve"> of </w:t>
      </w:r>
      <w:r>
        <w:t xml:space="preserve">universal access but reduced timeframe for early voting. </w:t>
      </w:r>
      <w:bookmarkEnd w:id="48"/>
    </w:p>
    <w:p w14:paraId="3121C5F3" w14:textId="782EF4B3" w:rsidR="00100D47" w:rsidRDefault="0033475A" w:rsidP="00136F40">
      <w:pPr>
        <w:pStyle w:val="BodyText"/>
      </w:pPr>
      <w:r>
        <w:t>The Electoral Commission is strongly supportive of expanded access to early voting:</w:t>
      </w:r>
    </w:p>
    <w:p w14:paraId="66DB9875" w14:textId="48B984D5" w:rsidR="00136F40" w:rsidRDefault="00136F40" w:rsidP="00100D47">
      <w:pPr>
        <w:pStyle w:val="Quote"/>
      </w:pPr>
      <w:r w:rsidRPr="00136F40">
        <w:t>‘The Commission maintains the view that the trend towards early voting will continue and is an inevitable result of the expectations of the electorate.</w:t>
      </w:r>
      <w:r w:rsidR="0033475A">
        <w:t xml:space="preserve"> </w:t>
      </w:r>
      <w:r w:rsidRPr="00136F40">
        <w:t xml:space="preserve"> The Commission considers that this trend should be recognised, </w:t>
      </w:r>
      <w:proofErr w:type="gramStart"/>
      <w:r w:rsidRPr="00136F40">
        <w:t>accepted</w:t>
      </w:r>
      <w:proofErr w:type="gramEnd"/>
      <w:r w:rsidRPr="00136F40">
        <w:t xml:space="preserve"> and integrated in legislation, planning and delivery of the election. </w:t>
      </w:r>
      <w:r w:rsidR="0033475A">
        <w:t xml:space="preserve"> </w:t>
      </w:r>
      <w:r w:rsidRPr="00136F40">
        <w:t>The Commission recognises that this may require political parties to adapt the way that they conduct their campaigns to attract the early vote of electors.’</w:t>
      </w:r>
      <w:r w:rsidR="0033475A">
        <w:rPr>
          <w:rStyle w:val="FootnoteReference"/>
        </w:rPr>
        <w:footnoteReference w:id="54"/>
      </w:r>
      <w:r w:rsidRPr="00136F40">
        <w:t xml:space="preserve"> </w:t>
      </w:r>
    </w:p>
    <w:p w14:paraId="1029AB6F" w14:textId="3C661F25" w:rsidR="0033475A" w:rsidRPr="00136F40" w:rsidRDefault="0033475A" w:rsidP="0033475A">
      <w:pPr>
        <w:pStyle w:val="BodyText"/>
      </w:pPr>
      <w:r>
        <w:t xml:space="preserve">Liberal Democrats supported early voting as it is more accessible for the community: </w:t>
      </w:r>
    </w:p>
    <w:p w14:paraId="1A54CD0D" w14:textId="55FFBDE9" w:rsidR="00100D47" w:rsidRDefault="00100D47" w:rsidP="00100D47">
      <w:pPr>
        <w:pStyle w:val="Quote"/>
      </w:pPr>
      <w:r w:rsidRPr="00100D47">
        <w:t>‘There is also the element of fairness in all this, because a lot of the people who are in more disadvantaged groups in society find it hard to turn up on one day.</w:t>
      </w:r>
      <w:r w:rsidR="0033475A">
        <w:t xml:space="preserve"> </w:t>
      </w:r>
      <w:r w:rsidRPr="00100D47">
        <w:t xml:space="preserve"> The term “convenience voting” is thrown around in relation to this early voting. </w:t>
      </w:r>
      <w:r w:rsidR="0033475A">
        <w:t xml:space="preserve"> </w:t>
      </w:r>
      <w:r w:rsidRPr="00100D47">
        <w:t>What is wrong with convenience, especially if it helps poorer people get to the poll and they do not have to make up a reason?’</w:t>
      </w:r>
      <w:r w:rsidR="0033475A">
        <w:rPr>
          <w:rStyle w:val="FootnoteReference"/>
        </w:rPr>
        <w:footnoteReference w:id="55"/>
      </w:r>
      <w:r w:rsidRPr="00100D47">
        <w:t xml:space="preserve"> </w:t>
      </w:r>
    </w:p>
    <w:p w14:paraId="430CD72D" w14:textId="765EAA6A" w:rsidR="00077973" w:rsidRDefault="0033475A" w:rsidP="003072EB">
      <w:pPr>
        <w:pStyle w:val="BodyText"/>
      </w:pPr>
      <w:r>
        <w:t>Canberra Liberals prefe</w:t>
      </w:r>
      <w:r w:rsidR="00386C3D">
        <w:t>r</w:t>
      </w:r>
      <w:r>
        <w:t xml:space="preserve"> a return to an election day, rather than an election period:</w:t>
      </w:r>
    </w:p>
    <w:p w14:paraId="01063F0D" w14:textId="3A32D79B" w:rsidR="00077973" w:rsidRDefault="003072EB" w:rsidP="003072EB">
      <w:pPr>
        <w:pStyle w:val="Quote"/>
      </w:pPr>
      <w:r w:rsidRPr="003072EB">
        <w:t xml:space="preserve">‘Pre poll should be the exception, not the norm. </w:t>
      </w:r>
      <w:r w:rsidR="0033475A">
        <w:t xml:space="preserve"> </w:t>
      </w:r>
      <w:r w:rsidRPr="003072EB">
        <w:t xml:space="preserve">Despite this, over recent elections the level of pre-polling has increased dramatically. </w:t>
      </w:r>
      <w:r w:rsidR="0033475A">
        <w:t xml:space="preserve"> </w:t>
      </w:r>
      <w:r w:rsidRPr="003072EB">
        <w:t>While the 2020 election was clearly an exception due to COVID-19, under normal circumstances there should be a stricter enforcement of only allowing pre-poll voting for those unable to vote on polling day.’</w:t>
      </w:r>
      <w:r w:rsidR="0033475A">
        <w:rPr>
          <w:rStyle w:val="FootnoteReference"/>
        </w:rPr>
        <w:footnoteReference w:id="56"/>
      </w:r>
      <w:r w:rsidRPr="003072EB">
        <w:t xml:space="preserve"> </w:t>
      </w:r>
    </w:p>
    <w:p w14:paraId="4B86252F" w14:textId="61E7103A" w:rsidR="00F32111" w:rsidRPr="00077973" w:rsidRDefault="00F32111" w:rsidP="00F32111">
      <w:pPr>
        <w:pStyle w:val="BodyText"/>
      </w:pPr>
      <w:r>
        <w:t xml:space="preserve">Some political parties spoke of the </w:t>
      </w:r>
      <w:r w:rsidR="009B44C0">
        <w:t xml:space="preserve">logistical </w:t>
      </w:r>
      <w:r>
        <w:t xml:space="preserve">challenges of </w:t>
      </w:r>
      <w:r w:rsidR="00386C3D">
        <w:t>canvassing at polling booths</w:t>
      </w:r>
      <w:r w:rsidR="009B44C0">
        <w:t>, and the communication challenges of maintaining a clear message,</w:t>
      </w:r>
      <w:r w:rsidR="00386C3D">
        <w:t xml:space="preserve"> over an extended timeframe:</w:t>
      </w:r>
    </w:p>
    <w:p w14:paraId="5368C5C4" w14:textId="6EBB1C2D" w:rsidR="00386C3D" w:rsidRDefault="00386C3D" w:rsidP="00F32111">
      <w:pPr>
        <w:pStyle w:val="Quote"/>
      </w:pPr>
      <w:r>
        <w:t>‘</w:t>
      </w:r>
      <w:r w:rsidRPr="00386C3D">
        <w:t xml:space="preserve">The </w:t>
      </w:r>
      <w:proofErr w:type="gramStart"/>
      <w:r w:rsidRPr="00386C3D">
        <w:t>3 week</w:t>
      </w:r>
      <w:proofErr w:type="gramEnd"/>
      <w:r w:rsidRPr="00386C3D">
        <w:t xml:space="preserve"> polling period in the last election was clearly popular. </w:t>
      </w:r>
      <w:r>
        <w:t xml:space="preserve"> </w:t>
      </w:r>
      <w:proofErr w:type="gramStart"/>
      <w:r w:rsidRPr="00386C3D">
        <w:t>However</w:t>
      </w:r>
      <w:proofErr w:type="gramEnd"/>
      <w:r w:rsidRPr="00386C3D">
        <w:t xml:space="preserve"> it has the disadvantage of making it harder for candidates and parties to communicate their </w:t>
      </w:r>
      <w:r w:rsidRPr="00386C3D">
        <w:lastRenderedPageBreak/>
        <w:t>policies to voters and to have proper discussion and a contest of ideas.</w:t>
      </w:r>
      <w:r>
        <w:t xml:space="preserve"> </w:t>
      </w:r>
      <w:r w:rsidRPr="00386C3D">
        <w:t xml:space="preserve"> It also diminished the community celebration of all voting together at our local school.</w:t>
      </w:r>
      <w:r>
        <w:t>’</w:t>
      </w:r>
      <w:r>
        <w:rPr>
          <w:rStyle w:val="FootnoteReference"/>
        </w:rPr>
        <w:footnoteReference w:id="57"/>
      </w:r>
    </w:p>
    <w:p w14:paraId="56661D1E" w14:textId="77777777" w:rsidR="009B44C0" w:rsidRDefault="009B44C0" w:rsidP="009B44C0">
      <w:pPr>
        <w:pStyle w:val="Quote"/>
      </w:pPr>
      <w:r>
        <w:t>‘[T]</w:t>
      </w:r>
      <w:r w:rsidRPr="002D4BC1">
        <w:t xml:space="preserve">he 3-week pre-poll period is an enormous logistical burden on political parties in ensuring that polling booths are manned. </w:t>
      </w:r>
      <w:r>
        <w:t xml:space="preserve"> </w:t>
      </w:r>
      <w:r w:rsidRPr="002D4BC1">
        <w:t xml:space="preserve">Given the objective of pre-polling centres is to provide convenience for those unable to vote on polling day, we believe that a </w:t>
      </w:r>
      <w:proofErr w:type="gramStart"/>
      <w:r w:rsidRPr="002D4BC1">
        <w:t>2 week</w:t>
      </w:r>
      <w:proofErr w:type="gramEnd"/>
      <w:r w:rsidRPr="002D4BC1">
        <w:t xml:space="preserve"> pre-poll voting period is sufficient.</w:t>
      </w:r>
      <w:r>
        <w:t>’</w:t>
      </w:r>
      <w:r>
        <w:rPr>
          <w:rStyle w:val="FootnoteReference"/>
        </w:rPr>
        <w:footnoteReference w:id="58"/>
      </w:r>
      <w:r>
        <w:t xml:space="preserve"> </w:t>
      </w:r>
    </w:p>
    <w:p w14:paraId="2677FB84" w14:textId="77777777" w:rsidR="009B44C0" w:rsidRDefault="009B44C0" w:rsidP="009B44C0">
      <w:pPr>
        <w:pStyle w:val="Quote"/>
      </w:pPr>
      <w:r>
        <w:t xml:space="preserve">‘The Canberra Progressives note that the major parties had people handing out ‘how to vote’ material at polling places for every day of the entire </w:t>
      </w:r>
      <w:proofErr w:type="gramStart"/>
      <w:r>
        <w:t>three week</w:t>
      </w:r>
      <w:proofErr w:type="gramEnd"/>
      <w:r>
        <w:t xml:space="preserve"> voting period, whereas our party was unable to provide such resources other than for some polling places for some of the time.’</w:t>
      </w:r>
      <w:r>
        <w:rPr>
          <w:rStyle w:val="FootnoteReference"/>
        </w:rPr>
        <w:footnoteReference w:id="59"/>
      </w:r>
      <w:r>
        <w:t xml:space="preserve"> </w:t>
      </w:r>
    </w:p>
    <w:p w14:paraId="6EADDAC5" w14:textId="2AE503F0" w:rsidR="00386C3D" w:rsidRDefault="00386C3D" w:rsidP="00386C3D">
      <w:pPr>
        <w:pStyle w:val="BodyText"/>
      </w:pPr>
      <w:r>
        <w:t>Some participants in the inquiry suggested early voting be able to everyone, but within a smaller window of time</w:t>
      </w:r>
      <w:r w:rsidR="0096739F">
        <w:t xml:space="preserve"> of one week or two weeks</w:t>
      </w:r>
      <w:r>
        <w:t>:</w:t>
      </w:r>
    </w:p>
    <w:p w14:paraId="4107C9D3" w14:textId="7D605759" w:rsidR="00386C3D" w:rsidRDefault="00386C3D" w:rsidP="00077973">
      <w:pPr>
        <w:pStyle w:val="Quote"/>
      </w:pPr>
      <w:r>
        <w:t>‘</w:t>
      </w:r>
      <w:r w:rsidRPr="00386C3D">
        <w:t xml:space="preserve">I suggest cutting the universal voting period down to one </w:t>
      </w:r>
      <w:proofErr w:type="gramStart"/>
      <w:r w:rsidRPr="00386C3D">
        <w:t>week, but</w:t>
      </w:r>
      <w:proofErr w:type="gramEnd"/>
      <w:r w:rsidRPr="00386C3D">
        <w:t xml:space="preserve"> having polling places open to say 7pm – except on the last day – so people can vote after work. This would give voters considerable flexibility in voting time and day while keeping the focus on the end of the election period when all policies should be on display and considered.</w:t>
      </w:r>
      <w:r>
        <w:t>’</w:t>
      </w:r>
      <w:r>
        <w:rPr>
          <w:rStyle w:val="FootnoteReference"/>
        </w:rPr>
        <w:footnoteReference w:id="60"/>
      </w:r>
    </w:p>
    <w:p w14:paraId="255B471D" w14:textId="6152D023" w:rsidR="00077973" w:rsidRPr="00136F40" w:rsidRDefault="003072EB" w:rsidP="00077973">
      <w:pPr>
        <w:pStyle w:val="Quote"/>
      </w:pPr>
      <w:r>
        <w:t>‘</w:t>
      </w:r>
      <w:r w:rsidR="00077973">
        <w:t xml:space="preserve">Intuitively, one would think that over a </w:t>
      </w:r>
      <w:proofErr w:type="gramStart"/>
      <w:r w:rsidR="00077973">
        <w:t>two week</w:t>
      </w:r>
      <w:proofErr w:type="gramEnd"/>
      <w:r w:rsidR="00077973">
        <w:t xml:space="preserve"> period that would probably be reasonable, especially for people that are </w:t>
      </w:r>
      <w:proofErr w:type="spellStart"/>
      <w:r w:rsidR="00077973">
        <w:t>shiftworkers</w:t>
      </w:r>
      <w:proofErr w:type="spellEnd"/>
      <w:r w:rsidR="00077973">
        <w:t xml:space="preserve">, night workers, have families. </w:t>
      </w:r>
      <w:r>
        <w:t xml:space="preserve"> </w:t>
      </w:r>
      <w:r w:rsidR="00077973">
        <w:t xml:space="preserve">For them to find a period on their rotating roster and be able to </w:t>
      </w:r>
      <w:proofErr w:type="gramStart"/>
      <w:r w:rsidR="00077973">
        <w:t>actually attend</w:t>
      </w:r>
      <w:proofErr w:type="gramEnd"/>
      <w:r w:rsidR="00077973">
        <w:t xml:space="preserve"> the polling place on a day that buses may not necessarily be running, for them to have a sufficient amount of time to vote, I think a two-week period would probably be appropriate.</w:t>
      </w:r>
      <w:r>
        <w:t>’</w:t>
      </w:r>
      <w:r w:rsidR="00386C3D">
        <w:rPr>
          <w:rStyle w:val="FootnoteReference"/>
        </w:rPr>
        <w:footnoteReference w:id="61"/>
      </w:r>
      <w:r>
        <w:t xml:space="preserve"> </w:t>
      </w:r>
    </w:p>
    <w:p w14:paraId="1BAAD54A" w14:textId="01B724C3" w:rsidR="00077973" w:rsidRDefault="00386C3D" w:rsidP="003072EB">
      <w:pPr>
        <w:pStyle w:val="BodyText"/>
      </w:pPr>
      <w:r>
        <w:t xml:space="preserve">The </w:t>
      </w:r>
      <w:proofErr w:type="spellStart"/>
      <w:r>
        <w:t>Belco</w:t>
      </w:r>
      <w:proofErr w:type="spellEnd"/>
      <w:r>
        <w:t xml:space="preserve"> Party suggested that (in non-pandemic times) early voting might occur at one central location in each electorate.</w:t>
      </w:r>
      <w:r>
        <w:rPr>
          <w:rStyle w:val="FootnoteReference"/>
        </w:rPr>
        <w:footnoteReference w:id="62"/>
      </w:r>
    </w:p>
    <w:p w14:paraId="33747A47" w14:textId="64BC1618" w:rsidR="00956304" w:rsidRDefault="00956304" w:rsidP="009814DC">
      <w:pPr>
        <w:pStyle w:val="Heading4"/>
      </w:pPr>
      <w:r>
        <w:t>Future arrangements for Early Voting</w:t>
      </w:r>
    </w:p>
    <w:p w14:paraId="1EA878F4" w14:textId="012958CF" w:rsidR="0033475A" w:rsidRDefault="009B44C0" w:rsidP="00052AC4">
      <w:pPr>
        <w:pStyle w:val="BodyText"/>
      </w:pPr>
      <w:r>
        <w:t>The Electoral Commission told the Committee that</w:t>
      </w:r>
      <w:r w:rsidR="0096739F">
        <w:t xml:space="preserve"> early voting is unrestricted in some parts of Australia</w:t>
      </w:r>
      <w:r>
        <w:t>:</w:t>
      </w:r>
      <w:r w:rsidR="0096739F">
        <w:t xml:space="preserve"> </w:t>
      </w:r>
      <w:r w:rsidR="0033475A" w:rsidRPr="0033475A">
        <w:t>‘Queensland, Western Australia and the Northern Territory — have wholly embraced the trend towards early voting by removing the eligibility requirement for an early vote by allowing any elector to have an early vote.’</w:t>
      </w:r>
      <w:r>
        <w:rPr>
          <w:rStyle w:val="FootnoteReference"/>
        </w:rPr>
        <w:footnoteReference w:id="63"/>
      </w:r>
      <w:r w:rsidR="0033475A" w:rsidRPr="0033475A">
        <w:t xml:space="preserve"> </w:t>
      </w:r>
    </w:p>
    <w:p w14:paraId="4EFE9197" w14:textId="5FE0D653" w:rsidR="0033475A" w:rsidRDefault="009B44C0" w:rsidP="0033475A">
      <w:pPr>
        <w:pStyle w:val="BodyText"/>
      </w:pPr>
      <w:r>
        <w:lastRenderedPageBreak/>
        <w:t>Expanded access to early voting is a</w:t>
      </w:r>
      <w:r w:rsidR="0033475A">
        <w:t xml:space="preserve"> recommendation of the Auditor General report on the 2016 election,</w:t>
      </w:r>
      <w:r w:rsidR="0033475A">
        <w:rPr>
          <w:rStyle w:val="FootnoteReference"/>
        </w:rPr>
        <w:footnoteReference w:id="64"/>
      </w:r>
      <w:r w:rsidR="0033475A">
        <w:t xml:space="preserve"> the Select Committee on the 2016 Election and Electoral Act,</w:t>
      </w:r>
      <w:r w:rsidR="0033475A">
        <w:rPr>
          <w:rStyle w:val="FootnoteReference"/>
        </w:rPr>
        <w:footnoteReference w:id="65"/>
      </w:r>
      <w:r w:rsidR="0033475A">
        <w:t xml:space="preserve"> and the Electoral Commission report on the 2020 election.</w:t>
      </w:r>
      <w:r w:rsidR="0033475A">
        <w:rPr>
          <w:rStyle w:val="FootnoteReference"/>
        </w:rPr>
        <w:footnoteReference w:id="66"/>
      </w:r>
    </w:p>
    <w:p w14:paraId="6DBBD786" w14:textId="48864C05" w:rsidR="00956304" w:rsidRDefault="00956304" w:rsidP="009814DC">
      <w:pPr>
        <w:pStyle w:val="Heading4"/>
      </w:pPr>
      <w:r>
        <w:t>Committee comment</w:t>
      </w:r>
    </w:p>
    <w:p w14:paraId="631F2518" w14:textId="21CBBE96" w:rsidR="00956304" w:rsidRDefault="00956304" w:rsidP="00956304">
      <w:pPr>
        <w:pStyle w:val="BodyText"/>
      </w:pPr>
      <w:r>
        <w:t xml:space="preserve">The Committee notes the increasing uptake of early voting in recent elections, and the recommendations by the Electoral Commission and the Auditor-General that expanded early voting in territory elections be pursued as a deliberate strategy. </w:t>
      </w:r>
    </w:p>
    <w:p w14:paraId="50FF3CFF" w14:textId="409EC8D0" w:rsidR="004A2AF0" w:rsidRDefault="004A2AF0" w:rsidP="00956304">
      <w:pPr>
        <w:pStyle w:val="BodyText"/>
      </w:pPr>
      <w:r>
        <w:t xml:space="preserve">The </w:t>
      </w:r>
      <w:r w:rsidR="00956304">
        <w:t>Committee</w:t>
      </w:r>
      <w:r>
        <w:t xml:space="preserve"> </w:t>
      </w:r>
      <w:r w:rsidR="0033475A">
        <w:t>note</w:t>
      </w:r>
      <w:r w:rsidR="009B44C0">
        <w:t>s</w:t>
      </w:r>
      <w:r w:rsidR="00956304">
        <w:t xml:space="preserve"> the</w:t>
      </w:r>
      <w:r w:rsidR="003072EB">
        <w:t xml:space="preserve"> increasing</w:t>
      </w:r>
      <w:r w:rsidR="00956304">
        <w:t xml:space="preserve"> </w:t>
      </w:r>
      <w:r>
        <w:t xml:space="preserve">community </w:t>
      </w:r>
      <w:r w:rsidR="00956304">
        <w:t xml:space="preserve">expectation </w:t>
      </w:r>
      <w:r w:rsidR="003072EB">
        <w:t>of</w:t>
      </w:r>
      <w:r w:rsidR="00956304">
        <w:t xml:space="preserve"> </w:t>
      </w:r>
      <w:r>
        <w:t>access to</w:t>
      </w:r>
      <w:r w:rsidR="00956304">
        <w:t xml:space="preserve"> early voting </w:t>
      </w:r>
      <w:r w:rsidR="00542250">
        <w:t>needs to be weighed against</w:t>
      </w:r>
      <w:r w:rsidR="00956304">
        <w:t xml:space="preserve"> the concern expressed by candidates and parties about the challenges of </w:t>
      </w:r>
      <w:r>
        <w:t>canvassing at</w:t>
      </w:r>
      <w:r w:rsidR="00956304">
        <w:t xml:space="preserve"> </w:t>
      </w:r>
      <w:r>
        <w:t>multiple</w:t>
      </w:r>
      <w:r w:rsidR="00956304">
        <w:t xml:space="preserve"> polling places over an extended period.  </w:t>
      </w:r>
    </w:p>
    <w:p w14:paraId="5F28937D" w14:textId="5F3AE28C" w:rsidR="00956304" w:rsidRDefault="004A2AF0" w:rsidP="00956304">
      <w:pPr>
        <w:pStyle w:val="BodyText"/>
      </w:pPr>
      <w:r>
        <w:t>The Committee s</w:t>
      </w:r>
      <w:r w:rsidR="00956304">
        <w:t xml:space="preserve">uggests </w:t>
      </w:r>
      <w:r>
        <w:t xml:space="preserve">a </w:t>
      </w:r>
      <w:r w:rsidR="00956304">
        <w:t xml:space="preserve">compromise arrangement </w:t>
      </w:r>
      <w:r>
        <w:t>may meet the needs of most stakeholders, and</w:t>
      </w:r>
      <w:r w:rsidR="003072EB">
        <w:t xml:space="preserve"> therefore</w:t>
      </w:r>
      <w:r>
        <w:t xml:space="preserve"> recommends universal eligibility for early voting, but for a </w:t>
      </w:r>
      <w:r w:rsidR="00956304">
        <w:t>two</w:t>
      </w:r>
      <w:r w:rsidR="003072EB">
        <w:t>-</w:t>
      </w:r>
      <w:r w:rsidR="00956304">
        <w:t>week</w:t>
      </w:r>
      <w:r>
        <w:t xml:space="preserve"> period, and at </w:t>
      </w:r>
      <w:r w:rsidR="00956304">
        <w:t>limited locations.</w:t>
      </w:r>
    </w:p>
    <w:tbl>
      <w:tblPr>
        <w:tblStyle w:val="TableGrid"/>
        <w:tblW w:w="9209" w:type="dxa"/>
        <w:tblInd w:w="-142" w:type="dxa"/>
        <w:tblLook w:val="04A0" w:firstRow="1" w:lastRow="0" w:firstColumn="1" w:lastColumn="0" w:noHBand="0" w:noVBand="1"/>
      </w:tblPr>
      <w:tblGrid>
        <w:gridCol w:w="9209"/>
      </w:tblGrid>
      <w:tr w:rsidR="00181D68" w14:paraId="58D02EF4" w14:textId="77777777" w:rsidTr="00181D6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1C6479D" w14:textId="731C171F" w:rsidR="00181D68" w:rsidRDefault="00181D68" w:rsidP="00181D68">
            <w:pPr>
              <w:pStyle w:val="RecommendationHeading"/>
            </w:pPr>
            <w:bookmarkStart w:id="49" w:name="_Toc78382463"/>
            <w:r>
              <w:t xml:space="preserve">Recommendation </w:t>
            </w:r>
            <w:r>
              <w:rPr>
                <w:noProof/>
              </w:rPr>
              <w:fldChar w:fldCharType="begin"/>
            </w:r>
            <w:r>
              <w:rPr>
                <w:noProof/>
              </w:rPr>
              <w:instrText xml:space="preserve"> seq NumList </w:instrText>
            </w:r>
            <w:r>
              <w:rPr>
                <w:noProof/>
              </w:rPr>
              <w:fldChar w:fldCharType="separate"/>
            </w:r>
            <w:r w:rsidR="00416A60">
              <w:rPr>
                <w:noProof/>
              </w:rPr>
              <w:t>1</w:t>
            </w:r>
            <w:bookmarkEnd w:id="49"/>
            <w:r>
              <w:rPr>
                <w:noProof/>
              </w:rPr>
              <w:fldChar w:fldCharType="end"/>
            </w:r>
          </w:p>
          <w:p w14:paraId="4A206BB1" w14:textId="1AE43E6F" w:rsidR="00181D68" w:rsidRPr="00962807" w:rsidRDefault="00181D68" w:rsidP="00181D68">
            <w:pPr>
              <w:pStyle w:val="RecommendationText"/>
            </w:pPr>
            <w:bookmarkStart w:id="50" w:name="_Toc78382464"/>
            <w:r w:rsidRPr="00181D68">
              <w:t xml:space="preserve">The Committee recommends that </w:t>
            </w:r>
            <w:r>
              <w:t>s136B</w:t>
            </w:r>
            <w:r w:rsidRPr="00181D68">
              <w:t xml:space="preserve"> </w:t>
            </w:r>
            <w:r w:rsidRPr="00181D68">
              <w:rPr>
                <w:i/>
                <w:iCs/>
              </w:rPr>
              <w:t>Electoral Act 1992</w:t>
            </w:r>
            <w:r>
              <w:t xml:space="preserve"> </w:t>
            </w:r>
            <w:r w:rsidRPr="00181D68">
              <w:t xml:space="preserve">be amended to provide that any elector may vote </w:t>
            </w:r>
            <w:r>
              <w:t>during the early voting period</w:t>
            </w:r>
            <w:r w:rsidRPr="00181D68">
              <w:t xml:space="preserve"> without the need to declare they are unable to attend a polling place on election day</w:t>
            </w:r>
            <w:r>
              <w:t>.</w:t>
            </w:r>
            <w:bookmarkEnd w:id="50"/>
          </w:p>
        </w:tc>
      </w:tr>
      <w:tr w:rsidR="00181D68" w14:paraId="296F13A2" w14:textId="77777777" w:rsidTr="00181D6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9C497FC" w14:textId="56E35D68" w:rsidR="00181D68" w:rsidRDefault="00181D68" w:rsidP="00181D68">
            <w:pPr>
              <w:pStyle w:val="RecommendationHeading"/>
            </w:pPr>
            <w:bookmarkStart w:id="51" w:name="_Toc78382465"/>
            <w:r>
              <w:t xml:space="preserve">Recommendation </w:t>
            </w:r>
            <w:r>
              <w:rPr>
                <w:noProof/>
              </w:rPr>
              <w:fldChar w:fldCharType="begin"/>
            </w:r>
            <w:r>
              <w:rPr>
                <w:noProof/>
              </w:rPr>
              <w:instrText xml:space="preserve"> seq NumList </w:instrText>
            </w:r>
            <w:r>
              <w:rPr>
                <w:noProof/>
              </w:rPr>
              <w:fldChar w:fldCharType="separate"/>
            </w:r>
            <w:r w:rsidR="00416A60">
              <w:rPr>
                <w:noProof/>
              </w:rPr>
              <w:t>2</w:t>
            </w:r>
            <w:bookmarkEnd w:id="51"/>
            <w:r>
              <w:rPr>
                <w:noProof/>
              </w:rPr>
              <w:fldChar w:fldCharType="end"/>
            </w:r>
          </w:p>
          <w:p w14:paraId="717826A2" w14:textId="440FB41A" w:rsidR="00181D68" w:rsidRPr="00962807" w:rsidRDefault="00181D68" w:rsidP="00181D68">
            <w:pPr>
              <w:pStyle w:val="RecommendationText"/>
            </w:pPr>
            <w:bookmarkStart w:id="52" w:name="_Toc78382466"/>
            <w:r w:rsidRPr="00181D68">
              <w:t xml:space="preserve">The Committee recommends that </w:t>
            </w:r>
            <w:r>
              <w:t>s136B</w:t>
            </w:r>
            <w:r w:rsidRPr="00181D68">
              <w:t xml:space="preserve"> </w:t>
            </w:r>
            <w:r w:rsidRPr="00181D68">
              <w:rPr>
                <w:i/>
                <w:iCs/>
              </w:rPr>
              <w:t>Electoral Act 1992</w:t>
            </w:r>
            <w:r>
              <w:t xml:space="preserve"> </w:t>
            </w:r>
            <w:r w:rsidRPr="00181D68">
              <w:t xml:space="preserve">be amended to establish an early voting period of 2 </w:t>
            </w:r>
            <w:r w:rsidRPr="00366A9C">
              <w:t>weeks</w:t>
            </w:r>
            <w:r w:rsidR="007C36F5" w:rsidRPr="00366A9C">
              <w:t xml:space="preserve"> (outside periods of public health emergency).</w:t>
            </w:r>
            <w:bookmarkEnd w:id="52"/>
          </w:p>
        </w:tc>
      </w:tr>
      <w:tr w:rsidR="00181D68" w14:paraId="47D72F51" w14:textId="77777777" w:rsidTr="00181D6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CA2F170" w14:textId="2564CED2" w:rsidR="00181D68" w:rsidRDefault="00181D68" w:rsidP="00181D68">
            <w:pPr>
              <w:pStyle w:val="RecommendationHeading"/>
            </w:pPr>
            <w:bookmarkStart w:id="53" w:name="_Toc78382467"/>
            <w:r>
              <w:t xml:space="preserve">Recommendation </w:t>
            </w:r>
            <w:r>
              <w:rPr>
                <w:noProof/>
              </w:rPr>
              <w:fldChar w:fldCharType="begin"/>
            </w:r>
            <w:r>
              <w:rPr>
                <w:noProof/>
              </w:rPr>
              <w:instrText xml:space="preserve"> seq NumList </w:instrText>
            </w:r>
            <w:r>
              <w:rPr>
                <w:noProof/>
              </w:rPr>
              <w:fldChar w:fldCharType="separate"/>
            </w:r>
            <w:r w:rsidR="00416A60">
              <w:rPr>
                <w:noProof/>
              </w:rPr>
              <w:t>3</w:t>
            </w:r>
            <w:bookmarkEnd w:id="53"/>
            <w:r>
              <w:rPr>
                <w:noProof/>
              </w:rPr>
              <w:fldChar w:fldCharType="end"/>
            </w:r>
          </w:p>
          <w:p w14:paraId="1FB397E7" w14:textId="6F94AB17" w:rsidR="00181D68" w:rsidRPr="00962807" w:rsidRDefault="00181D68" w:rsidP="00181D68">
            <w:pPr>
              <w:pStyle w:val="RecommendationText"/>
            </w:pPr>
            <w:bookmarkStart w:id="54" w:name="_Toc78382468"/>
            <w:r w:rsidRPr="00181D68">
              <w:t xml:space="preserve">The Committee recommends that </w:t>
            </w:r>
            <w:r w:rsidR="00910F63">
              <w:t>early voting centres</w:t>
            </w:r>
            <w:r w:rsidRPr="00181D68">
              <w:t xml:space="preserve"> be limited to one per electorate </w:t>
            </w:r>
            <w:r>
              <w:t>for elections conducted during ordinary circumstances (</w:t>
            </w:r>
            <w:r w:rsidR="0057678B">
              <w:t>outside</w:t>
            </w:r>
            <w:r>
              <w:t xml:space="preserve"> periods of public health emergency).</w:t>
            </w:r>
            <w:bookmarkEnd w:id="54"/>
            <w:r>
              <w:t xml:space="preserve"> </w:t>
            </w:r>
          </w:p>
        </w:tc>
      </w:tr>
    </w:tbl>
    <w:p w14:paraId="64ED0DB4" w14:textId="77777777" w:rsidR="00181D68" w:rsidRPr="00182AC2" w:rsidRDefault="00181D68" w:rsidP="00956304">
      <w:pPr>
        <w:pStyle w:val="BodyText"/>
        <w:numPr>
          <w:ilvl w:val="0"/>
          <w:numId w:val="0"/>
        </w:numPr>
        <w:ind w:left="567" w:hanging="567"/>
      </w:pPr>
    </w:p>
    <w:p w14:paraId="49C1FD46" w14:textId="77777777" w:rsidR="000E3DC9" w:rsidRDefault="000E3DC9" w:rsidP="000E3DC9">
      <w:pPr>
        <w:pStyle w:val="Heading2"/>
      </w:pPr>
      <w:bookmarkStart w:id="55" w:name="_Toc502672957"/>
      <w:bookmarkStart w:id="56" w:name="_Toc78535736"/>
      <w:bookmarkEnd w:id="55"/>
      <w:r>
        <w:lastRenderedPageBreak/>
        <w:t>Electronic Voting</w:t>
      </w:r>
      <w:bookmarkEnd w:id="56"/>
      <w:r>
        <w:t xml:space="preserve"> </w:t>
      </w:r>
    </w:p>
    <w:p w14:paraId="575BA411" w14:textId="50B02B37" w:rsidR="000E02C3" w:rsidRDefault="000E02C3" w:rsidP="000E02C3">
      <w:pPr>
        <w:pStyle w:val="Heading4"/>
      </w:pPr>
      <w:r>
        <w:t>Conduct of the 2020 election</w:t>
      </w:r>
    </w:p>
    <w:p w14:paraId="7FF9717C" w14:textId="77777777" w:rsidR="005F449D" w:rsidRDefault="00BC4044" w:rsidP="005F449D">
      <w:pPr>
        <w:pStyle w:val="BodyText"/>
      </w:pPr>
      <w:r w:rsidRPr="00CD39AA">
        <w:t xml:space="preserve">During the 2016 </w:t>
      </w:r>
      <w:r w:rsidR="006715C3">
        <w:t>election,</w:t>
      </w:r>
      <w:r w:rsidRPr="00CD39AA">
        <w:t xml:space="preserve"> electronic voting was available only in six pre-poll voting centres.</w:t>
      </w:r>
      <w:r w:rsidR="000E02C3">
        <w:t xml:space="preserve">  For the 2020 election, use of electronic voting was expanded significantly, to manage the risks presented by the COVID-19 pandemic.  </w:t>
      </w:r>
    </w:p>
    <w:p w14:paraId="5243DE31" w14:textId="1991C1D1" w:rsidR="00BC4044" w:rsidRDefault="006715C3" w:rsidP="005F449D">
      <w:pPr>
        <w:pStyle w:val="BodyText"/>
      </w:pPr>
      <w:r>
        <w:t>As a result, s</w:t>
      </w:r>
      <w:r w:rsidR="00BC4044">
        <w:t xml:space="preserve">even out every ten voters (70%) cast their vote electronically in 2020, more than double </w:t>
      </w:r>
      <w:r w:rsidR="005F449D">
        <w:t>the number during</w:t>
      </w:r>
      <w:r w:rsidR="00BC4044">
        <w:t xml:space="preserve"> the 2016 election (33%).</w:t>
      </w:r>
      <w:r w:rsidR="000E02C3">
        <w:t xml:space="preserve">  </w:t>
      </w:r>
      <w:r w:rsidR="000E02C3" w:rsidRPr="00BC4C6B">
        <w:t>94% of early votes were cast electronically</w:t>
      </w:r>
      <w:r w:rsidR="000E02C3">
        <w:t>.</w:t>
      </w:r>
      <w:r w:rsidR="000E02C3">
        <w:rPr>
          <w:rStyle w:val="FootnoteReference"/>
        </w:rPr>
        <w:footnoteReference w:id="67"/>
      </w:r>
    </w:p>
    <w:p w14:paraId="7D5A9467" w14:textId="6839CF07" w:rsidR="006715C3" w:rsidRDefault="006715C3" w:rsidP="006715C3">
      <w:pPr>
        <w:pStyle w:val="BodyText"/>
      </w:pPr>
      <w:r>
        <w:t xml:space="preserve">The election result was known in record time, </w:t>
      </w:r>
      <w:r w:rsidR="00542250">
        <w:t>through the combination of</w:t>
      </w:r>
      <w:r>
        <w:t xml:space="preserve"> scanning of paper ballots with electronic voting and the </w:t>
      </w:r>
      <w:proofErr w:type="spellStart"/>
      <w:r>
        <w:t>eVACS</w:t>
      </w:r>
      <w:proofErr w:type="spellEnd"/>
      <w:r>
        <w:t xml:space="preserve"> counting system.</w:t>
      </w:r>
    </w:p>
    <w:p w14:paraId="40B59C68" w14:textId="624E81E7" w:rsidR="006715C3" w:rsidRDefault="006715C3" w:rsidP="006715C3">
      <w:pPr>
        <w:pStyle w:val="BodyText"/>
      </w:pPr>
      <w:r>
        <w:t>E</w:t>
      </w:r>
      <w:r w:rsidR="00BC4044">
        <w:t xml:space="preserve">lectronic voting in the 2020 election </w:t>
      </w:r>
      <w:r>
        <w:t>contributed to</w:t>
      </w:r>
      <w:r w:rsidR="00BC4044">
        <w:t xml:space="preserve"> the lowest ever informality rate</w:t>
      </w:r>
      <w:r w:rsidR="005F449D">
        <w:t xml:space="preserve"> of 1.54%</w:t>
      </w:r>
      <w:r>
        <w:t>.</w:t>
      </w:r>
      <w:r w:rsidR="005F449D">
        <w:rPr>
          <w:rStyle w:val="FootnoteReference"/>
        </w:rPr>
        <w:footnoteReference w:id="68"/>
      </w:r>
      <w:r w:rsidR="005F449D">
        <w:t xml:space="preserve"> </w:t>
      </w:r>
    </w:p>
    <w:p w14:paraId="5AA2C0E4" w14:textId="3C4293CB" w:rsidR="000E02C3" w:rsidRDefault="000E02C3" w:rsidP="000E02C3">
      <w:pPr>
        <w:pStyle w:val="Heading4"/>
      </w:pPr>
      <w:r>
        <w:t>Risks and benefits of Electronic Voting</w:t>
      </w:r>
    </w:p>
    <w:p w14:paraId="30947D28" w14:textId="6BD8FA6D" w:rsidR="000E02C3" w:rsidRDefault="000E02C3" w:rsidP="000E02C3">
      <w:pPr>
        <w:pStyle w:val="BodyText"/>
      </w:pPr>
      <w:r>
        <w:t>When effectively implemented, electronic voting systems provide accurate vote counting, timely transmission of results, and secure electoral processes.  The benefits of e</w:t>
      </w:r>
      <w:r w:rsidRPr="003C7BD8">
        <w:t xml:space="preserve">lectronic </w:t>
      </w:r>
      <w:r>
        <w:t xml:space="preserve">voting include </w:t>
      </w:r>
      <w:r w:rsidRPr="003C7BD8">
        <w:t>reduc</w:t>
      </w:r>
      <w:r>
        <w:t>ing</w:t>
      </w:r>
      <w:r w:rsidRPr="003C7BD8">
        <w:t xml:space="preserve"> inadvertent informal votes, providing an early indication of the likely</w:t>
      </w:r>
      <w:r>
        <w:t xml:space="preserve"> </w:t>
      </w:r>
      <w:r w:rsidRPr="003C7BD8">
        <w:t>election result on election night</w:t>
      </w:r>
      <w:r>
        <w:t>,</w:t>
      </w:r>
      <w:r w:rsidRPr="003C7BD8">
        <w:t xml:space="preserve"> and faster completion of the final election results</w:t>
      </w:r>
      <w:r>
        <w:t>.  Electronic voting can enable the safe conduct of elections during a crisis (such as a pandemic</w:t>
      </w:r>
      <w:proofErr w:type="gramStart"/>
      <w:r>
        <w:t>), and</w:t>
      </w:r>
      <w:proofErr w:type="gramEnd"/>
      <w:r>
        <w:t xml:space="preserve"> enhance accessibility for electors who cannot easily access on-site voting due to factors such as geographical location or disability. </w:t>
      </w:r>
    </w:p>
    <w:p w14:paraId="4B924198" w14:textId="06F9CC31" w:rsidR="000E02C3" w:rsidRDefault="000E02C3" w:rsidP="000E02C3">
      <w:pPr>
        <w:pStyle w:val="BodyText"/>
      </w:pPr>
      <w:r>
        <w:t>However, t</w:t>
      </w:r>
      <w:r w:rsidRPr="00B10A8C">
        <w:t xml:space="preserve">he major </w:t>
      </w:r>
      <w:r>
        <w:t xml:space="preserve">risk </w:t>
      </w:r>
      <w:r w:rsidR="00184D6A">
        <w:t xml:space="preserve">of electronic voting is the that cyber-attack may undermine </w:t>
      </w:r>
      <w:r>
        <w:t xml:space="preserve">security and </w:t>
      </w:r>
      <w:r w:rsidRPr="00B10A8C">
        <w:t>integrity of</w:t>
      </w:r>
      <w:r>
        <w:t xml:space="preserve"> </w:t>
      </w:r>
      <w:r w:rsidR="00184D6A">
        <w:t>the</w:t>
      </w:r>
      <w:r w:rsidRPr="00B10A8C">
        <w:t xml:space="preserve"> voting</w:t>
      </w:r>
      <w:r>
        <w:t xml:space="preserve"> system</w:t>
      </w:r>
      <w:r w:rsidR="00184D6A">
        <w:t xml:space="preserve">, </w:t>
      </w:r>
      <w:r>
        <w:t>and the possibility that</w:t>
      </w:r>
      <w:r w:rsidR="00184D6A">
        <w:t xml:space="preserve"> </w:t>
      </w:r>
      <w:r w:rsidR="00910F63">
        <w:t>such an attack</w:t>
      </w:r>
      <w:r w:rsidR="00184D6A">
        <w:t xml:space="preserve"> may </w:t>
      </w:r>
      <w:r>
        <w:t xml:space="preserve">not </w:t>
      </w:r>
      <w:r w:rsidR="00184D6A">
        <w:t xml:space="preserve">be </w:t>
      </w:r>
      <w:r>
        <w:t xml:space="preserve">detected.  </w:t>
      </w:r>
      <w:r w:rsidR="00184D6A">
        <w:t>This would undermine</w:t>
      </w:r>
      <w:r>
        <w:t xml:space="preserve"> community</w:t>
      </w:r>
      <w:r w:rsidRPr="00B10A8C">
        <w:t xml:space="preserve"> </w:t>
      </w:r>
      <w:r>
        <w:t>confidence</w:t>
      </w:r>
      <w:r w:rsidRPr="00B10A8C">
        <w:t xml:space="preserve"> in the electoral syst</w:t>
      </w:r>
      <w:r>
        <w:t xml:space="preserve">em, which is damaging for democracy.  This risk needs to be managed through </w:t>
      </w:r>
      <w:r w:rsidRPr="00B10A8C">
        <w:t>cyber-</w:t>
      </w:r>
      <w:r>
        <w:t xml:space="preserve">security </w:t>
      </w:r>
      <w:r w:rsidRPr="009A2442">
        <w:t>and incident response capabilit</w:t>
      </w:r>
      <w:r>
        <w:t>y,</w:t>
      </w:r>
      <w:r w:rsidR="00542250">
        <w:t xml:space="preserve"> and</w:t>
      </w:r>
      <w:r>
        <w:t xml:space="preserve"> continuous upgrade of ICT systems.</w:t>
      </w:r>
    </w:p>
    <w:p w14:paraId="44EB4ACC" w14:textId="26ED9DB2" w:rsidR="000E02C3" w:rsidRDefault="00184D6A" w:rsidP="00184D6A">
      <w:pPr>
        <w:pStyle w:val="BodyText"/>
      </w:pPr>
      <w:r>
        <w:t>When discussing the security risks of electronic voting during the hearing, the Electoral Commissioner pointed out that an entirely paper ballot system also present risks, s</w:t>
      </w:r>
      <w:r w:rsidR="00542250">
        <w:t>uggesting</w:t>
      </w:r>
      <w:r>
        <w:t xml:space="preserve"> there is no completely risk-free alternative to electronic voting</w:t>
      </w:r>
      <w:r w:rsidR="000E02C3" w:rsidRPr="00C26423">
        <w:t>.</w:t>
      </w:r>
      <w:r w:rsidR="000E02C3">
        <w:rPr>
          <w:rStyle w:val="FootnoteReference"/>
        </w:rPr>
        <w:footnoteReference w:id="69"/>
      </w:r>
      <w:r w:rsidR="000E02C3">
        <w:t xml:space="preserve"> </w:t>
      </w:r>
    </w:p>
    <w:p w14:paraId="450FA474" w14:textId="2728F25F" w:rsidR="00827F91" w:rsidRDefault="00542250" w:rsidP="00827F91">
      <w:pPr>
        <w:pStyle w:val="BodyText"/>
      </w:pPr>
      <w:r>
        <w:lastRenderedPageBreak/>
        <w:t xml:space="preserve">The </w:t>
      </w:r>
      <w:r w:rsidR="00827F91">
        <w:t>Auditor-General’s report on the 2016 election recommended: ‘</w:t>
      </w:r>
      <w:r w:rsidR="00827F91" w:rsidRPr="005D34F6">
        <w:t>Elections ACT should develop a strategy to foster an increase in electronic voting.</w:t>
      </w:r>
      <w:r w:rsidR="00827F91">
        <w:t>’</w:t>
      </w:r>
      <w:r w:rsidR="00827F91">
        <w:rPr>
          <w:rStyle w:val="FootnoteReference"/>
        </w:rPr>
        <w:footnoteReference w:id="70"/>
      </w:r>
    </w:p>
    <w:p w14:paraId="105147CF" w14:textId="6B6C588C" w:rsidR="000E3DC9" w:rsidRDefault="000E3DC9" w:rsidP="000E3DC9">
      <w:pPr>
        <w:pStyle w:val="Heading3"/>
      </w:pPr>
      <w:bookmarkStart w:id="57" w:name="_Toc78535737"/>
      <w:r>
        <w:t xml:space="preserve">Security and </w:t>
      </w:r>
      <w:r w:rsidR="00195C0C">
        <w:t>I</w:t>
      </w:r>
      <w:r>
        <w:t>ntegrity</w:t>
      </w:r>
      <w:bookmarkEnd w:id="57"/>
      <w:r>
        <w:t xml:space="preserve"> </w:t>
      </w:r>
    </w:p>
    <w:p w14:paraId="27A01786" w14:textId="6B416C05" w:rsidR="00827F91" w:rsidRDefault="00827F91" w:rsidP="00827F91">
      <w:pPr>
        <w:pStyle w:val="Heading4"/>
      </w:pPr>
      <w:r>
        <w:t>Errors in the counting module</w:t>
      </w:r>
    </w:p>
    <w:p w14:paraId="51EED66F" w14:textId="3136251F" w:rsidR="00C4628D" w:rsidRDefault="00827F91" w:rsidP="00F3480A">
      <w:pPr>
        <w:pStyle w:val="BodyText"/>
      </w:pPr>
      <w:r>
        <w:t xml:space="preserve">In their submission, </w:t>
      </w:r>
      <w:r w:rsidR="00184D6A">
        <w:t xml:space="preserve">Vanessa Teague, T Wilson-Brown, Andrew </w:t>
      </w:r>
      <w:proofErr w:type="gramStart"/>
      <w:r w:rsidR="00184D6A">
        <w:t>Conway</w:t>
      </w:r>
      <w:proofErr w:type="gramEnd"/>
      <w:r w:rsidR="00184D6A">
        <w:t xml:space="preserve"> and Thomas Haines told the Committee that they had identified errors in the </w:t>
      </w:r>
      <w:proofErr w:type="spellStart"/>
      <w:r w:rsidR="00184D6A">
        <w:t>eVACS</w:t>
      </w:r>
      <w:proofErr w:type="spellEnd"/>
      <w:r w:rsidR="00184D6A">
        <w:t xml:space="preserve"> counting module</w:t>
      </w:r>
      <w:r w:rsidR="00F3480A">
        <w:t xml:space="preserve"> supporting electronic voting in the 2020 election</w:t>
      </w:r>
      <w:r w:rsidR="00C4628D" w:rsidRPr="00C4628D">
        <w:t>.</w:t>
      </w:r>
      <w:r w:rsidR="00F3480A">
        <w:rPr>
          <w:rStyle w:val="FootnoteReference"/>
        </w:rPr>
        <w:footnoteReference w:id="71"/>
      </w:r>
    </w:p>
    <w:p w14:paraId="3C6D7ED5" w14:textId="1927EDFC" w:rsidR="00F3480A" w:rsidRDefault="00F3480A" w:rsidP="002B4978">
      <w:pPr>
        <w:pStyle w:val="BodyText"/>
      </w:pPr>
      <w:r>
        <w:t xml:space="preserve">The Electoral Commission </w:t>
      </w:r>
      <w:r w:rsidR="00777AF8">
        <w:t xml:space="preserve">described the </w:t>
      </w:r>
      <w:r w:rsidR="00CC0562">
        <w:t>issue and their response</w:t>
      </w:r>
      <w:r w:rsidR="00777AF8">
        <w:t xml:space="preserve"> in </w:t>
      </w:r>
      <w:r w:rsidR="00624512">
        <w:t>this way</w:t>
      </w:r>
      <w:r>
        <w:t>:</w:t>
      </w:r>
    </w:p>
    <w:p w14:paraId="22DD3B6C" w14:textId="23B7C321" w:rsidR="00F3480A" w:rsidRDefault="002B4978" w:rsidP="00F3480A">
      <w:pPr>
        <w:pStyle w:val="Quote"/>
      </w:pPr>
      <w:r>
        <w:t xml:space="preserve">‘Mr Conway and Ms Teague correctly identified that </w:t>
      </w:r>
      <w:proofErr w:type="spellStart"/>
      <w:r>
        <w:t>eVACS</w:t>
      </w:r>
      <w:proofErr w:type="spellEnd"/>
      <w:r>
        <w:t>® had implemented a misinterpretation of the Electoral Act surrounding this counting mechanism implementing a distribution of this later grouping of transfer values as a separate count, rather than grouping all vote values with the transfer value of 1</w:t>
      </w:r>
      <w:r w:rsidR="00F3480A">
        <w:t xml:space="preserve">… </w:t>
      </w:r>
      <w:r>
        <w:t xml:space="preserve">As identified by the report authors, none of the above counting issues altered the result of the counts for the 2020 ACT election. </w:t>
      </w:r>
      <w:r w:rsidR="00F3480A">
        <w:t xml:space="preserve"> </w:t>
      </w:r>
      <w:r>
        <w:t xml:space="preserve">Regardless, all the above issues have been rectified in </w:t>
      </w:r>
      <w:proofErr w:type="spellStart"/>
      <w:r>
        <w:t>eVACS</w:t>
      </w:r>
      <w:proofErr w:type="spellEnd"/>
      <w:r>
        <w:t>® for future elections since receipt of the report.’</w:t>
      </w:r>
      <w:r w:rsidR="00F3480A">
        <w:rPr>
          <w:rStyle w:val="FootnoteReference"/>
        </w:rPr>
        <w:footnoteReference w:id="72"/>
      </w:r>
      <w:r>
        <w:t xml:space="preserve">  </w:t>
      </w:r>
    </w:p>
    <w:p w14:paraId="08664DCE" w14:textId="1F616B71" w:rsidR="002B4978" w:rsidRDefault="00F3480A" w:rsidP="002B4978">
      <w:pPr>
        <w:pStyle w:val="BodyText"/>
      </w:pPr>
      <w:r>
        <w:t xml:space="preserve">The Electoral Commission acknowledged they </w:t>
      </w:r>
      <w:r w:rsidR="002B4978">
        <w:t xml:space="preserve">‘had some difficulty implementing the change within the </w:t>
      </w:r>
      <w:proofErr w:type="spellStart"/>
      <w:r w:rsidR="002B4978">
        <w:t>eVACS</w:t>
      </w:r>
      <w:proofErr w:type="spellEnd"/>
      <w:r w:rsidR="002B4978">
        <w:t>® counting system’</w:t>
      </w:r>
      <w:r>
        <w:t>.</w:t>
      </w:r>
      <w:r>
        <w:rPr>
          <w:rStyle w:val="FootnoteReference"/>
        </w:rPr>
        <w:footnoteReference w:id="73"/>
      </w:r>
      <w:r w:rsidR="002B4978">
        <w:t xml:space="preserve"> </w:t>
      </w:r>
    </w:p>
    <w:p w14:paraId="1180D960" w14:textId="56CDC6EB" w:rsidR="003934C4" w:rsidRDefault="00461CF5" w:rsidP="00461CF5">
      <w:pPr>
        <w:pStyle w:val="Heading4"/>
      </w:pPr>
      <w:r>
        <w:t>Finalis</w:t>
      </w:r>
      <w:r w:rsidR="0057678B">
        <w:t>ing</w:t>
      </w:r>
      <w:r>
        <w:t xml:space="preserve"> electronic voting system</w:t>
      </w:r>
      <w:r w:rsidR="0057678B">
        <w:t xml:space="preserve"> early in election period</w:t>
      </w:r>
    </w:p>
    <w:p w14:paraId="20441F82" w14:textId="2BE9EC0F" w:rsidR="0057678B" w:rsidRDefault="00827F91" w:rsidP="000E3DC9">
      <w:pPr>
        <w:pStyle w:val="BodyText"/>
      </w:pPr>
      <w:r>
        <w:t xml:space="preserve">Andrew </w:t>
      </w:r>
      <w:r w:rsidR="0057678B">
        <w:t xml:space="preserve">Donnellan </w:t>
      </w:r>
      <w:r>
        <w:t>told the Committee</w:t>
      </w:r>
      <w:r w:rsidR="0057678B">
        <w:t xml:space="preserve"> the voting module audit was completed four days before polling</w:t>
      </w:r>
      <w:r>
        <w:t>,</w:t>
      </w:r>
      <w:r w:rsidR="0057678B">
        <w:t xml:space="preserve"> and the counting module audit completed ten days after polling commenced. </w:t>
      </w:r>
    </w:p>
    <w:p w14:paraId="6CF9DE11" w14:textId="39AB9DD8" w:rsidR="00274198" w:rsidRDefault="00827F91" w:rsidP="00274198">
      <w:pPr>
        <w:pStyle w:val="Quote"/>
      </w:pPr>
      <w:r>
        <w:t>‘</w:t>
      </w:r>
      <w:r w:rsidR="00274198" w:rsidRPr="00274198">
        <w:t>It seems incredibly risky to leave the process of completing the audit for the voting module until four days before polling, and not completing the audit for the counting module until ten days after polling has commenced. The late timeframe for auditing seems inevitable, however, given the overall timeframe for the redevelopment of an entire complex, bespoke election management system.’</w:t>
      </w:r>
      <w:r>
        <w:rPr>
          <w:rStyle w:val="FootnoteReference"/>
        </w:rPr>
        <w:footnoteReference w:id="74"/>
      </w:r>
      <w:r w:rsidR="00274198" w:rsidRPr="00274198">
        <w:t xml:space="preserve"> </w:t>
      </w:r>
    </w:p>
    <w:p w14:paraId="76F140BD" w14:textId="1EA6E46E" w:rsidR="00AA171E" w:rsidRDefault="00AA171E" w:rsidP="00AA171E">
      <w:pPr>
        <w:pStyle w:val="BodyText"/>
      </w:pPr>
      <w:r>
        <w:lastRenderedPageBreak/>
        <w:t xml:space="preserve">The </w:t>
      </w:r>
      <w:r w:rsidR="00AC313D" w:rsidRPr="00AA171E">
        <w:t xml:space="preserve">Electoral Commission </w:t>
      </w:r>
      <w:r>
        <w:t xml:space="preserve">told the Committee that the </w:t>
      </w:r>
      <w:r w:rsidRPr="00AA171E">
        <w:t>testing</w:t>
      </w:r>
      <w:r>
        <w:t xml:space="preserve">, </w:t>
      </w:r>
      <w:r w:rsidRPr="00AA171E">
        <w:t>certification</w:t>
      </w:r>
      <w:r>
        <w:t xml:space="preserve">, and deployment of </w:t>
      </w:r>
      <w:proofErr w:type="spellStart"/>
      <w:r>
        <w:t>eVACS</w:t>
      </w:r>
      <w:proofErr w:type="spellEnd"/>
      <w:r>
        <w:t xml:space="preserve"> was delayed due to the l</w:t>
      </w:r>
      <w:r w:rsidRPr="00AA171E">
        <w:t>ate legislative changes passed by the Assembly on 2 July 2020.</w:t>
      </w:r>
      <w:r>
        <w:rPr>
          <w:rStyle w:val="FootnoteReference"/>
        </w:rPr>
        <w:footnoteReference w:id="75"/>
      </w:r>
    </w:p>
    <w:p w14:paraId="039621DD" w14:textId="62A96DCF" w:rsidR="00052AC4" w:rsidRDefault="00052AC4" w:rsidP="00052AC4">
      <w:pPr>
        <w:pStyle w:val="Heading5"/>
      </w:pPr>
      <w:r>
        <w:t>Committee Comment</w:t>
      </w:r>
    </w:p>
    <w:p w14:paraId="18E69AA8" w14:textId="18EF81BA" w:rsidR="00052AC4" w:rsidRPr="00366A9C" w:rsidRDefault="00052AC4" w:rsidP="00AA171E">
      <w:pPr>
        <w:pStyle w:val="BodyText"/>
      </w:pPr>
      <w:r>
        <w:t xml:space="preserve">The Committee recommends that the electronic voting system be finalised, </w:t>
      </w:r>
      <w:proofErr w:type="gramStart"/>
      <w:r>
        <w:t>audited</w:t>
      </w:r>
      <w:proofErr w:type="gramEnd"/>
      <w:r>
        <w:t xml:space="preserve"> and certified before the final date for candidate nomination.  The Committee </w:t>
      </w:r>
      <w:r w:rsidR="00CC0562">
        <w:t>makes comment</w:t>
      </w:r>
      <w:r>
        <w:t xml:space="preserve"> elsewhere in this report on the desirability of avoiding amendments to the Electoral Act within 12 months of an election (see </w:t>
      </w:r>
      <w:r w:rsidRPr="00366A9C">
        <w:t xml:space="preserve">paragraph </w:t>
      </w:r>
      <w:r w:rsidR="00F74B46" w:rsidRPr="00366A9C">
        <w:t>11.1</w:t>
      </w:r>
      <w:r w:rsidR="0062061B" w:rsidRPr="00366A9C">
        <w:t>4</w:t>
      </w:r>
      <w:r w:rsidRPr="00366A9C">
        <w:t xml:space="preserve">).  </w:t>
      </w:r>
    </w:p>
    <w:tbl>
      <w:tblPr>
        <w:tblStyle w:val="TableGrid"/>
        <w:tblW w:w="9209" w:type="dxa"/>
        <w:tblInd w:w="-142" w:type="dxa"/>
        <w:tblLook w:val="04A0" w:firstRow="1" w:lastRow="0" w:firstColumn="1" w:lastColumn="0" w:noHBand="0" w:noVBand="1"/>
      </w:tblPr>
      <w:tblGrid>
        <w:gridCol w:w="9209"/>
      </w:tblGrid>
      <w:tr w:rsidR="00CF0001" w14:paraId="39EB40BA" w14:textId="77777777" w:rsidTr="005747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E9EF97D" w14:textId="35D92E3B" w:rsidR="00CF0001" w:rsidRPr="00366A9C" w:rsidRDefault="00CF0001" w:rsidP="00574777">
            <w:pPr>
              <w:pStyle w:val="RecommendationHeading"/>
            </w:pPr>
            <w:bookmarkStart w:id="58" w:name="_Toc78382469"/>
            <w:r w:rsidRPr="00366A9C">
              <w:t xml:space="preserve">Recommendation </w:t>
            </w:r>
            <w:r w:rsidR="00E41791" w:rsidRPr="00366A9C">
              <w:t>4</w:t>
            </w:r>
            <w:bookmarkEnd w:id="58"/>
          </w:p>
          <w:p w14:paraId="53853FBE" w14:textId="31975918" w:rsidR="00CF0001" w:rsidRPr="00366A9C" w:rsidRDefault="00CF0001" w:rsidP="00777AF8">
            <w:pPr>
              <w:pStyle w:val="RecommendationText"/>
            </w:pPr>
            <w:bookmarkStart w:id="59" w:name="_Toc78382470"/>
            <w:r w:rsidRPr="00366A9C">
              <w:t xml:space="preserve">The Committee recommends that </w:t>
            </w:r>
            <w:r w:rsidR="007C36F5" w:rsidRPr="00366A9C">
              <w:t>any planned</w:t>
            </w:r>
            <w:r w:rsidR="00D12E90" w:rsidRPr="00366A9C">
              <w:t>/</w:t>
            </w:r>
            <w:r w:rsidR="007C36F5" w:rsidRPr="00366A9C">
              <w:t xml:space="preserve">scheduled modifications to the </w:t>
            </w:r>
            <w:r w:rsidRPr="00366A9C">
              <w:t xml:space="preserve">electronic voting system, </w:t>
            </w:r>
            <w:r w:rsidR="007C36F5" w:rsidRPr="00366A9C">
              <w:t xml:space="preserve">and any required </w:t>
            </w:r>
            <w:r w:rsidRPr="00366A9C">
              <w:t>audits and declarations</w:t>
            </w:r>
            <w:r w:rsidR="007C36F5" w:rsidRPr="00366A9C">
              <w:t>,</w:t>
            </w:r>
            <w:r w:rsidRPr="00366A9C">
              <w:t xml:space="preserve"> be completed before candidate nomination closes.</w:t>
            </w:r>
            <w:bookmarkEnd w:id="59"/>
            <w:r w:rsidRPr="00366A9C">
              <w:t xml:space="preserve"> </w:t>
            </w:r>
          </w:p>
        </w:tc>
      </w:tr>
    </w:tbl>
    <w:p w14:paraId="60ABC0F6" w14:textId="2193B660" w:rsidR="00CF0001" w:rsidRDefault="00461CF5" w:rsidP="00461CF5">
      <w:pPr>
        <w:pStyle w:val="Heading4"/>
      </w:pPr>
      <w:r>
        <w:t xml:space="preserve">Audit of electronic voting system </w:t>
      </w:r>
    </w:p>
    <w:p w14:paraId="5B8C7DF8" w14:textId="76CB7D4B" w:rsidR="00777AF8" w:rsidRDefault="00624512" w:rsidP="00A1360E">
      <w:pPr>
        <w:pStyle w:val="BodyText"/>
      </w:pPr>
      <w:r>
        <w:t>The Electoral Commission told the Committee that audits of the ballot paper scanning system have been conducted since the system was introduced in 2008, ‘</w:t>
      </w:r>
      <w:r w:rsidR="00777AF8" w:rsidRPr="00390FEE">
        <w:t>with zero occurrence to date of any discrepancies on the numbering of ballot papers against recorded preferences.</w:t>
      </w:r>
      <w:r w:rsidR="00777AF8">
        <w:t>’</w:t>
      </w:r>
      <w:r>
        <w:rPr>
          <w:rStyle w:val="FootnoteReference"/>
        </w:rPr>
        <w:footnoteReference w:id="76"/>
      </w:r>
      <w:r w:rsidR="00777AF8">
        <w:t xml:space="preserve"> </w:t>
      </w:r>
    </w:p>
    <w:p w14:paraId="0ABFE851" w14:textId="261362E0" w:rsidR="00FA40BE" w:rsidRDefault="00624512" w:rsidP="00FA40BE">
      <w:pPr>
        <w:pStyle w:val="BodyText"/>
      </w:pPr>
      <w:r>
        <w:t xml:space="preserve">Vanessa Teague, T Wilson-Brown, Andrew Conway and Thomas Haines put the view that </w:t>
      </w:r>
      <w:r w:rsidR="00FA40BE" w:rsidRPr="00FA40BE">
        <w:t>‘the current paper vote scanning audit processes are not sufficient to guarantee the accuracy of the system’</w:t>
      </w:r>
      <w:r>
        <w:t>, and they recommend ‘publicly verifiable audits of the original paper ballots in the presence of scrutineers’:</w:t>
      </w:r>
      <w:r>
        <w:rPr>
          <w:rStyle w:val="FootnoteReference"/>
        </w:rPr>
        <w:footnoteReference w:id="77"/>
      </w:r>
      <w:r w:rsidR="00FA40BE" w:rsidRPr="00FA40BE">
        <w:t xml:space="preserve"> </w:t>
      </w:r>
    </w:p>
    <w:p w14:paraId="50C4F315" w14:textId="322996F7" w:rsidR="00624512" w:rsidRPr="00FA40BE" w:rsidRDefault="00624512" w:rsidP="00624512">
      <w:pPr>
        <w:pStyle w:val="Quote"/>
      </w:pPr>
      <w:r w:rsidRPr="005A52DE">
        <w:t xml:space="preserve">‘It is not good enough that there is no evidence of manipulation – a voting system should offer voters and scrutineers solid evidence that the votes are </w:t>
      </w:r>
      <w:proofErr w:type="gramStart"/>
      <w:r w:rsidRPr="005A52DE">
        <w:t>private</w:t>
      </w:r>
      <w:proofErr w:type="gramEnd"/>
      <w:r w:rsidRPr="005A52DE">
        <w:t xml:space="preserve"> and the announced result is correct.’</w:t>
      </w:r>
      <w:r>
        <w:rPr>
          <w:rStyle w:val="FootnoteReference"/>
        </w:rPr>
        <w:footnoteReference w:id="78"/>
      </w:r>
    </w:p>
    <w:p w14:paraId="4FC5ED29" w14:textId="2523DF91" w:rsidR="00C3030C" w:rsidRPr="00C370A2" w:rsidRDefault="00C3030C" w:rsidP="005F3C41">
      <w:pPr>
        <w:pStyle w:val="BodyText"/>
      </w:pPr>
      <w:r w:rsidRPr="00C370A2">
        <w:t xml:space="preserve">During the hearing, Vanessa Teague told the Committee that ‘well designed electoral legislation’ should ‘specify an electoral process that shows the scrutineers that the whole election was properly conducted’, and that some jurisdictions in the United States require that </w:t>
      </w:r>
      <w:r w:rsidRPr="00C370A2">
        <w:lastRenderedPageBreak/>
        <w:t xml:space="preserve">‘electronic results do not get certified until there has been a public risk-limiting audit of the paper </w:t>
      </w:r>
      <w:proofErr w:type="gramStart"/>
      <w:r w:rsidRPr="00C370A2">
        <w:t>records’</w:t>
      </w:r>
      <w:proofErr w:type="gramEnd"/>
      <w:r w:rsidRPr="00C370A2">
        <w:t>.</w:t>
      </w:r>
      <w:r w:rsidRPr="00C370A2">
        <w:rPr>
          <w:rStyle w:val="FootnoteReference"/>
        </w:rPr>
        <w:footnoteReference w:id="79"/>
      </w:r>
    </w:p>
    <w:p w14:paraId="04F26AB0" w14:textId="10F60EC9" w:rsidR="00F23C54" w:rsidRDefault="00624512" w:rsidP="000E3DC9">
      <w:pPr>
        <w:pStyle w:val="BodyText"/>
      </w:pPr>
      <w:r>
        <w:t>ACT Greens suggested that the voting process include a</w:t>
      </w:r>
      <w:r w:rsidR="00F23C54" w:rsidRPr="00F23C54">
        <w:t xml:space="preserve"> paper printout of electronic votes which could be </w:t>
      </w:r>
      <w:r>
        <w:t xml:space="preserve">verified by the voter and </w:t>
      </w:r>
      <w:r w:rsidR="00F23C54" w:rsidRPr="00F23C54">
        <w:t>put in the ballot box as an auditable vote.</w:t>
      </w:r>
      <w:r>
        <w:rPr>
          <w:rStyle w:val="FootnoteReference"/>
        </w:rPr>
        <w:footnoteReference w:id="80"/>
      </w:r>
    </w:p>
    <w:p w14:paraId="7602B736" w14:textId="5D8041FD" w:rsidR="006439D3" w:rsidRPr="00C370A2" w:rsidRDefault="006439D3" w:rsidP="006439D3">
      <w:pPr>
        <w:pStyle w:val="Heading5"/>
      </w:pPr>
      <w:r w:rsidRPr="00C370A2">
        <w:t>Committee Comment</w:t>
      </w:r>
    </w:p>
    <w:p w14:paraId="1C707728" w14:textId="56CDC695" w:rsidR="006439D3" w:rsidRPr="00C370A2" w:rsidRDefault="006439D3" w:rsidP="006439D3">
      <w:pPr>
        <w:pStyle w:val="BodyText"/>
      </w:pPr>
      <w:r w:rsidRPr="00C370A2">
        <w:t xml:space="preserve">The Committee considers that a public audit of the accuracy of the electronic voting system would foster public confidence in the electoral process.  </w:t>
      </w:r>
    </w:p>
    <w:tbl>
      <w:tblPr>
        <w:tblStyle w:val="TableGrid"/>
        <w:tblW w:w="9209" w:type="dxa"/>
        <w:tblInd w:w="-142" w:type="dxa"/>
        <w:tblLook w:val="04A0" w:firstRow="1" w:lastRow="0" w:firstColumn="1" w:lastColumn="0" w:noHBand="0" w:noVBand="1"/>
      </w:tblPr>
      <w:tblGrid>
        <w:gridCol w:w="9209"/>
      </w:tblGrid>
      <w:tr w:rsidR="00CF0001" w14:paraId="5C5258C2" w14:textId="77777777" w:rsidTr="005747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DF8454B" w14:textId="0F3510BD" w:rsidR="00CF0001" w:rsidRDefault="00CF0001" w:rsidP="00574777">
            <w:pPr>
              <w:pStyle w:val="RecommendationHeading"/>
            </w:pPr>
            <w:bookmarkStart w:id="60" w:name="_Toc78382471"/>
            <w:r>
              <w:t xml:space="preserve">Recommendation </w:t>
            </w:r>
            <w:r w:rsidR="00E41791">
              <w:t>5</w:t>
            </w:r>
            <w:bookmarkEnd w:id="60"/>
          </w:p>
          <w:p w14:paraId="37809EA1" w14:textId="752A0B59" w:rsidR="00CF0001" w:rsidRPr="00962807" w:rsidRDefault="00CF0001" w:rsidP="00CF0001">
            <w:pPr>
              <w:pStyle w:val="RecommendationText"/>
            </w:pPr>
            <w:bookmarkStart w:id="61" w:name="_Toc78382472"/>
            <w:r w:rsidRPr="00CF0001">
              <w:t>The Committee recommends that the e-voting system incorporate a voter-verifiable paper record, so the voter can check that their vote was recorded as they intended.</w:t>
            </w:r>
            <w:bookmarkEnd w:id="61"/>
          </w:p>
        </w:tc>
      </w:tr>
      <w:tr w:rsidR="00CF0001" w14:paraId="798F0AD9" w14:textId="77777777" w:rsidTr="005747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60D8A6" w14:textId="7DB21C62" w:rsidR="00CF0001" w:rsidRDefault="00CF0001" w:rsidP="00574777">
            <w:pPr>
              <w:pStyle w:val="RecommendationHeading"/>
            </w:pPr>
            <w:bookmarkStart w:id="62" w:name="_Toc78382473"/>
            <w:r>
              <w:t xml:space="preserve">Recommendation </w:t>
            </w:r>
            <w:r w:rsidR="00E41791">
              <w:t>6</w:t>
            </w:r>
            <w:bookmarkEnd w:id="62"/>
          </w:p>
          <w:p w14:paraId="338B141A" w14:textId="56092212" w:rsidR="00CF0001" w:rsidRPr="00962807" w:rsidRDefault="00CF0001" w:rsidP="00CF0001">
            <w:pPr>
              <w:pStyle w:val="RecommendationText"/>
            </w:pPr>
            <w:bookmarkStart w:id="63" w:name="_Toc78382474"/>
            <w:r w:rsidRPr="00CF0001">
              <w:t>The Committee recommends that the Electoral Act be amended to require a public audit of randomly selected paper records of electronic votes, to compare each ballot against its electronic record and check for discrepancies.</w:t>
            </w:r>
            <w:bookmarkEnd w:id="63"/>
          </w:p>
        </w:tc>
      </w:tr>
    </w:tbl>
    <w:p w14:paraId="1AE55CE1" w14:textId="3FDED95F" w:rsidR="00CF0001" w:rsidRDefault="00461CF5" w:rsidP="00461CF5">
      <w:pPr>
        <w:pStyle w:val="Heading4"/>
      </w:pPr>
      <w:r>
        <w:t xml:space="preserve">Internet </w:t>
      </w:r>
      <w:r w:rsidR="006439D3">
        <w:t>V</w:t>
      </w:r>
      <w:r>
        <w:t xml:space="preserve">oting </w:t>
      </w:r>
    </w:p>
    <w:p w14:paraId="1EA34FA4" w14:textId="571A1DB1" w:rsidR="00D858A6" w:rsidRDefault="00D858A6" w:rsidP="00D858A6">
      <w:pPr>
        <w:pStyle w:val="BodyText"/>
      </w:pPr>
      <w:r>
        <w:t>Some participants in the inquiry told the Committee that internet voting of any type should be forbidden because the security risks are too great.</w:t>
      </w:r>
    </w:p>
    <w:p w14:paraId="7A330045" w14:textId="77777777" w:rsidR="00D858A6" w:rsidRDefault="00D858A6" w:rsidP="00D858A6">
      <w:pPr>
        <w:pStyle w:val="ListBullet"/>
      </w:pPr>
      <w:r>
        <w:t>Rajeev Gore recommended that the Electoral Act ‘[f]</w:t>
      </w:r>
      <w:proofErr w:type="spellStart"/>
      <w:r w:rsidRPr="00945855">
        <w:t>orbid</w:t>
      </w:r>
      <w:proofErr w:type="spellEnd"/>
      <w:r w:rsidRPr="00945855">
        <w:t xml:space="preserve"> any sort of internet election, on any scale</w:t>
      </w:r>
      <w:r>
        <w:t>’</w:t>
      </w:r>
      <w:r w:rsidRPr="00945855">
        <w:t>.</w:t>
      </w:r>
      <w:r>
        <w:rPr>
          <w:rStyle w:val="FootnoteReference"/>
        </w:rPr>
        <w:footnoteReference w:id="81"/>
      </w:r>
      <w:r>
        <w:t xml:space="preserve">  </w:t>
      </w:r>
    </w:p>
    <w:p w14:paraId="7C4234B3" w14:textId="119E5207" w:rsidR="00D858A6" w:rsidRDefault="00D858A6" w:rsidP="00D858A6">
      <w:pPr>
        <w:pStyle w:val="ListBullet"/>
      </w:pPr>
      <w:r>
        <w:t xml:space="preserve">Vanessa Teague, T Wilson-Brown, Andrew </w:t>
      </w:r>
      <w:proofErr w:type="gramStart"/>
      <w:r>
        <w:t>Conway</w:t>
      </w:r>
      <w:proofErr w:type="gramEnd"/>
      <w:r>
        <w:t xml:space="preserve"> and Thomas Haines recommended ‘that Internet voting be discontinued, due to the high levels of risk involved in current Internet voting technology.’</w:t>
      </w:r>
      <w:r>
        <w:rPr>
          <w:rStyle w:val="FootnoteReference"/>
        </w:rPr>
        <w:footnoteReference w:id="82"/>
      </w:r>
    </w:p>
    <w:p w14:paraId="002F9F6B" w14:textId="77901578" w:rsidR="00D858A6" w:rsidRDefault="00D858A6" w:rsidP="00945855">
      <w:pPr>
        <w:pStyle w:val="BodyText"/>
      </w:pPr>
      <w:r>
        <w:t>Online voting was used</w:t>
      </w:r>
      <w:r w:rsidR="0050194C">
        <w:t xml:space="preserve"> for the first time</w:t>
      </w:r>
      <w:r>
        <w:t xml:space="preserve"> in the 2020 election</w:t>
      </w:r>
      <w:r w:rsidR="0050194C">
        <w:t xml:space="preserve">, </w:t>
      </w:r>
      <w:r w:rsidR="00052AC4">
        <w:t xml:space="preserve">in the unusual circumstances of the pandemic, </w:t>
      </w:r>
      <w:r w:rsidR="0050194C">
        <w:t>and only</w:t>
      </w:r>
      <w:r>
        <w:t xml:space="preserve"> by overseas voters.  The electronic voting system used at early voting centres within the ACT is not connected to the internet.  </w:t>
      </w:r>
    </w:p>
    <w:p w14:paraId="29D09753" w14:textId="32AF11AB" w:rsidR="00A1360E" w:rsidRPr="00624512" w:rsidRDefault="00624512" w:rsidP="00945855">
      <w:pPr>
        <w:pStyle w:val="BodyText"/>
      </w:pPr>
      <w:r>
        <w:lastRenderedPageBreak/>
        <w:t xml:space="preserve">In July 2020, the Electoral Act was amended to </w:t>
      </w:r>
      <w:r w:rsidR="00A1360E">
        <w:t xml:space="preserve">temporarily </w:t>
      </w:r>
      <w:r>
        <w:t xml:space="preserve">enable </w:t>
      </w:r>
      <w:r w:rsidRPr="00624512">
        <w:t xml:space="preserve">electronic voting for ACT electors who </w:t>
      </w:r>
      <w:r w:rsidR="00A1360E">
        <w:t>were overseas at the time of the election.</w:t>
      </w:r>
      <w:r w:rsidR="00A1360E">
        <w:rPr>
          <w:rStyle w:val="FootnoteReference"/>
        </w:rPr>
        <w:footnoteReference w:id="83"/>
      </w:r>
      <w:r w:rsidR="00A1360E">
        <w:t xml:space="preserve">  The rationale for these amendments was to ensure that overseas</w:t>
      </w:r>
      <w:r w:rsidR="00945855">
        <w:t xml:space="preserve"> voters could</w:t>
      </w:r>
      <w:r w:rsidR="00A1360E">
        <w:t xml:space="preserve"> lodge their vote before the deadline for receipt of postal votes</w:t>
      </w:r>
      <w:r w:rsidR="00945855">
        <w:t xml:space="preserve">, </w:t>
      </w:r>
      <w:r w:rsidR="0050194C">
        <w:t>given the</w:t>
      </w:r>
      <w:r w:rsidR="00945855">
        <w:t xml:space="preserve"> delays in international postal services due to the pandemic</w:t>
      </w:r>
      <w:r w:rsidR="00A1360E" w:rsidRPr="00A1360E">
        <w:t>.</w:t>
      </w:r>
      <w:r w:rsidR="00A1360E">
        <w:t>’</w:t>
      </w:r>
      <w:r w:rsidR="00A1360E">
        <w:rPr>
          <w:rStyle w:val="FootnoteReference"/>
        </w:rPr>
        <w:footnoteReference w:id="84"/>
      </w:r>
    </w:p>
    <w:p w14:paraId="3FB1BCC1" w14:textId="5F4CD750" w:rsidR="00C1016C" w:rsidRDefault="00C1016C" w:rsidP="00A1360E">
      <w:pPr>
        <w:pStyle w:val="BodyText"/>
      </w:pPr>
      <w:r>
        <w:t>The Electoral Commission described the Overseas e-voting system (OSEV) in their submission:</w:t>
      </w:r>
    </w:p>
    <w:p w14:paraId="14CEDB49" w14:textId="3753198A" w:rsidR="00A1360E" w:rsidRDefault="00A1360E" w:rsidP="00C1016C">
      <w:pPr>
        <w:pStyle w:val="Quote"/>
      </w:pPr>
      <w:r>
        <w:t>‘In a reaction to the spike in rejected postal votes and the disenfranchisement of overseas electors, the Electoral Commission recommended and ultimately implemented a limited online e-voting system for electors based outside of Australia.  Elections ACT designed the Overseas e-voting system (OSEV) with system security, process integrity and vote integrity at its core.  Working with the Australian Signals Directorate and the Australian Cyber Security Centre (ACSC), Elections ACT refined the design and processes to implement a safe and secure system that could be trusted by ACT electors to capture vote preferences from an overseas location using the internet.’</w:t>
      </w:r>
      <w:r w:rsidR="00C1016C">
        <w:rPr>
          <w:rStyle w:val="FootnoteReference"/>
        </w:rPr>
        <w:footnoteReference w:id="85"/>
      </w:r>
      <w:r>
        <w:t xml:space="preserve"> </w:t>
      </w:r>
    </w:p>
    <w:p w14:paraId="610BC282" w14:textId="1C7B3E89" w:rsidR="00945855" w:rsidRDefault="00945855" w:rsidP="00C1016C">
      <w:pPr>
        <w:pStyle w:val="BodyText"/>
      </w:pPr>
      <w:r>
        <w:t>During the 2020 election, 1,554 overseas e-votes were admitted into the election count.  The Electoral Commission told the Committee that the OSEV system was successful in ensuring overseas voters could participate in the election:</w:t>
      </w:r>
    </w:p>
    <w:p w14:paraId="2B4F7F91" w14:textId="599EF991" w:rsidR="00C1016C" w:rsidRDefault="00C1016C" w:rsidP="00945855">
      <w:pPr>
        <w:pStyle w:val="Quote"/>
      </w:pPr>
      <w:r>
        <w:t>‘At the time of writing, in April 2020, only 22 postal votes from overseas locations had been received after the legislated deadline.  This is in stark contrast to the 560 overseas postal votes rejected following the 2016 election.’</w:t>
      </w:r>
      <w:r w:rsidR="00945855">
        <w:rPr>
          <w:rStyle w:val="FootnoteReference"/>
        </w:rPr>
        <w:footnoteReference w:id="86"/>
      </w:r>
      <w:r>
        <w:t xml:space="preserve"> </w:t>
      </w:r>
    </w:p>
    <w:p w14:paraId="42D906D1" w14:textId="6CC5D60A" w:rsidR="00D858A6" w:rsidRDefault="00D858A6" w:rsidP="00D858A6">
      <w:pPr>
        <w:pStyle w:val="BodyText"/>
      </w:pPr>
      <w:r>
        <w:t xml:space="preserve">The Electoral Commission does not propose to extend the use of online </w:t>
      </w:r>
      <w:proofErr w:type="gramStart"/>
      <w:r>
        <w:t>voting,</w:t>
      </w:r>
      <w:proofErr w:type="gramEnd"/>
      <w:r>
        <w:t xml:space="preserve"> however they would like to see it continue to be available </w:t>
      </w:r>
      <w:r w:rsidR="006D7FA3">
        <w:t>in future elections for overseas voters:</w:t>
      </w:r>
    </w:p>
    <w:p w14:paraId="23DDA4EF" w14:textId="761400F5" w:rsidR="00C1016C" w:rsidRDefault="00C1016C" w:rsidP="00945855">
      <w:pPr>
        <w:pStyle w:val="Quote"/>
      </w:pPr>
      <w:r>
        <w:t>‘While the Commission remains cautious regarding the introduction of online voting to a broader elector base at ACT elections, the implementation of OSEV, the Overseas e-voting System at the 2020 election should be viewed as a significant success.’</w:t>
      </w:r>
      <w:r w:rsidR="00945855">
        <w:rPr>
          <w:rStyle w:val="FootnoteReference"/>
        </w:rPr>
        <w:footnoteReference w:id="87"/>
      </w:r>
      <w:r>
        <w:t xml:space="preserve"> </w:t>
      </w:r>
    </w:p>
    <w:p w14:paraId="14746BBE" w14:textId="617F4094" w:rsidR="00D10C39" w:rsidRDefault="00945855" w:rsidP="00D10C39">
      <w:pPr>
        <w:pStyle w:val="BodyText"/>
      </w:pPr>
      <w:r>
        <w:t>S</w:t>
      </w:r>
      <w:r w:rsidR="00A1360E">
        <w:t xml:space="preserve">everal submissions </w:t>
      </w:r>
      <w:r w:rsidR="006439D3">
        <w:t xml:space="preserve">to this inquiry </w:t>
      </w:r>
      <w:r w:rsidR="00D10C39" w:rsidRPr="00D10C39">
        <w:t>recommend</w:t>
      </w:r>
      <w:r>
        <w:t>ed</w:t>
      </w:r>
      <w:r w:rsidR="00D10C39" w:rsidRPr="00D10C39">
        <w:t xml:space="preserve"> </w:t>
      </w:r>
      <w:r w:rsidR="006439D3">
        <w:t xml:space="preserve">that </w:t>
      </w:r>
      <w:r w:rsidR="00D10C39" w:rsidRPr="00D10C39">
        <w:t xml:space="preserve">the Electoral Act be amended to permanently reintroduce </w:t>
      </w:r>
      <w:r w:rsidR="00A1360E">
        <w:t xml:space="preserve">overseas </w:t>
      </w:r>
      <w:r w:rsidR="00D10C39" w:rsidRPr="00D10C39">
        <w:t>e</w:t>
      </w:r>
      <w:r w:rsidR="00A1360E">
        <w:t>lectronic voting, by</w:t>
      </w:r>
      <w:r w:rsidR="00D10C39" w:rsidRPr="00D10C39">
        <w:t xml:space="preserve"> reinstat</w:t>
      </w:r>
      <w:r w:rsidR="00A1360E">
        <w:t>ing</w:t>
      </w:r>
      <w:r w:rsidR="00D10C39" w:rsidRPr="00D10C39">
        <w:t xml:space="preserve"> the temporary provisions in place for the 2020 election during the pandemic</w:t>
      </w:r>
      <w:r w:rsidR="00624512">
        <w:t>.</w:t>
      </w:r>
      <w:r w:rsidR="00A1360E">
        <w:rPr>
          <w:rStyle w:val="FootnoteReference"/>
        </w:rPr>
        <w:footnoteReference w:id="88"/>
      </w:r>
    </w:p>
    <w:p w14:paraId="658A2430" w14:textId="7DB2B9FD" w:rsidR="006439D3" w:rsidRPr="00C370A2" w:rsidRDefault="006439D3" w:rsidP="006439D3">
      <w:pPr>
        <w:pStyle w:val="Heading5"/>
      </w:pPr>
      <w:r w:rsidRPr="00C370A2">
        <w:lastRenderedPageBreak/>
        <w:t>Committee Comment</w:t>
      </w:r>
    </w:p>
    <w:p w14:paraId="4C96088F" w14:textId="1A5D39C3" w:rsidR="006439D3" w:rsidRPr="00C370A2" w:rsidRDefault="006439D3" w:rsidP="00D10C39">
      <w:pPr>
        <w:pStyle w:val="BodyText"/>
      </w:pPr>
      <w:r w:rsidRPr="00C370A2">
        <w:t>The Committee notes that the overseas electronic voting system was authorised and designed in the dramatic and urgent circumstances of the pandemic.  If online voting is to be used for future elections, there should first be a considered analysis of the risks and benefits of online voting in ordinary</w:t>
      </w:r>
      <w:r w:rsidR="005F3C41" w:rsidRPr="00C370A2">
        <w:t xml:space="preserve"> (non-pandemic)</w:t>
      </w:r>
      <w:r w:rsidRPr="00C370A2">
        <w:t xml:space="preserve"> circumstances.  </w:t>
      </w:r>
    </w:p>
    <w:tbl>
      <w:tblPr>
        <w:tblStyle w:val="TableGrid"/>
        <w:tblW w:w="9209" w:type="dxa"/>
        <w:tblInd w:w="-142" w:type="dxa"/>
        <w:tblLook w:val="04A0" w:firstRow="1" w:lastRow="0" w:firstColumn="1" w:lastColumn="0" w:noHBand="0" w:noVBand="1"/>
      </w:tblPr>
      <w:tblGrid>
        <w:gridCol w:w="9209"/>
      </w:tblGrid>
      <w:tr w:rsidR="00CF0001" w14:paraId="786CE3B0" w14:textId="77777777" w:rsidTr="005747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2770552" w14:textId="298D3EDC" w:rsidR="00CF0001" w:rsidRDefault="00CF0001" w:rsidP="00E62C3C">
            <w:pPr>
              <w:pStyle w:val="RecommendationHeading"/>
            </w:pPr>
            <w:bookmarkStart w:id="64" w:name="_Toc78382475"/>
            <w:r w:rsidRPr="00E62C3C">
              <w:t>Recommendation</w:t>
            </w:r>
            <w:r>
              <w:t xml:space="preserve"> </w:t>
            </w:r>
            <w:r w:rsidR="00E41791">
              <w:t>7</w:t>
            </w:r>
            <w:bookmarkEnd w:id="64"/>
          </w:p>
          <w:p w14:paraId="326F71C8" w14:textId="51C46BF5" w:rsidR="00CF0001" w:rsidRPr="00962807" w:rsidRDefault="00CF0001" w:rsidP="00530E16">
            <w:pPr>
              <w:pStyle w:val="RecommendationText"/>
            </w:pPr>
            <w:bookmarkStart w:id="65" w:name="_Toc78382476"/>
            <w:r w:rsidRPr="00CF0001">
              <w:t xml:space="preserve">The Committee recommends </w:t>
            </w:r>
            <w:r w:rsidRPr="00366A9C">
              <w:t>that</w:t>
            </w:r>
            <w:r w:rsidR="006D7FA3" w:rsidRPr="00366A9C">
              <w:t xml:space="preserve"> </w:t>
            </w:r>
            <w:r w:rsidR="00530E16" w:rsidRPr="00366A9C">
              <w:t>ACT Government assess the benefits and risks of providing an online voting system for overseas voters outside periods of public health emergency, and report to the Assembly by March 2022.</w:t>
            </w:r>
            <w:bookmarkEnd w:id="65"/>
            <w:r w:rsidR="00530E16">
              <w:t xml:space="preserve">    </w:t>
            </w:r>
          </w:p>
        </w:tc>
      </w:tr>
    </w:tbl>
    <w:p w14:paraId="2AAC4050" w14:textId="77777777" w:rsidR="007C36F5" w:rsidRDefault="007C36F5" w:rsidP="0062061B">
      <w:pPr>
        <w:pStyle w:val="Heading4"/>
      </w:pPr>
      <w:r>
        <w:t>Funding for Modernisation of ICT Systems</w:t>
      </w:r>
    </w:p>
    <w:p w14:paraId="2D2BFF13" w14:textId="77777777" w:rsidR="007C36F5" w:rsidRDefault="007C36F5" w:rsidP="007C36F5">
      <w:pPr>
        <w:pStyle w:val="BodyText"/>
      </w:pPr>
      <w:r w:rsidRPr="00983EC7">
        <w:t xml:space="preserve">In its report on the 2020 Election, the Electoral Commission </w:t>
      </w:r>
      <w:r>
        <w:t xml:space="preserve">stated: ‘There is a need for assurance of funding to the Commission dedicated to the necessary continuous modernisation of the ICT systems such as </w:t>
      </w:r>
      <w:proofErr w:type="spellStart"/>
      <w:r>
        <w:t>eVACS</w:t>
      </w:r>
      <w:proofErr w:type="spellEnd"/>
      <w:r>
        <w:t>, OSEV, and the Electoral Management System.’</w:t>
      </w:r>
      <w:r>
        <w:rPr>
          <w:rStyle w:val="FootnoteReference"/>
        </w:rPr>
        <w:footnoteReference w:id="89"/>
      </w:r>
    </w:p>
    <w:p w14:paraId="0BE556B8" w14:textId="77777777" w:rsidR="007C36F5" w:rsidRDefault="007C36F5" w:rsidP="007C36F5">
      <w:pPr>
        <w:pStyle w:val="BodyText"/>
      </w:pPr>
      <w:r>
        <w:t>The Electoral Commissioner elaborated during the hearing:</w:t>
      </w:r>
    </w:p>
    <w:p w14:paraId="783C8A03" w14:textId="77777777" w:rsidR="007C36F5" w:rsidRDefault="007C36F5" w:rsidP="007C36F5">
      <w:pPr>
        <w:pStyle w:val="Quote"/>
      </w:pPr>
      <w:r>
        <w:t>‘</w:t>
      </w:r>
      <w:r w:rsidRPr="00A64493">
        <w:t>The ICT systems that enable our electronic voting will continue to need upgrading</w:t>
      </w:r>
      <w:r>
        <w:t>…</w:t>
      </w:r>
      <w:r w:rsidRPr="00A64493">
        <w:t xml:space="preserve"> We cannot simply turn </w:t>
      </w:r>
      <w:proofErr w:type="spellStart"/>
      <w:r w:rsidRPr="00A64493">
        <w:t>eVACS</w:t>
      </w:r>
      <w:proofErr w:type="spellEnd"/>
      <w:r w:rsidRPr="00A64493">
        <w:t xml:space="preserve"> back on in four years’ time and expect that it will run as we saw for 2020. </w:t>
      </w:r>
      <w:r>
        <w:t xml:space="preserve"> </w:t>
      </w:r>
      <w:r w:rsidRPr="00A64493">
        <w:t xml:space="preserve">The systems around it—LAPPERDS, OSEV and our management systems, collectively—will need continued work. </w:t>
      </w:r>
      <w:r>
        <w:t xml:space="preserve"> </w:t>
      </w:r>
      <w:r w:rsidRPr="00A64493">
        <w:t>That is going to take some additional resources.</w:t>
      </w:r>
      <w:r>
        <w:t>’</w:t>
      </w:r>
      <w:r>
        <w:rPr>
          <w:rStyle w:val="FootnoteReference"/>
        </w:rPr>
        <w:footnoteReference w:id="90"/>
      </w:r>
      <w:r>
        <w:t xml:space="preserve"> </w:t>
      </w:r>
    </w:p>
    <w:tbl>
      <w:tblPr>
        <w:tblStyle w:val="TableGrid"/>
        <w:tblW w:w="9209" w:type="dxa"/>
        <w:tblInd w:w="-142" w:type="dxa"/>
        <w:tblLook w:val="04A0" w:firstRow="1" w:lastRow="0" w:firstColumn="1" w:lastColumn="0" w:noHBand="0" w:noVBand="1"/>
      </w:tblPr>
      <w:tblGrid>
        <w:gridCol w:w="9209"/>
      </w:tblGrid>
      <w:tr w:rsidR="007C36F5" w14:paraId="58FF705A" w14:textId="77777777" w:rsidTr="00530E16">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58785A2" w14:textId="4D29CCF8" w:rsidR="007C36F5" w:rsidRDefault="007C36F5" w:rsidP="00530E16">
            <w:pPr>
              <w:pStyle w:val="RecommendationHeading"/>
            </w:pPr>
            <w:bookmarkStart w:id="66" w:name="_Toc78382477"/>
            <w:r>
              <w:t xml:space="preserve">Recommendation </w:t>
            </w:r>
            <w:r w:rsidR="00D12E90">
              <w:t>8</w:t>
            </w:r>
            <w:bookmarkEnd w:id="66"/>
          </w:p>
          <w:p w14:paraId="7B1E6B18" w14:textId="77777777" w:rsidR="007C36F5" w:rsidRPr="00962807" w:rsidRDefault="007C36F5" w:rsidP="00530E16">
            <w:pPr>
              <w:pStyle w:val="RecommendationText"/>
            </w:pPr>
            <w:bookmarkStart w:id="67" w:name="_Toc78382478"/>
            <w:r w:rsidRPr="00AA3402">
              <w:t>The Committee recommends that ACT Government provide the Electoral Commission with assurance of funding for continuous modernisation of ICT systems</w:t>
            </w:r>
            <w:r>
              <w:t>.</w:t>
            </w:r>
            <w:bookmarkEnd w:id="67"/>
          </w:p>
        </w:tc>
      </w:tr>
    </w:tbl>
    <w:p w14:paraId="4060C35C" w14:textId="04BD8F90" w:rsidR="000E3DC9" w:rsidRDefault="000E3DC9" w:rsidP="000E3DC9">
      <w:pPr>
        <w:pStyle w:val="Heading3"/>
      </w:pPr>
      <w:bookmarkStart w:id="68" w:name="_Toc78535738"/>
      <w:r>
        <w:t>Transparency</w:t>
      </w:r>
      <w:bookmarkEnd w:id="68"/>
      <w:r>
        <w:t xml:space="preserve"> </w:t>
      </w:r>
    </w:p>
    <w:p w14:paraId="3629566F" w14:textId="7B14C5AF" w:rsidR="00827F91" w:rsidRDefault="00827F91" w:rsidP="00827F91">
      <w:pPr>
        <w:pStyle w:val="BodyText"/>
      </w:pPr>
      <w:r>
        <w:t xml:space="preserve">Vanessa Teague, T Wilson-Brown, Andrew </w:t>
      </w:r>
      <w:proofErr w:type="gramStart"/>
      <w:r>
        <w:t>Conway</w:t>
      </w:r>
      <w:proofErr w:type="gramEnd"/>
      <w:r>
        <w:t xml:space="preserve"> and Thomas Haines </w:t>
      </w:r>
      <w:r w:rsidR="0050194C">
        <w:t>told the Committee</w:t>
      </w:r>
      <w:r>
        <w:t xml:space="preserve"> that </w:t>
      </w:r>
      <w:r w:rsidRPr="00C4628D">
        <w:t>the independent audit</w:t>
      </w:r>
      <w:r w:rsidR="0050194C">
        <w:t xml:space="preserve"> and </w:t>
      </w:r>
      <w:r w:rsidRPr="00C4628D">
        <w:t xml:space="preserve">certification process for </w:t>
      </w:r>
      <w:r>
        <w:t xml:space="preserve">the </w:t>
      </w:r>
      <w:r w:rsidRPr="00C4628D">
        <w:t xml:space="preserve">electronic voting system is </w:t>
      </w:r>
      <w:r w:rsidRPr="00C4628D">
        <w:lastRenderedPageBreak/>
        <w:t xml:space="preserve">inadequate, and that transparency </w:t>
      </w:r>
      <w:r>
        <w:t>would</w:t>
      </w:r>
      <w:r w:rsidRPr="00C4628D">
        <w:t xml:space="preserve"> better enable serious errors and vulnerabilities in </w:t>
      </w:r>
      <w:r w:rsidR="006D7FA3">
        <w:t>the electronic voting system</w:t>
      </w:r>
      <w:r w:rsidRPr="00C4628D">
        <w:t xml:space="preserve"> to be discovered and addressed.</w:t>
      </w:r>
      <w:r>
        <w:rPr>
          <w:rStyle w:val="FootnoteReference"/>
        </w:rPr>
        <w:footnoteReference w:id="91"/>
      </w:r>
    </w:p>
    <w:p w14:paraId="02BE6AAA" w14:textId="393CE336" w:rsidR="00777AF8" w:rsidRDefault="00777AF8" w:rsidP="006D7FA3">
      <w:pPr>
        <w:pStyle w:val="Quote"/>
      </w:pPr>
      <w:r>
        <w:t xml:space="preserve">‘The current auditing processes do not adequately examine the software systems. </w:t>
      </w:r>
      <w:r w:rsidR="006D7FA3">
        <w:t xml:space="preserve"> </w:t>
      </w:r>
      <w:r>
        <w:t xml:space="preserve">We know of several errors that went undetected in the counting module.  There could be multiple errors in the </w:t>
      </w:r>
      <w:proofErr w:type="spellStart"/>
      <w:r>
        <w:t>pollsite</w:t>
      </w:r>
      <w:proofErr w:type="spellEnd"/>
      <w:r>
        <w:t xml:space="preserve"> </w:t>
      </w:r>
      <w:proofErr w:type="spellStart"/>
      <w:r>
        <w:t>evoting</w:t>
      </w:r>
      <w:proofErr w:type="spellEnd"/>
      <w:r>
        <w:t>, Internet voting, or paper ballot scanning modules that went undetected throughout the electoral process</w:t>
      </w:r>
      <w:r w:rsidR="006D7FA3">
        <w:t>.</w:t>
      </w:r>
      <w:r>
        <w:t>’</w:t>
      </w:r>
      <w:r w:rsidR="006D7FA3">
        <w:rPr>
          <w:rStyle w:val="FootnoteReference"/>
        </w:rPr>
        <w:footnoteReference w:id="92"/>
      </w:r>
      <w:r>
        <w:t xml:space="preserve"> </w:t>
      </w:r>
    </w:p>
    <w:p w14:paraId="1D5FD64F" w14:textId="20FB8C7B" w:rsidR="0050194C" w:rsidRDefault="0050194C" w:rsidP="00A822D0">
      <w:pPr>
        <w:pStyle w:val="BodyText"/>
      </w:pPr>
      <w:r>
        <w:t xml:space="preserve">Ms Teague and her colleagues </w:t>
      </w:r>
      <w:r w:rsidRPr="0050194C">
        <w:t xml:space="preserve">recommend that </w:t>
      </w:r>
      <w:r w:rsidR="00A822D0">
        <w:t>‘</w:t>
      </w:r>
      <w:r w:rsidRPr="0050194C">
        <w:t>the code and related documents be made openly available to public scrutiny, rather than entrusted to small number of auditors chosen by Elections ACT.</w:t>
      </w:r>
      <w:r w:rsidR="00A822D0">
        <w:t>’</w:t>
      </w:r>
      <w:r w:rsidR="00A822D0">
        <w:rPr>
          <w:rStyle w:val="FootnoteReference"/>
        </w:rPr>
        <w:footnoteReference w:id="93"/>
      </w:r>
    </w:p>
    <w:p w14:paraId="0B21892C" w14:textId="79C1DD9D" w:rsidR="00CA240E" w:rsidRDefault="006D7FA3" w:rsidP="00A822D0">
      <w:pPr>
        <w:pStyle w:val="BodyText"/>
      </w:pPr>
      <w:r>
        <w:t>Several submissions mentioned the i</w:t>
      </w:r>
      <w:r w:rsidR="00B67AB1">
        <w:t xml:space="preserve">mportance of </w:t>
      </w:r>
      <w:r w:rsidR="00B67AB1" w:rsidRPr="00B67AB1">
        <w:t>electronic voting code and system documentation be</w:t>
      </w:r>
      <w:r w:rsidR="00B67AB1">
        <w:t>ing</w:t>
      </w:r>
      <w:r w:rsidR="00B67AB1" w:rsidRPr="00B67AB1">
        <w:t xml:space="preserve"> made available for independent examination</w:t>
      </w:r>
      <w:r w:rsidR="00CA240E">
        <w:t>:</w:t>
      </w:r>
    </w:p>
    <w:p w14:paraId="03FD6E09" w14:textId="1098A625" w:rsidR="005B714E" w:rsidRDefault="00CA240E" w:rsidP="00CA240E">
      <w:pPr>
        <w:pStyle w:val="Quote"/>
      </w:pPr>
      <w:r>
        <w:t>‘</w:t>
      </w:r>
      <w:r w:rsidRPr="00624512">
        <w:t>Public confidence in the software requires timely exposure of the code for scrutiny by software professionals</w:t>
      </w:r>
      <w:r>
        <w:t>.’</w:t>
      </w:r>
      <w:r w:rsidR="0050194C">
        <w:rPr>
          <w:rStyle w:val="FootnoteReference"/>
        </w:rPr>
        <w:footnoteReference w:id="94"/>
      </w:r>
    </w:p>
    <w:p w14:paraId="3BEC83F9" w14:textId="77777777" w:rsidR="00A822D0" w:rsidRDefault="00A822D0" w:rsidP="00A822D0">
      <w:pPr>
        <w:pStyle w:val="Heading4"/>
      </w:pPr>
      <w:r>
        <w:t xml:space="preserve">Conditions on release of information </w:t>
      </w:r>
    </w:p>
    <w:p w14:paraId="11F47241" w14:textId="0E013B76" w:rsidR="00A822D0" w:rsidRDefault="00323E82" w:rsidP="00A822D0">
      <w:pPr>
        <w:pStyle w:val="BodyText"/>
      </w:pPr>
      <w:r>
        <w:t>At</w:t>
      </w:r>
      <w:r w:rsidR="00A822D0">
        <w:t xml:space="preserve"> previous elections the source code for the electronic voting system was publicly released, however in 2020 the Electoral Commission chose to </w:t>
      </w:r>
      <w:r w:rsidR="00B52235">
        <w:t xml:space="preserve">release the source code only to people who signed a non-disclosure agreement.  </w:t>
      </w:r>
    </w:p>
    <w:p w14:paraId="1BAEDE4C" w14:textId="258DBAA7" w:rsidR="00B52235" w:rsidRDefault="00B52235" w:rsidP="00B52235">
      <w:pPr>
        <w:pStyle w:val="BodyText"/>
      </w:pPr>
      <w:r w:rsidRPr="00C4628D">
        <w:t xml:space="preserve">The </w:t>
      </w:r>
      <w:r>
        <w:t xml:space="preserve">Electoral </w:t>
      </w:r>
      <w:r w:rsidRPr="00C4628D">
        <w:t>Commission</w:t>
      </w:r>
      <w:r>
        <w:t>er</w:t>
      </w:r>
      <w:r w:rsidRPr="00C4628D">
        <w:t xml:space="preserve"> told the Committee that the</w:t>
      </w:r>
      <w:r w:rsidR="005F3C41">
        <w:t xml:space="preserve"> Commission</w:t>
      </w:r>
      <w:r w:rsidRPr="00C4628D">
        <w:t xml:space="preserve"> </w:t>
      </w:r>
      <w:r>
        <w:t xml:space="preserve">now </w:t>
      </w:r>
      <w:r w:rsidRPr="00C4628D">
        <w:t>regulate</w:t>
      </w:r>
      <w:r w:rsidR="005F3C41">
        <w:t>s</w:t>
      </w:r>
      <w:r w:rsidRPr="00C4628D">
        <w:t xml:space="preserve"> access to the source code </w:t>
      </w:r>
      <w:proofErr w:type="gramStart"/>
      <w:r w:rsidRPr="00C4628D">
        <w:t>in order to</w:t>
      </w:r>
      <w:proofErr w:type="gramEnd"/>
      <w:r w:rsidRPr="00C4628D">
        <w:t xml:space="preserve"> protect public confidence in the electoral system</w:t>
      </w:r>
      <w:r>
        <w:t xml:space="preserve">.  </w:t>
      </w:r>
    </w:p>
    <w:p w14:paraId="7FE066D7" w14:textId="77777777" w:rsidR="00B52235" w:rsidRDefault="00B52235" w:rsidP="00B52235">
      <w:pPr>
        <w:pStyle w:val="Quote"/>
      </w:pPr>
      <w:r>
        <w:t>‘</w:t>
      </w:r>
      <w:r w:rsidRPr="00C26423">
        <w:t xml:space="preserve">The intention of that agreement was to have kept the integrity of the code in so far as the opportunity should be afforded to the commission to consider such assertions, as they might arise, of any irregularities or issues with the coding, </w:t>
      </w:r>
      <w:proofErr w:type="gramStart"/>
      <w:r w:rsidRPr="00C26423">
        <w:t>so as to</w:t>
      </w:r>
      <w:proofErr w:type="gramEnd"/>
      <w:r w:rsidRPr="00C26423">
        <w:t xml:space="preserve"> avoid unnecessary community angst or concern, or doubts about the integrity of the coding, and therefore the outcome of the election. </w:t>
      </w:r>
      <w:r>
        <w:t xml:space="preserve"> </w:t>
      </w:r>
      <w:r w:rsidRPr="00C26423">
        <w:t>Otherwise, there is potential, in this era of information and social media pervasiveness, for anyone to make such an assertion and put it out in the media tomorrow and for me to have to race around to try to address those issues and do all that I can to enhance or restore the trust and integrity of the system, regardless of the veracity or the integrity of that assertion.</w:t>
      </w:r>
      <w:r>
        <w:t xml:space="preserve"> </w:t>
      </w:r>
      <w:r w:rsidRPr="00C26423">
        <w:t xml:space="preserve"> </w:t>
      </w:r>
      <w:proofErr w:type="gramStart"/>
      <w:r w:rsidRPr="00C26423">
        <w:t>So</w:t>
      </w:r>
      <w:proofErr w:type="gramEnd"/>
      <w:r w:rsidRPr="00C26423">
        <w:t xml:space="preserve"> it is all about ensuring that we have a balanced and, I think, a considered approach to any such suggestions of coding or other errors.</w:t>
      </w:r>
      <w:r>
        <w:t>’</w:t>
      </w:r>
      <w:r>
        <w:rPr>
          <w:rStyle w:val="FootnoteReference"/>
        </w:rPr>
        <w:footnoteReference w:id="95"/>
      </w:r>
      <w:r>
        <w:t xml:space="preserve">  </w:t>
      </w:r>
    </w:p>
    <w:p w14:paraId="1C829E25" w14:textId="43230D64" w:rsidR="00B52235" w:rsidRDefault="00B52235" w:rsidP="00B52235">
      <w:pPr>
        <w:pStyle w:val="BodyText"/>
      </w:pPr>
      <w:r>
        <w:lastRenderedPageBreak/>
        <w:t xml:space="preserve">The non-disclosure agreement includes a </w:t>
      </w:r>
      <w:proofErr w:type="gramStart"/>
      <w:r>
        <w:t>60 day</w:t>
      </w:r>
      <w:proofErr w:type="gramEnd"/>
      <w:r>
        <w:t xml:space="preserve"> prohibition on publishing findings.  The Commissioner told the Committee that:</w:t>
      </w:r>
    </w:p>
    <w:p w14:paraId="078E0385" w14:textId="17E731F6" w:rsidR="00B52235" w:rsidRDefault="00B52235" w:rsidP="00B52235">
      <w:pPr>
        <w:pStyle w:val="Quote"/>
      </w:pPr>
      <w:r>
        <w:t>‘</w:t>
      </w:r>
      <w:r w:rsidR="008301CA">
        <w:t>[T]</w:t>
      </w:r>
      <w:r w:rsidRPr="00C26423">
        <w:t xml:space="preserve">he intent of the non-disclosure agreement, or the deed of confidentiality, for the 2020 </w:t>
      </w:r>
      <w:proofErr w:type="spellStart"/>
      <w:r w:rsidRPr="00C26423">
        <w:t>eVACS</w:t>
      </w:r>
      <w:proofErr w:type="spellEnd"/>
      <w:r w:rsidRPr="00C26423">
        <w:t xml:space="preserve"> code was, in this current era of potential misinformation or deliberate disinformation, to allow the commission an opportunity to work for a defined period of time with anyone who would assert or offer that there are issues with the code—60 days in this case—during which time we would work with the vendor, or members of the public, or whomever might raise such an issue. </w:t>
      </w:r>
      <w:r>
        <w:t xml:space="preserve"> </w:t>
      </w:r>
      <w:r w:rsidRPr="00C26423">
        <w:t>At that time—after that deed expired, the 60 days—the findings would be able to be released by the person who claimed to have made such findings, but not the code.</w:t>
      </w:r>
      <w:r>
        <w:t>’</w:t>
      </w:r>
      <w:r>
        <w:rPr>
          <w:rStyle w:val="FootnoteReference"/>
        </w:rPr>
        <w:footnoteReference w:id="96"/>
      </w:r>
    </w:p>
    <w:p w14:paraId="519BE46A" w14:textId="7DCF0CEB" w:rsidR="00A822D0" w:rsidRDefault="00A822D0" w:rsidP="00A822D0">
      <w:pPr>
        <w:pStyle w:val="BodyText"/>
      </w:pPr>
      <w:r>
        <w:t xml:space="preserve">Some submitters called for the Electoral Commission to </w:t>
      </w:r>
      <w:r w:rsidRPr="00B67AB1">
        <w:t xml:space="preserve">revert to the policy position of making the </w:t>
      </w:r>
      <w:proofErr w:type="spellStart"/>
      <w:r w:rsidRPr="00B67AB1">
        <w:t>eVACS</w:t>
      </w:r>
      <w:proofErr w:type="spellEnd"/>
      <w:r w:rsidRPr="00B67AB1">
        <w:t xml:space="preserve"> source code and system documentation openly available, without the condition of a non-disclosure agreement</w:t>
      </w:r>
      <w:r>
        <w:t xml:space="preserve">.  </w:t>
      </w:r>
      <w:r w:rsidR="009234E2">
        <w:t xml:space="preserve">ACT </w:t>
      </w:r>
      <w:proofErr w:type="spellStart"/>
      <w:r w:rsidR="009234E2">
        <w:t>Labor</w:t>
      </w:r>
      <w:proofErr w:type="spellEnd"/>
      <w:r w:rsidR="009234E2">
        <w:t xml:space="preserve"> told the Committee:</w:t>
      </w:r>
    </w:p>
    <w:p w14:paraId="12C45682" w14:textId="42DD49CE" w:rsidR="009234E2" w:rsidRPr="00274198" w:rsidRDefault="009234E2" w:rsidP="009234E2">
      <w:pPr>
        <w:pStyle w:val="Quote"/>
      </w:pPr>
      <w:r w:rsidRPr="00274198">
        <w:t xml:space="preserve">‘While we understand the need to ensure confidence in the </w:t>
      </w:r>
      <w:proofErr w:type="spellStart"/>
      <w:r w:rsidRPr="00274198">
        <w:t>eVACS</w:t>
      </w:r>
      <w:proofErr w:type="spellEnd"/>
      <w:r w:rsidRPr="00274198">
        <w:t xml:space="preserve"> system is not undermined unnecessarily, we believe that putting up barriers to access and implementing restrictions on public discussion do not best serve this interest.’</w:t>
      </w:r>
      <w:r>
        <w:rPr>
          <w:rStyle w:val="FootnoteReference"/>
        </w:rPr>
        <w:footnoteReference w:id="97"/>
      </w:r>
      <w:r w:rsidRPr="00274198">
        <w:t xml:space="preserve"> </w:t>
      </w:r>
    </w:p>
    <w:p w14:paraId="64968C73" w14:textId="717CE5AC" w:rsidR="00A822D0" w:rsidRPr="00535635" w:rsidRDefault="009234E2" w:rsidP="00A822D0">
      <w:pPr>
        <w:pStyle w:val="BodyText"/>
      </w:pPr>
      <w:r>
        <w:t>Andrew Donnellan expressed</w:t>
      </w:r>
      <w:r w:rsidR="00A822D0">
        <w:t xml:space="preserve"> c</w:t>
      </w:r>
      <w:r w:rsidR="00A822D0" w:rsidRPr="00535635">
        <w:t>oncern that the deed was ‘developed without adequate consultation with relevant experts in the community’</w:t>
      </w:r>
      <w:r>
        <w:t>.</w:t>
      </w:r>
      <w:r>
        <w:rPr>
          <w:rStyle w:val="FootnoteReference"/>
        </w:rPr>
        <w:footnoteReference w:id="98"/>
      </w:r>
      <w:r w:rsidR="00A822D0" w:rsidRPr="00535635">
        <w:t xml:space="preserve"> </w:t>
      </w:r>
    </w:p>
    <w:p w14:paraId="5CA06AC9" w14:textId="645AC4B7" w:rsidR="008301CA" w:rsidRDefault="008301CA" w:rsidP="00A822D0">
      <w:pPr>
        <w:pStyle w:val="BodyText"/>
      </w:pPr>
      <w:r>
        <w:t xml:space="preserve">Vanessa Teague and T Wilson-Brown </w:t>
      </w:r>
      <w:r w:rsidR="005F3C41">
        <w:t>told the Committee they held concerns</w:t>
      </w:r>
      <w:r>
        <w:t xml:space="preserve"> about the terms of the non-disclosure agreement, and refused to sign it:</w:t>
      </w:r>
    </w:p>
    <w:p w14:paraId="7CB2432B" w14:textId="5A562550" w:rsidR="00A822D0" w:rsidRDefault="00A822D0" w:rsidP="009234E2">
      <w:pPr>
        <w:pStyle w:val="Quote"/>
      </w:pPr>
      <w:r>
        <w:t xml:space="preserve">‘There was a 60-day minimum disclosure period. </w:t>
      </w:r>
      <w:r w:rsidR="009234E2">
        <w:t xml:space="preserve"> </w:t>
      </w:r>
      <w:r>
        <w:t>Given that they did not even make it available until after voting had started, by my count, even if I had got the code as soon as I saw the NDA, started looking at it straightaway, found something immediately and told them about it straightaway, that period of 60 days would have a very good chance of overshooting the end of the period where a candidate who was potentially affected by some of those issues might have chosen, if they had known about them, to challenge the election result.  I do not think that that is okay.</w:t>
      </w:r>
      <w:r w:rsidR="009234E2">
        <w:t xml:space="preserve"> </w:t>
      </w:r>
      <w:r>
        <w:t xml:space="preserve"> It is </w:t>
      </w:r>
      <w:proofErr w:type="gramStart"/>
      <w:r>
        <w:t>really important</w:t>
      </w:r>
      <w:proofErr w:type="gramEnd"/>
      <w:r>
        <w:t xml:space="preserve"> to have the capacity to tell potentially affected people.</w:t>
      </w:r>
      <w:r w:rsidR="00323E82">
        <w:t xml:space="preserve"> </w:t>
      </w:r>
      <w:r>
        <w:t xml:space="preserve"> It is up to the candidates and the courts to choose to take advantage of something that has gone wrong; it is not up to me to promise to keep it secret and it is not up to the Electoral Commission to keep it secret</w:t>
      </w:r>
      <w:r w:rsidR="009234E2">
        <w:t xml:space="preserve">… </w:t>
      </w:r>
      <w:r>
        <w:t xml:space="preserve">Sixty days would be fine if the code was available six months before the election but 60 days that overlaps that critical election period is not </w:t>
      </w:r>
      <w:r w:rsidR="009234E2">
        <w:t>fine</w:t>
      </w:r>
      <w:r>
        <w:t>.’</w:t>
      </w:r>
      <w:r w:rsidR="009234E2">
        <w:rPr>
          <w:rStyle w:val="FootnoteReference"/>
        </w:rPr>
        <w:footnoteReference w:id="99"/>
      </w:r>
      <w:r>
        <w:t xml:space="preserve"> </w:t>
      </w:r>
    </w:p>
    <w:p w14:paraId="7698EA42" w14:textId="46ACB5DF" w:rsidR="008301CA" w:rsidRDefault="009234E2" w:rsidP="00A822D0">
      <w:pPr>
        <w:pStyle w:val="BodyText"/>
      </w:pPr>
      <w:r>
        <w:lastRenderedPageBreak/>
        <w:t xml:space="preserve">Ms Teague’s second concern about the non-disclosure agreement related to </w:t>
      </w:r>
      <w:r w:rsidR="00602170">
        <w:t>her belief that it does not guarantee the researcher may release their findings after 60 days.  Her preference is that the clause ‘t</w:t>
      </w:r>
      <w:r w:rsidR="00602170" w:rsidRPr="00602170">
        <w:t>he researcher may disclose their findings publicly only if they have told the commission 60 days in advance</w:t>
      </w:r>
      <w:r w:rsidR="00602170">
        <w:t>’ include the phrase ‘if and only if’.</w:t>
      </w:r>
      <w:r w:rsidR="00602170">
        <w:rPr>
          <w:rStyle w:val="FootnoteReference"/>
        </w:rPr>
        <w:footnoteReference w:id="100"/>
      </w:r>
    </w:p>
    <w:p w14:paraId="5DC7C85F" w14:textId="4ABBFEC3" w:rsidR="00A822D0" w:rsidRDefault="008301CA" w:rsidP="008301CA">
      <w:pPr>
        <w:pStyle w:val="Heading5"/>
      </w:pPr>
      <w:r>
        <w:t>Committee Comment</w:t>
      </w:r>
    </w:p>
    <w:p w14:paraId="461E50F6" w14:textId="36F8A56F" w:rsidR="008301CA" w:rsidRDefault="008301CA" w:rsidP="009234E2">
      <w:pPr>
        <w:pStyle w:val="BodyText"/>
      </w:pPr>
      <w:r>
        <w:t xml:space="preserve">The Committee considers it is reasonable for the Electoral Commission to apply a non-disclosure agreement before release of the source code for electronic voting.  The 60-day timeframe </w:t>
      </w:r>
      <w:r w:rsidR="005F3C41">
        <w:t>provides</w:t>
      </w:r>
      <w:r>
        <w:t xml:space="preserve"> the Commission time to engage with the independent expert</w:t>
      </w:r>
      <w:r w:rsidR="00602170">
        <w:t xml:space="preserve"> who examined the code</w:t>
      </w:r>
      <w:r>
        <w:t>, respond to the</w:t>
      </w:r>
      <w:r w:rsidR="009234E2">
        <w:t>ir</w:t>
      </w:r>
      <w:r>
        <w:t xml:space="preserve"> findings, clarify accuracy, institute corrections to any problems identified, and prepare for public comment on the release of the findings.</w:t>
      </w:r>
    </w:p>
    <w:p w14:paraId="7BEF6D16" w14:textId="1D67BDB7" w:rsidR="005F3C41" w:rsidRPr="00C370A2" w:rsidRDefault="005F3C41" w:rsidP="009234E2">
      <w:pPr>
        <w:pStyle w:val="BodyText"/>
      </w:pPr>
      <w:r w:rsidRPr="00C370A2">
        <w:t xml:space="preserve">It was unfortunate that implementation of the non-disclosure agreement during the 2020 election coincided with the delays in finalising the source code.  The Committee makes comment elsewhere in this report on </w:t>
      </w:r>
      <w:r w:rsidRPr="00366A9C">
        <w:t xml:space="preserve">the desirability of avoiding amendments to the Electoral Act within 12 months of an election (see paragraph </w:t>
      </w:r>
      <w:r w:rsidR="00F74B46" w:rsidRPr="00366A9C">
        <w:t>11.1</w:t>
      </w:r>
      <w:r w:rsidR="0062061B" w:rsidRPr="00366A9C">
        <w:t>4</w:t>
      </w:r>
      <w:r w:rsidRPr="00366A9C">
        <w:t>).</w:t>
      </w:r>
      <w:r>
        <w:t xml:space="preserve">  </w:t>
      </w:r>
    </w:p>
    <w:p w14:paraId="1D6621F3" w14:textId="60BF7479" w:rsidR="005F3C41" w:rsidRPr="00C370A2" w:rsidRDefault="005F3C41" w:rsidP="009234E2">
      <w:pPr>
        <w:pStyle w:val="BodyText"/>
      </w:pPr>
      <w:r w:rsidRPr="00C370A2">
        <w:t xml:space="preserve">The Committee considers it is reasonable for the Electoral Commission to </w:t>
      </w:r>
      <w:r w:rsidR="00F9734E" w:rsidRPr="00C370A2">
        <w:t>adjust the terms of the on-disclosure agreement to account for unexpected circumstances</w:t>
      </w:r>
      <w:r w:rsidRPr="00C370A2">
        <w:t xml:space="preserve">; and to </w:t>
      </w:r>
      <w:r w:rsidR="00F9734E" w:rsidRPr="00C370A2">
        <w:t>strengthen communication about</w:t>
      </w:r>
      <w:r w:rsidRPr="00C370A2">
        <w:t xml:space="preserve"> </w:t>
      </w:r>
      <w:r w:rsidR="00F9734E" w:rsidRPr="00C370A2">
        <w:t xml:space="preserve">the terms of the non-disclosure agreement.  </w:t>
      </w:r>
    </w:p>
    <w:tbl>
      <w:tblPr>
        <w:tblStyle w:val="TableGrid"/>
        <w:tblW w:w="9209" w:type="dxa"/>
        <w:tblInd w:w="-142" w:type="dxa"/>
        <w:tblLook w:val="04A0" w:firstRow="1" w:lastRow="0" w:firstColumn="1" w:lastColumn="0" w:noHBand="0" w:noVBand="1"/>
      </w:tblPr>
      <w:tblGrid>
        <w:gridCol w:w="9209"/>
      </w:tblGrid>
      <w:tr w:rsidR="00A822D0" w14:paraId="4D711A46" w14:textId="77777777" w:rsidTr="00A822D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45ED92D" w14:textId="0A5449B0" w:rsidR="00A822D0" w:rsidRDefault="00A822D0" w:rsidP="00A822D0">
            <w:pPr>
              <w:pStyle w:val="RecommendationHeading"/>
            </w:pPr>
            <w:bookmarkStart w:id="69" w:name="_Toc78382479"/>
            <w:r>
              <w:t xml:space="preserve">Recommendation </w:t>
            </w:r>
            <w:r w:rsidR="00D12E90">
              <w:t>9</w:t>
            </w:r>
            <w:bookmarkEnd w:id="69"/>
          </w:p>
          <w:p w14:paraId="55BE6611" w14:textId="709AFFA2" w:rsidR="00A822D0" w:rsidRPr="00366A9C" w:rsidRDefault="00A822D0" w:rsidP="00A822D0">
            <w:pPr>
              <w:pStyle w:val="RecommendationText"/>
            </w:pPr>
            <w:bookmarkStart w:id="70" w:name="_Toc78382480"/>
            <w:r w:rsidRPr="00366A9C">
              <w:t xml:space="preserve">The Committee recommends that the terms of the non-disclosure agreement </w:t>
            </w:r>
            <w:r w:rsidR="00530E16" w:rsidRPr="00366A9C">
              <w:t xml:space="preserve">applied to the release of the electronic voting source code </w:t>
            </w:r>
            <w:r w:rsidRPr="00366A9C">
              <w:t>be revised to:</w:t>
            </w:r>
            <w:bookmarkEnd w:id="70"/>
          </w:p>
          <w:p w14:paraId="045E8866" w14:textId="1AF623FF" w:rsidR="00A822D0" w:rsidRPr="00366A9C" w:rsidRDefault="00A822D0" w:rsidP="00A822D0">
            <w:pPr>
              <w:pStyle w:val="RecommendationBullet"/>
            </w:pPr>
            <w:bookmarkStart w:id="71" w:name="_Toc78382481"/>
            <w:r w:rsidRPr="00366A9C">
              <w:t xml:space="preserve">apply the 60-day restriction on publication only if the source code </w:t>
            </w:r>
            <w:r w:rsidR="00530E16" w:rsidRPr="00366A9C">
              <w:t xml:space="preserve">is available </w:t>
            </w:r>
            <w:r w:rsidRPr="00366A9C">
              <w:t>at least six months before the election, and</w:t>
            </w:r>
            <w:bookmarkEnd w:id="71"/>
          </w:p>
          <w:p w14:paraId="39A36BF3" w14:textId="48836DA5" w:rsidR="00A822D0" w:rsidRPr="00962807" w:rsidRDefault="00602170" w:rsidP="00A822D0">
            <w:pPr>
              <w:pStyle w:val="RecommendationBullet"/>
            </w:pPr>
            <w:bookmarkStart w:id="72" w:name="_Toc78382482"/>
            <w:r w:rsidRPr="00366A9C">
              <w:t>give explicit assurance</w:t>
            </w:r>
            <w:r w:rsidR="00A822D0" w:rsidRPr="00366A9C">
              <w:t xml:space="preserve"> that there is no barrier to publication of findings if the conditions of the agreement are met.</w:t>
            </w:r>
            <w:bookmarkEnd w:id="72"/>
          </w:p>
        </w:tc>
      </w:tr>
    </w:tbl>
    <w:p w14:paraId="0469EC51" w14:textId="3C6F8E0C" w:rsidR="00B67AB1" w:rsidRDefault="00461CF5" w:rsidP="00461CF5">
      <w:pPr>
        <w:pStyle w:val="Heading4"/>
      </w:pPr>
      <w:r>
        <w:t>Timing of information release</w:t>
      </w:r>
    </w:p>
    <w:p w14:paraId="780A94A1" w14:textId="3624CCF4" w:rsidR="00B67AB1" w:rsidRDefault="00CA240E" w:rsidP="00B67AB1">
      <w:pPr>
        <w:pStyle w:val="BodyText"/>
      </w:pPr>
      <w:r>
        <w:t xml:space="preserve">As discussed at </w:t>
      </w:r>
      <w:r w:rsidRPr="00366A9C">
        <w:t xml:space="preserve">paragraph </w:t>
      </w:r>
      <w:r w:rsidR="00F74B46" w:rsidRPr="00366A9C">
        <w:t>5.12</w:t>
      </w:r>
      <w:r w:rsidRPr="00366A9C">
        <w:t xml:space="preserve">, </w:t>
      </w:r>
      <w:r w:rsidR="0062061B" w:rsidRPr="00366A9C">
        <w:t xml:space="preserve">the Committee was told that </w:t>
      </w:r>
      <w:r w:rsidRPr="00366A9C">
        <w:t>i</w:t>
      </w:r>
      <w:r w:rsidR="00B67AB1" w:rsidRPr="00366A9C">
        <w:t>n 2020</w:t>
      </w:r>
      <w:r w:rsidR="00B67AB1">
        <w:t xml:space="preserve"> the source code </w:t>
      </w:r>
      <w:r>
        <w:t xml:space="preserve">for electronic voting was finalised and audited very late in the election year.  </w:t>
      </w:r>
    </w:p>
    <w:p w14:paraId="464C44F6" w14:textId="58E56C73" w:rsidR="00CA240E" w:rsidRDefault="00CA240E" w:rsidP="00B67AB1">
      <w:pPr>
        <w:pStyle w:val="BodyText"/>
      </w:pPr>
      <w:r>
        <w:t xml:space="preserve">The Electoral Commission pointed out that the delay was </w:t>
      </w:r>
      <w:r w:rsidR="00F9734E">
        <w:t>the result of</w:t>
      </w:r>
      <w:r>
        <w:t xml:space="preserve"> very late legislative amendments to the Electoral Act, passed by the Assembly in July 2020:</w:t>
      </w:r>
    </w:p>
    <w:p w14:paraId="190D3F3B" w14:textId="568E2242" w:rsidR="00CA240E" w:rsidRDefault="00CA240E" w:rsidP="00CA240E">
      <w:pPr>
        <w:pStyle w:val="Quote"/>
      </w:pPr>
      <w:r>
        <w:lastRenderedPageBreak/>
        <w:t>‘</w:t>
      </w:r>
      <w:r w:rsidRPr="00D61703">
        <w:t>The code was made publicly available immediately</w:t>
      </w:r>
      <w:r w:rsidR="00323E82">
        <w:t xml:space="preserve"> [on]</w:t>
      </w:r>
      <w:r w:rsidRPr="00D61703">
        <w:t xml:space="preserve"> completion of the necessary changes to the code, including testing and certification, arising from late legislative changes passed by the Assembly on 2 July 2020 effecting the deployment of </w:t>
      </w:r>
      <w:proofErr w:type="spellStart"/>
      <w:r w:rsidRPr="00D61703">
        <w:t>eVACS</w:t>
      </w:r>
      <w:proofErr w:type="spellEnd"/>
      <w:r w:rsidRPr="00D61703">
        <w:t>.</w:t>
      </w:r>
      <w:r>
        <w:t>’</w:t>
      </w:r>
      <w:r>
        <w:rPr>
          <w:rStyle w:val="FootnoteReference"/>
        </w:rPr>
        <w:footnoteReference w:id="101"/>
      </w:r>
      <w:r>
        <w:t xml:space="preserve"> </w:t>
      </w:r>
    </w:p>
    <w:p w14:paraId="7A7E9D75" w14:textId="50BAE8CB" w:rsidR="00A822D0" w:rsidRDefault="00A822D0" w:rsidP="00A822D0">
      <w:pPr>
        <w:pStyle w:val="BodyText"/>
      </w:pPr>
      <w:r>
        <w:t>T Wilson-Brown encouraged early release of the source code, even in draft form, which would allow feedback from independent experts to be considered and incorporated into the final source code:</w:t>
      </w:r>
    </w:p>
    <w:p w14:paraId="44994D98" w14:textId="1B0A492B" w:rsidR="00A822D0" w:rsidRDefault="00A822D0" w:rsidP="00A822D0">
      <w:pPr>
        <w:pStyle w:val="Quote"/>
      </w:pPr>
      <w:r>
        <w:t>‘</w:t>
      </w:r>
      <w:r w:rsidRPr="00A822D0">
        <w:t>At least 6 months before the election, the commission could release public drafts of the system code and documentation.</w:t>
      </w:r>
      <w:r>
        <w:t xml:space="preserve"> </w:t>
      </w:r>
      <w:r w:rsidRPr="00A822D0">
        <w:t xml:space="preserve"> This is equivalent to paper ballot counting, where</w:t>
      </w:r>
      <w:r>
        <w:t xml:space="preserve"> </w:t>
      </w:r>
      <w:r w:rsidRPr="00A822D0">
        <w:t>the counting rules and process are known well in advance, and scrutineers can directly observe the execution of the process.</w:t>
      </w:r>
      <w:r>
        <w:t xml:space="preserve"> </w:t>
      </w:r>
      <w:r w:rsidRPr="00A822D0">
        <w:t xml:space="preserve"> The </w:t>
      </w:r>
      <w:proofErr w:type="gramStart"/>
      <w:r w:rsidRPr="00A822D0">
        <w:t>6 month</w:t>
      </w:r>
      <w:proofErr w:type="gramEnd"/>
      <w:r w:rsidRPr="00A822D0">
        <w:t xml:space="preserve"> period would allow expert scrutineers to review the system, and recommend changes or fixes, before the final approval is made.</w:t>
      </w:r>
      <w:r>
        <w:t xml:space="preserve"> </w:t>
      </w:r>
      <w:r w:rsidRPr="00A822D0">
        <w:t xml:space="preserve"> It would also allow the commissioner to obtain sufficient evidence for the correctness of the </w:t>
      </w:r>
      <w:proofErr w:type="gramStart"/>
      <w:r w:rsidRPr="00A822D0">
        <w:t>program, before</w:t>
      </w:r>
      <w:proofErr w:type="gramEnd"/>
      <w:r w:rsidRPr="00A822D0">
        <w:t xml:space="preserve"> their final approval</w:t>
      </w:r>
      <w:r>
        <w:t>.’</w:t>
      </w:r>
      <w:r>
        <w:rPr>
          <w:rStyle w:val="FootnoteReference"/>
        </w:rPr>
        <w:footnoteReference w:id="102"/>
      </w:r>
    </w:p>
    <w:p w14:paraId="442680FC" w14:textId="11A35320" w:rsidR="0050194C" w:rsidRDefault="0050194C" w:rsidP="0050194C">
      <w:pPr>
        <w:pStyle w:val="Heading5"/>
      </w:pPr>
      <w:r>
        <w:t>Committee Comment</w:t>
      </w:r>
    </w:p>
    <w:p w14:paraId="7DB24423" w14:textId="54B85900" w:rsidR="00624512" w:rsidRDefault="00B67AB1" w:rsidP="00A822D0">
      <w:pPr>
        <w:pStyle w:val="BodyText"/>
      </w:pPr>
      <w:r>
        <w:t>The Committee notes the circumstances leading to the delay in release of source code in 2020 were</w:t>
      </w:r>
      <w:r w:rsidR="0050194C">
        <w:t xml:space="preserve"> largely</w:t>
      </w:r>
      <w:r>
        <w:t xml:space="preserve"> outside the Electoral Commission’s control</w:t>
      </w:r>
      <w:r w:rsidR="0050194C">
        <w:t>.  The Comm</w:t>
      </w:r>
      <w:r w:rsidR="0050194C" w:rsidRPr="00366A9C">
        <w:t xml:space="preserve">ittee </w:t>
      </w:r>
      <w:r w:rsidR="00323E82" w:rsidRPr="00366A9C">
        <w:t>notes</w:t>
      </w:r>
      <w:r w:rsidR="0050194C" w:rsidRPr="00366A9C">
        <w:t xml:space="preserve"> at paragraph </w:t>
      </w:r>
      <w:r w:rsidR="00F74B46" w:rsidRPr="00366A9C">
        <w:t>11.1</w:t>
      </w:r>
      <w:r w:rsidR="0062061B" w:rsidRPr="00366A9C">
        <w:t>4</w:t>
      </w:r>
      <w:r w:rsidR="0050194C" w:rsidRPr="00366A9C">
        <w:t xml:space="preserve"> </w:t>
      </w:r>
      <w:r w:rsidR="00323E82" w:rsidRPr="00366A9C">
        <w:t>the desirability of avoiding</w:t>
      </w:r>
      <w:r w:rsidR="0050194C" w:rsidRPr="00366A9C">
        <w:t xml:space="preserve"> amendments</w:t>
      </w:r>
      <w:r w:rsidRPr="00366A9C">
        <w:t xml:space="preserve"> to the Electoral Act </w:t>
      </w:r>
      <w:r w:rsidR="0050194C" w:rsidRPr="00366A9C">
        <w:t>within</w:t>
      </w:r>
      <w:r w:rsidR="0050194C">
        <w:t xml:space="preserve"> twelve months of an election.  </w:t>
      </w:r>
    </w:p>
    <w:p w14:paraId="4869329D" w14:textId="5E65879E" w:rsidR="00A822D0" w:rsidRDefault="00A822D0" w:rsidP="00A822D0">
      <w:pPr>
        <w:pStyle w:val="BodyText"/>
      </w:pPr>
      <w:r>
        <w:t xml:space="preserve">Given the new requirement for a non-disclosure agreement to access the electronic voting source code, it is </w:t>
      </w:r>
      <w:r w:rsidR="008301CA">
        <w:t>necessary</w:t>
      </w:r>
      <w:r>
        <w:t xml:space="preserve"> that </w:t>
      </w:r>
      <w:r w:rsidR="00323E82">
        <w:t xml:space="preserve">the source code be made available early </w:t>
      </w:r>
      <w:r>
        <w:t xml:space="preserve">in the election year.  </w:t>
      </w:r>
    </w:p>
    <w:tbl>
      <w:tblPr>
        <w:tblStyle w:val="TableGrid"/>
        <w:tblW w:w="9209" w:type="dxa"/>
        <w:tblInd w:w="-142" w:type="dxa"/>
        <w:tblLook w:val="04A0" w:firstRow="1" w:lastRow="0" w:firstColumn="1" w:lastColumn="0" w:noHBand="0" w:noVBand="1"/>
      </w:tblPr>
      <w:tblGrid>
        <w:gridCol w:w="9209"/>
      </w:tblGrid>
      <w:tr w:rsidR="00B67AB1" w14:paraId="38D28263" w14:textId="77777777" w:rsidTr="005747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41E3979" w14:textId="6ABDA258" w:rsidR="00B67AB1" w:rsidRDefault="00B67AB1" w:rsidP="00574777">
            <w:pPr>
              <w:pStyle w:val="RecommendationHeading"/>
            </w:pPr>
            <w:bookmarkStart w:id="73" w:name="_Toc78382483"/>
            <w:r>
              <w:t xml:space="preserve">Recommendation </w:t>
            </w:r>
            <w:r w:rsidR="00D12E90">
              <w:t>10</w:t>
            </w:r>
            <w:bookmarkEnd w:id="73"/>
          </w:p>
          <w:p w14:paraId="601FA38F" w14:textId="71A75400" w:rsidR="00B67AB1" w:rsidRPr="00962807" w:rsidRDefault="00B67AB1" w:rsidP="00B67AB1">
            <w:pPr>
              <w:pStyle w:val="RecommendationText"/>
            </w:pPr>
            <w:bookmarkStart w:id="74" w:name="_Toc78382484"/>
            <w:r w:rsidRPr="00B67AB1">
              <w:t xml:space="preserve">The Committee recommends that the </w:t>
            </w:r>
            <w:proofErr w:type="spellStart"/>
            <w:r w:rsidRPr="00B67AB1">
              <w:t>eVACS</w:t>
            </w:r>
            <w:proofErr w:type="spellEnd"/>
            <w:r w:rsidRPr="00B67AB1">
              <w:t xml:space="preserve"> source code and system documentation be available for inspection at least six months before election day and within seven days of request.</w:t>
            </w:r>
            <w:bookmarkEnd w:id="74"/>
          </w:p>
        </w:tc>
      </w:tr>
    </w:tbl>
    <w:p w14:paraId="5C0531D9" w14:textId="77777777" w:rsidR="0050194C" w:rsidRPr="00A822D0" w:rsidRDefault="0050194C" w:rsidP="0050194C">
      <w:pPr>
        <w:pStyle w:val="Heading4"/>
      </w:pPr>
      <w:r w:rsidRPr="00A822D0">
        <w:t>Scope of information release</w:t>
      </w:r>
    </w:p>
    <w:p w14:paraId="2E08FF42" w14:textId="63C6A9D5" w:rsidR="00F9734E" w:rsidRPr="00C370A2" w:rsidRDefault="00F9734E" w:rsidP="00323E82">
      <w:pPr>
        <w:pStyle w:val="BodyText"/>
      </w:pPr>
      <w:r w:rsidRPr="00C370A2">
        <w:t xml:space="preserve">During the hearing, Vanessa Teague and T Wilson-Brown </w:t>
      </w:r>
      <w:r w:rsidR="0090205E" w:rsidRPr="00C370A2">
        <w:t>suggested</w:t>
      </w:r>
      <w:r w:rsidRPr="00C370A2">
        <w:t xml:space="preserve"> the Electoral Act</w:t>
      </w:r>
      <w:r w:rsidR="0090205E" w:rsidRPr="00C370A2">
        <w:t xml:space="preserve"> should</w:t>
      </w:r>
      <w:r w:rsidRPr="00C370A2">
        <w:t xml:space="preserve"> contain certain minimum requirements to </w:t>
      </w:r>
      <w:r w:rsidR="0090205E" w:rsidRPr="00C370A2">
        <w:t>ensure</w:t>
      </w:r>
      <w:r w:rsidRPr="00C370A2">
        <w:t xml:space="preserve"> transparency of </w:t>
      </w:r>
      <w:r w:rsidR="0090205E" w:rsidRPr="00C370A2">
        <w:t xml:space="preserve">the </w:t>
      </w:r>
      <w:r w:rsidR="00CC30B4" w:rsidRPr="00C370A2">
        <w:t>electronic voting system</w:t>
      </w:r>
      <w:r w:rsidRPr="00C370A2">
        <w:t>.</w:t>
      </w:r>
      <w:r w:rsidR="0090205E" w:rsidRPr="00C370A2">
        <w:rPr>
          <w:rStyle w:val="FootnoteReference"/>
        </w:rPr>
        <w:footnoteReference w:id="103"/>
      </w:r>
    </w:p>
    <w:p w14:paraId="679A6CCC" w14:textId="18B1F54F" w:rsidR="0090205E" w:rsidRDefault="0090205E" w:rsidP="00323E82">
      <w:pPr>
        <w:pStyle w:val="BodyText"/>
      </w:pPr>
      <w:r>
        <w:lastRenderedPageBreak/>
        <w:t xml:space="preserve">When invited to provide a description of these legislative elements on notice, one of the suggestions was </w:t>
      </w:r>
      <w:r w:rsidR="00A822D0">
        <w:t xml:space="preserve">that proper independent scrutiny could be applied with access to the following information: </w:t>
      </w:r>
    </w:p>
    <w:p w14:paraId="47F092CF" w14:textId="4E9CD5F3" w:rsidR="00A822D0" w:rsidRDefault="00A822D0" w:rsidP="0090205E">
      <w:pPr>
        <w:pStyle w:val="Quote"/>
      </w:pPr>
      <w:r>
        <w:t>‘e-voting code, paper ballot scanning code, counting code, electoral roll mark-off code, system requirements documentation, system design documentation, system test plans and test results, system accuracy, integrity, and privacy audits, and any relevant changes to the interpretation of electoral legislation.’</w:t>
      </w:r>
      <w:r>
        <w:rPr>
          <w:rStyle w:val="FootnoteReference"/>
        </w:rPr>
        <w:footnoteReference w:id="104"/>
      </w:r>
    </w:p>
    <w:p w14:paraId="71C8AD6E" w14:textId="47B8C451" w:rsidR="0090205E" w:rsidRDefault="0090205E" w:rsidP="0090205E">
      <w:pPr>
        <w:pStyle w:val="BodyText"/>
      </w:pPr>
      <w:r>
        <w:t xml:space="preserve">T Wilson-Brown noted the need and desirability for ‘an ongoing conversation between voting experts, the Government, the Legislative Assembly, the Electoral Commission, and ACT voters’ to </w:t>
      </w:r>
      <w:r w:rsidR="00CC30B4">
        <w:t>foster public confidence</w:t>
      </w:r>
      <w:r>
        <w:t xml:space="preserve"> the electoral system.</w:t>
      </w:r>
      <w:r w:rsidR="00CC30B4">
        <w:rPr>
          <w:rStyle w:val="FootnoteReference"/>
        </w:rPr>
        <w:footnoteReference w:id="105"/>
      </w:r>
    </w:p>
    <w:p w14:paraId="6120321A" w14:textId="61569C4C" w:rsidR="0090205E" w:rsidRPr="00C370A2" w:rsidRDefault="0090205E" w:rsidP="0090205E">
      <w:pPr>
        <w:pStyle w:val="Heading5"/>
      </w:pPr>
      <w:r w:rsidRPr="00C370A2">
        <w:t>Committee Comment</w:t>
      </w:r>
    </w:p>
    <w:p w14:paraId="520A6DE6" w14:textId="58A7A187" w:rsidR="00CC30B4" w:rsidRPr="00C370A2" w:rsidRDefault="0090205E" w:rsidP="0090205E">
      <w:pPr>
        <w:pStyle w:val="BodyText"/>
      </w:pPr>
      <w:r w:rsidRPr="00C370A2">
        <w:t xml:space="preserve">The Committee </w:t>
      </w:r>
      <w:r w:rsidR="00CC30B4" w:rsidRPr="00C370A2">
        <w:t xml:space="preserve">considers it is reasonable </w:t>
      </w:r>
      <w:r w:rsidR="0039765E" w:rsidRPr="00C370A2">
        <w:t>that</w:t>
      </w:r>
      <w:r w:rsidR="00CC30B4" w:rsidRPr="00C370A2">
        <w:t xml:space="preserve"> the Electoral Act to establish a</w:t>
      </w:r>
      <w:r w:rsidR="0039765E" w:rsidRPr="00C370A2">
        <w:t>n explicit</w:t>
      </w:r>
      <w:r w:rsidR="00CC30B4" w:rsidRPr="00C370A2">
        <w:t xml:space="preserve"> requirement for independent and transparent review of the electronic voting system.  </w:t>
      </w:r>
    </w:p>
    <w:p w14:paraId="52B70313" w14:textId="32348725" w:rsidR="0090205E" w:rsidRPr="00C370A2" w:rsidRDefault="00CC30B4" w:rsidP="0090205E">
      <w:pPr>
        <w:pStyle w:val="BodyText"/>
      </w:pPr>
      <w:r w:rsidRPr="00C370A2">
        <w:t xml:space="preserve">Participants in the inquiry outlined the scope of information release that seems appropriate </w:t>
      </w:r>
      <w:r w:rsidR="0039765E" w:rsidRPr="00C370A2">
        <w:t xml:space="preserve">to them </w:t>
      </w:r>
      <w:r w:rsidRPr="00C370A2">
        <w:t xml:space="preserve">now.  Such details may change with development of technology over time, and therefore they may best be defined in an instrument under the Act, informed by ongoing conversations with electronic voting experts. </w:t>
      </w:r>
      <w:r w:rsidR="0090205E" w:rsidRPr="00C370A2">
        <w:t xml:space="preserve"> </w:t>
      </w:r>
    </w:p>
    <w:tbl>
      <w:tblPr>
        <w:tblStyle w:val="TableGrid"/>
        <w:tblW w:w="9209" w:type="dxa"/>
        <w:tblInd w:w="-142" w:type="dxa"/>
        <w:tblLook w:val="04A0" w:firstRow="1" w:lastRow="0" w:firstColumn="1" w:lastColumn="0" w:noHBand="0" w:noVBand="1"/>
      </w:tblPr>
      <w:tblGrid>
        <w:gridCol w:w="9209"/>
      </w:tblGrid>
      <w:tr w:rsidR="0050194C" w14:paraId="1B8C3AE2" w14:textId="77777777" w:rsidTr="00A822D0">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DC47567" w14:textId="0FE5E684" w:rsidR="0050194C" w:rsidRDefault="0050194C" w:rsidP="00A822D0">
            <w:pPr>
              <w:pStyle w:val="RecommendationHeading"/>
            </w:pPr>
            <w:bookmarkStart w:id="75" w:name="_Toc78382485"/>
            <w:r>
              <w:t xml:space="preserve">Recommendation </w:t>
            </w:r>
            <w:r w:rsidR="00E41791">
              <w:t>1</w:t>
            </w:r>
            <w:r w:rsidR="00D12E90">
              <w:t>1</w:t>
            </w:r>
            <w:bookmarkEnd w:id="75"/>
          </w:p>
          <w:p w14:paraId="54D8C862" w14:textId="4EAB6A62" w:rsidR="0050194C" w:rsidRPr="00962807" w:rsidRDefault="0050194C" w:rsidP="00CC30B4">
            <w:pPr>
              <w:pStyle w:val="RecommendationText"/>
            </w:pPr>
            <w:bookmarkStart w:id="76" w:name="_Toc78382486"/>
            <w:r w:rsidRPr="00CF0001">
              <w:t xml:space="preserve">The Committee recommends that the </w:t>
            </w:r>
            <w:r w:rsidR="0090205E">
              <w:t xml:space="preserve">Electoral Act require public release of the electronic voting code and system documentation, and that the scope of this </w:t>
            </w:r>
            <w:r w:rsidR="0039765E">
              <w:t>requirement</w:t>
            </w:r>
            <w:r w:rsidR="0090205E">
              <w:t xml:space="preserve"> be defined in an instrument under the Act</w:t>
            </w:r>
            <w:r w:rsidR="004C76B2">
              <w:t>, following consultation with electronic voting experts</w:t>
            </w:r>
            <w:r w:rsidR="0090205E">
              <w:t>.</w:t>
            </w:r>
            <w:bookmarkEnd w:id="76"/>
            <w:r w:rsidR="0090205E">
              <w:t xml:space="preserve"> </w:t>
            </w:r>
          </w:p>
        </w:tc>
      </w:tr>
    </w:tbl>
    <w:p w14:paraId="24FEE2DB" w14:textId="6D5DF801" w:rsidR="00151F03" w:rsidRDefault="000E3DC9" w:rsidP="000E3DC9">
      <w:pPr>
        <w:pStyle w:val="Heading2"/>
      </w:pPr>
      <w:bookmarkStart w:id="77" w:name="_Toc78535739"/>
      <w:r>
        <w:lastRenderedPageBreak/>
        <w:t>Administration of Elections</w:t>
      </w:r>
      <w:bookmarkEnd w:id="77"/>
      <w:r>
        <w:t xml:space="preserve"> </w:t>
      </w:r>
    </w:p>
    <w:p w14:paraId="371F84CB" w14:textId="76252EE1" w:rsidR="000E3DC9" w:rsidRPr="000E3DC9" w:rsidRDefault="00E52BFA" w:rsidP="000E3DC9">
      <w:pPr>
        <w:pStyle w:val="BodyText"/>
      </w:pPr>
      <w:r>
        <w:t xml:space="preserve">Chapter 6 addresses several discrete topics relating to the operation of the electoral process, as put to the Committee in the terms of reference for the </w:t>
      </w:r>
      <w:proofErr w:type="gramStart"/>
      <w:r>
        <w:t>inquiry, or</w:t>
      </w:r>
      <w:proofErr w:type="gramEnd"/>
      <w:r>
        <w:t xml:space="preserve"> raised in submissions.  </w:t>
      </w:r>
    </w:p>
    <w:p w14:paraId="5793C34C" w14:textId="5AE66900" w:rsidR="000E3DC9" w:rsidRDefault="000E3DC9" w:rsidP="000E3DC9">
      <w:pPr>
        <w:pStyle w:val="Heading3"/>
      </w:pPr>
      <w:bookmarkStart w:id="78" w:name="_Hlk75268208"/>
      <w:bookmarkStart w:id="79" w:name="_Toc78535740"/>
      <w:r>
        <w:t>Political Party Registration</w:t>
      </w:r>
      <w:bookmarkEnd w:id="79"/>
    </w:p>
    <w:bookmarkEnd w:id="78"/>
    <w:p w14:paraId="1B3B0D93" w14:textId="422A0FFA" w:rsidR="00162504" w:rsidRDefault="00162504" w:rsidP="00162504">
      <w:pPr>
        <w:pStyle w:val="Heading4"/>
      </w:pPr>
      <w:r>
        <w:t>Identifying Party Secretaries</w:t>
      </w:r>
    </w:p>
    <w:p w14:paraId="456DA44A" w14:textId="77777777" w:rsidR="00E60B03" w:rsidRDefault="008E5907" w:rsidP="00530A37">
      <w:pPr>
        <w:pStyle w:val="BodyText"/>
      </w:pPr>
      <w:r>
        <w:t>In its report on the 2020 Election, published in April 2021, t</w:t>
      </w:r>
      <w:r w:rsidR="00E52BFA">
        <w:t xml:space="preserve">he Electoral Commission recommended that </w:t>
      </w:r>
      <w:r>
        <w:t xml:space="preserve">party secretaries be established as a registered position under the Electoral Act, alongside registered </w:t>
      </w:r>
      <w:proofErr w:type="gramStart"/>
      <w:r>
        <w:t>officers</w:t>
      </w:r>
      <w:proofErr w:type="gramEnd"/>
      <w:r>
        <w:t xml:space="preserve"> and reporting agents, given the significant powers they hold under the Act.  </w:t>
      </w:r>
    </w:p>
    <w:p w14:paraId="3609824B" w14:textId="5DE215DD" w:rsidR="00E52BFA" w:rsidRDefault="008E5907" w:rsidP="00530A37">
      <w:pPr>
        <w:pStyle w:val="BodyText"/>
      </w:pPr>
      <w:r>
        <w:t xml:space="preserve">The Deputy Electoral Commissioner described the rationale for this recommendation during the hearing: </w:t>
      </w:r>
    </w:p>
    <w:p w14:paraId="5B776152" w14:textId="23058730" w:rsidR="00C26423" w:rsidRPr="008E5907" w:rsidRDefault="00C26423" w:rsidP="008E5907">
      <w:pPr>
        <w:pStyle w:val="Quote"/>
      </w:pPr>
      <w:r>
        <w:t>‘</w:t>
      </w:r>
      <w:r w:rsidR="008E5907">
        <w:t>[T]</w:t>
      </w:r>
      <w:r w:rsidRPr="00C26423">
        <w:t xml:space="preserve"> the party secretary is a very powerful position within a party, according to the Electoral Act. </w:t>
      </w:r>
      <w:r w:rsidR="008E5907">
        <w:t xml:space="preserve"> </w:t>
      </w:r>
      <w:r w:rsidRPr="00C26423">
        <w:t>They have the power to write to the Electoral Commission and seek deregistration.</w:t>
      </w:r>
      <w:r w:rsidR="008E5907">
        <w:t xml:space="preserve"> </w:t>
      </w:r>
      <w:r w:rsidRPr="00C26423">
        <w:t xml:space="preserve"> Now, we do not currently know, because there is no register of those, who that person is; and there is no obligation for the parties to inform us of that</w:t>
      </w:r>
      <w:r w:rsidR="008E5907">
        <w:t xml:space="preserve"> … </w:t>
      </w:r>
      <w:r w:rsidRPr="00C26423">
        <w:t xml:space="preserve">If we were to receive a letter from the person that we believe is the party secretary, asking to deregister—they may be disgruntled, let’s say—we would have to act on that. </w:t>
      </w:r>
      <w:r w:rsidR="008E5907">
        <w:t xml:space="preserve"> </w:t>
      </w:r>
      <w:r w:rsidRPr="00C26423">
        <w:t xml:space="preserve">I think that is a problem. </w:t>
      </w:r>
      <w:r w:rsidR="008E5907">
        <w:t xml:space="preserve"> </w:t>
      </w:r>
      <w:r w:rsidRPr="00C26423">
        <w:t xml:space="preserve">So, ensuring that there is a register and that that is kept up to </w:t>
      </w:r>
      <w:r w:rsidRPr="008E5907">
        <w:t xml:space="preserve">date would be an improvement to the </w:t>
      </w:r>
      <w:r w:rsidR="008E5907" w:rsidRPr="008E5907">
        <w:t>A</w:t>
      </w:r>
      <w:r w:rsidRPr="008E5907">
        <w:t>ct.’</w:t>
      </w:r>
      <w:r w:rsidR="008E5907" w:rsidRPr="008E5907">
        <w:rPr>
          <w:rStyle w:val="FootnoteReference"/>
        </w:rPr>
        <w:footnoteReference w:id="106"/>
      </w:r>
      <w:r w:rsidRPr="008E5907">
        <w:t xml:space="preserve"> </w:t>
      </w:r>
    </w:p>
    <w:tbl>
      <w:tblPr>
        <w:tblStyle w:val="TableGrid"/>
        <w:tblW w:w="9209" w:type="dxa"/>
        <w:tblInd w:w="-142" w:type="dxa"/>
        <w:tblLook w:val="04A0" w:firstRow="1" w:lastRow="0" w:firstColumn="1" w:lastColumn="0" w:noHBand="0" w:noVBand="1"/>
      </w:tblPr>
      <w:tblGrid>
        <w:gridCol w:w="9209"/>
      </w:tblGrid>
      <w:tr w:rsidR="00162504" w14:paraId="18876FD9"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D62267C" w14:textId="77B71A38" w:rsidR="00162504" w:rsidRDefault="00162504" w:rsidP="00246948">
            <w:pPr>
              <w:pStyle w:val="RecommendationHeading"/>
            </w:pPr>
            <w:bookmarkStart w:id="80" w:name="_Toc78382487"/>
            <w:r>
              <w:t xml:space="preserve">Recommendation </w:t>
            </w:r>
            <w:r w:rsidR="00E41791">
              <w:rPr>
                <w:noProof/>
              </w:rPr>
              <w:t>1</w:t>
            </w:r>
            <w:r w:rsidR="00D12E90">
              <w:rPr>
                <w:noProof/>
              </w:rPr>
              <w:t>2</w:t>
            </w:r>
            <w:bookmarkEnd w:id="80"/>
          </w:p>
          <w:p w14:paraId="6EFDC550" w14:textId="7963258D" w:rsidR="00162504" w:rsidRPr="00962807" w:rsidRDefault="00162504" w:rsidP="00162504">
            <w:pPr>
              <w:pStyle w:val="RecommendationText"/>
            </w:pPr>
            <w:bookmarkStart w:id="81" w:name="_Toc78382488"/>
            <w:r w:rsidRPr="00162504">
              <w:t>The Committee recommends the Electoral Act be amended to require party secretaries to supply name and address to the Electoral Commission</w:t>
            </w:r>
            <w:r>
              <w:t>.</w:t>
            </w:r>
            <w:bookmarkEnd w:id="81"/>
          </w:p>
        </w:tc>
      </w:tr>
    </w:tbl>
    <w:p w14:paraId="0D06FF85" w14:textId="5B86069D" w:rsidR="00162504" w:rsidRDefault="00162504" w:rsidP="00162504">
      <w:pPr>
        <w:pStyle w:val="Heading4"/>
      </w:pPr>
      <w:r>
        <w:t>Identifying Party Members</w:t>
      </w:r>
    </w:p>
    <w:p w14:paraId="3CDAF4B1" w14:textId="786B36BB" w:rsidR="00E60B03" w:rsidRDefault="008E5907" w:rsidP="00530A37">
      <w:pPr>
        <w:pStyle w:val="BodyText"/>
      </w:pPr>
      <w:r>
        <w:t xml:space="preserve">In its report on the 2020 Election, the Electoral Commission recommended that </w:t>
      </w:r>
      <w:r w:rsidR="0082656F">
        <w:t>s89(1)(f)</w:t>
      </w:r>
      <w:r w:rsidR="00214F58" w:rsidRPr="00214F58">
        <w:t xml:space="preserve"> Electoral Act be amended to include the provision of date of birth and email address (if held), on the list of at least 100 members of the party who are electors.</w:t>
      </w:r>
      <w:r w:rsidR="00214F58">
        <w:rPr>
          <w:rStyle w:val="FootnoteReference"/>
        </w:rPr>
        <w:footnoteReference w:id="107"/>
      </w:r>
    </w:p>
    <w:p w14:paraId="368BB184" w14:textId="6C0CA9CC" w:rsidR="008E5907" w:rsidRDefault="008E5907" w:rsidP="00530A37">
      <w:pPr>
        <w:pStyle w:val="BodyText"/>
      </w:pPr>
      <w:r>
        <w:lastRenderedPageBreak/>
        <w:t xml:space="preserve">The Deputy Electoral Commissioner </w:t>
      </w:r>
      <w:r w:rsidR="00E60B03">
        <w:t xml:space="preserve">told the Committee </w:t>
      </w:r>
      <w:r>
        <w:t>during the hearing</w:t>
      </w:r>
      <w:r w:rsidR="00E60B03">
        <w:t xml:space="preserve"> that the rationale for this recommendation was</w:t>
      </w:r>
      <w:r>
        <w:t>:</w:t>
      </w:r>
    </w:p>
    <w:p w14:paraId="6520AB58" w14:textId="01706469" w:rsidR="00C26423" w:rsidRDefault="00C26423" w:rsidP="00E60B03">
      <w:pPr>
        <w:pStyle w:val="Quote"/>
      </w:pPr>
      <w:r>
        <w:t>‘</w:t>
      </w:r>
      <w:r w:rsidRPr="00C26423">
        <w:t xml:space="preserve">modernising the party membership checks that we have to do between every cycle, </w:t>
      </w:r>
      <w:proofErr w:type="gramStart"/>
      <w:r w:rsidRPr="00C26423">
        <w:t>and also</w:t>
      </w:r>
      <w:proofErr w:type="gramEnd"/>
      <w:r w:rsidRPr="00C26423">
        <w:t xml:space="preserve"> at the point of initial application. </w:t>
      </w:r>
      <w:r w:rsidR="00E60B03">
        <w:t xml:space="preserve"> </w:t>
      </w:r>
      <w:r w:rsidRPr="00C26423">
        <w:t xml:space="preserve">We need to check that the party has 100 ACT electors. </w:t>
      </w:r>
      <w:r w:rsidR="00E60B03">
        <w:t xml:space="preserve"> </w:t>
      </w:r>
      <w:r w:rsidRPr="00C26423">
        <w:t>Currently, we do not have the power to ask for email addresses or dates of birth to assist in that process.</w:t>
      </w:r>
      <w:r>
        <w:t>’</w:t>
      </w:r>
      <w:r w:rsidR="00E60B03">
        <w:rPr>
          <w:rStyle w:val="FootnoteReference"/>
        </w:rPr>
        <w:footnoteReference w:id="108"/>
      </w:r>
      <w:r>
        <w:t xml:space="preserve"> </w:t>
      </w:r>
    </w:p>
    <w:tbl>
      <w:tblPr>
        <w:tblStyle w:val="TableGrid"/>
        <w:tblW w:w="9209" w:type="dxa"/>
        <w:tblInd w:w="-142" w:type="dxa"/>
        <w:tblLook w:val="04A0" w:firstRow="1" w:lastRow="0" w:firstColumn="1" w:lastColumn="0" w:noHBand="0" w:noVBand="1"/>
      </w:tblPr>
      <w:tblGrid>
        <w:gridCol w:w="9209"/>
      </w:tblGrid>
      <w:tr w:rsidR="00162504" w14:paraId="7EDBB478"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455EC1D" w14:textId="19B8BE36" w:rsidR="00162504" w:rsidRDefault="00162504" w:rsidP="00246948">
            <w:pPr>
              <w:pStyle w:val="RecommendationHeading"/>
            </w:pPr>
            <w:bookmarkStart w:id="82" w:name="_Toc78382489"/>
            <w:r>
              <w:t xml:space="preserve">Recommendation </w:t>
            </w:r>
            <w:r w:rsidR="00E41791">
              <w:rPr>
                <w:noProof/>
              </w:rPr>
              <w:t>1</w:t>
            </w:r>
            <w:r w:rsidR="00D12E90">
              <w:rPr>
                <w:noProof/>
              </w:rPr>
              <w:t>3</w:t>
            </w:r>
            <w:bookmarkEnd w:id="82"/>
          </w:p>
          <w:p w14:paraId="29E2DA41" w14:textId="30224C58" w:rsidR="00162504" w:rsidRPr="00962807" w:rsidRDefault="00162504" w:rsidP="00162504">
            <w:pPr>
              <w:pStyle w:val="RecommendationText"/>
            </w:pPr>
            <w:bookmarkStart w:id="83" w:name="_Toc78382490"/>
            <w:r w:rsidRPr="00162504">
              <w:t xml:space="preserve">The Committee recommends the Electoral Act be amended to require parties to supply dates of birth and email </w:t>
            </w:r>
            <w:r w:rsidRPr="00366A9C">
              <w:t xml:space="preserve">addresses </w:t>
            </w:r>
            <w:r w:rsidR="00DC6A08" w:rsidRPr="00366A9C">
              <w:t xml:space="preserve">(where available) </w:t>
            </w:r>
            <w:r w:rsidRPr="00366A9C">
              <w:t>for</w:t>
            </w:r>
            <w:r w:rsidRPr="00162504">
              <w:t xml:space="preserve"> purpose of party membership checks</w:t>
            </w:r>
            <w:r>
              <w:t>.</w:t>
            </w:r>
            <w:bookmarkEnd w:id="83"/>
          </w:p>
        </w:tc>
      </w:tr>
    </w:tbl>
    <w:p w14:paraId="44FD4768" w14:textId="3CAE0868" w:rsidR="00162504" w:rsidRDefault="00162504" w:rsidP="00162504">
      <w:pPr>
        <w:pStyle w:val="Heading4"/>
      </w:pPr>
      <w:r>
        <w:t>Party Names</w:t>
      </w:r>
    </w:p>
    <w:p w14:paraId="2292769E" w14:textId="77777777" w:rsidR="00440A62" w:rsidRDefault="00440A62" w:rsidP="00FA40BE">
      <w:pPr>
        <w:pStyle w:val="BodyText"/>
      </w:pPr>
      <w:r>
        <w:t>The process for registration of political parties is established in Part 7 of the Electoral Act.  Under section 93, the Electoral Commissioner may refuse an application for registration of a political party if the Commissioner believes on reasonable grounds that the name of the political party, or an abbreviation the party intends to use:</w:t>
      </w:r>
    </w:p>
    <w:p w14:paraId="0623B5B0" w14:textId="6137640D" w:rsidR="004B466B" w:rsidRDefault="00440A62" w:rsidP="00440A62">
      <w:pPr>
        <w:pStyle w:val="Quote"/>
      </w:pPr>
      <w:r>
        <w:t>‘so nearly resembles the name, or an acronym of the name, of another political party that it is likely to be confused with or mistaken for that name or acronym’.</w:t>
      </w:r>
      <w:r>
        <w:rPr>
          <w:rStyle w:val="FootnoteReference"/>
        </w:rPr>
        <w:footnoteReference w:id="109"/>
      </w:r>
    </w:p>
    <w:p w14:paraId="70EAFE2F" w14:textId="1E0E17FD" w:rsidR="00FA40BE" w:rsidRDefault="00B011E3" w:rsidP="00B011E3">
      <w:pPr>
        <w:pStyle w:val="BodyText"/>
      </w:pPr>
      <w:r>
        <w:t xml:space="preserve">In submission to the inquiry, ACT </w:t>
      </w:r>
      <w:proofErr w:type="spellStart"/>
      <w:r>
        <w:t>Labor</w:t>
      </w:r>
      <w:proofErr w:type="spellEnd"/>
      <w:r>
        <w:t xml:space="preserve"> called for</w:t>
      </w:r>
      <w:r w:rsidR="00FA40BE" w:rsidRPr="00FA40BE">
        <w:t xml:space="preserve"> </w:t>
      </w:r>
      <w:r>
        <w:t>‘</w:t>
      </w:r>
      <w:r w:rsidR="00FA40BE" w:rsidRPr="00FA40BE">
        <w:t>a more rigorous test for party name registration with a clear focus on the intent of preventing voter confusion</w:t>
      </w:r>
      <w:r>
        <w:t>’:</w:t>
      </w:r>
    </w:p>
    <w:p w14:paraId="1DBAFB63" w14:textId="3A48B775" w:rsidR="00B011E3" w:rsidRPr="00795D29" w:rsidRDefault="00B011E3" w:rsidP="00B011E3">
      <w:pPr>
        <w:pStyle w:val="Quote"/>
      </w:pPr>
      <w:r>
        <w:t xml:space="preserve">‘ACT </w:t>
      </w:r>
      <w:proofErr w:type="spellStart"/>
      <w:r>
        <w:t>Labor</w:t>
      </w:r>
      <w:proofErr w:type="spellEnd"/>
      <w:r>
        <w:t xml:space="preserve"> is concerned by the increasing trend of new parties attempting to register names with the express aim to confusing voters.  These parties aim to drive a particular outcome not by being elected but by artificially shifting votes away from another party in such a way that the outcome is contrary to voter intention.  While the Electoral Act </w:t>
      </w:r>
      <w:r w:rsidRPr="00795D29">
        <w:t>does provide some grounds for rejecting the registration of names, these are very narrow and have previously been interpreted as such in other jurisdictions.’</w:t>
      </w:r>
      <w:r w:rsidRPr="00795D29">
        <w:rPr>
          <w:rStyle w:val="FootnoteReference"/>
        </w:rPr>
        <w:footnoteReference w:id="110"/>
      </w:r>
    </w:p>
    <w:p w14:paraId="1172CCFA" w14:textId="4E036B36" w:rsidR="00530A37" w:rsidRPr="00C370A2" w:rsidRDefault="001D5EF1" w:rsidP="00162504">
      <w:pPr>
        <w:pStyle w:val="BodyText"/>
      </w:pPr>
      <w:r w:rsidRPr="00795D29">
        <w:t xml:space="preserve">During the hearing, the </w:t>
      </w:r>
      <w:r w:rsidR="00530A37" w:rsidRPr="00795D29">
        <w:t xml:space="preserve">Canberra Liberals </w:t>
      </w:r>
      <w:r w:rsidRPr="00795D29">
        <w:t>also expressed concern about similarity in party name registration</w:t>
      </w:r>
      <w:r w:rsidR="0039765E" w:rsidRPr="00795D29">
        <w:t xml:space="preserve">, </w:t>
      </w:r>
      <w:r w:rsidR="0039765E" w:rsidRPr="00C370A2">
        <w:t>drawing the Committee’s attention to a</w:t>
      </w:r>
      <w:r w:rsidR="00795D29" w:rsidRPr="00C370A2">
        <w:t>n application for party registration by ‘The New Liberals’ being considered by the Australian Electoral Commission (AEC)</w:t>
      </w:r>
      <w:r w:rsidRPr="00C370A2">
        <w:t>.</w:t>
      </w:r>
      <w:r w:rsidRPr="00C370A2">
        <w:rPr>
          <w:rStyle w:val="FootnoteReference"/>
        </w:rPr>
        <w:footnoteReference w:id="111"/>
      </w:r>
      <w:r w:rsidR="0039765E" w:rsidRPr="00C370A2">
        <w:t xml:space="preserve">  </w:t>
      </w:r>
    </w:p>
    <w:p w14:paraId="6139C8D6" w14:textId="47F574D9" w:rsidR="0039765E" w:rsidRPr="00C370A2" w:rsidRDefault="00795D29" w:rsidP="00162504">
      <w:pPr>
        <w:pStyle w:val="BodyText"/>
      </w:pPr>
      <w:r w:rsidRPr="00C370A2">
        <w:lastRenderedPageBreak/>
        <w:t xml:space="preserve">The AEC issued notice of party registration for The New Liberals on 6 June 2021, a few weeks after the hearings for this inquiry.  In the statement of reasons, the AEC cited the decision in </w:t>
      </w:r>
      <w:proofErr w:type="spellStart"/>
      <w:r w:rsidRPr="00C370A2">
        <w:rPr>
          <w:i/>
          <w:iCs/>
        </w:rPr>
        <w:t>Woollard</w:t>
      </w:r>
      <w:proofErr w:type="spellEnd"/>
      <w:r w:rsidRPr="00C370A2">
        <w:rPr>
          <w:i/>
          <w:iCs/>
        </w:rPr>
        <w:t xml:space="preserve"> and Australian Electoral Commission and Liberal Party of Australia (WA Division) Inc</w:t>
      </w:r>
      <w:r w:rsidRPr="00C370A2">
        <w:t xml:space="preserve"> (2001), in which the Administrative Appeals Tribunal held that no political party </w:t>
      </w:r>
      <w:proofErr w:type="gramStart"/>
      <w:r w:rsidRPr="00C370A2">
        <w:t>can</w:t>
      </w:r>
      <w:proofErr w:type="gramEnd"/>
      <w:r w:rsidRPr="00C370A2">
        <w:t xml:space="preserve"> claim the exclusive right to generic words such as ‘Australia’, ‘liberal, ‘labour’, ‘national’ etc.</w:t>
      </w:r>
      <w:r w:rsidRPr="00C370A2">
        <w:rPr>
          <w:rStyle w:val="FootnoteReference"/>
        </w:rPr>
        <w:footnoteReference w:id="112"/>
      </w:r>
      <w:r w:rsidRPr="00C370A2">
        <w:t xml:space="preserve">  </w:t>
      </w:r>
    </w:p>
    <w:p w14:paraId="2E9084FF" w14:textId="7EE46DF5" w:rsidR="00795D29" w:rsidRPr="00C370A2" w:rsidRDefault="00795D29" w:rsidP="00162504">
      <w:pPr>
        <w:pStyle w:val="BodyText"/>
      </w:pPr>
      <w:r w:rsidRPr="00C370A2">
        <w:t>This determination was based on s62</w:t>
      </w:r>
      <w:proofErr w:type="gramStart"/>
      <w:r w:rsidRPr="00C370A2">
        <w:t>J(</w:t>
      </w:r>
      <w:proofErr w:type="gramEnd"/>
      <w:r w:rsidRPr="00C370A2">
        <w:t xml:space="preserve">2) </w:t>
      </w:r>
      <w:r w:rsidRPr="00C370A2">
        <w:rPr>
          <w:i/>
          <w:iCs/>
        </w:rPr>
        <w:t>Electoral Act 1907</w:t>
      </w:r>
      <w:r w:rsidRPr="00C370A2">
        <w:t xml:space="preserve"> (WA) which contains the same provision as the ACT legislation.</w:t>
      </w:r>
      <w:r w:rsidR="00E67437" w:rsidRPr="00C370A2">
        <w:rPr>
          <w:rStyle w:val="FootnoteReference"/>
        </w:rPr>
        <w:footnoteReference w:id="113"/>
      </w:r>
      <w:r w:rsidRPr="00C370A2">
        <w:t xml:space="preserve">  Similar legislative language (‘nearly resembles’, and ‘likely to be confused with or mistaken for’) is used in other major Australian jurisdictions.</w:t>
      </w:r>
      <w:r w:rsidRPr="00C370A2">
        <w:rPr>
          <w:rStyle w:val="FootnoteReference"/>
        </w:rPr>
        <w:footnoteReference w:id="114"/>
      </w:r>
    </w:p>
    <w:p w14:paraId="40C3BD7B" w14:textId="6C57B8C1" w:rsidR="00795D29" w:rsidRPr="00C370A2" w:rsidRDefault="00795D29" w:rsidP="00795D29">
      <w:pPr>
        <w:pStyle w:val="Heading5"/>
      </w:pPr>
      <w:r w:rsidRPr="00C370A2">
        <w:t>Committee Comment</w:t>
      </w:r>
    </w:p>
    <w:p w14:paraId="7C57C49D" w14:textId="283516A5" w:rsidR="00795D29" w:rsidRPr="00C370A2" w:rsidRDefault="00795D29" w:rsidP="00162504">
      <w:pPr>
        <w:pStyle w:val="BodyText"/>
      </w:pPr>
      <w:r w:rsidRPr="00C370A2">
        <w:t xml:space="preserve">The Committee </w:t>
      </w:r>
      <w:r w:rsidR="00E67437" w:rsidRPr="00C370A2">
        <w:t xml:space="preserve">supports the proposal for review of the legislative test for party name registration, and notes that such conversation would appropriately be conducted federally given the standardisation of provisions across Australia.   </w:t>
      </w:r>
    </w:p>
    <w:tbl>
      <w:tblPr>
        <w:tblStyle w:val="TableGrid"/>
        <w:tblW w:w="9209" w:type="dxa"/>
        <w:tblInd w:w="-142" w:type="dxa"/>
        <w:tblLook w:val="04A0" w:firstRow="1" w:lastRow="0" w:firstColumn="1" w:lastColumn="0" w:noHBand="0" w:noVBand="1"/>
      </w:tblPr>
      <w:tblGrid>
        <w:gridCol w:w="9209"/>
      </w:tblGrid>
      <w:tr w:rsidR="00162504" w14:paraId="12EAEDFD"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BF037DE" w14:textId="471DBE3C" w:rsidR="00162504" w:rsidRDefault="00162504" w:rsidP="00246948">
            <w:pPr>
              <w:pStyle w:val="RecommendationHeading"/>
            </w:pPr>
            <w:bookmarkStart w:id="84" w:name="_Toc78382491"/>
            <w:r>
              <w:t xml:space="preserve">Recommendation </w:t>
            </w:r>
            <w:r w:rsidR="00E41791">
              <w:rPr>
                <w:noProof/>
              </w:rPr>
              <w:t>1</w:t>
            </w:r>
            <w:r w:rsidR="00D12E90">
              <w:rPr>
                <w:noProof/>
              </w:rPr>
              <w:t>4</w:t>
            </w:r>
            <w:bookmarkEnd w:id="84"/>
          </w:p>
          <w:p w14:paraId="539EECB0" w14:textId="4DCCEB7B" w:rsidR="00162504" w:rsidRPr="00962807" w:rsidRDefault="00162504" w:rsidP="00162504">
            <w:pPr>
              <w:pStyle w:val="RecommendationText"/>
            </w:pPr>
            <w:bookmarkStart w:id="85" w:name="_Toc78382492"/>
            <w:r w:rsidRPr="00162504">
              <w:t xml:space="preserve">The Committee recommends </w:t>
            </w:r>
            <w:r w:rsidR="00E67437" w:rsidRPr="00C370A2">
              <w:t xml:space="preserve">ACT Government raise with Commonwealth, </w:t>
            </w:r>
            <w:proofErr w:type="gramStart"/>
            <w:r w:rsidR="00E67437" w:rsidRPr="00C370A2">
              <w:t>state</w:t>
            </w:r>
            <w:proofErr w:type="gramEnd"/>
            <w:r w:rsidR="00E67437" w:rsidRPr="00C370A2">
              <w:t xml:space="preserve"> and territory counterparts the potential for</w:t>
            </w:r>
            <w:r w:rsidR="00E67437">
              <w:t xml:space="preserve"> </w:t>
            </w:r>
            <w:r w:rsidRPr="00162504">
              <w:t>a more rigorous test for party name registration with the aim of preventing voter confusion</w:t>
            </w:r>
            <w:r>
              <w:t>.</w:t>
            </w:r>
            <w:bookmarkEnd w:id="85"/>
          </w:p>
        </w:tc>
      </w:tr>
    </w:tbl>
    <w:p w14:paraId="57E17CED" w14:textId="040B5768" w:rsidR="001016F8" w:rsidRDefault="000E3DC9" w:rsidP="000E3DC9">
      <w:pPr>
        <w:pStyle w:val="Heading3"/>
      </w:pPr>
      <w:bookmarkStart w:id="86" w:name="_Toc78535741"/>
      <w:r>
        <w:t>Candidate Nominations</w:t>
      </w:r>
      <w:bookmarkEnd w:id="86"/>
    </w:p>
    <w:p w14:paraId="0549C680" w14:textId="4CC31718" w:rsidR="00162504" w:rsidRDefault="00162504" w:rsidP="00162504">
      <w:pPr>
        <w:pStyle w:val="Heading4"/>
      </w:pPr>
      <w:r>
        <w:t>Limit on Candidates per Electorate</w:t>
      </w:r>
    </w:p>
    <w:p w14:paraId="0B7972DD" w14:textId="13222E04" w:rsidR="00214F58" w:rsidRDefault="00214F58" w:rsidP="00654EA4">
      <w:pPr>
        <w:pStyle w:val="BodyText"/>
      </w:pPr>
      <w:r>
        <w:t>In its report on the 2020 Election, the Electoral Commission recommended that the Electoral Act be amended to limit the number of candidates that a registered party can run, per electorate, to five.</w:t>
      </w:r>
      <w:r>
        <w:rPr>
          <w:rStyle w:val="FootnoteReference"/>
        </w:rPr>
        <w:footnoteReference w:id="115"/>
      </w:r>
    </w:p>
    <w:p w14:paraId="6CA7F4D9" w14:textId="4B06434E" w:rsidR="00214F58" w:rsidRDefault="00214F58" w:rsidP="00654EA4">
      <w:pPr>
        <w:pStyle w:val="BodyText"/>
      </w:pPr>
      <w:r>
        <w:t xml:space="preserve">The Electoral Commission informed the Committee that no political party has ever chosen to run more candidates than there are seats </w:t>
      </w:r>
      <w:r w:rsidR="0082656F">
        <w:t xml:space="preserve">to be won </w:t>
      </w:r>
      <w:r>
        <w:t xml:space="preserve">in an electorate, but the theoretical </w:t>
      </w:r>
      <w:r>
        <w:lastRenderedPageBreak/>
        <w:t xml:space="preserve">possibility of such a scenario creates administrative burden on the Commission that they would prefer to </w:t>
      </w:r>
      <w:r w:rsidR="0082656F">
        <w:t>avoid</w:t>
      </w:r>
      <w:r>
        <w:t>:</w:t>
      </w:r>
    </w:p>
    <w:p w14:paraId="19E955BC" w14:textId="6A1242B5" w:rsidR="00B73396" w:rsidRPr="00162504" w:rsidRDefault="00214F58" w:rsidP="0082656F">
      <w:pPr>
        <w:pStyle w:val="Quote"/>
      </w:pPr>
      <w:r>
        <w:t>‘The potential for a political party to run more candidates than there are seats to be won, and its impact of splitting party candidates across two columns, significantly increases the complexity of administration for Elections ACT, particularly in relation to the testing and implementation of electronic voting.’</w:t>
      </w:r>
      <w:r>
        <w:rPr>
          <w:rStyle w:val="FootnoteReference"/>
        </w:rPr>
        <w:footnoteReference w:id="116"/>
      </w:r>
      <w:r>
        <w:t xml:space="preserve"> </w:t>
      </w:r>
    </w:p>
    <w:tbl>
      <w:tblPr>
        <w:tblStyle w:val="TableGrid"/>
        <w:tblW w:w="9209" w:type="dxa"/>
        <w:tblInd w:w="-142" w:type="dxa"/>
        <w:tblLook w:val="04A0" w:firstRow="1" w:lastRow="0" w:firstColumn="1" w:lastColumn="0" w:noHBand="0" w:noVBand="1"/>
      </w:tblPr>
      <w:tblGrid>
        <w:gridCol w:w="9209"/>
      </w:tblGrid>
      <w:tr w:rsidR="00162504" w14:paraId="417A463F"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2E9C83A" w14:textId="69517AC7" w:rsidR="00162504" w:rsidRDefault="00162504" w:rsidP="00246948">
            <w:pPr>
              <w:pStyle w:val="RecommendationHeading"/>
            </w:pPr>
            <w:bookmarkStart w:id="87" w:name="_Toc78382493"/>
            <w:r>
              <w:t xml:space="preserve">Recommendation </w:t>
            </w:r>
            <w:r w:rsidR="00E41791">
              <w:rPr>
                <w:noProof/>
              </w:rPr>
              <w:t>1</w:t>
            </w:r>
            <w:r w:rsidR="00D12E90">
              <w:rPr>
                <w:noProof/>
              </w:rPr>
              <w:t>5</w:t>
            </w:r>
            <w:bookmarkEnd w:id="87"/>
          </w:p>
          <w:p w14:paraId="5E280CA7" w14:textId="0AEA9314" w:rsidR="00162504" w:rsidRPr="00962807" w:rsidRDefault="00162504" w:rsidP="00162504">
            <w:pPr>
              <w:pStyle w:val="RecommendationText"/>
            </w:pPr>
            <w:bookmarkStart w:id="88" w:name="_Toc78382494"/>
            <w:r w:rsidRPr="00162504">
              <w:t>The Committee recommends the Electoral Act be amended to limit the number of candidates that a registered party can run to five per electorate</w:t>
            </w:r>
            <w:r>
              <w:t>.</w:t>
            </w:r>
            <w:bookmarkEnd w:id="88"/>
          </w:p>
        </w:tc>
      </w:tr>
    </w:tbl>
    <w:p w14:paraId="2F744E3D" w14:textId="4AED708B" w:rsidR="00162504" w:rsidRDefault="00162504" w:rsidP="00162504">
      <w:pPr>
        <w:pStyle w:val="Heading4"/>
      </w:pPr>
      <w:r>
        <w:t>Time between Nomination and Voting</w:t>
      </w:r>
    </w:p>
    <w:p w14:paraId="711FF87B" w14:textId="0CB6031F" w:rsidR="0082656F" w:rsidRDefault="0082656F" w:rsidP="00B73396">
      <w:pPr>
        <w:pStyle w:val="BodyText"/>
      </w:pPr>
      <w:r>
        <w:t>In its report on the 2020 Election, the Electoral Commission recommended that s108(3) Electoral Act be amended to read: ‘The hour of nomination in relation to an election is 12 o’clock noon on the 24</w:t>
      </w:r>
      <w:r w:rsidRPr="0082656F">
        <w:rPr>
          <w:vertAlign w:val="superscript"/>
        </w:rPr>
        <w:t>th</w:t>
      </w:r>
      <w:r>
        <w:t xml:space="preserve"> day before polling day for the election’.</w:t>
      </w:r>
      <w:r>
        <w:rPr>
          <w:rStyle w:val="FootnoteReference"/>
        </w:rPr>
        <w:footnoteReference w:id="117"/>
      </w:r>
    </w:p>
    <w:p w14:paraId="3DA279A1" w14:textId="08AD36D9" w:rsidR="002109A4" w:rsidRDefault="002109A4" w:rsidP="00B73396">
      <w:pPr>
        <w:pStyle w:val="BodyText"/>
      </w:pPr>
      <w:r>
        <w:t xml:space="preserve">The Electoral Commission informed the Committee that legislation currently allows 3.5 days between declaration of candidates and commencement of voting, and they would like to extend this window to 4.5 days: </w:t>
      </w:r>
    </w:p>
    <w:p w14:paraId="2D989117" w14:textId="09BFCF56" w:rsidR="002109A4" w:rsidRDefault="00B73396" w:rsidP="002109A4">
      <w:pPr>
        <w:pStyle w:val="Quote"/>
      </w:pPr>
      <w:r>
        <w:t>‘Section 136B of the Electoral Act prescribes that early voting for an election begins on the 3rd Monday before election day.</w:t>
      </w:r>
      <w:r w:rsidR="002109A4">
        <w:t xml:space="preserve"> </w:t>
      </w:r>
      <w:r>
        <w:t xml:space="preserve"> In 2020, early voting commenced on 28 September 2020. </w:t>
      </w:r>
      <w:r w:rsidR="002109A4">
        <w:t xml:space="preserve"> </w:t>
      </w:r>
      <w:r>
        <w:t>This timetable provides very limited time (3½ days, including weekend days) between the formal declaration of candidates and the commencement of voting</w:t>
      </w:r>
      <w:r w:rsidR="002109A4">
        <w:t>.’</w:t>
      </w:r>
      <w:r w:rsidR="002109A4">
        <w:rPr>
          <w:rStyle w:val="FootnoteReference"/>
        </w:rPr>
        <w:footnoteReference w:id="118"/>
      </w:r>
    </w:p>
    <w:p w14:paraId="5CA9BB6A" w14:textId="1EC58B8D" w:rsidR="002109A4" w:rsidRDefault="002109A4" w:rsidP="002109A4">
      <w:pPr>
        <w:pStyle w:val="BodyText"/>
      </w:pPr>
      <w:r>
        <w:t xml:space="preserve">The Electoral Commission described the risks associated with significant time pressure: </w:t>
      </w:r>
    </w:p>
    <w:p w14:paraId="0398FA96" w14:textId="1E76AE16" w:rsidR="00B73396" w:rsidRDefault="002109A4" w:rsidP="002109A4">
      <w:pPr>
        <w:pStyle w:val="Quote"/>
      </w:pPr>
      <w:r>
        <w:t>‘</w:t>
      </w:r>
      <w:r w:rsidR="00B73396">
        <w:t>This election schedule puts enormous stress upon the staff of Elections ACT and increases the risk profile of the agency.</w:t>
      </w:r>
      <w:r>
        <w:t xml:space="preserve"> </w:t>
      </w:r>
      <w:r w:rsidR="00B73396">
        <w:t xml:space="preserve"> A human error in any one of these critical tasks could place the success and integrity of the election at risk.  The Electoral Commission seeks a further 24 hours under which these tasks can be completed.’</w:t>
      </w:r>
      <w:r>
        <w:rPr>
          <w:rStyle w:val="FootnoteReference"/>
        </w:rPr>
        <w:footnoteReference w:id="119"/>
      </w:r>
      <w:r w:rsidR="00B73396">
        <w:t xml:space="preserve"> </w:t>
      </w:r>
    </w:p>
    <w:p w14:paraId="4A013FBC" w14:textId="5B4F5AE8" w:rsidR="00600D80" w:rsidRDefault="00600D80" w:rsidP="002109A4">
      <w:pPr>
        <w:pStyle w:val="Quote"/>
      </w:pPr>
    </w:p>
    <w:p w14:paraId="0E5F675A" w14:textId="77777777" w:rsidR="00600D80" w:rsidRDefault="00600D80" w:rsidP="002109A4">
      <w:pPr>
        <w:pStyle w:val="Quote"/>
      </w:pPr>
    </w:p>
    <w:tbl>
      <w:tblPr>
        <w:tblStyle w:val="TableGrid"/>
        <w:tblW w:w="9209" w:type="dxa"/>
        <w:tblInd w:w="-142" w:type="dxa"/>
        <w:tblLook w:val="04A0" w:firstRow="1" w:lastRow="0" w:firstColumn="1" w:lastColumn="0" w:noHBand="0" w:noVBand="1"/>
      </w:tblPr>
      <w:tblGrid>
        <w:gridCol w:w="9209"/>
      </w:tblGrid>
      <w:tr w:rsidR="00162504" w14:paraId="19B6A1FC"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D2555B2" w14:textId="055E74A5" w:rsidR="00162504" w:rsidRDefault="00162504" w:rsidP="00246948">
            <w:pPr>
              <w:pStyle w:val="RecommendationHeading"/>
            </w:pPr>
            <w:bookmarkStart w:id="89" w:name="_Toc78382495"/>
            <w:r>
              <w:lastRenderedPageBreak/>
              <w:t xml:space="preserve">Recommendation </w:t>
            </w:r>
            <w:r w:rsidR="00E41791">
              <w:rPr>
                <w:noProof/>
              </w:rPr>
              <w:t>1</w:t>
            </w:r>
            <w:r w:rsidR="00D12E90">
              <w:rPr>
                <w:noProof/>
              </w:rPr>
              <w:t>6</w:t>
            </w:r>
            <w:bookmarkEnd w:id="89"/>
          </w:p>
          <w:p w14:paraId="419C069E" w14:textId="429D1111" w:rsidR="00162504" w:rsidRPr="00962807" w:rsidRDefault="00162504" w:rsidP="00162504">
            <w:pPr>
              <w:pStyle w:val="RecommendationText"/>
            </w:pPr>
            <w:bookmarkStart w:id="90" w:name="_Toc78382496"/>
            <w:r w:rsidRPr="00162504">
              <w:t>The Committee recommends the Electoral Act be amended to provide the Commission an extra 24 hours between formal nomination of candidates and commencement of voting</w:t>
            </w:r>
            <w:r>
              <w:t>.</w:t>
            </w:r>
            <w:bookmarkEnd w:id="90"/>
          </w:p>
        </w:tc>
      </w:tr>
    </w:tbl>
    <w:p w14:paraId="33B5D326" w14:textId="77777777" w:rsidR="000E3DC9" w:rsidRDefault="000E3DC9" w:rsidP="000E3DC9">
      <w:pPr>
        <w:pStyle w:val="Heading3"/>
      </w:pPr>
      <w:bookmarkStart w:id="91" w:name="_Toc78535742"/>
      <w:r>
        <w:t>Polling Places</w:t>
      </w:r>
      <w:bookmarkEnd w:id="91"/>
      <w:r>
        <w:t xml:space="preserve"> </w:t>
      </w:r>
    </w:p>
    <w:p w14:paraId="52289084" w14:textId="11F06284" w:rsidR="00E60B03" w:rsidRDefault="00E60B03" w:rsidP="000E3DC9">
      <w:pPr>
        <w:pStyle w:val="BodyText"/>
      </w:pPr>
      <w:r>
        <w:t>The terms of reference for this inquiry incl</w:t>
      </w:r>
      <w:r w:rsidR="00B97EE4">
        <w:t xml:space="preserve">ude ‘the number and location of ordinary polling </w:t>
      </w:r>
      <w:proofErr w:type="gramStart"/>
      <w:r w:rsidR="00B97EE4">
        <w:t>places’</w:t>
      </w:r>
      <w:proofErr w:type="gramEnd"/>
      <w:r w:rsidR="00B97EE4">
        <w:t>.</w:t>
      </w:r>
    </w:p>
    <w:p w14:paraId="74220037" w14:textId="1156805F" w:rsidR="000E3DC9" w:rsidRDefault="00561098" w:rsidP="000E3DC9">
      <w:pPr>
        <w:pStyle w:val="BodyText"/>
      </w:pPr>
      <w:r>
        <w:t xml:space="preserve">For the 2020 Election, the Electoral Commission operated 15 early voting centres during the </w:t>
      </w:r>
      <w:proofErr w:type="gramStart"/>
      <w:r>
        <w:t>three week</w:t>
      </w:r>
      <w:proofErr w:type="gramEnd"/>
      <w:r>
        <w:t xml:space="preserve"> pre-poll period, and 82 polling places on election day.</w:t>
      </w:r>
      <w:r>
        <w:rPr>
          <w:rStyle w:val="FootnoteReference"/>
        </w:rPr>
        <w:footnoteReference w:id="120"/>
      </w:r>
    </w:p>
    <w:p w14:paraId="1D7C3CF6" w14:textId="47DE893F" w:rsidR="00561098" w:rsidRDefault="00561098" w:rsidP="0086591C">
      <w:pPr>
        <w:pStyle w:val="BodyText"/>
      </w:pPr>
      <w:r>
        <w:t xml:space="preserve">Of the 82 venues </w:t>
      </w:r>
      <w:r w:rsidR="00DA70E5">
        <w:t xml:space="preserve">open </w:t>
      </w:r>
      <w:r>
        <w:t>on election day, 19 differed from the previous election, and the Electoral Commission outlined how these decisions are made:</w:t>
      </w:r>
    </w:p>
    <w:p w14:paraId="5BF3C65C" w14:textId="5457A7BF" w:rsidR="0086591C" w:rsidRDefault="0086591C" w:rsidP="00561098">
      <w:pPr>
        <w:pStyle w:val="Quote"/>
      </w:pPr>
      <w:r>
        <w:t xml:space="preserve">‘Historically, wherever possible, the Commission attempts to use the same polling places as are used at federal elections and previous ACT elections to minimise public confusion. </w:t>
      </w:r>
      <w:r w:rsidR="00B97EE4">
        <w:t xml:space="preserve"> </w:t>
      </w:r>
      <w:r>
        <w:t>However, due to the unavailability of some locations (either at earlier elections or in 2020), the emergence of new suburbs or the placement of additional early voting centres, there were 19 instances of differing polling place venues to those used at the 2016 ACT election.’</w:t>
      </w:r>
      <w:r w:rsidR="00561098">
        <w:rPr>
          <w:rStyle w:val="FootnoteReference"/>
        </w:rPr>
        <w:footnoteReference w:id="121"/>
      </w:r>
      <w:r>
        <w:t xml:space="preserve"> </w:t>
      </w:r>
    </w:p>
    <w:p w14:paraId="6A48A17C" w14:textId="7B19C710" w:rsidR="0086591C" w:rsidRDefault="00E60B03" w:rsidP="000E3DC9">
      <w:pPr>
        <w:pStyle w:val="BodyText"/>
      </w:pPr>
      <w:r>
        <w:t xml:space="preserve">The Committee did not receive significant comment on </w:t>
      </w:r>
      <w:r w:rsidR="00DA70E5">
        <w:t xml:space="preserve">appropriate </w:t>
      </w:r>
      <w:r>
        <w:t>locations</w:t>
      </w:r>
      <w:r w:rsidR="00B97EE4">
        <w:t xml:space="preserve"> for polling places.  The Canberra Liberals and the ACT Greens noted in their submissions that the number and location of ordinary polling places was satisfactory </w:t>
      </w:r>
      <w:r w:rsidR="00D515B4">
        <w:t>or</w:t>
      </w:r>
      <w:r w:rsidR="00B97EE4">
        <w:t xml:space="preserve"> reasonable.</w:t>
      </w:r>
      <w:r w:rsidR="00B97EE4">
        <w:rPr>
          <w:rStyle w:val="FootnoteReference"/>
        </w:rPr>
        <w:footnoteReference w:id="122"/>
      </w:r>
      <w:r w:rsidR="00B97EE4" w:rsidRPr="00B97EE4">
        <w:t xml:space="preserve"> </w:t>
      </w:r>
    </w:p>
    <w:p w14:paraId="39B34EB1" w14:textId="46D506D7" w:rsidR="00162504" w:rsidRDefault="00162504" w:rsidP="00162504">
      <w:pPr>
        <w:pStyle w:val="Heading4"/>
      </w:pPr>
      <w:r>
        <w:t>Direction signage outside Polling Places</w:t>
      </w:r>
    </w:p>
    <w:p w14:paraId="75744004" w14:textId="20EB21B1" w:rsidR="00162504" w:rsidRDefault="00DA70E5" w:rsidP="000E3DC9">
      <w:pPr>
        <w:pStyle w:val="BodyText"/>
      </w:pPr>
      <w:r>
        <w:t>One submitter</w:t>
      </w:r>
      <w:r w:rsidR="0057678B">
        <w:t xml:space="preserve"> </w:t>
      </w:r>
      <w:r w:rsidR="00342A94">
        <w:t xml:space="preserve">expressed </w:t>
      </w:r>
      <w:r w:rsidR="00342A94" w:rsidRPr="00342A94">
        <w:t xml:space="preserve">concern about the accessibility of, visibility of, and signage directing people to the </w:t>
      </w:r>
      <w:r w:rsidR="00323E82">
        <w:t>early voting centre</w:t>
      </w:r>
      <w:r w:rsidR="00342A94" w:rsidRPr="00342A94">
        <w:t xml:space="preserve"> in Bonner House.  </w:t>
      </w:r>
      <w:r>
        <w:t>She told the Committee that her</w:t>
      </w:r>
      <w:r w:rsidR="00974481">
        <w:t xml:space="preserve"> </w:t>
      </w:r>
      <w:r>
        <w:t>suggestion for improved</w:t>
      </w:r>
      <w:r w:rsidR="00974481">
        <w:t xml:space="preserve"> signage </w:t>
      </w:r>
      <w:r>
        <w:t>was</w:t>
      </w:r>
      <w:r w:rsidR="00974481">
        <w:t xml:space="preserve"> declined by the owner of the property</w:t>
      </w:r>
      <w:r>
        <w:t>, as being in contravention of tenant guidelines</w:t>
      </w:r>
      <w:r w:rsidR="00974481">
        <w:t>.</w:t>
      </w:r>
      <w:r>
        <w:rPr>
          <w:rStyle w:val="FootnoteReference"/>
        </w:rPr>
        <w:footnoteReference w:id="123"/>
      </w:r>
      <w:r w:rsidR="00974481">
        <w:t xml:space="preserve">  </w:t>
      </w:r>
    </w:p>
    <w:p w14:paraId="77785498" w14:textId="77777777" w:rsidR="00600D80" w:rsidRDefault="00600D80" w:rsidP="00600D80">
      <w:pPr>
        <w:pStyle w:val="BodyText"/>
        <w:numPr>
          <w:ilvl w:val="0"/>
          <w:numId w:val="0"/>
        </w:numPr>
        <w:ind w:left="567"/>
      </w:pPr>
    </w:p>
    <w:tbl>
      <w:tblPr>
        <w:tblStyle w:val="TableGrid"/>
        <w:tblW w:w="9209" w:type="dxa"/>
        <w:tblInd w:w="-142" w:type="dxa"/>
        <w:tblLook w:val="04A0" w:firstRow="1" w:lastRow="0" w:firstColumn="1" w:lastColumn="0" w:noHBand="0" w:noVBand="1"/>
      </w:tblPr>
      <w:tblGrid>
        <w:gridCol w:w="9209"/>
      </w:tblGrid>
      <w:tr w:rsidR="00DA2742" w14:paraId="1471032F" w14:textId="77777777" w:rsidTr="00574777">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DDE74DA" w14:textId="4AFBC475" w:rsidR="00DA2742" w:rsidRDefault="00DA2742" w:rsidP="00574777">
            <w:pPr>
              <w:pStyle w:val="RecommendationHeading"/>
            </w:pPr>
            <w:bookmarkStart w:id="92" w:name="_Toc78382497"/>
            <w:r>
              <w:lastRenderedPageBreak/>
              <w:t xml:space="preserve">Recommendation </w:t>
            </w:r>
            <w:r w:rsidR="00D02D0E">
              <w:rPr>
                <w:noProof/>
              </w:rPr>
              <w:t>1</w:t>
            </w:r>
            <w:r w:rsidR="00D12E90">
              <w:rPr>
                <w:noProof/>
              </w:rPr>
              <w:t>7</w:t>
            </w:r>
            <w:bookmarkEnd w:id="92"/>
          </w:p>
          <w:p w14:paraId="4C347B75" w14:textId="1F130CA8" w:rsidR="00DA2742" w:rsidRPr="00962807" w:rsidRDefault="00DA2742" w:rsidP="00DA2742">
            <w:pPr>
              <w:pStyle w:val="RecommendationText"/>
            </w:pPr>
            <w:bookmarkStart w:id="93" w:name="_Toc78382498"/>
            <w:r>
              <w:t xml:space="preserve">The Committee recommends that </w:t>
            </w:r>
            <w:r w:rsidRPr="00DA2742">
              <w:t xml:space="preserve">commercial premises only be designated as </w:t>
            </w:r>
            <w:r w:rsidR="00D515B4">
              <w:t xml:space="preserve">a </w:t>
            </w:r>
            <w:r w:rsidRPr="00DA2742">
              <w:t>polling place if the tenancy agreement permits the Electoral Commission to display prominent signage directing people to the venue throughout the voting period</w:t>
            </w:r>
            <w:r>
              <w:t>.</w:t>
            </w:r>
            <w:bookmarkEnd w:id="93"/>
            <w:r>
              <w:t xml:space="preserve"> </w:t>
            </w:r>
          </w:p>
        </w:tc>
      </w:tr>
    </w:tbl>
    <w:p w14:paraId="52528DD2" w14:textId="2843B661" w:rsidR="000E3DC9" w:rsidRDefault="000E3DC9" w:rsidP="000E3DC9">
      <w:pPr>
        <w:pStyle w:val="Heading3"/>
      </w:pPr>
      <w:bookmarkStart w:id="94" w:name="_Toc78535743"/>
      <w:r>
        <w:t xml:space="preserve">Electoral </w:t>
      </w:r>
      <w:r w:rsidR="00195C0C">
        <w:t>R</w:t>
      </w:r>
      <w:r>
        <w:t>oll</w:t>
      </w:r>
      <w:bookmarkEnd w:id="94"/>
    </w:p>
    <w:p w14:paraId="3805A391" w14:textId="0FD760A8" w:rsidR="00E60985" w:rsidRDefault="00E60985" w:rsidP="00DB144C">
      <w:pPr>
        <w:pStyle w:val="BodyText"/>
      </w:pPr>
      <w:r>
        <w:t xml:space="preserve">During the 2016 election, the Electoral Act required </w:t>
      </w:r>
      <w:r w:rsidR="00DB144C">
        <w:t xml:space="preserve">the electoral roll to be taken to be closed from </w:t>
      </w:r>
      <w:r>
        <w:t>8pm on the 29</w:t>
      </w:r>
      <w:r w:rsidRPr="00DB144C">
        <w:rPr>
          <w:vertAlign w:val="superscript"/>
        </w:rPr>
        <w:t>th</w:t>
      </w:r>
      <w:r>
        <w:t xml:space="preserve"> day before polling day, preventing any new enrolments or changes to enrolment after this time.</w:t>
      </w:r>
      <w:r w:rsidR="00DB144C">
        <w:rPr>
          <w:rStyle w:val="FootnoteReference"/>
        </w:rPr>
        <w:footnoteReference w:id="124"/>
      </w:r>
      <w:r>
        <w:t xml:space="preserve">  </w:t>
      </w:r>
    </w:p>
    <w:p w14:paraId="72BE78B4" w14:textId="1E201AFD" w:rsidR="00DB144C" w:rsidRDefault="00DA70E5" w:rsidP="00A90E7F">
      <w:pPr>
        <w:pStyle w:val="BodyText"/>
      </w:pPr>
      <w:r>
        <w:t xml:space="preserve">In July 2020, the Electoral Act was amended to allow </w:t>
      </w:r>
      <w:r w:rsidR="00DB144C">
        <w:t xml:space="preserve">applications for </w:t>
      </w:r>
      <w:r w:rsidR="00E60985">
        <w:t xml:space="preserve">new enrolments </w:t>
      </w:r>
      <w:r w:rsidR="00DB144C">
        <w:t>up until 6pm on polling day.</w:t>
      </w:r>
      <w:r w:rsidR="00DB144C">
        <w:rPr>
          <w:rStyle w:val="FootnoteReference"/>
        </w:rPr>
        <w:footnoteReference w:id="125"/>
      </w:r>
      <w:r w:rsidR="00DB144C">
        <w:t xml:space="preserve">  The Electoral Commission described the change in this way:</w:t>
      </w:r>
    </w:p>
    <w:p w14:paraId="16325792" w14:textId="77777777" w:rsidR="00DB144C" w:rsidRDefault="00DB144C" w:rsidP="00DB144C">
      <w:pPr>
        <w:pStyle w:val="Quote"/>
      </w:pPr>
      <w:r>
        <w:t>‘In effect, this amendment removed the long held electoral concept of a ‘hard’ roll close and implemented a new system by which a ‘soft’ close of rolls, known as the ‘preliminary close of rolls’ occurred at 6:00pm on the first day of the pre-election period (11 September 2020).  A final ‘supplementary close of rolls’ then occurred at 6:00pm on election day (17 October 2020).’</w:t>
      </w:r>
      <w:r>
        <w:rPr>
          <w:rStyle w:val="FootnoteReference"/>
        </w:rPr>
        <w:footnoteReference w:id="126"/>
      </w:r>
    </w:p>
    <w:p w14:paraId="00C710A5" w14:textId="6FC357D9" w:rsidR="007F624B" w:rsidRPr="007F624B" w:rsidRDefault="007F624B" w:rsidP="007F624B">
      <w:pPr>
        <w:pStyle w:val="BodyText"/>
      </w:pPr>
      <w:r>
        <w:t xml:space="preserve">At the </w:t>
      </w:r>
      <w:r w:rsidRPr="007F624B">
        <w:t xml:space="preserve">preliminary roll close on 11 September 2020, there were 302,628 electors enrolled to vote for the 2020 election. </w:t>
      </w:r>
      <w:r>
        <w:t xml:space="preserve"> </w:t>
      </w:r>
      <w:r w:rsidRPr="007F624B">
        <w:t>At the close of the rolls at 6pm on 17 October 2020, a further 3,372 electors had enrolled to vote.</w:t>
      </w:r>
      <w:r>
        <w:rPr>
          <w:rStyle w:val="FootnoteReference"/>
        </w:rPr>
        <w:footnoteReference w:id="127"/>
      </w:r>
      <w:r w:rsidRPr="007F624B">
        <w:t xml:space="preserve"> </w:t>
      </w:r>
    </w:p>
    <w:p w14:paraId="0A09B5E1" w14:textId="0A74B3AE" w:rsidR="00E60985" w:rsidRDefault="007F624B" w:rsidP="00A90E7F">
      <w:pPr>
        <w:pStyle w:val="BodyText"/>
      </w:pPr>
      <w:r>
        <w:t>The</w:t>
      </w:r>
      <w:r w:rsidR="00DB144C">
        <w:t xml:space="preserve"> </w:t>
      </w:r>
      <w:r>
        <w:t>legislative amendments</w:t>
      </w:r>
      <w:r w:rsidR="00DB144C">
        <w:t xml:space="preserve"> </w:t>
      </w:r>
      <w:r>
        <w:t xml:space="preserve">to extend the timeframe applied only to new enrolments, not existing enrolments.  People already registered </w:t>
      </w:r>
      <w:r w:rsidR="002A617E">
        <w:t>and</w:t>
      </w:r>
      <w:r>
        <w:t xml:space="preserve"> seeking to update their address or change electorates </w:t>
      </w:r>
      <w:r w:rsidR="00DB144C">
        <w:t xml:space="preserve">still had to </w:t>
      </w:r>
      <w:r>
        <w:t>notify the Electoral Commission</w:t>
      </w:r>
      <w:r w:rsidR="00DB144C">
        <w:t xml:space="preserve"> before the preliminary roll close on 11 September 2020.   </w:t>
      </w:r>
    </w:p>
    <w:p w14:paraId="4DD97182" w14:textId="68FC91BE" w:rsidR="007F624B" w:rsidRDefault="007F624B" w:rsidP="00A90E7F">
      <w:pPr>
        <w:pStyle w:val="BodyText"/>
      </w:pPr>
      <w:r>
        <w:t>ACT Greens told the Committee that this situation caused confusion:</w:t>
      </w:r>
    </w:p>
    <w:p w14:paraId="723B2340" w14:textId="64001970" w:rsidR="007F624B" w:rsidRDefault="007F624B" w:rsidP="007F624B">
      <w:pPr>
        <w:pStyle w:val="Quote"/>
      </w:pPr>
      <w:r>
        <w:t xml:space="preserve">‘[T]here was confusion about the difference between persons enrolling to be on the ACT electoral roll for the first time, versus those who were changing their address or other details within the ACT… this deadline was confusing given the fact that new </w:t>
      </w:r>
      <w:r>
        <w:lastRenderedPageBreak/>
        <w:t>electors in the ACT could enrol up to 6pm on polling day.  This needs to be clarified in the legislation before the 2024 Election to reduce this confusion.’</w:t>
      </w:r>
      <w:r>
        <w:rPr>
          <w:rStyle w:val="FootnoteReference"/>
        </w:rPr>
        <w:footnoteReference w:id="128"/>
      </w:r>
    </w:p>
    <w:p w14:paraId="681B17D7" w14:textId="06A4EFF6" w:rsidR="002A617E" w:rsidRDefault="002A617E" w:rsidP="002A617E">
      <w:pPr>
        <w:pStyle w:val="BodyText"/>
      </w:pPr>
      <w:r>
        <w:t>ACT Greens suggest</w:t>
      </w:r>
      <w:r w:rsidR="00D515B4">
        <w:t>ed</w:t>
      </w:r>
      <w:r>
        <w:t xml:space="preserve"> the </w:t>
      </w:r>
      <w:r w:rsidR="00D515B4">
        <w:t xml:space="preserve">existence of </w:t>
      </w:r>
      <w:r>
        <w:t>two sets of rules was not intentional, and should be rectified:</w:t>
      </w:r>
    </w:p>
    <w:p w14:paraId="2BC49011" w14:textId="4E029FAE" w:rsidR="00DA70E5" w:rsidRDefault="002A617E" w:rsidP="002A617E">
      <w:pPr>
        <w:pStyle w:val="Quote"/>
      </w:pPr>
      <w:r>
        <w:t>‘We do not believe that there was an intention to create two different sets of rules and deadlines for changes to the electoral roll when the amendments were passed in 2020, and instead there should be one single deadline that can be clearly publicised to reduce voter confusion.’</w:t>
      </w:r>
      <w:r w:rsidR="00D515B4">
        <w:rPr>
          <w:rStyle w:val="FootnoteReference"/>
        </w:rPr>
        <w:footnoteReference w:id="129"/>
      </w:r>
    </w:p>
    <w:p w14:paraId="2624ABA6" w14:textId="7F7E860E" w:rsidR="00DA62FA" w:rsidRDefault="00DA62FA" w:rsidP="00DA62FA">
      <w:pPr>
        <w:pStyle w:val="BodyText"/>
      </w:pPr>
      <w:r>
        <w:t>The Explanatory Statement to the Electoral Legislation Amendment Bill 2020 states one of the purposes of the amendments was to ‘allow voters to enrol to vote in an election up to and including election day’.</w:t>
      </w:r>
      <w:r>
        <w:rPr>
          <w:rStyle w:val="FootnoteReference"/>
        </w:rPr>
        <w:footnoteReference w:id="130"/>
      </w:r>
    </w:p>
    <w:tbl>
      <w:tblPr>
        <w:tblStyle w:val="TableGrid"/>
        <w:tblW w:w="9209" w:type="dxa"/>
        <w:tblInd w:w="-142" w:type="dxa"/>
        <w:tblLook w:val="04A0" w:firstRow="1" w:lastRow="0" w:firstColumn="1" w:lastColumn="0" w:noHBand="0" w:noVBand="1"/>
      </w:tblPr>
      <w:tblGrid>
        <w:gridCol w:w="9209"/>
      </w:tblGrid>
      <w:tr w:rsidR="00246948" w14:paraId="48F096B2"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1F2C306" w14:textId="7F284C0E" w:rsidR="00246948" w:rsidRDefault="00246948" w:rsidP="00246948">
            <w:pPr>
              <w:pStyle w:val="RecommendationHeading"/>
            </w:pPr>
            <w:bookmarkStart w:id="95" w:name="_Toc78382499"/>
            <w:r>
              <w:t xml:space="preserve">Recommendation </w:t>
            </w:r>
            <w:r w:rsidR="00E41791">
              <w:rPr>
                <w:noProof/>
              </w:rPr>
              <w:t>1</w:t>
            </w:r>
            <w:r w:rsidR="00D12E90">
              <w:rPr>
                <w:noProof/>
              </w:rPr>
              <w:t>8</w:t>
            </w:r>
            <w:bookmarkEnd w:id="95"/>
          </w:p>
          <w:p w14:paraId="44A35494" w14:textId="3732E3F2" w:rsidR="00246948" w:rsidRPr="00962807" w:rsidRDefault="00246948" w:rsidP="00246948">
            <w:pPr>
              <w:pStyle w:val="RecommendationText"/>
            </w:pPr>
            <w:bookmarkStart w:id="96" w:name="_Toc78382500"/>
            <w:r w:rsidRPr="00246948">
              <w:t xml:space="preserve">The Committee recommends that </w:t>
            </w:r>
            <w:r>
              <w:t xml:space="preserve">ACT Government investigate the feasibility of allowing </w:t>
            </w:r>
            <w:r w:rsidRPr="00246948">
              <w:t xml:space="preserve">people who are already on the ACT electoral roll to </w:t>
            </w:r>
            <w:r>
              <w:t>notify change of</w:t>
            </w:r>
            <w:r w:rsidRPr="00246948">
              <w:t xml:space="preserve"> address up to 6pm on polling day</w:t>
            </w:r>
            <w:r>
              <w:t>.</w:t>
            </w:r>
            <w:bookmarkEnd w:id="96"/>
          </w:p>
        </w:tc>
      </w:tr>
    </w:tbl>
    <w:p w14:paraId="35F27E48" w14:textId="77777777" w:rsidR="00505F5B" w:rsidRDefault="00505F5B" w:rsidP="00505F5B">
      <w:pPr>
        <w:pStyle w:val="Heading4"/>
      </w:pPr>
      <w:r>
        <w:t>Telephone voting in Antarctica</w:t>
      </w:r>
    </w:p>
    <w:p w14:paraId="32E3535E" w14:textId="085A0027" w:rsidR="00505F5B" w:rsidRDefault="00505F5B" w:rsidP="00505F5B">
      <w:pPr>
        <w:pStyle w:val="BodyText"/>
      </w:pPr>
      <w:r w:rsidRPr="00983EC7">
        <w:t>In its report on the 2020 Election, the Electoral Commission recommended that</w:t>
      </w:r>
      <w:r>
        <w:t xml:space="preserve"> the definition of ‘eligible elector’ in the context of telephone voting be expanded to include ACT electors based in Antarctica at the time of the election.</w:t>
      </w:r>
      <w:r>
        <w:rPr>
          <w:rStyle w:val="FootnoteReference"/>
        </w:rPr>
        <w:footnoteReference w:id="131"/>
      </w:r>
    </w:p>
    <w:p w14:paraId="5602145D" w14:textId="3CFBBC5D" w:rsidR="00505F5B" w:rsidRDefault="00505F5B" w:rsidP="00505F5B">
      <w:pPr>
        <w:pStyle w:val="Quote"/>
      </w:pPr>
      <w:r w:rsidRPr="00D4717F">
        <w:t>‘While not an issue in 2020, given that no ACT residents were stationed in Antarctica at the time of the election, it would be beneficial if Antarctic electors at future elections could choose to vote either online using the oversea e-voting system, or if the internet is not available to them, via the telephone voting system.’</w:t>
      </w:r>
      <w:r>
        <w:rPr>
          <w:rStyle w:val="FootnoteReference"/>
        </w:rPr>
        <w:footnoteReference w:id="132"/>
      </w:r>
      <w:r w:rsidRPr="00D4717F">
        <w:t xml:space="preserve"> </w:t>
      </w:r>
    </w:p>
    <w:p w14:paraId="20760F42" w14:textId="2B3FB7D6" w:rsidR="00600D80" w:rsidRDefault="00600D80" w:rsidP="00505F5B">
      <w:pPr>
        <w:pStyle w:val="Quote"/>
      </w:pPr>
    </w:p>
    <w:p w14:paraId="467C5DAA" w14:textId="3B36F7FB" w:rsidR="00600D80" w:rsidRDefault="00600D80" w:rsidP="00505F5B">
      <w:pPr>
        <w:pStyle w:val="Quote"/>
      </w:pPr>
    </w:p>
    <w:p w14:paraId="46D42D74" w14:textId="77777777" w:rsidR="00600D80" w:rsidRPr="00D4717F" w:rsidRDefault="00600D80" w:rsidP="00505F5B">
      <w:pPr>
        <w:pStyle w:val="Quote"/>
      </w:pPr>
    </w:p>
    <w:tbl>
      <w:tblPr>
        <w:tblStyle w:val="TableGrid"/>
        <w:tblW w:w="9209" w:type="dxa"/>
        <w:tblInd w:w="-142" w:type="dxa"/>
        <w:tblLook w:val="04A0" w:firstRow="1" w:lastRow="0" w:firstColumn="1" w:lastColumn="0" w:noHBand="0" w:noVBand="1"/>
      </w:tblPr>
      <w:tblGrid>
        <w:gridCol w:w="9209"/>
      </w:tblGrid>
      <w:tr w:rsidR="00505F5B" w14:paraId="5D6B6C68" w14:textId="77777777" w:rsidTr="009B6C5E">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C93E858" w14:textId="6DE3AB9C" w:rsidR="00505F5B" w:rsidRDefault="00505F5B" w:rsidP="009B6C5E">
            <w:pPr>
              <w:pStyle w:val="RecommendationHeading"/>
            </w:pPr>
            <w:bookmarkStart w:id="97" w:name="_Toc78382501"/>
            <w:r>
              <w:lastRenderedPageBreak/>
              <w:t xml:space="preserve">Recommendation </w:t>
            </w:r>
            <w:r w:rsidR="00E41791">
              <w:t>1</w:t>
            </w:r>
            <w:r w:rsidR="00D12E90">
              <w:t>9</w:t>
            </w:r>
            <w:bookmarkEnd w:id="97"/>
          </w:p>
          <w:p w14:paraId="01455F73" w14:textId="77777777" w:rsidR="00505F5B" w:rsidRPr="00962807" w:rsidRDefault="00505F5B" w:rsidP="009B6C5E">
            <w:pPr>
              <w:pStyle w:val="RecommendationText"/>
            </w:pPr>
            <w:bookmarkStart w:id="98" w:name="_Toc78382502"/>
            <w:r w:rsidRPr="00E7130C">
              <w:t>The Committee recommends the Electoral Act be amended to expand the definition of ‘eligible elector’ for purpose of telephone voting to include ACT electors based in Antarctica</w:t>
            </w:r>
            <w:r>
              <w:t>.</w:t>
            </w:r>
            <w:bookmarkEnd w:id="98"/>
          </w:p>
        </w:tc>
      </w:tr>
    </w:tbl>
    <w:p w14:paraId="25DE3D4F" w14:textId="58586628" w:rsidR="000E3DC9" w:rsidRDefault="003236E3" w:rsidP="000E3DC9">
      <w:pPr>
        <w:pStyle w:val="Heading3"/>
      </w:pPr>
      <w:bookmarkStart w:id="99" w:name="_Toc78535744"/>
      <w:r>
        <w:t>Calculation of</w:t>
      </w:r>
      <w:r w:rsidR="000E3DC9">
        <w:t xml:space="preserve"> </w:t>
      </w:r>
      <w:r w:rsidR="00195C0C">
        <w:t>R</w:t>
      </w:r>
      <w:r w:rsidR="000E3DC9">
        <w:t>esult</w:t>
      </w:r>
      <w:r>
        <w:t>s</w:t>
      </w:r>
      <w:bookmarkEnd w:id="99"/>
      <w:r w:rsidR="000E3DC9">
        <w:t xml:space="preserve"> </w:t>
      </w:r>
    </w:p>
    <w:p w14:paraId="49087983" w14:textId="0DCCA3B1" w:rsidR="007449FD" w:rsidRDefault="007449FD" w:rsidP="007449FD">
      <w:pPr>
        <w:pStyle w:val="BodyText"/>
      </w:pPr>
      <w:r>
        <w:t>The Hare-Clark counting system involve</w:t>
      </w:r>
      <w:r w:rsidR="000A65E2">
        <w:t>s</w:t>
      </w:r>
      <w:r>
        <w:t xml:space="preserve"> rounding down of vote values during</w:t>
      </w:r>
      <w:r w:rsidR="004821AF">
        <w:t xml:space="preserve"> </w:t>
      </w:r>
      <w:r>
        <w:t xml:space="preserve">distribution of preferences.  Following the 2016 Election, the Electoral Commission recommended </w:t>
      </w:r>
      <w:r w:rsidR="003C40E4">
        <w:t>amending</w:t>
      </w:r>
      <w:r>
        <w:t xml:space="preserve"> Schedule 4 of the Electoral Act to provide that vote values be rounded down to 6 decimal places, rather than the nearest whole number.</w:t>
      </w:r>
      <w:r w:rsidR="000A65E2">
        <w:rPr>
          <w:rStyle w:val="FootnoteReference"/>
        </w:rPr>
        <w:footnoteReference w:id="133"/>
      </w:r>
      <w:r>
        <w:t xml:space="preserve">  This change was implemented by the </w:t>
      </w:r>
      <w:r w:rsidRPr="007449FD">
        <w:rPr>
          <w:i/>
          <w:iCs/>
        </w:rPr>
        <w:t>Electoral Legislation Amendment Act</w:t>
      </w:r>
      <w:r w:rsidR="000A65E2">
        <w:rPr>
          <w:i/>
          <w:iCs/>
        </w:rPr>
        <w:t xml:space="preserve"> 2020</w:t>
      </w:r>
      <w:r>
        <w:t xml:space="preserve"> in July 2020.</w:t>
      </w:r>
      <w:r>
        <w:rPr>
          <w:rStyle w:val="FootnoteReference"/>
        </w:rPr>
        <w:footnoteReference w:id="134"/>
      </w:r>
    </w:p>
    <w:p w14:paraId="220AA1DF" w14:textId="22D77C6F" w:rsidR="006F796C" w:rsidRDefault="006F796C" w:rsidP="00711E2D">
      <w:pPr>
        <w:pStyle w:val="BodyText"/>
      </w:pPr>
      <w:r>
        <w:t>In its report on the 2020 Election, the Electoral Commission recommended that the definition of ‘surplus’ in Schedule 4 of the Electoral Act be amended to ‘the candidate’s total votes less the quota, if the resulting number of votes is greater than zero’.</w:t>
      </w:r>
      <w:r>
        <w:rPr>
          <w:rStyle w:val="FootnoteReference"/>
        </w:rPr>
        <w:footnoteReference w:id="135"/>
      </w:r>
    </w:p>
    <w:p w14:paraId="58900D87" w14:textId="42DB0E1D" w:rsidR="00711E2D" w:rsidRDefault="007449FD" w:rsidP="00711E2D">
      <w:pPr>
        <w:pStyle w:val="BodyText"/>
      </w:pPr>
      <w:r>
        <w:t xml:space="preserve">The Electoral Commission </w:t>
      </w:r>
      <w:r w:rsidR="009B6C5E">
        <w:t>believes this is a minor consequential amendment:</w:t>
      </w:r>
      <w:r w:rsidR="000A65E2">
        <w:t xml:space="preserve"> </w:t>
      </w:r>
    </w:p>
    <w:p w14:paraId="3711A83B" w14:textId="3245CFF9" w:rsidR="00114E34" w:rsidRPr="00114E34" w:rsidRDefault="00114E34" w:rsidP="007449FD">
      <w:pPr>
        <w:pStyle w:val="Quote"/>
      </w:pPr>
      <w:r w:rsidRPr="00114E34">
        <w:t xml:space="preserve">‘It is the view of the Commission that this situation was contrary to the design of the Hare-Clark electoral system where once a candidate receives a surplus of required votes, that is higher than the quota, that surplus is transferred, likely at a reduced value, to the voter’s next preferred continuing candidate. </w:t>
      </w:r>
      <w:r w:rsidR="006F796C">
        <w:t xml:space="preserve"> </w:t>
      </w:r>
      <w:r w:rsidRPr="00114E34">
        <w:t xml:space="preserve">The Commission was, at the time of the election, and continues to be, of the view that this is an unintended consequence of the change to calculating to six decimal places. </w:t>
      </w:r>
      <w:r w:rsidR="007449FD">
        <w:t xml:space="preserve"> </w:t>
      </w:r>
      <w:r w:rsidRPr="00114E34">
        <w:t>The Commission considers this matter to be a drafting error.’</w:t>
      </w:r>
      <w:r w:rsidR="007449FD">
        <w:rPr>
          <w:rStyle w:val="FootnoteReference"/>
        </w:rPr>
        <w:footnoteReference w:id="136"/>
      </w:r>
    </w:p>
    <w:tbl>
      <w:tblPr>
        <w:tblStyle w:val="TableGrid"/>
        <w:tblW w:w="9209" w:type="dxa"/>
        <w:tblInd w:w="-142" w:type="dxa"/>
        <w:tblLook w:val="04A0" w:firstRow="1" w:lastRow="0" w:firstColumn="1" w:lastColumn="0" w:noHBand="0" w:noVBand="1"/>
      </w:tblPr>
      <w:tblGrid>
        <w:gridCol w:w="9209"/>
      </w:tblGrid>
      <w:tr w:rsidR="00246948" w14:paraId="1F10E15F"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2E70F9D" w14:textId="40E494D8" w:rsidR="00246948" w:rsidRDefault="00246948" w:rsidP="00246948">
            <w:pPr>
              <w:pStyle w:val="RecommendationHeading"/>
            </w:pPr>
            <w:bookmarkStart w:id="100" w:name="_Toc78382503"/>
            <w:r>
              <w:t xml:space="preserve">Recommendation </w:t>
            </w:r>
            <w:r w:rsidR="00D12E90">
              <w:t>20</w:t>
            </w:r>
            <w:bookmarkEnd w:id="100"/>
          </w:p>
          <w:p w14:paraId="1B26156E" w14:textId="22E2AC0C" w:rsidR="00246948" w:rsidRPr="00962807" w:rsidRDefault="00246948" w:rsidP="00246948">
            <w:pPr>
              <w:pStyle w:val="RecommendationText"/>
            </w:pPr>
            <w:bookmarkStart w:id="101" w:name="_Toc78382504"/>
            <w:r w:rsidRPr="00246948">
              <w:t xml:space="preserve">The Committee recommends </w:t>
            </w:r>
            <w:r w:rsidR="000A65E2">
              <w:t xml:space="preserve">ACT Government </w:t>
            </w:r>
            <w:r w:rsidR="007136DE">
              <w:t xml:space="preserve">assess </w:t>
            </w:r>
            <w:r w:rsidR="000A65E2">
              <w:t xml:space="preserve">whether </w:t>
            </w:r>
            <w:r w:rsidRPr="00246948">
              <w:t xml:space="preserve">Schedule 4 of the Electoral Act </w:t>
            </w:r>
            <w:r w:rsidR="000A65E2">
              <w:t xml:space="preserve">should </w:t>
            </w:r>
            <w:r w:rsidRPr="00246948">
              <w:t>be amended to define ‘surplus’ as ‘the candidate’s total votes less the quota, if the resulting number of votes is greater than zero’</w:t>
            </w:r>
            <w:r>
              <w:t>.</w:t>
            </w:r>
            <w:bookmarkEnd w:id="101"/>
          </w:p>
        </w:tc>
      </w:tr>
    </w:tbl>
    <w:p w14:paraId="20FF8F44" w14:textId="2BEB4EF1" w:rsidR="00F30083" w:rsidRPr="00F76E74" w:rsidRDefault="00F30083" w:rsidP="00F30083">
      <w:pPr>
        <w:pStyle w:val="Heading4"/>
      </w:pPr>
      <w:r w:rsidRPr="00F76E74">
        <w:lastRenderedPageBreak/>
        <w:t>Incomplete Votes</w:t>
      </w:r>
    </w:p>
    <w:p w14:paraId="12BE8E71" w14:textId="46D3A0C0" w:rsidR="007136DE" w:rsidRDefault="007136DE" w:rsidP="00F30083">
      <w:pPr>
        <w:pStyle w:val="BodyText"/>
      </w:pPr>
      <w:r>
        <w:t>The Electoral Commission has publicly reported the phenomenon of ‘incomplete votes’ that emerged with electronic voting.  When voters do not scan the barcode or QR code to end their voting session, the vote is not recorded.  The barcode or QR code is effectively ‘discarded’, and the vote is treated as a blank informal vote.</w:t>
      </w:r>
      <w:r>
        <w:rPr>
          <w:rStyle w:val="FootnoteReference"/>
        </w:rPr>
        <w:footnoteReference w:id="137"/>
      </w:r>
      <w:r>
        <w:t xml:space="preserve">  </w:t>
      </w:r>
      <w:r w:rsidR="004530D1">
        <w:t>It is possible that some of the incomplete votes are intentional, ‘in the same way the people wishing to vote informally will place a blank ballot paper in the ballot box.’</w:t>
      </w:r>
      <w:r w:rsidR="004530D1">
        <w:rPr>
          <w:rStyle w:val="FootnoteReference"/>
        </w:rPr>
        <w:footnoteReference w:id="138"/>
      </w:r>
    </w:p>
    <w:p w14:paraId="4EF2EBAF" w14:textId="77777777" w:rsidR="007136DE" w:rsidRDefault="007136DE" w:rsidP="00F30083">
      <w:pPr>
        <w:pStyle w:val="BodyText"/>
      </w:pPr>
      <w:r>
        <w:t>The Electoral Commission estimates that the number of incomplete votes was 295 in 2008, 180 in 2012, 430 in 2016, and 383 in 2020.</w:t>
      </w:r>
      <w:r>
        <w:rPr>
          <w:rStyle w:val="FootnoteReference"/>
        </w:rPr>
        <w:footnoteReference w:id="139"/>
      </w:r>
      <w:r>
        <w:t xml:space="preserve">  </w:t>
      </w:r>
    </w:p>
    <w:p w14:paraId="549A1FC2" w14:textId="5CCA5002" w:rsidR="00342A94" w:rsidRPr="00F76E74" w:rsidRDefault="00342A94" w:rsidP="007136DE">
      <w:pPr>
        <w:pStyle w:val="Quote"/>
      </w:pPr>
      <w:r w:rsidRPr="00F76E74">
        <w:t xml:space="preserve">‘In 2020, it is estimated that the number on occurrences of this issue declined to 383 from its peak in 2016 of 430. </w:t>
      </w:r>
      <w:r w:rsidR="007136DE">
        <w:t xml:space="preserve"> </w:t>
      </w:r>
      <w:r w:rsidRPr="00F76E74">
        <w:t>While this number represents only 0.2 per cent of all electors issued with an electronic vote, Elections ACT will continue to seek improvement in this area.’</w:t>
      </w:r>
      <w:r w:rsidR="007136DE">
        <w:rPr>
          <w:rStyle w:val="FootnoteReference"/>
        </w:rPr>
        <w:footnoteReference w:id="140"/>
      </w:r>
      <w:r w:rsidRPr="00F76E74">
        <w:t xml:space="preserve"> </w:t>
      </w:r>
    </w:p>
    <w:p w14:paraId="11B96955" w14:textId="2055C0B8" w:rsidR="007136DE" w:rsidRDefault="007136DE" w:rsidP="002B4978">
      <w:pPr>
        <w:pStyle w:val="BodyText"/>
      </w:pPr>
      <w:r>
        <w:t>The Electoral Commission proposes to address the issue for the 2024 election by</w:t>
      </w:r>
      <w:r w:rsidR="00D515B4">
        <w:t xml:space="preserve"> (a)</w:t>
      </w:r>
      <w:r>
        <w:t xml:space="preserve"> refining </w:t>
      </w:r>
      <w:r w:rsidR="004530D1">
        <w:t>the</w:t>
      </w:r>
      <w:r>
        <w:t xml:space="preserve"> e-voting officer training; and </w:t>
      </w:r>
      <w:r w:rsidR="00D515B4">
        <w:t xml:space="preserve">(b) </w:t>
      </w:r>
      <w:r>
        <w:t>ensuring that ballot box supervisors are instructed to ask voters on leaving the polling place whether they had seen the green ‘vote accepted’ screen before leaving their terminal.</w:t>
      </w:r>
      <w:r w:rsidR="004530D1">
        <w:rPr>
          <w:rStyle w:val="FootnoteReference"/>
        </w:rPr>
        <w:footnoteReference w:id="141"/>
      </w:r>
    </w:p>
    <w:p w14:paraId="19D4EDC4" w14:textId="7AC165D3" w:rsidR="004821AF" w:rsidRPr="00F76E74" w:rsidRDefault="004821AF" w:rsidP="004821AF">
      <w:pPr>
        <w:pStyle w:val="Heading5"/>
      </w:pPr>
      <w:r>
        <w:t xml:space="preserve">Committee comment </w:t>
      </w:r>
    </w:p>
    <w:p w14:paraId="10F93125" w14:textId="62515EDC" w:rsidR="004530D1" w:rsidRDefault="00F30083" w:rsidP="004530D1">
      <w:pPr>
        <w:pStyle w:val="BodyText"/>
      </w:pPr>
      <w:r w:rsidRPr="00F76E74">
        <w:t xml:space="preserve">Committee notes the </w:t>
      </w:r>
      <w:r w:rsidR="004530D1">
        <w:t xml:space="preserve">Electoral Commission’s proposals to address the issue of incomplete </w:t>
      </w:r>
      <w:proofErr w:type="gramStart"/>
      <w:r w:rsidR="004530D1">
        <w:t>votes, and</w:t>
      </w:r>
      <w:proofErr w:type="gramEnd"/>
      <w:r w:rsidR="004530D1">
        <w:t xml:space="preserve"> encourages significant effort in this area to ensure public confidence in the election process.  </w:t>
      </w:r>
    </w:p>
    <w:p w14:paraId="66B10DB6" w14:textId="1DED0CF0" w:rsidR="00323E82" w:rsidRPr="00F76E74" w:rsidRDefault="00323E82" w:rsidP="004530D1">
      <w:pPr>
        <w:pStyle w:val="BodyText"/>
      </w:pPr>
      <w:r>
        <w:t xml:space="preserve">The Committee also notes that, while </w:t>
      </w:r>
      <w:r w:rsidR="00D515B4">
        <w:t>‘</w:t>
      </w:r>
      <w:r>
        <w:t>incomplete votes</w:t>
      </w:r>
      <w:r w:rsidR="00D515B4">
        <w:t>’</w:t>
      </w:r>
      <w:r>
        <w:t xml:space="preserve"> is a problem unique to electronic voting, overall electronic voting reduces the incidence of unintended </w:t>
      </w:r>
      <w:r w:rsidRPr="00323E82">
        <w:t>informal vote</w:t>
      </w:r>
      <w:r>
        <w:t>s.</w:t>
      </w:r>
    </w:p>
    <w:p w14:paraId="0B9F373F" w14:textId="2521F874" w:rsidR="003D2BD5" w:rsidRDefault="003D2BD5" w:rsidP="003D2BD5">
      <w:pPr>
        <w:pStyle w:val="Heading2"/>
      </w:pPr>
      <w:bookmarkStart w:id="102" w:name="_Toc78535745"/>
      <w:r>
        <w:lastRenderedPageBreak/>
        <w:t>Campaigning</w:t>
      </w:r>
      <w:bookmarkEnd w:id="102"/>
    </w:p>
    <w:p w14:paraId="6EC2F3EA" w14:textId="224E02C4" w:rsidR="003D2BD5" w:rsidRDefault="003D2BD5" w:rsidP="003D2BD5">
      <w:pPr>
        <w:pStyle w:val="Heading3"/>
      </w:pPr>
      <w:bookmarkStart w:id="103" w:name="_Toc78535746"/>
      <w:r>
        <w:t xml:space="preserve">Campaign </w:t>
      </w:r>
      <w:r w:rsidR="00195C0C">
        <w:t>P</w:t>
      </w:r>
      <w:r>
        <w:t>eriod</w:t>
      </w:r>
      <w:bookmarkEnd w:id="103"/>
    </w:p>
    <w:p w14:paraId="5968DCF3" w14:textId="472F3F58" w:rsidR="00E60B03" w:rsidRDefault="00E60B03" w:rsidP="003D2BD5">
      <w:pPr>
        <w:pStyle w:val="BodyText"/>
      </w:pPr>
      <w:r>
        <w:t>The terms of reference for the inquiry include</w:t>
      </w:r>
      <w:r w:rsidR="004530D1">
        <w:t xml:space="preserve"> ‘</w:t>
      </w:r>
      <w:r w:rsidR="004530D1" w:rsidRPr="004530D1">
        <w:t>the efficacy of the six-week campaign period</w:t>
      </w:r>
      <w:r w:rsidR="004530D1">
        <w:t>’.</w:t>
      </w:r>
    </w:p>
    <w:p w14:paraId="2511AB2F" w14:textId="73A0FA82" w:rsidR="005E5D0E" w:rsidRPr="003D2BD5" w:rsidRDefault="004530D1" w:rsidP="003D2BD5">
      <w:pPr>
        <w:pStyle w:val="BodyText"/>
      </w:pPr>
      <w:r>
        <w:t xml:space="preserve">The Committee did not receive significant comment on the length of the campaign period.  </w:t>
      </w:r>
      <w:r w:rsidR="00831F74">
        <w:t>Canberra Progressives suggested that six weeks ‘would seem to be about right’.</w:t>
      </w:r>
      <w:r w:rsidR="00831F74">
        <w:rPr>
          <w:rStyle w:val="FootnoteReference"/>
        </w:rPr>
        <w:footnoteReference w:id="142"/>
      </w:r>
      <w:r w:rsidR="00831F74">
        <w:t xml:space="preserve">  Another submitter</w:t>
      </w:r>
      <w:r>
        <w:t xml:space="preserve"> suggested that the six-week campaign period </w:t>
      </w:r>
      <w:r w:rsidR="00C24D9C">
        <w:t xml:space="preserve">could </w:t>
      </w:r>
      <w:r>
        <w:t>be extended.</w:t>
      </w:r>
      <w:r w:rsidR="00831F74">
        <w:rPr>
          <w:rStyle w:val="FootnoteReference"/>
        </w:rPr>
        <w:footnoteReference w:id="143"/>
      </w:r>
    </w:p>
    <w:p w14:paraId="119A40CD" w14:textId="622B0DB3" w:rsidR="003D2BD5" w:rsidRDefault="00F83BC8" w:rsidP="003D2BD5">
      <w:pPr>
        <w:pStyle w:val="Heading3"/>
      </w:pPr>
      <w:bookmarkStart w:id="104" w:name="_Toc78535747"/>
      <w:r>
        <w:t>Exclusion Zone</w:t>
      </w:r>
      <w:r w:rsidR="003D2BD5">
        <w:t xml:space="preserve"> outside </w:t>
      </w:r>
      <w:r w:rsidR="008C18B8">
        <w:t>P</w:t>
      </w:r>
      <w:r w:rsidR="003D2BD5">
        <w:t xml:space="preserve">olling </w:t>
      </w:r>
      <w:r w:rsidR="008C18B8">
        <w:t>P</w:t>
      </w:r>
      <w:r w:rsidR="003D2BD5">
        <w:t>laces</w:t>
      </w:r>
      <w:bookmarkEnd w:id="104"/>
      <w:r w:rsidR="003D2BD5">
        <w:t xml:space="preserve"> </w:t>
      </w:r>
    </w:p>
    <w:p w14:paraId="24886707" w14:textId="5838FEAC" w:rsidR="00E62C3C" w:rsidRDefault="00F83BC8" w:rsidP="00E62C3C">
      <w:pPr>
        <w:pStyle w:val="Heading4"/>
      </w:pPr>
      <w:r>
        <w:t xml:space="preserve">Legislative </w:t>
      </w:r>
      <w:r w:rsidR="00C24D9C">
        <w:t>F</w:t>
      </w:r>
      <w:r>
        <w:t>ramework</w:t>
      </w:r>
    </w:p>
    <w:p w14:paraId="78194573" w14:textId="05228067" w:rsidR="00136F40" w:rsidRDefault="00C24D9C" w:rsidP="003D2BD5">
      <w:pPr>
        <w:pStyle w:val="BodyText"/>
      </w:pPr>
      <w:r>
        <w:t>Section 303 of the Electoral Act prohibits anyone from influencing the vote of an elector, or displaying electoral sign</w:t>
      </w:r>
      <w:r w:rsidR="00FB347F">
        <w:t>s</w:t>
      </w:r>
      <w:r>
        <w:t xml:space="preserve">, within 100 metres of an early voting centre or a polling place </w:t>
      </w:r>
      <w:r w:rsidR="00FB347F">
        <w:t>during polling hours</w:t>
      </w:r>
      <w:r>
        <w:t>.</w:t>
      </w:r>
    </w:p>
    <w:p w14:paraId="48A9BFB7" w14:textId="1D923E8D" w:rsidR="00F83BC8" w:rsidRPr="00136F40" w:rsidRDefault="00F83BC8" w:rsidP="00F83BC8">
      <w:pPr>
        <w:pStyle w:val="Heading4"/>
      </w:pPr>
      <w:r>
        <w:t>Conduct during the 2020 Election</w:t>
      </w:r>
    </w:p>
    <w:p w14:paraId="4506F15D" w14:textId="520D1E19" w:rsidR="00114E34" w:rsidRDefault="00C24D9C" w:rsidP="00C24D9C">
      <w:pPr>
        <w:pStyle w:val="BodyText"/>
      </w:pPr>
      <w:r>
        <w:t xml:space="preserve">The Electoral Commission reported that, during the 2020 election, there were </w:t>
      </w:r>
      <w:r w:rsidR="00114E34">
        <w:t xml:space="preserve">16 allegations of breaches of the </w:t>
      </w:r>
      <w:r>
        <w:t>100-metre</w:t>
      </w:r>
      <w:r w:rsidR="00114E34">
        <w:t xml:space="preserve"> </w:t>
      </w:r>
      <w:r>
        <w:t>exclusion zone (c</w:t>
      </w:r>
      <w:r w:rsidR="00114E34">
        <w:t xml:space="preserve">ompared to 33 complaints received </w:t>
      </w:r>
      <w:r w:rsidR="00780211">
        <w:t>during</w:t>
      </w:r>
      <w:r w:rsidR="00114E34">
        <w:t xml:space="preserve"> the 2016 election</w:t>
      </w:r>
      <w:r>
        <w:t>).</w:t>
      </w:r>
      <w:r>
        <w:rPr>
          <w:rStyle w:val="FootnoteReference"/>
        </w:rPr>
        <w:footnoteReference w:id="144"/>
      </w:r>
      <w:r w:rsidR="00114E34">
        <w:t xml:space="preserve"> </w:t>
      </w:r>
    </w:p>
    <w:p w14:paraId="33F0EA92" w14:textId="77777777" w:rsidR="00C24D9C" w:rsidRDefault="00C24D9C" w:rsidP="00114E34">
      <w:pPr>
        <w:pStyle w:val="BodyText"/>
      </w:pPr>
      <w:r>
        <w:t>In the Commission’s view, the current 100-metre exclusion zone is satisfactory:</w:t>
      </w:r>
    </w:p>
    <w:p w14:paraId="36665307" w14:textId="3C7EE453" w:rsidR="00114E34" w:rsidRDefault="00114E34" w:rsidP="00FB347F">
      <w:pPr>
        <w:pStyle w:val="Quote"/>
      </w:pPr>
      <w:r>
        <w:t xml:space="preserve">‘The Commission considers that </w:t>
      </w:r>
      <w:proofErr w:type="gramStart"/>
      <w:r>
        <w:t>the majority of</w:t>
      </w:r>
      <w:proofErr w:type="gramEnd"/>
      <w:r>
        <w:t xml:space="preserve"> these reported breaches of the 100-metre limit were trivial, as they were generally close to the 100-metre limit and respected the spirit of the limit if not the letter of the law. </w:t>
      </w:r>
      <w:r w:rsidR="00C24D9C">
        <w:t xml:space="preserve"> </w:t>
      </w:r>
      <w:r>
        <w:t>Consequently, the Commission does not consider that there is a need to alter the 100-metre limit or to alter the enforcement provisions to introduce new ways of enforcing the ban.’</w:t>
      </w:r>
      <w:r w:rsidR="00FB347F">
        <w:rPr>
          <w:rStyle w:val="FootnoteReference"/>
        </w:rPr>
        <w:footnoteReference w:id="145"/>
      </w:r>
      <w:r>
        <w:t xml:space="preserve"> </w:t>
      </w:r>
    </w:p>
    <w:p w14:paraId="694DCB0F" w14:textId="67D35C71" w:rsidR="00F83BC8" w:rsidRDefault="00F83BC8" w:rsidP="00F83BC8">
      <w:pPr>
        <w:pStyle w:val="Heading4"/>
      </w:pPr>
      <w:r>
        <w:lastRenderedPageBreak/>
        <w:t>Views expressed in Submissions and Hearings</w:t>
      </w:r>
    </w:p>
    <w:p w14:paraId="1A35C6DE" w14:textId="37E0E436" w:rsidR="00FB347F" w:rsidRDefault="00FB347F" w:rsidP="00F83BC8">
      <w:pPr>
        <w:pStyle w:val="BodyText"/>
      </w:pPr>
      <w:r>
        <w:t>The exclusion zone around polling places was a common theme during the inquiry.  Three viewpoints emerged from submissions and hearings:</w:t>
      </w:r>
    </w:p>
    <w:p w14:paraId="3FD26DAE" w14:textId="205105C7" w:rsidR="00F83BC8" w:rsidRDefault="00B505D7" w:rsidP="00F83BC8">
      <w:pPr>
        <w:pStyle w:val="ListBullet"/>
      </w:pPr>
      <w:r>
        <w:t>R</w:t>
      </w:r>
      <w:r w:rsidR="00F83BC8">
        <w:t xml:space="preserve">etain </w:t>
      </w:r>
      <w:r w:rsidR="00D515B4">
        <w:t xml:space="preserve">the </w:t>
      </w:r>
      <w:r w:rsidR="00F83BC8">
        <w:t>current 100 metre exclusion zone</w:t>
      </w:r>
      <w:r w:rsidR="00FB347F">
        <w:t>,</w:t>
      </w:r>
    </w:p>
    <w:p w14:paraId="239C7C43" w14:textId="6B2C0F1E" w:rsidR="00F83BC8" w:rsidRDefault="00B505D7" w:rsidP="00F83BC8">
      <w:pPr>
        <w:pStyle w:val="ListBullet"/>
      </w:pPr>
      <w:r>
        <w:t>C</w:t>
      </w:r>
      <w:r w:rsidR="00F83BC8">
        <w:t xml:space="preserve">hange to 6 metre </w:t>
      </w:r>
      <w:r w:rsidR="00FB347F">
        <w:t xml:space="preserve">exclusion zone </w:t>
      </w:r>
      <w:r w:rsidR="00F83BC8">
        <w:t>for consistency with Commonwealth elections</w:t>
      </w:r>
      <w:r w:rsidR="00FB347F">
        <w:t xml:space="preserve">, </w:t>
      </w:r>
      <w:r w:rsidR="00D73ABA">
        <w:t>or</w:t>
      </w:r>
    </w:p>
    <w:p w14:paraId="60C580FB" w14:textId="5F64A09A" w:rsidR="00F83BC8" w:rsidRDefault="00B505D7" w:rsidP="00F83BC8">
      <w:pPr>
        <w:pStyle w:val="ListBullet"/>
      </w:pPr>
      <w:r>
        <w:t>P</w:t>
      </w:r>
      <w:r w:rsidR="00F83BC8">
        <w:t>rohibit all canvassing on election day</w:t>
      </w:r>
      <w:r w:rsidR="00FB347F">
        <w:t>.</w:t>
      </w:r>
    </w:p>
    <w:p w14:paraId="5D5910B4" w14:textId="661D4E0C" w:rsidR="00F83BC8" w:rsidRDefault="00FB347F" w:rsidP="00F83BC8">
      <w:pPr>
        <w:pStyle w:val="BodyText"/>
      </w:pPr>
      <w:r>
        <w:t xml:space="preserve">As mentioned above, the Electoral Commission recommends retaining the current 100 metre exclusion zone, as does the </w:t>
      </w:r>
      <w:proofErr w:type="spellStart"/>
      <w:r>
        <w:t>Belco</w:t>
      </w:r>
      <w:proofErr w:type="spellEnd"/>
      <w:r>
        <w:t xml:space="preserve"> Party:</w:t>
      </w:r>
    </w:p>
    <w:p w14:paraId="6017E37E" w14:textId="5EB5FEF4" w:rsidR="00F83BC8" w:rsidRPr="00F83BC8" w:rsidRDefault="00F83BC8" w:rsidP="00F83BC8">
      <w:pPr>
        <w:pStyle w:val="Quote"/>
      </w:pPr>
      <w:r w:rsidRPr="00F83BC8">
        <w:t xml:space="preserve">‘The </w:t>
      </w:r>
      <w:proofErr w:type="spellStart"/>
      <w:r w:rsidRPr="00F83BC8">
        <w:t>Belco</w:t>
      </w:r>
      <w:proofErr w:type="spellEnd"/>
      <w:r w:rsidRPr="00F83BC8">
        <w:t xml:space="preserve"> party is strongly against bringing back the </w:t>
      </w:r>
      <w:proofErr w:type="gramStart"/>
      <w:r w:rsidRPr="00F83BC8">
        <w:t>6 metre</w:t>
      </w:r>
      <w:proofErr w:type="gramEnd"/>
      <w:r w:rsidRPr="00F83BC8">
        <w:t xml:space="preserve"> rule...  Tasmania doesn't have it and as a small party we can't man all the booths. </w:t>
      </w:r>
      <w:r w:rsidR="00FB347F">
        <w:t xml:space="preserve"> </w:t>
      </w:r>
      <w:r w:rsidRPr="00F83BC8">
        <w:t>I'm sure most independents would agree.’</w:t>
      </w:r>
      <w:r w:rsidR="00FB347F">
        <w:rPr>
          <w:rStyle w:val="FootnoteReference"/>
        </w:rPr>
        <w:footnoteReference w:id="146"/>
      </w:r>
      <w:r w:rsidRPr="00F83BC8">
        <w:t xml:space="preserve"> </w:t>
      </w:r>
    </w:p>
    <w:p w14:paraId="50061496" w14:textId="21DFA7B5" w:rsidR="00F83BC8" w:rsidRPr="00F83BC8" w:rsidRDefault="00FB347F" w:rsidP="00F83BC8">
      <w:pPr>
        <w:pStyle w:val="BodyText"/>
      </w:pPr>
      <w:r>
        <w:t xml:space="preserve">Several submitters suggested changing </w:t>
      </w:r>
      <w:r w:rsidR="00F83BC8" w:rsidRPr="00F83BC8">
        <w:t xml:space="preserve">to </w:t>
      </w:r>
      <w:r>
        <w:t xml:space="preserve">a </w:t>
      </w:r>
      <w:r w:rsidR="00D73ABA" w:rsidRPr="00F83BC8">
        <w:t>6-metre</w:t>
      </w:r>
      <w:r w:rsidR="00F83BC8" w:rsidRPr="00F83BC8">
        <w:t xml:space="preserve"> </w:t>
      </w:r>
      <w:r>
        <w:t xml:space="preserve">exclusion zone, </w:t>
      </w:r>
      <w:r w:rsidR="00F83BC8" w:rsidRPr="00F83BC8">
        <w:t>for consistency with Commonwealth elections</w:t>
      </w:r>
      <w:r>
        <w:t>, to reduce voter confusion, or to improve enforcement.</w:t>
      </w:r>
      <w:r>
        <w:rPr>
          <w:rStyle w:val="FootnoteReference"/>
        </w:rPr>
        <w:footnoteReference w:id="147"/>
      </w:r>
      <w:r>
        <w:t xml:space="preserve">  Liberal Democrats </w:t>
      </w:r>
      <w:r w:rsidR="00D73ABA">
        <w:t>expressed the preference</w:t>
      </w:r>
      <w:r>
        <w:t xml:space="preserve"> that there be no restriction on canvassing at polling places</w:t>
      </w:r>
      <w:r w:rsidR="00D73ABA">
        <w:t>, and if an exclusion zone is imposed it should not be more restrictive than the rules that apply at Commonwealth elections.</w:t>
      </w:r>
      <w:r w:rsidR="00D73ABA">
        <w:rPr>
          <w:rStyle w:val="FootnoteReference"/>
        </w:rPr>
        <w:footnoteReference w:id="148"/>
      </w:r>
    </w:p>
    <w:p w14:paraId="29D943E8" w14:textId="4113314F" w:rsidR="00F83BC8" w:rsidRPr="00F83BC8" w:rsidRDefault="00D73ABA" w:rsidP="00F83BC8">
      <w:pPr>
        <w:pStyle w:val="BodyText"/>
      </w:pPr>
      <w:r>
        <w:t>Other witnesses, including Canberra Liberals and Canberra Progressives, engaged with the concept of p</w:t>
      </w:r>
      <w:r w:rsidR="00F83BC8" w:rsidRPr="00F83BC8">
        <w:t>rohibit</w:t>
      </w:r>
      <w:r>
        <w:t>ing</w:t>
      </w:r>
      <w:r w:rsidR="00F83BC8" w:rsidRPr="00F83BC8">
        <w:t xml:space="preserve"> all canvassing on election day</w:t>
      </w:r>
      <w:r w:rsidR="00F83BC8">
        <w:t>:</w:t>
      </w:r>
    </w:p>
    <w:p w14:paraId="5D2031C8" w14:textId="34301E29" w:rsidR="002D4BC1" w:rsidRDefault="002D4BC1" w:rsidP="002D4BC1">
      <w:pPr>
        <w:pStyle w:val="Quote"/>
      </w:pPr>
      <w:r>
        <w:t>‘</w:t>
      </w:r>
      <w:r w:rsidRPr="002D4BC1">
        <w:t xml:space="preserve">The current arrangements strike the worst of both worlds. </w:t>
      </w:r>
      <w:r w:rsidR="00D73ABA">
        <w:t xml:space="preserve"> </w:t>
      </w:r>
      <w:r w:rsidRPr="002D4BC1">
        <w:t xml:space="preserve">Having a situation where candidates and volunteers are manning prepoll and polling booths from 100 meters away. </w:t>
      </w:r>
      <w:r w:rsidR="00D73ABA">
        <w:t xml:space="preserve"> </w:t>
      </w:r>
      <w:r w:rsidRPr="002D4BC1">
        <w:t>The Committee should consider either reducing exclusion zones to the Federal limit of 6 meters, or to disincentivise them completely akin to the Tasmanian arrangements.’</w:t>
      </w:r>
      <w:r w:rsidR="00D73ABA">
        <w:rPr>
          <w:rStyle w:val="FootnoteReference"/>
        </w:rPr>
        <w:footnoteReference w:id="149"/>
      </w:r>
      <w:r w:rsidRPr="002D4BC1">
        <w:t xml:space="preserve"> </w:t>
      </w:r>
    </w:p>
    <w:p w14:paraId="66BFCE58" w14:textId="2CC80898" w:rsidR="00F83BC8" w:rsidRDefault="00F83BC8" w:rsidP="00F83BC8">
      <w:pPr>
        <w:pStyle w:val="Quote"/>
      </w:pPr>
      <w:r>
        <w:t>‘</w:t>
      </w:r>
      <w:r w:rsidRPr="00DA01A8">
        <w:t xml:space="preserve">The 100-metre restriction is </w:t>
      </w:r>
      <w:proofErr w:type="gramStart"/>
      <w:r w:rsidRPr="00DA01A8">
        <w:t>fine, but</w:t>
      </w:r>
      <w:proofErr w:type="gramEnd"/>
      <w:r w:rsidRPr="00DA01A8">
        <w:t xml:space="preserve"> having been through both a federal campaign and an ACT one, people have made up their minds by the time they get there.</w:t>
      </w:r>
      <w:r w:rsidR="00D73ABA">
        <w:t xml:space="preserve"> </w:t>
      </w:r>
      <w:r w:rsidRPr="00DA01A8">
        <w:t xml:space="preserve"> I think it is more of a nuisance. </w:t>
      </w:r>
      <w:r w:rsidR="00D73ABA">
        <w:t xml:space="preserve"> </w:t>
      </w:r>
      <w:r w:rsidRPr="00DA01A8">
        <w:t xml:space="preserve">For small parties, it is difficult to get people to go to every booth, anyway. </w:t>
      </w:r>
      <w:r w:rsidR="00D73ABA">
        <w:t xml:space="preserve"> </w:t>
      </w:r>
      <w:r w:rsidRPr="00DA01A8">
        <w:t>We would be totally supportive of having no people at polling places on the day, but we could live with the current situation.</w:t>
      </w:r>
      <w:r>
        <w:t>’</w:t>
      </w:r>
      <w:r w:rsidR="00D73ABA">
        <w:rPr>
          <w:rStyle w:val="FootnoteReference"/>
        </w:rPr>
        <w:footnoteReference w:id="150"/>
      </w:r>
      <w:r>
        <w:t xml:space="preserve"> </w:t>
      </w:r>
    </w:p>
    <w:p w14:paraId="68B17F77" w14:textId="005DBB2B" w:rsidR="00530A37" w:rsidRDefault="008D660A" w:rsidP="003D2BD5">
      <w:pPr>
        <w:pStyle w:val="BodyText"/>
      </w:pPr>
      <w:r>
        <w:t>Andrew Donnellan</w:t>
      </w:r>
      <w:r w:rsidR="00530A37">
        <w:t xml:space="preserve"> </w:t>
      </w:r>
      <w:r w:rsidR="00530A37" w:rsidRPr="00530A37">
        <w:t>recommend</w:t>
      </w:r>
      <w:r w:rsidR="00D73ABA">
        <w:t>ed</w:t>
      </w:r>
      <w:r w:rsidR="00530A37" w:rsidRPr="00530A37">
        <w:t xml:space="preserve"> that public information factsheets on the </w:t>
      </w:r>
      <w:r w:rsidR="00D73ABA" w:rsidRPr="00530A37">
        <w:t>100-metre</w:t>
      </w:r>
      <w:r w:rsidR="00530A37" w:rsidRPr="00530A37">
        <w:t xml:space="preserve"> rule be revised to explain how the rule applies to private property within the exclusion zone, including </w:t>
      </w:r>
      <w:r w:rsidR="00530A37" w:rsidRPr="00530A37">
        <w:lastRenderedPageBreak/>
        <w:t>elaborating the meaning of ‘exhibit a notice … able to be clearly seen by electors approaching, or at, the polling place’.</w:t>
      </w:r>
      <w:r w:rsidR="00D73ABA">
        <w:rPr>
          <w:rStyle w:val="FootnoteReference"/>
        </w:rPr>
        <w:footnoteReference w:id="151"/>
      </w:r>
    </w:p>
    <w:p w14:paraId="2EA84CA4" w14:textId="6DEE304D" w:rsidR="00F83BC8" w:rsidRDefault="00F83BC8" w:rsidP="00F83BC8">
      <w:pPr>
        <w:pStyle w:val="Heading4"/>
      </w:pPr>
      <w:r>
        <w:t xml:space="preserve">Tasmanian </w:t>
      </w:r>
      <w:r w:rsidR="0087184B">
        <w:t>C</w:t>
      </w:r>
      <w:r>
        <w:t xml:space="preserve">ampaign </w:t>
      </w:r>
      <w:r w:rsidR="0087184B">
        <w:t>R</w:t>
      </w:r>
      <w:r>
        <w:t>ules</w:t>
      </w:r>
    </w:p>
    <w:p w14:paraId="39973259" w14:textId="7973E8D3" w:rsidR="002A28EC" w:rsidRDefault="001B330A" w:rsidP="003D2BD5">
      <w:pPr>
        <w:pStyle w:val="BodyText"/>
      </w:pPr>
      <w:r>
        <w:t xml:space="preserve">The </w:t>
      </w:r>
      <w:r w:rsidR="002A28EC">
        <w:t xml:space="preserve">Committee </w:t>
      </w:r>
      <w:r>
        <w:t>examined</w:t>
      </w:r>
      <w:r w:rsidR="002A28EC">
        <w:t xml:space="preserve"> </w:t>
      </w:r>
      <w:r>
        <w:t>the campaigning rules in Tasmania, the other Australian jurisdiction operating under the Hare-Clark system.  During the pre-poll period in Tasmania elections, it is prohibited to canvass or solicit votes within 100 metres of a polling place.</w:t>
      </w:r>
      <w:r>
        <w:rPr>
          <w:rStyle w:val="FootnoteReference"/>
        </w:rPr>
        <w:footnoteReference w:id="152"/>
      </w:r>
      <w:r>
        <w:t xml:space="preserve">  On election day, additional restrictions apply, preventing anyone from distributing advertisements or how to vote cards, or publishing newspaper advertisements.</w:t>
      </w:r>
      <w:r>
        <w:rPr>
          <w:rStyle w:val="FootnoteReference"/>
        </w:rPr>
        <w:footnoteReference w:id="153"/>
      </w:r>
      <w:r>
        <w:t xml:space="preserve"> </w:t>
      </w:r>
    </w:p>
    <w:p w14:paraId="33023658" w14:textId="26D6CE87" w:rsidR="00F83BC8" w:rsidRDefault="00F83BC8" w:rsidP="0035577D">
      <w:pPr>
        <w:pStyle w:val="Heading4"/>
      </w:pPr>
      <w:r>
        <w:t xml:space="preserve">Committee </w:t>
      </w:r>
      <w:r w:rsidR="0087184B">
        <w:t>C</w:t>
      </w:r>
      <w:r>
        <w:t>omment</w:t>
      </w:r>
    </w:p>
    <w:p w14:paraId="1CA0A701" w14:textId="11E17BCE" w:rsidR="000A5C1C" w:rsidRDefault="000A5C1C" w:rsidP="0035577D">
      <w:pPr>
        <w:pStyle w:val="BodyText"/>
      </w:pPr>
      <w:r>
        <w:t xml:space="preserve">The Committee </w:t>
      </w:r>
      <w:r w:rsidR="008D660A">
        <w:t>considers</w:t>
      </w:r>
      <w:r>
        <w:t xml:space="preserve"> that a 6-metre exclusion zone would be unworkable under the Hare-Clark electoral system (where individual candidates operate their own campaigns </w:t>
      </w:r>
      <w:r w:rsidR="008D660A">
        <w:t>and there is less party coordination</w:t>
      </w:r>
      <w:r>
        <w:t>)</w:t>
      </w:r>
      <w:r w:rsidR="0087184B">
        <w:t>.  It</w:t>
      </w:r>
      <w:r>
        <w:t xml:space="preserve"> would </w:t>
      </w:r>
      <w:r w:rsidR="0087184B">
        <w:t xml:space="preserve">likely </w:t>
      </w:r>
      <w:r>
        <w:t>result in crowds of people congregating at the doors of polling places</w:t>
      </w:r>
      <w:r w:rsidR="00776829">
        <w:t>, which would be ineffective from a campaigning perspective, and frustrating for the community</w:t>
      </w:r>
      <w:r>
        <w:t xml:space="preserve">. </w:t>
      </w:r>
    </w:p>
    <w:p w14:paraId="51D39C3D" w14:textId="3AC9D090" w:rsidR="000A5C1C" w:rsidRDefault="000A5C1C" w:rsidP="0035577D">
      <w:pPr>
        <w:pStyle w:val="BodyText"/>
      </w:pPr>
      <w:r>
        <w:t xml:space="preserve">The Committee </w:t>
      </w:r>
      <w:r w:rsidR="00D515B4">
        <w:t>notes</w:t>
      </w:r>
      <w:r>
        <w:t xml:space="preserve"> the evidence put forward by </w:t>
      </w:r>
      <w:r w:rsidR="008D660A">
        <w:t>small party and Independent candidates</w:t>
      </w:r>
      <w:r>
        <w:t xml:space="preserve"> about the challenges of recruiting volunteers to cover all the polling places in an electorate.  </w:t>
      </w:r>
    </w:p>
    <w:p w14:paraId="506098FD" w14:textId="6B079E58" w:rsidR="0035577D" w:rsidRPr="0035577D" w:rsidRDefault="008D660A" w:rsidP="0035577D">
      <w:pPr>
        <w:pStyle w:val="BodyText"/>
      </w:pPr>
      <w:r>
        <w:t>The</w:t>
      </w:r>
      <w:r w:rsidR="0087184B">
        <w:t xml:space="preserve"> Committee prefers</w:t>
      </w:r>
      <w:r w:rsidR="000A5C1C">
        <w:t xml:space="preserve"> </w:t>
      </w:r>
      <w:r>
        <w:t>the Tasmanian</w:t>
      </w:r>
      <w:r w:rsidR="00E64C43">
        <w:t xml:space="preserve"> legislative framework, </w:t>
      </w:r>
      <w:r>
        <w:t>with</w:t>
      </w:r>
      <w:r w:rsidR="000A5C1C">
        <w:t xml:space="preserve"> 100-metre exclusion zone during the pre-poll period, and no canvassing on election day. </w:t>
      </w:r>
    </w:p>
    <w:tbl>
      <w:tblPr>
        <w:tblStyle w:val="TableGrid"/>
        <w:tblW w:w="9209" w:type="dxa"/>
        <w:tblInd w:w="-142" w:type="dxa"/>
        <w:tblLook w:val="04A0" w:firstRow="1" w:lastRow="0" w:firstColumn="1" w:lastColumn="0" w:noHBand="0" w:noVBand="1"/>
      </w:tblPr>
      <w:tblGrid>
        <w:gridCol w:w="9209"/>
      </w:tblGrid>
      <w:tr w:rsidR="00E7130C" w14:paraId="6568A8E6"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0BA5530" w14:textId="07A1BF3D" w:rsidR="00E7130C" w:rsidRDefault="00E7130C" w:rsidP="00E7130C">
            <w:pPr>
              <w:pStyle w:val="RecommendationHeading"/>
            </w:pPr>
            <w:bookmarkStart w:id="105" w:name="_Toc78382505"/>
            <w:r>
              <w:t xml:space="preserve">Recommendation </w:t>
            </w:r>
            <w:r w:rsidR="00D02D0E">
              <w:rPr>
                <w:noProof/>
              </w:rPr>
              <w:t>2</w:t>
            </w:r>
            <w:r w:rsidR="00D12E90">
              <w:rPr>
                <w:noProof/>
              </w:rPr>
              <w:t>1</w:t>
            </w:r>
            <w:bookmarkEnd w:id="105"/>
          </w:p>
          <w:p w14:paraId="5DA6DC92" w14:textId="06BD4437" w:rsidR="00E7130C" w:rsidRPr="00962807" w:rsidRDefault="00E7130C" w:rsidP="00E7130C">
            <w:pPr>
              <w:pStyle w:val="RecommendationText"/>
            </w:pPr>
            <w:bookmarkStart w:id="106" w:name="_Toc78382506"/>
            <w:r w:rsidRPr="00E7130C">
              <w:t>The Committee recommends that the current 100 metre exclusion zone for campaigning outside polling places be retained</w:t>
            </w:r>
            <w:r>
              <w:t>.</w:t>
            </w:r>
            <w:bookmarkEnd w:id="106"/>
          </w:p>
        </w:tc>
      </w:tr>
      <w:tr w:rsidR="002A28EC" w14:paraId="71392D21"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A2CBA40" w14:textId="12768E8A" w:rsidR="002A28EC" w:rsidRDefault="002A28EC" w:rsidP="00246948">
            <w:pPr>
              <w:pStyle w:val="RecommendationHeading"/>
            </w:pPr>
            <w:bookmarkStart w:id="107" w:name="_Toc78382507"/>
            <w:r>
              <w:t xml:space="preserve">Recommendation </w:t>
            </w:r>
            <w:r w:rsidR="00D02D0E">
              <w:rPr>
                <w:noProof/>
              </w:rPr>
              <w:t>2</w:t>
            </w:r>
            <w:r w:rsidR="00D12E90">
              <w:rPr>
                <w:noProof/>
              </w:rPr>
              <w:t>2</w:t>
            </w:r>
            <w:bookmarkEnd w:id="107"/>
          </w:p>
          <w:p w14:paraId="0452A2B8" w14:textId="310BBFE3" w:rsidR="002A28EC" w:rsidRPr="00962807" w:rsidRDefault="002A28EC" w:rsidP="002A28EC">
            <w:pPr>
              <w:pStyle w:val="RecommendationText"/>
            </w:pPr>
            <w:bookmarkStart w:id="108" w:name="_Toc78382508"/>
            <w:r>
              <w:t xml:space="preserve">The Committee recommends that </w:t>
            </w:r>
            <w:r w:rsidR="0087184B">
              <w:t xml:space="preserve">the Electoral Act be amended to </w:t>
            </w:r>
            <w:r w:rsidR="00DC6A08" w:rsidRPr="00366A9C">
              <w:t>prohibit campaigning</w:t>
            </w:r>
            <w:r w:rsidR="00DC6A08">
              <w:t xml:space="preserve"> </w:t>
            </w:r>
            <w:r w:rsidR="0087184B">
              <w:t>on election day, in line with the legislative framework in Tasmania.</w:t>
            </w:r>
            <w:bookmarkEnd w:id="108"/>
            <w:r w:rsidR="0087184B">
              <w:t xml:space="preserve"> </w:t>
            </w:r>
          </w:p>
        </w:tc>
      </w:tr>
    </w:tbl>
    <w:p w14:paraId="3D3808A1" w14:textId="77777777" w:rsidR="0087184B" w:rsidRDefault="0087184B" w:rsidP="0087184B">
      <w:pPr>
        <w:pStyle w:val="Heading4"/>
      </w:pPr>
      <w:r>
        <w:lastRenderedPageBreak/>
        <w:t>Enforcement</w:t>
      </w:r>
    </w:p>
    <w:p w14:paraId="29AFCBC7" w14:textId="77777777" w:rsidR="0087184B" w:rsidRDefault="0087184B" w:rsidP="0087184B">
      <w:pPr>
        <w:pStyle w:val="BodyText"/>
      </w:pPr>
      <w:r>
        <w:t xml:space="preserve">ACT </w:t>
      </w:r>
      <w:proofErr w:type="spellStart"/>
      <w:r>
        <w:t>Labor</w:t>
      </w:r>
      <w:proofErr w:type="spellEnd"/>
      <w:r>
        <w:t xml:space="preserve"> expressed the view that there is inadequate enforcement of the exclusion zone outside polling places.  ACT </w:t>
      </w:r>
      <w:proofErr w:type="spellStart"/>
      <w:r>
        <w:t>Labor</w:t>
      </w:r>
      <w:proofErr w:type="spellEnd"/>
      <w:r>
        <w:t xml:space="preserve"> told the Committee that they made ‘many reports’ of unlawful campaign activity, such as:</w:t>
      </w:r>
    </w:p>
    <w:p w14:paraId="5829491D" w14:textId="77777777" w:rsidR="0087184B" w:rsidRDefault="0087184B" w:rsidP="0087184B">
      <w:pPr>
        <w:pStyle w:val="Quote"/>
      </w:pPr>
      <w:r>
        <w:t>‘mobile signage being continually driven within the 100m boundary around polling places; corflutes being placed unattended within the 100m boundary and left there for significant periods of time; and volunteers deliberately ignoring instructions from polling place officials to cease handing out material within the 100m boundary.’</w:t>
      </w:r>
      <w:r>
        <w:rPr>
          <w:rStyle w:val="FootnoteReference"/>
        </w:rPr>
        <w:footnoteReference w:id="154"/>
      </w:r>
    </w:p>
    <w:p w14:paraId="42E6C3BD" w14:textId="019A2728" w:rsidR="0087184B" w:rsidRDefault="0087184B" w:rsidP="0087184B">
      <w:pPr>
        <w:pStyle w:val="BodyText"/>
      </w:pPr>
      <w:r>
        <w:t xml:space="preserve">ACT </w:t>
      </w:r>
      <w:proofErr w:type="spellStart"/>
      <w:r>
        <w:t>Labor</w:t>
      </w:r>
      <w:proofErr w:type="spellEnd"/>
      <w:r>
        <w:t xml:space="preserve"> claimed that polling officials were unable to remove corflutes within the 100-metre boundary, and drivers of mobile signage ignored warnings to stop this activity.</w:t>
      </w:r>
      <w:r>
        <w:rPr>
          <w:rStyle w:val="FootnoteReference"/>
        </w:rPr>
        <w:footnoteReference w:id="155"/>
      </w:r>
      <w:r>
        <w:t xml:space="preserve"> </w:t>
      </w:r>
    </w:p>
    <w:p w14:paraId="11DCD824" w14:textId="02C90F7E" w:rsidR="00444CF6" w:rsidRDefault="00444CF6" w:rsidP="00444CF6">
      <w:pPr>
        <w:pStyle w:val="Heading5"/>
      </w:pPr>
      <w:r>
        <w:t>Committee Comment</w:t>
      </w:r>
    </w:p>
    <w:p w14:paraId="54B9DE30" w14:textId="1D643802" w:rsidR="00444CF6" w:rsidRDefault="00444CF6" w:rsidP="00444CF6">
      <w:pPr>
        <w:pStyle w:val="BodyText"/>
      </w:pPr>
      <w:r>
        <w:t xml:space="preserve">The Committee notes that the Electoral Commission reported </w:t>
      </w:r>
      <w:r w:rsidR="00CF5B5C">
        <w:t xml:space="preserve">receiving </w:t>
      </w:r>
      <w:r w:rsidRPr="00444CF6">
        <w:t xml:space="preserve">16 allegations of breaches of the </w:t>
      </w:r>
      <w:r w:rsidRPr="00366A9C">
        <w:t xml:space="preserve">100-metre exclusion </w:t>
      </w:r>
      <w:proofErr w:type="gramStart"/>
      <w:r w:rsidRPr="00366A9C">
        <w:t>zone, and</w:t>
      </w:r>
      <w:proofErr w:type="gramEnd"/>
      <w:r w:rsidRPr="00366A9C">
        <w:t xml:space="preserve"> expressed the opinion that they were generally ‘trivial’ in nature</w:t>
      </w:r>
      <w:r w:rsidR="00D515B4" w:rsidRPr="00366A9C">
        <w:t xml:space="preserve"> (see paragraph</w:t>
      </w:r>
      <w:r w:rsidR="007632FA" w:rsidRPr="00366A9C">
        <w:t>s</w:t>
      </w:r>
      <w:r w:rsidR="00D515B4" w:rsidRPr="00366A9C">
        <w:t xml:space="preserve"> </w:t>
      </w:r>
      <w:r w:rsidR="007632FA" w:rsidRPr="00366A9C">
        <w:t>7.4 – 7.5</w:t>
      </w:r>
      <w:r w:rsidR="00D515B4" w:rsidRPr="00366A9C">
        <w:t>)</w:t>
      </w:r>
      <w:r w:rsidR="00CF5B5C" w:rsidRPr="00366A9C">
        <w:t>.  It is</w:t>
      </w:r>
      <w:r w:rsidR="00CF5B5C">
        <w:t xml:space="preserve"> possible that the Commission and ACT </w:t>
      </w:r>
      <w:proofErr w:type="spellStart"/>
      <w:r w:rsidR="00CF5B5C">
        <w:t>Labor</w:t>
      </w:r>
      <w:proofErr w:type="spellEnd"/>
      <w:r w:rsidR="00CF5B5C">
        <w:t xml:space="preserve"> are referring to different categories of ‘report’ or ‘allegation’.  </w:t>
      </w:r>
    </w:p>
    <w:p w14:paraId="60116040" w14:textId="07DBB34F" w:rsidR="00444CF6" w:rsidRDefault="00444CF6" w:rsidP="00444CF6">
      <w:pPr>
        <w:pStyle w:val="BodyText"/>
      </w:pPr>
      <w:r>
        <w:t xml:space="preserve">Different opinions about the need for, and adequacy of, enforcement may be the result of natural </w:t>
      </w:r>
      <w:r w:rsidR="00CF5B5C">
        <w:t>variation</w:t>
      </w:r>
      <w:r>
        <w:t xml:space="preserve"> in perspective between an oversight body and regulated entities</w:t>
      </w:r>
      <w:r w:rsidR="00CF5B5C">
        <w:t xml:space="preserve">.  </w:t>
      </w:r>
    </w:p>
    <w:p w14:paraId="7523EB85" w14:textId="31B5C067" w:rsidR="00444CF6" w:rsidRDefault="002F34CE" w:rsidP="00444CF6">
      <w:pPr>
        <w:pStyle w:val="BodyText"/>
      </w:pPr>
      <w:r>
        <w:t>The Committee has</w:t>
      </w:r>
      <w:r w:rsidR="00444CF6">
        <w:t xml:space="preserve"> recommend</w:t>
      </w:r>
      <w:r>
        <w:t>ed</w:t>
      </w:r>
      <w:r w:rsidR="00444CF6">
        <w:t xml:space="preserve"> additional campaign restrictions on election day, </w:t>
      </w:r>
      <w:r>
        <w:t xml:space="preserve">and </w:t>
      </w:r>
      <w:r w:rsidR="00444CF6">
        <w:t xml:space="preserve">it would be appropriate to simultaneously review enforcement provisions.  </w:t>
      </w:r>
    </w:p>
    <w:tbl>
      <w:tblPr>
        <w:tblStyle w:val="TableGrid"/>
        <w:tblW w:w="9209" w:type="dxa"/>
        <w:tblInd w:w="-142" w:type="dxa"/>
        <w:tblLook w:val="04A0" w:firstRow="1" w:lastRow="0" w:firstColumn="1" w:lastColumn="0" w:noHBand="0" w:noVBand="1"/>
      </w:tblPr>
      <w:tblGrid>
        <w:gridCol w:w="9209"/>
      </w:tblGrid>
      <w:tr w:rsidR="0087184B" w14:paraId="74227407" w14:textId="77777777" w:rsidTr="0087184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65EA735" w14:textId="0187F348" w:rsidR="0087184B" w:rsidRDefault="0087184B" w:rsidP="0087184B">
            <w:pPr>
              <w:pStyle w:val="RecommendationHeading"/>
            </w:pPr>
            <w:bookmarkStart w:id="109" w:name="_Toc78382509"/>
            <w:r>
              <w:t xml:space="preserve">Recommendation </w:t>
            </w:r>
            <w:r w:rsidR="00E41791">
              <w:rPr>
                <w:noProof/>
              </w:rPr>
              <w:t>2</w:t>
            </w:r>
            <w:r w:rsidR="00D12E90">
              <w:rPr>
                <w:noProof/>
              </w:rPr>
              <w:t>3</w:t>
            </w:r>
            <w:bookmarkEnd w:id="109"/>
          </w:p>
          <w:p w14:paraId="284181EF" w14:textId="08AE4E98" w:rsidR="0087184B" w:rsidRPr="00962807" w:rsidRDefault="0087184B" w:rsidP="0087184B">
            <w:pPr>
              <w:pStyle w:val="RecommendationText"/>
            </w:pPr>
            <w:bookmarkStart w:id="110" w:name="_Toc78382510"/>
            <w:r>
              <w:t xml:space="preserve">The Committee recommends that </w:t>
            </w:r>
            <w:r w:rsidR="00444CF6">
              <w:t>ACT Government review the</w:t>
            </w:r>
            <w:r>
              <w:t xml:space="preserve"> </w:t>
            </w:r>
            <w:r w:rsidR="00444CF6" w:rsidRPr="00366A9C">
              <w:t xml:space="preserve">legislative </w:t>
            </w:r>
            <w:r w:rsidRPr="00366A9C">
              <w:t xml:space="preserve">powers </w:t>
            </w:r>
            <w:r w:rsidR="00DC6A08" w:rsidRPr="00366A9C">
              <w:t xml:space="preserve">and resources available </w:t>
            </w:r>
            <w:r w:rsidRPr="00366A9C">
              <w:t>to enforce rules on campaigning outside polling places.</w:t>
            </w:r>
            <w:bookmarkEnd w:id="110"/>
          </w:p>
        </w:tc>
      </w:tr>
    </w:tbl>
    <w:p w14:paraId="3FF2CB2A" w14:textId="295157A9" w:rsidR="003D2BD5" w:rsidRDefault="003D2BD5" w:rsidP="003D2BD5">
      <w:pPr>
        <w:pStyle w:val="Heading3"/>
      </w:pPr>
      <w:bookmarkStart w:id="111" w:name="_Toc78535748"/>
      <w:r>
        <w:lastRenderedPageBreak/>
        <w:t xml:space="preserve">Roadside </w:t>
      </w:r>
      <w:r w:rsidR="008C18B8">
        <w:t>S</w:t>
      </w:r>
      <w:r>
        <w:t>ign</w:t>
      </w:r>
      <w:r w:rsidR="00114E34">
        <w:t>s</w:t>
      </w:r>
      <w:bookmarkEnd w:id="111"/>
    </w:p>
    <w:p w14:paraId="60F0EF24" w14:textId="4C2C6936" w:rsidR="00776829" w:rsidRDefault="00776829" w:rsidP="00797309">
      <w:pPr>
        <w:pStyle w:val="Heading4"/>
      </w:pPr>
      <w:r>
        <w:t xml:space="preserve">Legislative </w:t>
      </w:r>
      <w:r w:rsidR="00797309">
        <w:t>Framework</w:t>
      </w:r>
    </w:p>
    <w:p w14:paraId="0753E5ED" w14:textId="10879A19" w:rsidR="002F34CE" w:rsidRDefault="00842F2E" w:rsidP="00114E34">
      <w:pPr>
        <w:pStyle w:val="BodyText"/>
      </w:pPr>
      <w:r>
        <w:t>Electoral advertising signs are regulated by t</w:t>
      </w:r>
      <w:r w:rsidR="002F34CE">
        <w:t xml:space="preserve">he </w:t>
      </w:r>
      <w:r w:rsidR="002F34CE" w:rsidRPr="002F34CE">
        <w:t>Public Unleased Land (Movable Signs) Code of Practice 2019</w:t>
      </w:r>
      <w:r>
        <w:t>.</w:t>
      </w:r>
      <w:r>
        <w:rPr>
          <w:rStyle w:val="FootnoteReference"/>
        </w:rPr>
        <w:footnoteReference w:id="156"/>
      </w:r>
      <w:r>
        <w:t xml:space="preserve">  Moveable signs must be within dimensions of 900mm x 1200mm, </w:t>
      </w:r>
      <w:r w:rsidR="00AB1818">
        <w:t xml:space="preserve">and </w:t>
      </w:r>
      <w:r>
        <w:t xml:space="preserve">not contain words or images likely to cause offence.  They may be placed on unleased Territory Land, but not on roundabouts, median strips, within 20 metres of traffic lights, on residential nature strips.  Moveable signs must not be attached to traffic lights, trees, overpasses, government property or other infrastructure.  Electoral advertising signs may be displayed for a period of up to six weeks before the election </w:t>
      </w:r>
      <w:proofErr w:type="gramStart"/>
      <w:r>
        <w:t>date, and</w:t>
      </w:r>
      <w:proofErr w:type="gramEnd"/>
      <w:r>
        <w:t xml:space="preserve"> must be removed within 48 hours after the close of polling booths.</w:t>
      </w:r>
      <w:r>
        <w:rPr>
          <w:rStyle w:val="FootnoteReference"/>
        </w:rPr>
        <w:footnoteReference w:id="157"/>
      </w:r>
    </w:p>
    <w:p w14:paraId="3344F56F" w14:textId="2A62AA07" w:rsidR="00797309" w:rsidRDefault="00797309" w:rsidP="00797309">
      <w:pPr>
        <w:pStyle w:val="Heading4"/>
      </w:pPr>
      <w:r>
        <w:t>Conduct during the 2020 Election</w:t>
      </w:r>
    </w:p>
    <w:p w14:paraId="3C40D8D6" w14:textId="194D09EB" w:rsidR="00114E34" w:rsidRPr="00114E34" w:rsidRDefault="00AB1818" w:rsidP="00780211">
      <w:pPr>
        <w:pStyle w:val="BodyText"/>
      </w:pPr>
      <w:r>
        <w:t xml:space="preserve">The Electoral Commission reported that, during the 2020 election, there were 17 complaints about the placement of campaign advertisements on public unleased land </w:t>
      </w:r>
      <w:r w:rsidR="00780211" w:rsidRPr="00780211">
        <w:t>(compared to</w:t>
      </w:r>
      <w:r w:rsidR="00780211">
        <w:t xml:space="preserve"> 13 complaints</w:t>
      </w:r>
      <w:r w:rsidR="00780211" w:rsidRPr="00780211">
        <w:t xml:space="preserve"> received </w:t>
      </w:r>
      <w:r w:rsidR="00780211">
        <w:t>during</w:t>
      </w:r>
      <w:r w:rsidR="00780211" w:rsidRPr="00780211">
        <w:t xml:space="preserve"> the 2016 election).  </w:t>
      </w:r>
      <w:proofErr w:type="gramStart"/>
      <w:r w:rsidR="00114E34" w:rsidRPr="00114E34">
        <w:t>All of</w:t>
      </w:r>
      <w:proofErr w:type="gramEnd"/>
      <w:r w:rsidR="00114E34" w:rsidRPr="00114E34">
        <w:t xml:space="preserve"> these complaints were referred to </w:t>
      </w:r>
      <w:r w:rsidR="00780211">
        <w:t xml:space="preserve">City Rangers in </w:t>
      </w:r>
      <w:r w:rsidR="00114E34" w:rsidRPr="00114E34">
        <w:t>Transport Canberra and City Services</w:t>
      </w:r>
      <w:r w:rsidR="00021ACF">
        <w:t xml:space="preserve"> (TCCS)</w:t>
      </w:r>
      <w:r w:rsidR="00114E34" w:rsidRPr="00114E34">
        <w:t>.</w:t>
      </w:r>
      <w:r w:rsidR="00780211">
        <w:rPr>
          <w:rStyle w:val="FootnoteReference"/>
        </w:rPr>
        <w:footnoteReference w:id="158"/>
      </w:r>
      <w:r w:rsidR="00114E34" w:rsidRPr="00114E34">
        <w:t xml:space="preserve"> </w:t>
      </w:r>
    </w:p>
    <w:p w14:paraId="13BEA9B3" w14:textId="0E0A3E67" w:rsidR="0010093B" w:rsidRPr="0010093B" w:rsidRDefault="00797309" w:rsidP="0010093B">
      <w:pPr>
        <w:pStyle w:val="Heading4"/>
        <w:rPr>
          <w:i/>
          <w:sz w:val="36"/>
        </w:rPr>
      </w:pPr>
      <w:r>
        <w:t>Views expressed in Submissions and Hearings</w:t>
      </w:r>
    </w:p>
    <w:p w14:paraId="54792B1E" w14:textId="00FC7890" w:rsidR="0064607C" w:rsidRDefault="0064607C" w:rsidP="0064607C">
      <w:pPr>
        <w:pStyle w:val="BodyText"/>
      </w:pPr>
      <w:r>
        <w:t xml:space="preserve">Corflutes or roadside signs were a common theme during the inquiry.  </w:t>
      </w:r>
      <w:r w:rsidR="001D1062">
        <w:t>Three</w:t>
      </w:r>
      <w:r>
        <w:t xml:space="preserve"> viewpoints emerged from submissions and hearings:</w:t>
      </w:r>
    </w:p>
    <w:p w14:paraId="0EEB825A" w14:textId="444B9997" w:rsidR="002E1283" w:rsidRDefault="00B505D7" w:rsidP="0064607C">
      <w:pPr>
        <w:pStyle w:val="ListBullet"/>
      </w:pPr>
      <w:r>
        <w:t>R</w:t>
      </w:r>
      <w:r w:rsidR="004F371A">
        <w:t xml:space="preserve">etain current regulation, </w:t>
      </w:r>
    </w:p>
    <w:p w14:paraId="74E50FB8" w14:textId="7EF79DDB" w:rsidR="004F371A" w:rsidRDefault="00B505D7" w:rsidP="0064607C">
      <w:pPr>
        <w:pStyle w:val="ListBullet"/>
      </w:pPr>
      <w:r>
        <w:t>I</w:t>
      </w:r>
      <w:r w:rsidR="004F371A">
        <w:t>ntroduce tighter restrictions, or</w:t>
      </w:r>
    </w:p>
    <w:p w14:paraId="59C11043" w14:textId="01F316E3" w:rsidR="004F371A" w:rsidRDefault="00B505D7" w:rsidP="00B505D7">
      <w:pPr>
        <w:pStyle w:val="ListBullet"/>
        <w:numPr>
          <w:ilvl w:val="0"/>
          <w:numId w:val="0"/>
        </w:numPr>
        <w:ind w:left="964"/>
      </w:pPr>
      <w:r>
        <w:t>P</w:t>
      </w:r>
      <w:r w:rsidR="004F371A">
        <w:t>rohibit roadside signage for electoral advertising.</w:t>
      </w:r>
    </w:p>
    <w:p w14:paraId="6D5B5572" w14:textId="7ED53EC9" w:rsidR="005E5D0E" w:rsidRDefault="001D1062" w:rsidP="000E3DC9">
      <w:pPr>
        <w:pStyle w:val="BodyText"/>
      </w:pPr>
      <w:r>
        <w:t>Canberra Liberals</w:t>
      </w:r>
      <w:r w:rsidR="00C01B5C">
        <w:t xml:space="preserve">, </w:t>
      </w:r>
      <w:proofErr w:type="spellStart"/>
      <w:r>
        <w:t>Belco</w:t>
      </w:r>
      <w:proofErr w:type="spellEnd"/>
      <w:r w:rsidR="005E5D0E">
        <w:t xml:space="preserve"> </w:t>
      </w:r>
      <w:r>
        <w:t xml:space="preserve">Party, and Liberal Democrats </w:t>
      </w:r>
      <w:r w:rsidR="005E5D0E" w:rsidRPr="005E5D0E">
        <w:t>recommend</w:t>
      </w:r>
      <w:r w:rsidR="00C01B5C">
        <w:t>ed</w:t>
      </w:r>
      <w:r w:rsidR="005E5D0E" w:rsidRPr="005E5D0E">
        <w:t xml:space="preserve"> that the current regulation of roadside signage remain unchanged</w:t>
      </w:r>
      <w:r w:rsidR="00C01B5C">
        <w:t>.</w:t>
      </w:r>
    </w:p>
    <w:p w14:paraId="0A62D5BC" w14:textId="0769AA4E" w:rsidR="002D4BC1" w:rsidRPr="002D4BC1" w:rsidRDefault="002D4BC1" w:rsidP="002D4BC1">
      <w:pPr>
        <w:pStyle w:val="Quote"/>
      </w:pPr>
      <w:r w:rsidRPr="002D4BC1">
        <w:t>‘Given the limited engagement with local media by Canberrans, roadside signage continues to be an important opportunity for political parties and</w:t>
      </w:r>
      <w:proofErr w:type="gramStart"/>
      <w:r w:rsidRPr="002D4BC1">
        <w:t>, in particular, local</w:t>
      </w:r>
      <w:proofErr w:type="gramEnd"/>
      <w:r w:rsidRPr="002D4BC1">
        <w:t xml:space="preserve"> candidates to build a profile.</w:t>
      </w:r>
      <w:r w:rsidR="004F371A">
        <w:t xml:space="preserve"> </w:t>
      </w:r>
      <w:r w:rsidRPr="002D4BC1">
        <w:t xml:space="preserve"> In those circumstances the Liberal Party in the ACT does not see a reason to change the current arrangements.’</w:t>
      </w:r>
      <w:r w:rsidR="001D1062">
        <w:rPr>
          <w:rStyle w:val="FootnoteReference"/>
        </w:rPr>
        <w:footnoteReference w:id="159"/>
      </w:r>
      <w:r w:rsidRPr="002D4BC1">
        <w:t xml:space="preserve"> </w:t>
      </w:r>
    </w:p>
    <w:p w14:paraId="00A2F26E" w14:textId="2C294B03" w:rsidR="004F371A" w:rsidRDefault="004F371A" w:rsidP="001D1062">
      <w:pPr>
        <w:pStyle w:val="Quote"/>
      </w:pPr>
      <w:r>
        <w:lastRenderedPageBreak/>
        <w:t xml:space="preserve">‘Whilst I hate corflutes </w:t>
      </w:r>
      <w:proofErr w:type="gramStart"/>
      <w:r>
        <w:t>as a whole it</w:t>
      </w:r>
      <w:proofErr w:type="gramEnd"/>
      <w:r>
        <w:t xml:space="preserve"> is one of the few effective ways candidates can signal who they are and what they look like and gives minor parties and independents a chance to advertise themselves. not to mention </w:t>
      </w:r>
      <w:proofErr w:type="gramStart"/>
      <w:r>
        <w:t>lesser known</w:t>
      </w:r>
      <w:proofErr w:type="gramEnd"/>
      <w:r>
        <w:t xml:space="preserve"> candidates from the 3 major parties.’</w:t>
      </w:r>
      <w:r w:rsidR="001D1062">
        <w:rPr>
          <w:rStyle w:val="FootnoteReference"/>
        </w:rPr>
        <w:footnoteReference w:id="160"/>
      </w:r>
      <w:r>
        <w:t xml:space="preserve"> </w:t>
      </w:r>
    </w:p>
    <w:p w14:paraId="472F81D0" w14:textId="63C38904" w:rsidR="001D1062" w:rsidRDefault="001D1062" w:rsidP="001D1062">
      <w:pPr>
        <w:pStyle w:val="Quote"/>
      </w:pPr>
      <w:r>
        <w:t>‘The ACT Liberal Democrats oppose any further moves to restrict the use of signs (‘corflutes’).  Despite many objections from the public about the unsightly nature of corflutes, such signs are a small price to pay for democracy. They can be one of the few means for smaller parties and independents to get their message across to voters.’</w:t>
      </w:r>
      <w:r>
        <w:rPr>
          <w:rStyle w:val="FootnoteReference"/>
        </w:rPr>
        <w:footnoteReference w:id="161"/>
      </w:r>
    </w:p>
    <w:p w14:paraId="5042AEEE" w14:textId="342E7775" w:rsidR="00B34ACD" w:rsidRPr="00B5779B" w:rsidRDefault="00B34ACD" w:rsidP="000E3DC9">
      <w:pPr>
        <w:pStyle w:val="BodyText"/>
      </w:pPr>
      <w:r w:rsidRPr="00B5779B">
        <w:t xml:space="preserve">Other submissions suggest </w:t>
      </w:r>
      <w:r w:rsidR="00D23AA2" w:rsidRPr="00B5779B">
        <w:t>increased</w:t>
      </w:r>
      <w:r w:rsidRPr="00B5779B">
        <w:t xml:space="preserve"> regulation </w:t>
      </w:r>
      <w:r w:rsidR="00D23AA2" w:rsidRPr="00B5779B">
        <w:t xml:space="preserve">or prohibition </w:t>
      </w:r>
      <w:r w:rsidRPr="00B5779B">
        <w:t>of roadside electoral advertising</w:t>
      </w:r>
      <w:r w:rsidR="00D23AA2" w:rsidRPr="00B5779B">
        <w:t xml:space="preserve">.  </w:t>
      </w:r>
    </w:p>
    <w:p w14:paraId="39F7284F" w14:textId="2156EC8A" w:rsidR="00D23AA2" w:rsidRDefault="00D23AA2" w:rsidP="00D23AA2">
      <w:pPr>
        <w:pStyle w:val="ListBullet"/>
      </w:pPr>
      <w:r>
        <w:t>The ACT Government submission pointed to the ‘Parliamentary &amp; Governing Agreement for the 10</w:t>
      </w:r>
      <w:r w:rsidRPr="00021ACF">
        <w:rPr>
          <w:vertAlign w:val="superscript"/>
        </w:rPr>
        <w:t>th</w:t>
      </w:r>
      <w:r>
        <w:t xml:space="preserve"> Legislative Assembly’, which states that a priority reform agenda is to ‘further restrict roadside electoral advertising including further regulation of roadside corflutes and introduce specific offences for roadside advertising using illegally parked or idling vehicles for commercial or political </w:t>
      </w:r>
      <w:proofErr w:type="gramStart"/>
      <w:r>
        <w:t>purposes’</w:t>
      </w:r>
      <w:proofErr w:type="gramEnd"/>
      <w:r>
        <w:t>.</w:t>
      </w:r>
      <w:r>
        <w:rPr>
          <w:rStyle w:val="FootnoteReference"/>
        </w:rPr>
        <w:footnoteReference w:id="162"/>
      </w:r>
    </w:p>
    <w:p w14:paraId="32A432FE" w14:textId="7E06D404" w:rsidR="005E5D0E" w:rsidRDefault="00D23AA2" w:rsidP="00D23AA2">
      <w:pPr>
        <w:pStyle w:val="ListBullet"/>
      </w:pPr>
      <w:r>
        <w:t>ACT Greens</w:t>
      </w:r>
      <w:r w:rsidR="005E5D0E">
        <w:t xml:space="preserve"> </w:t>
      </w:r>
      <w:r w:rsidR="005E5D0E" w:rsidRPr="005E5D0E">
        <w:t>recommend</w:t>
      </w:r>
      <w:r>
        <w:t xml:space="preserve">ed </w:t>
      </w:r>
      <w:r w:rsidR="005E5D0E" w:rsidRPr="005E5D0E">
        <w:t>further restrictions on the display of roadside corflutes for electoral campaigning</w:t>
      </w:r>
      <w:r>
        <w:t>.</w:t>
      </w:r>
      <w:r>
        <w:rPr>
          <w:rStyle w:val="FootnoteReference"/>
        </w:rPr>
        <w:footnoteReference w:id="163"/>
      </w:r>
      <w:r>
        <w:t xml:space="preserve"> </w:t>
      </w:r>
    </w:p>
    <w:p w14:paraId="5F51FDD2" w14:textId="6F889B33" w:rsidR="00B34ACD" w:rsidRDefault="00D23AA2" w:rsidP="00D23AA2">
      <w:pPr>
        <w:pStyle w:val="ListBullet"/>
      </w:pPr>
      <w:r>
        <w:t>Bruce Paine</w:t>
      </w:r>
      <w:r w:rsidR="00B34ACD">
        <w:t xml:space="preserve"> </w:t>
      </w:r>
      <w:r>
        <w:t>suggested</w:t>
      </w:r>
      <w:r w:rsidR="00B34ACD" w:rsidRPr="00535635">
        <w:t xml:space="preserve"> that, instead of the current arrangements for advertising on public lands, the Assembly establish a limited number of sites to allow all candidates equal access for ‘visual advertising’.</w:t>
      </w:r>
      <w:r>
        <w:rPr>
          <w:rStyle w:val="FootnoteReference"/>
        </w:rPr>
        <w:footnoteReference w:id="164"/>
      </w:r>
    </w:p>
    <w:p w14:paraId="30964EE4" w14:textId="73B066A3" w:rsidR="004F371A" w:rsidRDefault="00D23AA2" w:rsidP="00D23AA2">
      <w:pPr>
        <w:pStyle w:val="ListBullet"/>
      </w:pPr>
      <w:r>
        <w:t>Martin Miller</w:t>
      </w:r>
      <w:r w:rsidR="004F371A" w:rsidRPr="00FA40BE">
        <w:t xml:space="preserve"> recommend</w:t>
      </w:r>
      <w:r>
        <w:t>ed</w:t>
      </w:r>
      <w:r w:rsidR="004F371A" w:rsidRPr="00FA40BE">
        <w:t xml:space="preserve"> restrict corflutes to certain locations, and maximum of 50 per candidate.</w:t>
      </w:r>
      <w:r>
        <w:rPr>
          <w:rStyle w:val="FootnoteReference"/>
        </w:rPr>
        <w:footnoteReference w:id="165"/>
      </w:r>
      <w:r w:rsidR="004F371A" w:rsidRPr="00FA40BE">
        <w:t xml:space="preserve"> </w:t>
      </w:r>
    </w:p>
    <w:p w14:paraId="2E5A6D1E" w14:textId="60EDD63E" w:rsidR="00FA40BE" w:rsidRDefault="00D23AA2" w:rsidP="00D23AA2">
      <w:pPr>
        <w:pStyle w:val="ListBullet"/>
      </w:pPr>
      <w:r>
        <w:t xml:space="preserve">ACT </w:t>
      </w:r>
      <w:proofErr w:type="spellStart"/>
      <w:r>
        <w:t>Labor</w:t>
      </w:r>
      <w:proofErr w:type="spellEnd"/>
      <w:r w:rsidR="00FA40BE">
        <w:t xml:space="preserve"> </w:t>
      </w:r>
      <w:r w:rsidR="00B5779B">
        <w:t>suggested restricting</w:t>
      </w:r>
      <w:r w:rsidR="00FA40BE" w:rsidRPr="00FA40BE">
        <w:t xml:space="preserve"> the use of corflutes on public land (</w:t>
      </w:r>
      <w:proofErr w:type="spellStart"/>
      <w:r w:rsidR="00FA40BE" w:rsidRPr="00FA40BE">
        <w:t>eg.</w:t>
      </w:r>
      <w:proofErr w:type="spellEnd"/>
      <w:r w:rsidR="00FA40BE" w:rsidRPr="00FA40BE">
        <w:t xml:space="preserve"> permitting use in certain areas, or limiting the number permitted for each candidate)</w:t>
      </w:r>
      <w:r>
        <w:t>.</w:t>
      </w:r>
      <w:r>
        <w:rPr>
          <w:rStyle w:val="FootnoteReference"/>
        </w:rPr>
        <w:footnoteReference w:id="166"/>
      </w:r>
    </w:p>
    <w:p w14:paraId="75799411" w14:textId="793104AD" w:rsidR="00B5779B" w:rsidRDefault="00B5779B" w:rsidP="00052AC4">
      <w:pPr>
        <w:pStyle w:val="ListBullet"/>
      </w:pPr>
      <w:r>
        <w:t xml:space="preserve">Canberra Progressives suggested further restrictions </w:t>
      </w:r>
      <w:r w:rsidR="003C6A45">
        <w:t xml:space="preserve">‘given the cost, wastefulness, and distracting nature of political/candidate advertising via temporary roadside </w:t>
      </w:r>
      <w:proofErr w:type="gramStart"/>
      <w:r w:rsidR="003C6A45">
        <w:t>signs</w:t>
      </w:r>
      <w:r>
        <w:t>’</w:t>
      </w:r>
      <w:proofErr w:type="gramEnd"/>
      <w:r w:rsidR="003C6A45">
        <w:t>.</w:t>
      </w:r>
      <w:r>
        <w:rPr>
          <w:rStyle w:val="FootnoteReference"/>
        </w:rPr>
        <w:footnoteReference w:id="167"/>
      </w:r>
    </w:p>
    <w:p w14:paraId="3FD95397" w14:textId="0C5E198A" w:rsidR="00FD004D" w:rsidRDefault="00B34ACD" w:rsidP="00FD004D">
      <w:pPr>
        <w:pStyle w:val="BodyText"/>
      </w:pPr>
      <w:r>
        <w:t xml:space="preserve">During hearings there was significant discussion </w:t>
      </w:r>
      <w:r w:rsidR="00B5779B">
        <w:t>on the question of whether corflutes disadvantage Independent and small party candidates</w:t>
      </w:r>
      <w:r>
        <w:t xml:space="preserve"> because their corflutes are swamped by the greater number of signs produced by the major parties.  </w:t>
      </w:r>
      <w:r w:rsidR="00B53970">
        <w:t>When asked his view</w:t>
      </w:r>
      <w:r w:rsidR="00C01B5C">
        <w:t xml:space="preserve"> on this question</w:t>
      </w:r>
      <w:r w:rsidR="00B53970">
        <w:t>, Bruce Paine said:</w:t>
      </w:r>
    </w:p>
    <w:p w14:paraId="1C500A26" w14:textId="0F252300" w:rsidR="00B34ACD" w:rsidRDefault="00B34ACD" w:rsidP="00B34ACD">
      <w:pPr>
        <w:pStyle w:val="Quote"/>
      </w:pPr>
      <w:r>
        <w:lastRenderedPageBreak/>
        <w:t>‘I think that is right, for various reasons, including the disadvantage for independents, as well as the environmental issue.’</w:t>
      </w:r>
      <w:r>
        <w:rPr>
          <w:rStyle w:val="FootnoteReference"/>
        </w:rPr>
        <w:footnoteReference w:id="168"/>
      </w:r>
      <w:r>
        <w:t xml:space="preserve"> </w:t>
      </w:r>
    </w:p>
    <w:p w14:paraId="1BD43B55" w14:textId="77777777" w:rsidR="00B5779B" w:rsidRDefault="00B5779B" w:rsidP="00B5779B">
      <w:pPr>
        <w:pStyle w:val="BodyText"/>
      </w:pPr>
      <w:r>
        <w:t>Canberra Progressives told the Committee:</w:t>
      </w:r>
    </w:p>
    <w:p w14:paraId="2B03DC5A" w14:textId="17E73475" w:rsidR="00B5779B" w:rsidRDefault="00B5779B" w:rsidP="00B5779B">
      <w:pPr>
        <w:pStyle w:val="Quote"/>
      </w:pPr>
      <w:r>
        <w:t>‘We understand through market research that this type of advertising works, in that facial recognition is a factor in who people vote for.  However, again in line with the theme of our submission, it means that the more money a party can spend on getting signs with faces on the side of the road, the more votes they will receive.  Again, this is contrary to the principles of democracy.  We would support a move to having no roadside signage during the campaign period.’</w:t>
      </w:r>
      <w:r>
        <w:rPr>
          <w:rStyle w:val="FootnoteReference"/>
        </w:rPr>
        <w:footnoteReference w:id="169"/>
      </w:r>
      <w:r>
        <w:t xml:space="preserve"> </w:t>
      </w:r>
    </w:p>
    <w:p w14:paraId="0285E2C2" w14:textId="420DCF3E" w:rsidR="005E5D0E" w:rsidRDefault="00B53970" w:rsidP="005E5D0E">
      <w:pPr>
        <w:pStyle w:val="BodyText"/>
      </w:pPr>
      <w:r>
        <w:t>The Electoral Commission suggested the C</w:t>
      </w:r>
      <w:r w:rsidR="005E5D0E">
        <w:t xml:space="preserve">ommittee </w:t>
      </w:r>
      <w:r w:rsidR="005E5D0E" w:rsidRPr="005E5D0E">
        <w:t>not</w:t>
      </w:r>
      <w:r>
        <w:t xml:space="preserve"> impose further restrictions on roadside signs</w:t>
      </w:r>
      <w:r w:rsidR="005E5D0E" w:rsidRPr="005E5D0E">
        <w:t xml:space="preserve"> that could </w:t>
      </w:r>
      <w:r>
        <w:t>create</w:t>
      </w:r>
      <w:r w:rsidR="005E5D0E" w:rsidRPr="005E5D0E">
        <w:t xml:space="preserve"> time consuming or cumbersome regulatory burden </w:t>
      </w:r>
      <w:r>
        <w:t>for</w:t>
      </w:r>
      <w:r w:rsidR="005E5D0E" w:rsidRPr="005E5D0E">
        <w:t xml:space="preserve"> the Commission </w:t>
      </w:r>
      <w:r>
        <w:t>and</w:t>
      </w:r>
      <w:r w:rsidR="005E5D0E" w:rsidRPr="005E5D0E">
        <w:t xml:space="preserve"> </w:t>
      </w:r>
      <w:r>
        <w:t>TCCS.</w:t>
      </w:r>
      <w:r>
        <w:rPr>
          <w:rStyle w:val="FootnoteReference"/>
        </w:rPr>
        <w:footnoteReference w:id="170"/>
      </w:r>
    </w:p>
    <w:p w14:paraId="74389E9D" w14:textId="3F9F8F5B" w:rsidR="00021ACF" w:rsidRDefault="00021ACF" w:rsidP="00021ACF">
      <w:pPr>
        <w:pStyle w:val="BodyText"/>
      </w:pPr>
      <w:r>
        <w:t xml:space="preserve">ACT Government advised the Committee to </w:t>
      </w:r>
      <w:r w:rsidR="00B53970">
        <w:t>balance</w:t>
      </w:r>
      <w:r>
        <w:t xml:space="preserve"> any restrictions on roadside signage with the implied constitutional freedom of political communication, and the protections under the </w:t>
      </w:r>
      <w:r w:rsidRPr="00021ACF">
        <w:rPr>
          <w:i/>
          <w:iCs/>
        </w:rPr>
        <w:t>Human Rights Act 2004</w:t>
      </w:r>
      <w:r>
        <w:t xml:space="preserve"> for freedom of expression and right to take part in public affairs.</w:t>
      </w:r>
      <w:r w:rsidR="00B53970">
        <w:rPr>
          <w:rStyle w:val="FootnoteReference"/>
        </w:rPr>
        <w:footnoteReference w:id="171"/>
      </w:r>
    </w:p>
    <w:p w14:paraId="2CE02E3A" w14:textId="5BC6650B" w:rsidR="00797309" w:rsidRDefault="00797309" w:rsidP="00797309">
      <w:pPr>
        <w:pStyle w:val="Heading4"/>
      </w:pPr>
      <w:r>
        <w:t>Committee comment</w:t>
      </w:r>
    </w:p>
    <w:p w14:paraId="110EBD0C" w14:textId="197F85EF" w:rsidR="001D1062" w:rsidRDefault="004F371A" w:rsidP="00797309">
      <w:pPr>
        <w:pStyle w:val="BodyText"/>
      </w:pPr>
      <w:r>
        <w:t xml:space="preserve">The Committee notes the mixed opinions on corflutes, and the </w:t>
      </w:r>
      <w:r w:rsidR="001D1062">
        <w:t>contrasting</w:t>
      </w:r>
      <w:r>
        <w:t xml:space="preserve"> views on the purpose, </w:t>
      </w:r>
      <w:proofErr w:type="gramStart"/>
      <w:r>
        <w:t>value</w:t>
      </w:r>
      <w:proofErr w:type="gramEnd"/>
      <w:r>
        <w:t xml:space="preserve"> and effectiveness of </w:t>
      </w:r>
      <w:r w:rsidR="001D1062">
        <w:t>roadside electoral advertising</w:t>
      </w:r>
      <w:r>
        <w:t xml:space="preserve">.  </w:t>
      </w:r>
    </w:p>
    <w:p w14:paraId="13A88215" w14:textId="3F771E4F" w:rsidR="004F371A" w:rsidRPr="00797309" w:rsidRDefault="008D660A" w:rsidP="00797309">
      <w:pPr>
        <w:pStyle w:val="BodyText"/>
      </w:pPr>
      <w:r>
        <w:t>In making a recommendation, t</w:t>
      </w:r>
      <w:r w:rsidR="001D1062">
        <w:t xml:space="preserve">he Committee </w:t>
      </w:r>
      <w:r>
        <w:t>considered</w:t>
      </w:r>
      <w:r w:rsidR="001D1062">
        <w:t xml:space="preserve"> the proliferation of roadside signs in recent elections, and the environmental concerns about mass production of corflutes for use and disposal within a six-week period.  </w:t>
      </w:r>
      <w:r w:rsidR="00021ACF">
        <w:t xml:space="preserve">Some </w:t>
      </w:r>
      <w:r w:rsidR="004F371A">
        <w:t>Independent candidates and small parties told the Committee that the use of corflutes is an unfair advantage for major parties</w:t>
      </w:r>
      <w:r w:rsidR="001D1062">
        <w:t>.</w:t>
      </w:r>
      <w:r w:rsidR="00B34ACD">
        <w:t xml:space="preserve">  Complete prohibition of corflutes is likely to be less burdensome </w:t>
      </w:r>
      <w:r w:rsidR="00021ACF">
        <w:t>for the Electoral Commission and TCCS to regulate</w:t>
      </w:r>
      <w:r w:rsidR="00B34ACD">
        <w:t xml:space="preserve"> than greater restrictions.  </w:t>
      </w:r>
      <w:r w:rsidR="001D1062">
        <w:t xml:space="preserve">These factors contributed to the recommendation below. </w:t>
      </w:r>
    </w:p>
    <w:tbl>
      <w:tblPr>
        <w:tblStyle w:val="TableGrid"/>
        <w:tblW w:w="9209" w:type="dxa"/>
        <w:tblInd w:w="-142" w:type="dxa"/>
        <w:tblLook w:val="04A0" w:firstRow="1" w:lastRow="0" w:firstColumn="1" w:lastColumn="0" w:noHBand="0" w:noVBand="1"/>
      </w:tblPr>
      <w:tblGrid>
        <w:gridCol w:w="9209"/>
      </w:tblGrid>
      <w:tr w:rsidR="00777C57" w14:paraId="5FFE8D5B" w14:textId="77777777" w:rsidTr="002F021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C54C826" w14:textId="2BB02855" w:rsidR="00777C57" w:rsidRDefault="00777C57" w:rsidP="002F0215">
            <w:pPr>
              <w:pStyle w:val="RecommendationHeading"/>
            </w:pPr>
            <w:bookmarkStart w:id="112" w:name="_Toc78382511"/>
            <w:r>
              <w:t xml:space="preserve">Recommendation </w:t>
            </w:r>
            <w:r w:rsidR="00D02D0E">
              <w:rPr>
                <w:noProof/>
              </w:rPr>
              <w:t>2</w:t>
            </w:r>
            <w:r w:rsidR="00D12E90">
              <w:rPr>
                <w:noProof/>
              </w:rPr>
              <w:t>4</w:t>
            </w:r>
            <w:bookmarkEnd w:id="112"/>
          </w:p>
          <w:p w14:paraId="5E9D9F8B" w14:textId="117184F8" w:rsidR="00777C57" w:rsidRPr="00962807" w:rsidRDefault="00777C57" w:rsidP="003A2038">
            <w:pPr>
              <w:pStyle w:val="RecommendationText"/>
            </w:pPr>
            <w:bookmarkStart w:id="113" w:name="_Toc78382512"/>
            <w:r w:rsidRPr="00777C57">
              <w:t xml:space="preserve">The Committee recommends that ACT Government </w:t>
            </w:r>
            <w:r w:rsidR="00021ACF">
              <w:t>prohibit</w:t>
            </w:r>
            <w:r w:rsidRPr="00777C57">
              <w:t xml:space="preserve"> roadside sign</w:t>
            </w:r>
            <w:r w:rsidR="004F371A">
              <w:t>s</w:t>
            </w:r>
            <w:r w:rsidRPr="00777C57">
              <w:t xml:space="preserve"> for electoral </w:t>
            </w:r>
            <w:r w:rsidR="004F371A">
              <w:t>advertising</w:t>
            </w:r>
            <w:r w:rsidRPr="00777C57">
              <w:t xml:space="preserve"> on public land</w:t>
            </w:r>
            <w:r w:rsidR="00021ACF">
              <w:t xml:space="preserve">.  If Constitutional or human rights </w:t>
            </w:r>
            <w:r w:rsidR="00B53970">
              <w:t>considerations present a barrier to this outcome, the Committee recommends that ACT Government consult with the community</w:t>
            </w:r>
            <w:r w:rsidR="005F4987">
              <w:t xml:space="preserve"> and report to the Assembly</w:t>
            </w:r>
            <w:r w:rsidR="00B53970">
              <w:t xml:space="preserve"> on the nearest alternative options</w:t>
            </w:r>
            <w:r w:rsidR="005F4987">
              <w:t xml:space="preserve"> by March 2022</w:t>
            </w:r>
            <w:r w:rsidR="00B53970">
              <w:t>.</w:t>
            </w:r>
            <w:bookmarkEnd w:id="113"/>
            <w:r w:rsidR="00B53970">
              <w:t xml:space="preserve">  </w:t>
            </w:r>
          </w:p>
        </w:tc>
      </w:tr>
    </w:tbl>
    <w:p w14:paraId="6D28C25E" w14:textId="6E0706B9" w:rsidR="0010093B" w:rsidRDefault="0010093B" w:rsidP="004F371A">
      <w:pPr>
        <w:pStyle w:val="Heading4"/>
      </w:pPr>
      <w:r>
        <w:lastRenderedPageBreak/>
        <w:t xml:space="preserve">Waving Corflutes at Major Intersections </w:t>
      </w:r>
    </w:p>
    <w:p w14:paraId="2C8B0FB7" w14:textId="07609449" w:rsidR="004F371A" w:rsidRDefault="003C10F4" w:rsidP="000E3DC9">
      <w:pPr>
        <w:pStyle w:val="BodyText"/>
      </w:pPr>
      <w:r>
        <w:t xml:space="preserve">The </w:t>
      </w:r>
      <w:r w:rsidR="00B93068">
        <w:t xml:space="preserve">Committee anticipates that candidates in future elections may circumvent </w:t>
      </w:r>
      <w:r>
        <w:t>a</w:t>
      </w:r>
      <w:r w:rsidR="00B93068">
        <w:t xml:space="preserve"> ban on roadside signs by standing at major intersections to </w:t>
      </w:r>
      <w:r w:rsidR="00C01B5C">
        <w:t xml:space="preserve">physically </w:t>
      </w:r>
      <w:r w:rsidR="00B93068">
        <w:t xml:space="preserve">wave signs at passing motorists.  </w:t>
      </w:r>
      <w:r w:rsidR="003A2038">
        <w:t xml:space="preserve">This practice was observed during the 2020 election. </w:t>
      </w:r>
    </w:p>
    <w:p w14:paraId="1061A966" w14:textId="76030C34" w:rsidR="004F371A" w:rsidRDefault="00900A04" w:rsidP="000E3DC9">
      <w:pPr>
        <w:pStyle w:val="BodyText"/>
      </w:pPr>
      <w:r>
        <w:t xml:space="preserve">ACT Government provided information to the Committee on whether this </w:t>
      </w:r>
      <w:r w:rsidR="003A2038">
        <w:t>conduct</w:t>
      </w:r>
      <w:r>
        <w:t xml:space="preserve"> is currently regulated:</w:t>
      </w:r>
    </w:p>
    <w:p w14:paraId="673E82E3" w14:textId="326E427B" w:rsidR="003C10F4" w:rsidRDefault="00900A04" w:rsidP="003C10F4">
      <w:pPr>
        <w:pStyle w:val="Quote"/>
      </w:pPr>
      <w:r>
        <w:t xml:space="preserve">‘The Justice and Community Safety Directorate (JACS) is not aware of existing ACT statutory frameworks that would specifically prohibit the waving of electoral corflutes or signs on the side of the road.  However, section 236 of the </w:t>
      </w:r>
      <w:r w:rsidRPr="003A2038">
        <w:rPr>
          <w:i/>
          <w:iCs w:val="0"/>
        </w:rPr>
        <w:t xml:space="preserve">Road Transport (Road Rules) Regulation 2007 </w:t>
      </w:r>
      <w:r>
        <w:t>provides a person does commit an offence if they stand on, or move onto, a road or a designated intersection to display an advertisement.</w:t>
      </w:r>
      <w:r w:rsidR="003C10F4">
        <w:t>’</w:t>
      </w:r>
      <w:r w:rsidR="003C10F4">
        <w:rPr>
          <w:rStyle w:val="FootnoteReference"/>
        </w:rPr>
        <w:footnoteReference w:id="172"/>
      </w:r>
    </w:p>
    <w:p w14:paraId="299B30E4" w14:textId="1957389C" w:rsidR="00900A04" w:rsidRDefault="003C10F4" w:rsidP="00900A04">
      <w:pPr>
        <w:pStyle w:val="BodyText"/>
      </w:pPr>
      <w:r>
        <w:t>ACT Government advised that a</w:t>
      </w:r>
      <w:r w:rsidR="00900A04">
        <w:t xml:space="preserve">ny further restrictions on waving electoral signs near roads would need to balance issues of public safety with the implied constitutional freedom of political communication and the right to freedom of expression under the </w:t>
      </w:r>
      <w:r w:rsidR="00900A04" w:rsidRPr="003C10F4">
        <w:rPr>
          <w:i/>
          <w:iCs/>
        </w:rPr>
        <w:t>Human Rights Act 2004</w:t>
      </w:r>
      <w:r w:rsidR="00900A04">
        <w:t>.</w:t>
      </w:r>
      <w:r w:rsidR="00900A04">
        <w:rPr>
          <w:rStyle w:val="FootnoteReference"/>
        </w:rPr>
        <w:footnoteReference w:id="173"/>
      </w:r>
    </w:p>
    <w:p w14:paraId="422365B4" w14:textId="07F848B3" w:rsidR="008D660A" w:rsidRDefault="008D660A" w:rsidP="008D660A">
      <w:pPr>
        <w:pStyle w:val="Heading5"/>
      </w:pPr>
      <w:r>
        <w:t>Committee Comment</w:t>
      </w:r>
    </w:p>
    <w:p w14:paraId="2DB89DC5" w14:textId="0C36B8F6" w:rsidR="00777C57" w:rsidRDefault="003C10F4" w:rsidP="000E3DC9">
      <w:pPr>
        <w:pStyle w:val="BodyText"/>
      </w:pPr>
      <w:r>
        <w:t xml:space="preserve">The Committee is concerned that the act of waving corflutes at major intersections presents safety risks for candidates, </w:t>
      </w:r>
      <w:proofErr w:type="gramStart"/>
      <w:r>
        <w:t>volunteers</w:t>
      </w:r>
      <w:proofErr w:type="gramEnd"/>
      <w:r>
        <w:t xml:space="preserve"> and the community, and recommends that the practice be prohibited in conjunction with a ban on roadside signs. </w:t>
      </w:r>
    </w:p>
    <w:tbl>
      <w:tblPr>
        <w:tblStyle w:val="TableGrid"/>
        <w:tblW w:w="9209" w:type="dxa"/>
        <w:tblInd w:w="-142" w:type="dxa"/>
        <w:tblLook w:val="04A0" w:firstRow="1" w:lastRow="0" w:firstColumn="1" w:lastColumn="0" w:noHBand="0" w:noVBand="1"/>
      </w:tblPr>
      <w:tblGrid>
        <w:gridCol w:w="9209"/>
      </w:tblGrid>
      <w:tr w:rsidR="00B93068" w14:paraId="085FEEA6" w14:textId="77777777" w:rsidTr="002F021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9F4F1AC" w14:textId="184150E5" w:rsidR="00B93068" w:rsidRDefault="00B93068" w:rsidP="002F0215">
            <w:pPr>
              <w:pStyle w:val="RecommendationHeading"/>
            </w:pPr>
            <w:bookmarkStart w:id="114" w:name="_Toc78382513"/>
            <w:r>
              <w:t xml:space="preserve">Recommendation </w:t>
            </w:r>
            <w:r w:rsidR="00D02D0E">
              <w:rPr>
                <w:noProof/>
              </w:rPr>
              <w:t>2</w:t>
            </w:r>
            <w:r w:rsidR="00D12E90">
              <w:rPr>
                <w:noProof/>
              </w:rPr>
              <w:t>5</w:t>
            </w:r>
            <w:bookmarkEnd w:id="114"/>
          </w:p>
          <w:p w14:paraId="6C86BF25" w14:textId="598846DD" w:rsidR="003C10F4" w:rsidRPr="003C10F4" w:rsidRDefault="00B93068" w:rsidP="003A2038">
            <w:pPr>
              <w:pStyle w:val="RecommendationText"/>
            </w:pPr>
            <w:bookmarkStart w:id="115" w:name="_Toc78382514"/>
            <w:r w:rsidRPr="00B93068">
              <w:t xml:space="preserve">The Committee recommends that ACT Government </w:t>
            </w:r>
            <w:r w:rsidR="004F371A">
              <w:t>prohibit</w:t>
            </w:r>
            <w:r w:rsidRPr="00B93068">
              <w:t xml:space="preserve"> the practice of waving electoral signs </w:t>
            </w:r>
            <w:r>
              <w:t>at the side of the road to attract attention from passing motorists</w:t>
            </w:r>
            <w:r w:rsidRPr="00B93068">
              <w:t xml:space="preserve">. </w:t>
            </w:r>
            <w:r w:rsidR="003A2038">
              <w:t xml:space="preserve"> </w:t>
            </w:r>
            <w:r w:rsidR="003C10F4" w:rsidRPr="003C10F4">
              <w:t xml:space="preserve">If Constitutional or human rights considerations present a barrier to this outcome, the Committee recommends that ACT Government consult with the community </w:t>
            </w:r>
            <w:r w:rsidR="005F4987">
              <w:t xml:space="preserve">and report to the Assembly </w:t>
            </w:r>
            <w:r w:rsidR="003C10F4" w:rsidRPr="003C10F4">
              <w:t>on the nearest alternative options</w:t>
            </w:r>
            <w:r w:rsidR="005F4987">
              <w:t xml:space="preserve"> by March 2022</w:t>
            </w:r>
            <w:r w:rsidR="003C10F4" w:rsidRPr="003C10F4">
              <w:t>.</w:t>
            </w:r>
            <w:bookmarkEnd w:id="115"/>
            <w:r w:rsidR="003C10F4" w:rsidRPr="003C10F4">
              <w:t xml:space="preserve">  </w:t>
            </w:r>
          </w:p>
        </w:tc>
      </w:tr>
    </w:tbl>
    <w:p w14:paraId="4041B816" w14:textId="4D23639E" w:rsidR="003D2BD5" w:rsidRDefault="000E3DC9" w:rsidP="000E3DC9">
      <w:pPr>
        <w:pStyle w:val="Heading3"/>
      </w:pPr>
      <w:bookmarkStart w:id="116" w:name="_Toc78535749"/>
      <w:r>
        <w:lastRenderedPageBreak/>
        <w:t>Publication of Candidate Information</w:t>
      </w:r>
      <w:bookmarkEnd w:id="116"/>
      <w:r>
        <w:t xml:space="preserve"> </w:t>
      </w:r>
    </w:p>
    <w:p w14:paraId="49284F6B" w14:textId="06968BB5" w:rsidR="00CA7713" w:rsidRDefault="00CA7713" w:rsidP="00CA7713">
      <w:pPr>
        <w:pStyle w:val="Heading4"/>
      </w:pPr>
      <w:r>
        <w:t xml:space="preserve">Legislative Framework </w:t>
      </w:r>
    </w:p>
    <w:p w14:paraId="2801943A" w14:textId="1CA6E192" w:rsidR="00DA62FA" w:rsidRDefault="00DA62FA" w:rsidP="007A0AD3">
      <w:pPr>
        <w:pStyle w:val="BodyText"/>
      </w:pPr>
      <w:r>
        <w:t>In July 2020 the Electoral Act was amended to insert new section 110A, which requires the Electoral Commissioner to publish candidate information on the Elections ACT website.</w:t>
      </w:r>
    </w:p>
    <w:p w14:paraId="21EA6471" w14:textId="68EE278B" w:rsidR="00DA62FA" w:rsidRDefault="00DA62FA" w:rsidP="007A0AD3">
      <w:pPr>
        <w:pStyle w:val="BodyText"/>
      </w:pPr>
      <w:r>
        <w:t xml:space="preserve">The Supplementary Explanatory Statement to the amendments moved by Caroline Le Couteur MLA </w:t>
      </w:r>
      <w:r w:rsidR="00CA7713">
        <w:t>described</w:t>
      </w:r>
      <w:r>
        <w:t xml:space="preserve"> the</w:t>
      </w:r>
      <w:r w:rsidR="003A2038">
        <w:t>ir</w:t>
      </w:r>
      <w:r>
        <w:t xml:space="preserve"> purpose:</w:t>
      </w:r>
    </w:p>
    <w:p w14:paraId="068B1427" w14:textId="5D35BFAF" w:rsidR="00DA62FA" w:rsidRDefault="00DA62FA" w:rsidP="00DA62FA">
      <w:pPr>
        <w:pStyle w:val="Quote"/>
      </w:pPr>
      <w:r>
        <w:t>‘</w:t>
      </w:r>
      <w:r w:rsidRPr="00DA62FA">
        <w:t>Currently the Elections ACT website lists candidates.  This amendment will increase the amount of information available to members of the public about candidates by providing a central repository for viewing candidate profiles, including a short statement, photo, and a link to a website that can be chosen by each candidate.</w:t>
      </w:r>
      <w:r>
        <w:t>’</w:t>
      </w:r>
      <w:r>
        <w:rPr>
          <w:rStyle w:val="FootnoteReference"/>
        </w:rPr>
        <w:footnoteReference w:id="174"/>
      </w:r>
    </w:p>
    <w:p w14:paraId="4E749F75" w14:textId="451EAF6A" w:rsidR="00CA7713" w:rsidRDefault="00CA7713" w:rsidP="00CA7713">
      <w:pPr>
        <w:pStyle w:val="Heading4"/>
      </w:pPr>
      <w:r>
        <w:t>Views expressed in Submissions and Hearings</w:t>
      </w:r>
    </w:p>
    <w:p w14:paraId="3A1206DB" w14:textId="0F0A3C92" w:rsidR="00CA7713" w:rsidRDefault="00CA7713" w:rsidP="00CA7713">
      <w:pPr>
        <w:pStyle w:val="BodyText"/>
      </w:pPr>
      <w:r>
        <w:t>Publication of candidate information was a common theme during the inquiry.  Three viewpoints emerged from submissions and hearings:</w:t>
      </w:r>
    </w:p>
    <w:p w14:paraId="25678F1F" w14:textId="54BD7F1B" w:rsidR="00CA7713" w:rsidRDefault="00CA7713" w:rsidP="00CA7713">
      <w:pPr>
        <w:pStyle w:val="ListBullet"/>
      </w:pPr>
      <w:r>
        <w:t>Remove the requirement for the Electoral Commission to publish candidate information,</w:t>
      </w:r>
    </w:p>
    <w:p w14:paraId="082C3F09" w14:textId="0ED8BE7C" w:rsidR="00CA7713" w:rsidRDefault="00CA7713" w:rsidP="00CA7713">
      <w:pPr>
        <w:pStyle w:val="ListBullet"/>
      </w:pPr>
      <w:r>
        <w:t>Identify an alternative impartial body to publish candidate information, or</w:t>
      </w:r>
    </w:p>
    <w:p w14:paraId="3F40ECEC" w14:textId="3163A4EF" w:rsidR="00CA7713" w:rsidRDefault="00CA7713" w:rsidP="00CA7713">
      <w:pPr>
        <w:pStyle w:val="ListBullet"/>
      </w:pPr>
      <w:r>
        <w:t xml:space="preserve">Retain the current provisions. </w:t>
      </w:r>
    </w:p>
    <w:p w14:paraId="7F683F14" w14:textId="4B529E98" w:rsidR="00CA7713" w:rsidRDefault="00CA7713" w:rsidP="00BE0A44">
      <w:pPr>
        <w:pStyle w:val="BodyText"/>
      </w:pPr>
      <w:r>
        <w:t xml:space="preserve">The Electoral Commission has consistently expressed concern and discomfort at the </w:t>
      </w:r>
      <w:r w:rsidR="00825989">
        <w:t xml:space="preserve">new obligations established in s110, including in </w:t>
      </w:r>
      <w:r w:rsidR="00C01B5C">
        <w:t>its</w:t>
      </w:r>
      <w:r w:rsidR="00825989">
        <w:t xml:space="preserve"> submission to this inquiry:</w:t>
      </w:r>
      <w:r>
        <w:t xml:space="preserve">  </w:t>
      </w:r>
    </w:p>
    <w:p w14:paraId="677753F9" w14:textId="44D49619" w:rsidR="00CA7713" w:rsidRDefault="00CA7713" w:rsidP="00825989">
      <w:pPr>
        <w:pStyle w:val="Quote"/>
      </w:pPr>
      <w:r>
        <w:t xml:space="preserve">‘The Electoral Commission maintains the view that its independence and reputation for impartiality are put at risk through the requirement for it to be involved in political canvassing on its website. </w:t>
      </w:r>
      <w:r w:rsidR="00825989">
        <w:t xml:space="preserve"> </w:t>
      </w:r>
      <w:r>
        <w:t>The Commission continues to agree that the community can benefit from a single location under which they may find important candidate and campaign material, but remains strongly of the view that this is not an appropriate role for the Electoral Commission</w:t>
      </w:r>
      <w:r w:rsidR="00825989">
        <w:t>… In the implementation of this legislation in 2020, the Electoral Commission was required to make judgments as to whether content within the statements could be perceived as ‘obscene, defamatory or otherwise unlawful’ [section 110</w:t>
      </w:r>
      <w:proofErr w:type="gramStart"/>
      <w:r w:rsidR="00825989">
        <w:t>A(</w:t>
      </w:r>
      <w:proofErr w:type="gramEnd"/>
      <w:r w:rsidR="00825989">
        <w:t>6)]. Making such judgements is inherently risky and open to accusations directed at the Commission of partiality.’</w:t>
      </w:r>
      <w:r w:rsidR="00825989">
        <w:rPr>
          <w:rStyle w:val="FootnoteReference"/>
        </w:rPr>
        <w:footnoteReference w:id="175"/>
      </w:r>
      <w:r>
        <w:t xml:space="preserve"> </w:t>
      </w:r>
    </w:p>
    <w:p w14:paraId="26AB2F9C" w14:textId="3C34093A" w:rsidR="00825989" w:rsidRDefault="00825989" w:rsidP="00825989">
      <w:pPr>
        <w:pStyle w:val="BodyText"/>
      </w:pPr>
      <w:r>
        <w:lastRenderedPageBreak/>
        <w:t>The Electoral Commission’s preference is to revert to the previous arrangement of hosting external links to candidate websites:</w:t>
      </w:r>
    </w:p>
    <w:p w14:paraId="3352BD07" w14:textId="651836D6" w:rsidR="00825989" w:rsidRDefault="00825989" w:rsidP="00825989">
      <w:pPr>
        <w:pStyle w:val="Quote"/>
      </w:pPr>
      <w:r w:rsidRPr="00825989">
        <w:t>‘</w:t>
      </w:r>
      <w:r w:rsidR="00666775">
        <w:t>[T]</w:t>
      </w:r>
      <w:r w:rsidRPr="00825989">
        <w:t>he former arrangement of hosting links on the Elections ACT webpage to respective party and candidate information sites best assures the necessary impartiality of the Commission while serving the intent of an informed electorate.’</w:t>
      </w:r>
      <w:r>
        <w:rPr>
          <w:rStyle w:val="FootnoteReference"/>
        </w:rPr>
        <w:footnoteReference w:id="176"/>
      </w:r>
      <w:r w:rsidRPr="00825989">
        <w:t xml:space="preserve"> </w:t>
      </w:r>
    </w:p>
    <w:p w14:paraId="2B40E84C" w14:textId="42A78AD2" w:rsidR="00825989" w:rsidRDefault="00825989" w:rsidP="00825989">
      <w:pPr>
        <w:pStyle w:val="BodyText"/>
      </w:pPr>
      <w:r>
        <w:t xml:space="preserve">The Electoral Commission </w:t>
      </w:r>
      <w:r w:rsidR="00666775">
        <w:t xml:space="preserve">alternatively </w:t>
      </w:r>
      <w:r>
        <w:t xml:space="preserve">suggested that </w:t>
      </w:r>
      <w:r w:rsidR="00666775">
        <w:t xml:space="preserve">another impartial </w:t>
      </w:r>
      <w:r>
        <w:t>organisation might assume the role:</w:t>
      </w:r>
    </w:p>
    <w:p w14:paraId="1835832C" w14:textId="5616D5E6" w:rsidR="00825989" w:rsidRDefault="00825989" w:rsidP="00825989">
      <w:pPr>
        <w:pStyle w:val="Quote"/>
      </w:pPr>
      <w:r>
        <w:t>‘</w:t>
      </w:r>
      <w:proofErr w:type="spellStart"/>
      <w:r>
        <w:t>Smartvote</w:t>
      </w:r>
      <w:proofErr w:type="spellEnd"/>
      <w:r>
        <w:t xml:space="preserve"> Australia reports that 42,302 users accessed the service as part of its ACT election coverage, 13.8 per cent of the ACT’s electorate or 15,525 more users than accessed the Elections ACT website’s legislated candidate statement pages.  This demonstrates the application of external solutions to the issues raised as part of the 2016 ACT election inquiry.’</w:t>
      </w:r>
      <w:r>
        <w:rPr>
          <w:rStyle w:val="FootnoteReference"/>
        </w:rPr>
        <w:footnoteReference w:id="177"/>
      </w:r>
      <w:r>
        <w:t xml:space="preserve"> </w:t>
      </w:r>
    </w:p>
    <w:p w14:paraId="5BB8A875" w14:textId="31C9C524" w:rsidR="00CA7713" w:rsidRPr="00C4628D" w:rsidRDefault="00666775" w:rsidP="00666775">
      <w:pPr>
        <w:pStyle w:val="BodyText"/>
      </w:pPr>
      <w:r>
        <w:t>Other submissions suggested an alternative body be identified to administer s110A.  Mark Fletcher stated:</w:t>
      </w:r>
      <w:r w:rsidR="00CA7713" w:rsidRPr="00C4628D">
        <w:t xml:space="preserve"> ‘it would be preferable that the Electoral Commission </w:t>
      </w:r>
      <w:proofErr w:type="gramStart"/>
      <w:r w:rsidR="00CA7713" w:rsidRPr="00C4628D">
        <w:t>not have</w:t>
      </w:r>
      <w:proofErr w:type="gramEnd"/>
      <w:r w:rsidR="00CA7713" w:rsidRPr="00C4628D">
        <w:t xml:space="preserve"> the role of publishing partisan content on its website’.  </w:t>
      </w:r>
      <w:r>
        <w:t>He suggested</w:t>
      </w:r>
      <w:r w:rsidR="00CA7713" w:rsidRPr="00C4628D">
        <w:t xml:space="preserve"> other options be explored to ‘satisfy the policy purpose of section 11A’.</w:t>
      </w:r>
      <w:r>
        <w:rPr>
          <w:rStyle w:val="FootnoteReference"/>
        </w:rPr>
        <w:footnoteReference w:id="178"/>
      </w:r>
      <w:r w:rsidR="00CA7713" w:rsidRPr="00C4628D">
        <w:t xml:space="preserve"> </w:t>
      </w:r>
      <w:r>
        <w:t xml:space="preserve"> Both Mark Fletcher and ACT Greens nominated </w:t>
      </w:r>
      <w:proofErr w:type="spellStart"/>
      <w:r>
        <w:t>Smartvote</w:t>
      </w:r>
      <w:proofErr w:type="spellEnd"/>
      <w:r>
        <w:t xml:space="preserve"> for this task.</w:t>
      </w:r>
      <w:r>
        <w:rPr>
          <w:rStyle w:val="FootnoteReference"/>
        </w:rPr>
        <w:footnoteReference w:id="179"/>
      </w:r>
    </w:p>
    <w:p w14:paraId="13C2C125" w14:textId="77777777" w:rsidR="004F6C9F" w:rsidRDefault="00666775" w:rsidP="004F6C9F">
      <w:pPr>
        <w:pStyle w:val="BodyText"/>
      </w:pPr>
      <w:r>
        <w:t>A third group of submitters expressed support for s110A</w:t>
      </w:r>
      <w:r w:rsidR="004F6C9F">
        <w:t>, such as Canberra Alliance for Participatory Democracy:</w:t>
      </w:r>
    </w:p>
    <w:p w14:paraId="6285F60A" w14:textId="478FF7B7" w:rsidR="004F6C9F" w:rsidRDefault="004F6C9F" w:rsidP="004F6C9F">
      <w:pPr>
        <w:pStyle w:val="Quote"/>
      </w:pPr>
      <w:r w:rsidRPr="004F6C9F">
        <w:t xml:space="preserve">‘The problem is that it would be preferable that the Electoral Commission </w:t>
      </w:r>
      <w:proofErr w:type="gramStart"/>
      <w:r w:rsidRPr="004F6C9F">
        <w:t>not have</w:t>
      </w:r>
      <w:proofErr w:type="gramEnd"/>
      <w:r w:rsidRPr="004F6C9F">
        <w:t xml:space="preserve"> the role of publishing partisan content on its website, but the increasing restrictions on other forms of information dissemination (such as roadside advertising) means that there needs to be some consideration for what should be done instead.’</w:t>
      </w:r>
      <w:r>
        <w:rPr>
          <w:rStyle w:val="FootnoteReference"/>
        </w:rPr>
        <w:footnoteReference w:id="180"/>
      </w:r>
      <w:r>
        <w:t xml:space="preserve">  </w:t>
      </w:r>
    </w:p>
    <w:p w14:paraId="3437035F" w14:textId="74CFF942" w:rsidR="001224DD" w:rsidRDefault="004F6C9F" w:rsidP="004F6C9F">
      <w:pPr>
        <w:pStyle w:val="BodyText"/>
      </w:pPr>
      <w:r>
        <w:t xml:space="preserve">Caroline Le Couteur noted the Electoral Commission’s </w:t>
      </w:r>
      <w:proofErr w:type="gramStart"/>
      <w:r>
        <w:t>concerns, but</w:t>
      </w:r>
      <w:proofErr w:type="gramEnd"/>
      <w:r>
        <w:t xml:space="preserve"> stated that the Commission</w:t>
      </w:r>
      <w:r w:rsidR="001224DD" w:rsidRPr="001224DD">
        <w:t xml:space="preserve"> should be required to continue publishing candidate statements, despite their objections</w:t>
      </w:r>
      <w:r>
        <w:t>.</w:t>
      </w:r>
      <w:r>
        <w:rPr>
          <w:rStyle w:val="FootnoteReference"/>
        </w:rPr>
        <w:footnoteReference w:id="181"/>
      </w:r>
    </w:p>
    <w:p w14:paraId="2A12DFD5" w14:textId="22230299" w:rsidR="004F6C9F" w:rsidRDefault="004F6C9F" w:rsidP="00CA7713">
      <w:pPr>
        <w:pStyle w:val="BodyText"/>
      </w:pPr>
      <w:r>
        <w:t xml:space="preserve">ACT Government was represented at the hearing by officials from Justice and Community Safety Directorate, in the absence of the Special Minister of State.  </w:t>
      </w:r>
      <w:r w:rsidR="001528D0">
        <w:t>Officials</w:t>
      </w:r>
      <w:r>
        <w:t xml:space="preserve"> observed that </w:t>
      </w:r>
      <w:r w:rsidR="001528D0">
        <w:t xml:space="preserve">there may be ways of administering s110A that preserve the Electoral Commission’s impartiality: </w:t>
      </w:r>
      <w:r>
        <w:t xml:space="preserve"> </w:t>
      </w:r>
    </w:p>
    <w:p w14:paraId="068C7FB9" w14:textId="7BE96400" w:rsidR="00CA7713" w:rsidRDefault="00CA7713" w:rsidP="001528D0">
      <w:pPr>
        <w:pStyle w:val="Quote"/>
      </w:pPr>
      <w:r>
        <w:lastRenderedPageBreak/>
        <w:t>‘</w:t>
      </w:r>
      <w:r w:rsidRPr="0002230F">
        <w:t xml:space="preserve">I would observe that it is possible for independent regulatory bodies to assist particularly with information dissemination. </w:t>
      </w:r>
      <w:r w:rsidR="004F6C9F">
        <w:t xml:space="preserve"> </w:t>
      </w:r>
      <w:r w:rsidRPr="0002230F">
        <w:t>There is a way of presenting information so that they are not owning that information, if that is the anxiety that the commission have flagged.</w:t>
      </w:r>
      <w:r>
        <w:t xml:space="preserve"> </w:t>
      </w:r>
      <w:r w:rsidRPr="0002230F">
        <w:t xml:space="preserve"> I think they can play a very important role in ensuring that the information is available in a single spot to electors. </w:t>
      </w:r>
      <w:r>
        <w:t xml:space="preserve"> </w:t>
      </w:r>
      <w:r w:rsidRPr="0002230F">
        <w:t>There is certainly merit in that, and I think there are ways of managing the discomfort and anxiety around the perception of bias or owning the representations that might be being made by parties, if that is the concern.</w:t>
      </w:r>
      <w:r>
        <w:t>’</w:t>
      </w:r>
      <w:r w:rsidR="004F6C9F">
        <w:rPr>
          <w:rStyle w:val="FootnoteReference"/>
        </w:rPr>
        <w:footnoteReference w:id="182"/>
      </w:r>
      <w:r>
        <w:t xml:space="preserve"> </w:t>
      </w:r>
    </w:p>
    <w:p w14:paraId="19C687AB" w14:textId="1F7162D6" w:rsidR="00CA7713" w:rsidRDefault="00CA7713" w:rsidP="00CA7713">
      <w:pPr>
        <w:pStyle w:val="Heading5"/>
      </w:pPr>
      <w:r>
        <w:t>Committee Comment</w:t>
      </w:r>
    </w:p>
    <w:p w14:paraId="1B9B870A" w14:textId="6AF2F1F7" w:rsidR="008D32DE" w:rsidRDefault="001528D0" w:rsidP="00C4628D">
      <w:pPr>
        <w:pStyle w:val="BodyText"/>
      </w:pPr>
      <w:r>
        <w:t>The Committee has listened carefully to the objections expressed by the Electoral Commission.  Unfortunately</w:t>
      </w:r>
      <w:r w:rsidR="008D32DE">
        <w:t>,</w:t>
      </w:r>
      <w:r>
        <w:t xml:space="preserve"> there is no </w:t>
      </w:r>
      <w:r w:rsidR="007E0A04">
        <w:t xml:space="preserve">identifiable </w:t>
      </w:r>
      <w:r>
        <w:t xml:space="preserve">alternative </w:t>
      </w:r>
      <w:r w:rsidR="008D32DE">
        <w:t>entity</w:t>
      </w:r>
      <w:r>
        <w:t xml:space="preserve"> </w:t>
      </w:r>
      <w:r w:rsidR="00505F5B">
        <w:t xml:space="preserve">with the required reputation for political impartiality </w:t>
      </w:r>
      <w:r w:rsidR="008D32DE">
        <w:t>that can</w:t>
      </w:r>
      <w:r>
        <w:t xml:space="preserve"> </w:t>
      </w:r>
      <w:r w:rsidR="008D32DE">
        <w:t xml:space="preserve">feasibly </w:t>
      </w:r>
      <w:r w:rsidR="007E0A04">
        <w:t>perform the functions in</w:t>
      </w:r>
      <w:r>
        <w:t xml:space="preserve"> s110A.  </w:t>
      </w:r>
    </w:p>
    <w:p w14:paraId="282B0179" w14:textId="77777777" w:rsidR="008D32DE" w:rsidRDefault="001528D0" w:rsidP="00C4628D">
      <w:pPr>
        <w:pStyle w:val="BodyText"/>
      </w:pPr>
      <w:r>
        <w:t xml:space="preserve">The Committee notes the comments of ACT Government officials that there may be ways of presenting information that preserve the Electoral Commission’s impartiality.  </w:t>
      </w:r>
    </w:p>
    <w:p w14:paraId="0CCB18C8" w14:textId="762B830F" w:rsidR="001528D0" w:rsidRDefault="008D32DE" w:rsidP="00C4628D">
      <w:pPr>
        <w:pStyle w:val="BodyText"/>
      </w:pPr>
      <w:r>
        <w:t>In response to the Electoral Commission’s concerns about s110</w:t>
      </w:r>
      <w:proofErr w:type="gramStart"/>
      <w:r>
        <w:t>A(</w:t>
      </w:r>
      <w:proofErr w:type="gramEnd"/>
      <w:r>
        <w:t>6), the</w:t>
      </w:r>
      <w:r w:rsidR="001528D0">
        <w:t xml:space="preserve"> </w:t>
      </w:r>
      <w:r>
        <w:t xml:space="preserve">Committee suggests that the Electoral </w:t>
      </w:r>
      <w:r w:rsidR="001528D0">
        <w:t xml:space="preserve">Commission might publish </w:t>
      </w:r>
      <w:r>
        <w:t xml:space="preserve">detailed </w:t>
      </w:r>
      <w:r w:rsidR="001528D0">
        <w:t xml:space="preserve">regulatory guidance about </w:t>
      </w:r>
      <w:r w:rsidR="007E0A04">
        <w:t xml:space="preserve">the interpretation of </w:t>
      </w:r>
      <w:r>
        <w:t>‘</w:t>
      </w:r>
      <w:r w:rsidR="001528D0">
        <w:t>obscene or defamatory content</w:t>
      </w:r>
      <w:r>
        <w:t>’</w:t>
      </w:r>
      <w:r w:rsidR="001528D0">
        <w:t xml:space="preserve"> </w:t>
      </w:r>
      <w:r>
        <w:t xml:space="preserve">to reduce the frequency of determinations on this question; </w:t>
      </w:r>
      <w:r w:rsidR="001528D0">
        <w:t xml:space="preserve">or </w:t>
      </w:r>
      <w:r>
        <w:t>appoint</w:t>
      </w:r>
      <w:r w:rsidR="001528D0">
        <w:t xml:space="preserve"> </w:t>
      </w:r>
      <w:r>
        <w:t xml:space="preserve">an advisory panel to conduct assessments under s110A(6).  </w:t>
      </w:r>
    </w:p>
    <w:p w14:paraId="7A545455" w14:textId="2C34A88B" w:rsidR="001528D0" w:rsidRDefault="001528D0" w:rsidP="00C4628D">
      <w:pPr>
        <w:pStyle w:val="BodyText"/>
      </w:pPr>
      <w:r>
        <w:t xml:space="preserve">At this time the Committee is not recommending amendment to s110A Electoral Act, but it will monitor the issue at future </w:t>
      </w:r>
      <w:r w:rsidR="008D32DE">
        <w:t xml:space="preserve">inquiries into Annual and Financial Reports.  </w:t>
      </w:r>
    </w:p>
    <w:p w14:paraId="4BB287FE" w14:textId="4829739C" w:rsidR="00BE0A44" w:rsidRDefault="00D10C39" w:rsidP="00BE0A44">
      <w:pPr>
        <w:pStyle w:val="Heading4"/>
      </w:pPr>
      <w:r>
        <w:t>Promotion of Candidate Statements</w:t>
      </w:r>
    </w:p>
    <w:p w14:paraId="6631E67E" w14:textId="0227F5EE" w:rsidR="00CA7713" w:rsidRDefault="00CA7713" w:rsidP="000E3DC9">
      <w:pPr>
        <w:pStyle w:val="BodyText"/>
      </w:pPr>
      <w:r>
        <w:t>During th</w:t>
      </w:r>
      <w:r w:rsidR="007E0A04">
        <w:t>is</w:t>
      </w:r>
      <w:r>
        <w:t xml:space="preserve"> inquiry there </w:t>
      </w:r>
      <w:r w:rsidR="008D32DE">
        <w:t>was enthusiasm for the idea</w:t>
      </w:r>
      <w:r>
        <w:t xml:space="preserve"> that the Electoral Commission </w:t>
      </w:r>
      <w:r w:rsidR="00825989">
        <w:t xml:space="preserve">actively promote the candidate information on their </w:t>
      </w:r>
      <w:proofErr w:type="gramStart"/>
      <w:r w:rsidR="00825989">
        <w:t>website, and</w:t>
      </w:r>
      <w:proofErr w:type="gramEnd"/>
      <w:r w:rsidR="00825989">
        <w:t xml:space="preserve"> conduct a public information campaign.  </w:t>
      </w:r>
    </w:p>
    <w:p w14:paraId="77A7A636" w14:textId="2EBB0E55" w:rsidR="005B18B4" w:rsidRDefault="005B18B4" w:rsidP="005B18B4">
      <w:pPr>
        <w:pStyle w:val="Quote"/>
      </w:pPr>
      <w:r w:rsidRPr="005B18B4">
        <w:t>‘</w:t>
      </w:r>
      <w:proofErr w:type="spellStart"/>
      <w:r w:rsidRPr="005B18B4">
        <w:t>CAPaD</w:t>
      </w:r>
      <w:proofErr w:type="spellEnd"/>
      <w:r w:rsidRPr="005B18B4">
        <w:t xml:space="preserve"> believes that the more accurate information that voters have about candidates in the lead up to elections, the better equipped they will be to vote for candidates who represent their interests and values.’</w:t>
      </w:r>
      <w:r>
        <w:rPr>
          <w:rStyle w:val="FootnoteReference"/>
        </w:rPr>
        <w:footnoteReference w:id="183"/>
      </w:r>
      <w:r w:rsidRPr="005B18B4">
        <w:t xml:space="preserve">  </w:t>
      </w:r>
    </w:p>
    <w:p w14:paraId="53F6717D" w14:textId="539AE20B" w:rsidR="005B18B4" w:rsidRDefault="005B18B4" w:rsidP="005B18B4">
      <w:pPr>
        <w:pStyle w:val="Quote"/>
      </w:pPr>
      <w:r>
        <w:t>‘[T]he Canberra Progressives would like to see Elections ACT responsible for delivering information to voters on parties and candidates, rather than leaving this important democratic process to the success or otherwise of the advertising and marketing efforts of cashed-up parties and individuals.’</w:t>
      </w:r>
      <w:r>
        <w:rPr>
          <w:rStyle w:val="FootnoteReference"/>
        </w:rPr>
        <w:footnoteReference w:id="184"/>
      </w:r>
      <w:r>
        <w:t xml:space="preserve"> </w:t>
      </w:r>
    </w:p>
    <w:p w14:paraId="7056EBAB" w14:textId="4A955473" w:rsidR="00825989" w:rsidRDefault="008D32DE" w:rsidP="00825989">
      <w:pPr>
        <w:pStyle w:val="BodyText"/>
      </w:pPr>
      <w:r>
        <w:lastRenderedPageBreak/>
        <w:t>ACT Greens recommended that</w:t>
      </w:r>
      <w:r w:rsidR="00825989" w:rsidRPr="00F23C54">
        <w:t xml:space="preserve"> Elections ACT proactively inform the public about the candidate information </w:t>
      </w:r>
      <w:r>
        <w:t>published</w:t>
      </w:r>
      <w:r w:rsidR="00825989" w:rsidRPr="00F23C54">
        <w:t xml:space="preserve"> on their website</w:t>
      </w:r>
      <w:r>
        <w:t xml:space="preserve"> under s110A Electoral Act:</w:t>
      </w:r>
      <w:r>
        <w:rPr>
          <w:rStyle w:val="FootnoteReference"/>
        </w:rPr>
        <w:footnoteReference w:id="185"/>
      </w:r>
    </w:p>
    <w:p w14:paraId="22B60637" w14:textId="7AB33B67" w:rsidR="008D32DE" w:rsidRDefault="008D32DE" w:rsidP="008D32DE">
      <w:pPr>
        <w:pStyle w:val="Quote"/>
      </w:pPr>
      <w:r>
        <w:t>‘</w:t>
      </w:r>
      <w:r w:rsidRPr="00BB6B07">
        <w:t xml:space="preserve">We believe that there is a case for the Electoral Commission to continue it, at least for one more election, and to have a campaign to promote it. </w:t>
      </w:r>
      <w:r>
        <w:t xml:space="preserve"> </w:t>
      </w:r>
      <w:r w:rsidRPr="00BB6B07">
        <w:t xml:space="preserve">Again, there is no point if you do not promote it. </w:t>
      </w:r>
      <w:r>
        <w:t xml:space="preserve"> </w:t>
      </w:r>
      <w:r w:rsidRPr="00BB6B07">
        <w:t>Nobody knows it is there, so you cannot go and look at it.</w:t>
      </w:r>
      <w:r>
        <w:t xml:space="preserve"> </w:t>
      </w:r>
      <w:r w:rsidRPr="00BB6B07">
        <w:t xml:space="preserve"> It needs to be promoted.</w:t>
      </w:r>
      <w:r>
        <w:t>’</w:t>
      </w:r>
      <w:r>
        <w:rPr>
          <w:rStyle w:val="FootnoteReference"/>
        </w:rPr>
        <w:footnoteReference w:id="186"/>
      </w:r>
      <w:r>
        <w:t xml:space="preserve"> </w:t>
      </w:r>
    </w:p>
    <w:p w14:paraId="1AFF2C69" w14:textId="70B267B7" w:rsidR="00D10C39" w:rsidRDefault="006B2DB9" w:rsidP="00D10C39">
      <w:pPr>
        <w:pStyle w:val="BodyText"/>
      </w:pPr>
      <w:r>
        <w:t xml:space="preserve">Submissions contained </w:t>
      </w:r>
      <w:r w:rsidR="005B18B4">
        <w:t>a range of</w:t>
      </w:r>
      <w:r>
        <w:t xml:space="preserve"> ideas for expanding the role of the </w:t>
      </w:r>
      <w:r w:rsidR="005B18B4">
        <w:t>Electoral Commission</w:t>
      </w:r>
      <w:r>
        <w:t xml:space="preserve"> in publishing </w:t>
      </w:r>
      <w:r w:rsidR="00D10C39">
        <w:t xml:space="preserve">candidate </w:t>
      </w:r>
      <w:r>
        <w:t>information</w:t>
      </w:r>
      <w:r w:rsidR="005B18B4">
        <w:t xml:space="preserve">, </w:t>
      </w:r>
      <w:proofErr w:type="gramStart"/>
      <w:r w:rsidR="005B18B4">
        <w:t>including:</w:t>
      </w:r>
      <w:proofErr w:type="gramEnd"/>
      <w:r w:rsidR="005B18B4">
        <w:t xml:space="preserve"> carousels or wall-mounted displays how-to-vote cards at polling places,</w:t>
      </w:r>
      <w:r w:rsidR="005B18B4">
        <w:rPr>
          <w:rStyle w:val="FootnoteReference"/>
        </w:rPr>
        <w:footnoteReference w:id="187"/>
      </w:r>
      <w:r w:rsidR="005B18B4">
        <w:t xml:space="preserve"> s110A information distributed through mobile polling places,</w:t>
      </w:r>
      <w:r w:rsidR="005B18B4">
        <w:rPr>
          <w:rStyle w:val="FootnoteReference"/>
        </w:rPr>
        <w:footnoteReference w:id="188"/>
      </w:r>
      <w:r w:rsidR="005B18B4">
        <w:t xml:space="preserve"> QR codes linking to how-to-vote material,</w:t>
      </w:r>
      <w:r w:rsidR="005B18B4">
        <w:rPr>
          <w:rStyle w:val="FootnoteReference"/>
        </w:rPr>
        <w:footnoteReference w:id="189"/>
      </w:r>
      <w:r w:rsidR="005B18B4">
        <w:t xml:space="preserve"> </w:t>
      </w:r>
      <w:r w:rsidR="00D10C39">
        <w:t>a</w:t>
      </w:r>
      <w:r w:rsidR="005B18B4">
        <w:t xml:space="preserve"> publicly funded </w:t>
      </w:r>
      <w:r w:rsidR="00D10C39">
        <w:t xml:space="preserve">booklet </w:t>
      </w:r>
      <w:r w:rsidR="005B18B4">
        <w:t>of candidate information posted</w:t>
      </w:r>
      <w:r w:rsidR="00D10C39">
        <w:t xml:space="preserve"> to every household in the ACT four weeks prior to every ACT Election</w:t>
      </w:r>
      <w:r w:rsidR="005B18B4">
        <w:t>,</w:t>
      </w:r>
      <w:r w:rsidR="005B18B4">
        <w:rPr>
          <w:rStyle w:val="FootnoteReference"/>
        </w:rPr>
        <w:footnoteReference w:id="190"/>
      </w:r>
      <w:r w:rsidR="005B18B4">
        <w:t xml:space="preserve"> and a public forum in each electorate.</w:t>
      </w:r>
      <w:r w:rsidR="005B18B4">
        <w:rPr>
          <w:rStyle w:val="FootnoteReference"/>
        </w:rPr>
        <w:footnoteReference w:id="191"/>
      </w:r>
    </w:p>
    <w:p w14:paraId="03EC3EFC" w14:textId="74125102" w:rsidR="00162504" w:rsidRDefault="00162504" w:rsidP="005B18B4">
      <w:pPr>
        <w:pStyle w:val="Heading4"/>
        <w:ind w:left="0"/>
      </w:pPr>
      <w:r>
        <w:t>Timing of Candidate Statements</w:t>
      </w:r>
    </w:p>
    <w:p w14:paraId="7A1E2476" w14:textId="77777777" w:rsidR="007E0A04" w:rsidRDefault="005B18B4" w:rsidP="00D10C39">
      <w:pPr>
        <w:pStyle w:val="BodyText"/>
      </w:pPr>
      <w:r>
        <w:t xml:space="preserve">In its report on the 2020 Election, the Electoral Commission recommended that, should the preferred option of removing s110A </w:t>
      </w:r>
      <w:r w:rsidR="00B24CE4">
        <w:t>not be agreed, then s110A be amended so that candidates and registered officers may lodge their candidate statements at the point of nomination.</w:t>
      </w:r>
      <w:r w:rsidR="00B24CE4">
        <w:rPr>
          <w:rStyle w:val="FootnoteReference"/>
        </w:rPr>
        <w:footnoteReference w:id="192"/>
      </w:r>
      <w:r w:rsidR="00B24CE4">
        <w:t xml:space="preserve">  </w:t>
      </w:r>
    </w:p>
    <w:p w14:paraId="4E154B8A" w14:textId="3DC999CD" w:rsidR="005B18B4" w:rsidRDefault="00B24CE4" w:rsidP="00D10C39">
      <w:pPr>
        <w:pStyle w:val="BodyText"/>
      </w:pPr>
      <w:r>
        <w:t>Several submitters agreed with this recommendation.</w:t>
      </w:r>
      <w:r>
        <w:rPr>
          <w:rStyle w:val="FootnoteReference"/>
        </w:rPr>
        <w:footnoteReference w:id="193"/>
      </w:r>
    </w:p>
    <w:tbl>
      <w:tblPr>
        <w:tblStyle w:val="TableGrid"/>
        <w:tblW w:w="9209" w:type="dxa"/>
        <w:tblInd w:w="-142" w:type="dxa"/>
        <w:tblLook w:val="04A0" w:firstRow="1" w:lastRow="0" w:firstColumn="1" w:lastColumn="0" w:noHBand="0" w:noVBand="1"/>
      </w:tblPr>
      <w:tblGrid>
        <w:gridCol w:w="9209"/>
      </w:tblGrid>
      <w:tr w:rsidR="00162504" w14:paraId="66283BAC"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495142" w14:textId="3BF27835" w:rsidR="00162504" w:rsidRDefault="00162504" w:rsidP="00246948">
            <w:pPr>
              <w:pStyle w:val="RecommendationHeading"/>
            </w:pPr>
            <w:bookmarkStart w:id="117" w:name="_Toc78382515"/>
            <w:r>
              <w:t xml:space="preserve">Recommendation </w:t>
            </w:r>
            <w:r w:rsidR="00E41791">
              <w:rPr>
                <w:noProof/>
              </w:rPr>
              <w:t>2</w:t>
            </w:r>
            <w:r w:rsidR="00D12E90">
              <w:rPr>
                <w:noProof/>
              </w:rPr>
              <w:t>6</w:t>
            </w:r>
            <w:bookmarkEnd w:id="117"/>
          </w:p>
          <w:p w14:paraId="34060630" w14:textId="0AEB4A20" w:rsidR="00162504" w:rsidRPr="00962807" w:rsidRDefault="00162504" w:rsidP="00162504">
            <w:pPr>
              <w:pStyle w:val="RecommendationText"/>
            </w:pPr>
            <w:bookmarkStart w:id="118" w:name="_Toc78382516"/>
            <w:r>
              <w:t>The Committee recommends the Electoral Act be amended to allow candidate statements to be lodged earlier in time, at the point of nomination.</w:t>
            </w:r>
            <w:bookmarkEnd w:id="118"/>
          </w:p>
        </w:tc>
      </w:tr>
    </w:tbl>
    <w:p w14:paraId="25BCA225" w14:textId="7A354C4B" w:rsidR="000E3DC9" w:rsidRDefault="000E3DC9" w:rsidP="000E3DC9">
      <w:pPr>
        <w:pStyle w:val="Heading3"/>
      </w:pPr>
      <w:bookmarkStart w:id="119" w:name="_Toc78535750"/>
      <w:r>
        <w:lastRenderedPageBreak/>
        <w:t>Authorisation of Electoral Matter</w:t>
      </w:r>
      <w:bookmarkEnd w:id="119"/>
      <w:r>
        <w:t xml:space="preserve"> </w:t>
      </w:r>
    </w:p>
    <w:p w14:paraId="30DFFBCE" w14:textId="33668276" w:rsidR="003C5103" w:rsidRDefault="003C5103" w:rsidP="003C5103">
      <w:pPr>
        <w:pStyle w:val="Heading4"/>
      </w:pPr>
      <w:r>
        <w:t>Legislative Framework</w:t>
      </w:r>
    </w:p>
    <w:p w14:paraId="1B5023BA" w14:textId="504FD374" w:rsidR="00B24CE4" w:rsidRDefault="003C5103" w:rsidP="00136F40">
      <w:pPr>
        <w:pStyle w:val="BodyText"/>
      </w:pPr>
      <w:r>
        <w:t>Section 292 of the Electoral Act requires electoral matter to contain an authorisation statement declaring the first and last name of the person who authorised the material.  Electoral matter is defined in s4 Electoral Act as ‘matter, in printed or electronic form, that is intended or likely to affect voting at an election’.</w:t>
      </w:r>
    </w:p>
    <w:p w14:paraId="73FA1B6C" w14:textId="4989A077" w:rsidR="003C5103" w:rsidRDefault="003C5103" w:rsidP="003C5103">
      <w:pPr>
        <w:pStyle w:val="Heading4"/>
      </w:pPr>
      <w:r>
        <w:t>Conduct during the 2020 Election</w:t>
      </w:r>
    </w:p>
    <w:p w14:paraId="6B3BFB1F" w14:textId="77777777" w:rsidR="003C5103" w:rsidRDefault="003C5103" w:rsidP="00136F40">
      <w:pPr>
        <w:pStyle w:val="BodyText"/>
      </w:pPr>
      <w:r>
        <w:t>The Electoral Commission reported that, during the 2020 election, n</w:t>
      </w:r>
      <w:r w:rsidR="00136F40" w:rsidRPr="00136F40">
        <w:t xml:space="preserve">o unauthorised material </w:t>
      </w:r>
      <w:r>
        <w:t xml:space="preserve">was </w:t>
      </w:r>
      <w:r w:rsidR="00136F40" w:rsidRPr="00136F40">
        <w:t xml:space="preserve">sent for prosecution: </w:t>
      </w:r>
    </w:p>
    <w:p w14:paraId="4B65B5A4" w14:textId="702F8CF0" w:rsidR="00136F40" w:rsidRPr="00136F40" w:rsidRDefault="00136F40" w:rsidP="003C5103">
      <w:pPr>
        <w:pStyle w:val="Quote"/>
      </w:pPr>
      <w:r w:rsidRPr="00136F40">
        <w:t xml:space="preserve">‘Under the Commissioner’s prosecution policy, all reported cases of unauthorised electoral matter are addressed in the first instance with a request to cease distribution of unauthorised matter and to ensure matter is correctly authorised. </w:t>
      </w:r>
      <w:r w:rsidR="003C5103">
        <w:t xml:space="preserve"> </w:t>
      </w:r>
      <w:r w:rsidRPr="00136F40">
        <w:t xml:space="preserve">This process is generally very effective. </w:t>
      </w:r>
      <w:r w:rsidR="003C5103">
        <w:t xml:space="preserve"> </w:t>
      </w:r>
      <w:r w:rsidRPr="00136F40">
        <w:t>The Commissioner did not see cause to refer any unauthorised material to ACT Policing for prosecution in 2020.’</w:t>
      </w:r>
      <w:r w:rsidR="003C5103">
        <w:rPr>
          <w:rStyle w:val="FootnoteReference"/>
        </w:rPr>
        <w:footnoteReference w:id="194"/>
      </w:r>
      <w:r w:rsidRPr="00136F40">
        <w:t xml:space="preserve"> </w:t>
      </w:r>
    </w:p>
    <w:p w14:paraId="7A525BB7" w14:textId="77777777" w:rsidR="00E62C3C" w:rsidRDefault="00E62C3C" w:rsidP="00E62C3C">
      <w:pPr>
        <w:pStyle w:val="Heading4"/>
      </w:pPr>
      <w:r>
        <w:t>Format of Authorisation Statement on Printed Material</w:t>
      </w:r>
    </w:p>
    <w:p w14:paraId="39EA3B71" w14:textId="29621131" w:rsidR="00D44407" w:rsidRDefault="00654087" w:rsidP="00654087">
      <w:pPr>
        <w:pStyle w:val="BodyText"/>
      </w:pPr>
      <w:r>
        <w:t xml:space="preserve">In its report on the 2020 Election, the Electoral Commission recommended </w:t>
      </w:r>
      <w:r w:rsidR="00983EC7">
        <w:t xml:space="preserve">that </w:t>
      </w:r>
      <w:r w:rsidR="00D44407">
        <w:t>s292 Electoral Act be expanded</w:t>
      </w:r>
      <w:r w:rsidR="00983EC7">
        <w:t xml:space="preserve"> to</w:t>
      </w:r>
      <w:r w:rsidR="00D44407">
        <w:t xml:space="preserve"> </w:t>
      </w:r>
      <w:r>
        <w:t>clarify how an authorisation is to appear on printed material</w:t>
      </w:r>
      <w:r w:rsidR="00D44407">
        <w:t>:</w:t>
      </w:r>
    </w:p>
    <w:p w14:paraId="2BC05296" w14:textId="1EE4C269" w:rsidR="00766F14" w:rsidRDefault="00D44407" w:rsidP="00D44407">
      <w:pPr>
        <w:pStyle w:val="Quote"/>
      </w:pPr>
      <w:r>
        <w:t>‘</w:t>
      </w:r>
      <w:r w:rsidR="00654087">
        <w:t>The Commission suggests mandating that the statement appear in black font upon a white background and a minimum font height be established for materials intended to be read at a distance and intended to be read up close</w:t>
      </w:r>
      <w:r>
        <w:t>.’</w:t>
      </w:r>
      <w:r>
        <w:rPr>
          <w:rStyle w:val="FootnoteReference"/>
        </w:rPr>
        <w:footnoteReference w:id="195"/>
      </w:r>
    </w:p>
    <w:p w14:paraId="133B2823" w14:textId="5E0FB446" w:rsidR="00654087" w:rsidRDefault="00D44407" w:rsidP="002E674A">
      <w:pPr>
        <w:pStyle w:val="BodyText"/>
      </w:pPr>
      <w:r>
        <w:t xml:space="preserve">ACT </w:t>
      </w:r>
      <w:proofErr w:type="spellStart"/>
      <w:r>
        <w:t>Labor</w:t>
      </w:r>
      <w:proofErr w:type="spellEnd"/>
      <w:r>
        <w:t xml:space="preserve"> in their submission supported the principle of the Electoral Commission’s recommendation, but expressed concern about the proposed implementation:</w:t>
      </w:r>
    </w:p>
    <w:p w14:paraId="69AA9748" w14:textId="21C8835B" w:rsidR="00D44407" w:rsidRDefault="00D44407" w:rsidP="00D44407">
      <w:pPr>
        <w:pStyle w:val="Quote"/>
      </w:pPr>
      <w:r>
        <w:t xml:space="preserve">‘The Commission's recommendation around font colour is too specific to account for variations in print material and would unnecessarily limit design choices for candidates trying to </w:t>
      </w:r>
      <w:r w:rsidRPr="00D44407">
        <w:t>communicate</w:t>
      </w:r>
      <w:r>
        <w:t xml:space="preserve"> with voters.  For example, a piece of material printed on green coloured paper would be unable to meet the requirements without highly specialised commercial printing capable of printing a white background on-top of the green paper.  Additionally, the recommendation in relation to a minimum font height to permit ease </w:t>
      </w:r>
      <w:r>
        <w:lastRenderedPageBreak/>
        <w:t>of reading at a reasonable distance would be unworkable for items such as corflutes which are typically read from the roadside.’</w:t>
      </w:r>
      <w:r>
        <w:rPr>
          <w:rStyle w:val="FootnoteReference"/>
        </w:rPr>
        <w:footnoteReference w:id="196"/>
      </w:r>
    </w:p>
    <w:p w14:paraId="0F16FF51" w14:textId="1DEE0C9D" w:rsidR="007E0A04" w:rsidRDefault="00D44407" w:rsidP="0033525B">
      <w:pPr>
        <w:pStyle w:val="BodyText"/>
      </w:pPr>
      <w:r>
        <w:t xml:space="preserve">ACT </w:t>
      </w:r>
      <w:proofErr w:type="spellStart"/>
      <w:r>
        <w:t>Labor</w:t>
      </w:r>
      <w:proofErr w:type="spellEnd"/>
      <w:r>
        <w:t xml:space="preserve"> instead suggest</w:t>
      </w:r>
      <w:r w:rsidR="003A2038">
        <w:t>ed</w:t>
      </w:r>
      <w:r>
        <w:t xml:space="preserve"> that the ACT adopt the Commonwealth approach of mandating ‘a font size that can be read by a person with 20/20 vision without the use of any visual aid’.</w:t>
      </w:r>
      <w:r>
        <w:rPr>
          <w:rStyle w:val="FootnoteReference"/>
        </w:rPr>
        <w:footnoteReference w:id="197"/>
      </w:r>
      <w:r w:rsidR="007E0A04">
        <w:t xml:space="preserve">  This language is contained in </w:t>
      </w:r>
      <w:r w:rsidR="007E0A04" w:rsidRPr="00983EC7">
        <w:t xml:space="preserve">Section 9 </w:t>
      </w:r>
      <w:r w:rsidR="007E0A04">
        <w:t xml:space="preserve">of the </w:t>
      </w:r>
      <w:r w:rsidR="007E0A04" w:rsidRPr="00983EC7">
        <w:t>Commonwealth Electoral (Authorisation of Voter Communication) Determination 2018</w:t>
      </w:r>
      <w:r w:rsidR="007E0A04">
        <w:t>.</w:t>
      </w:r>
      <w:r w:rsidR="007E0A04">
        <w:rPr>
          <w:rStyle w:val="FootnoteReference"/>
        </w:rPr>
        <w:footnoteReference w:id="198"/>
      </w:r>
    </w:p>
    <w:p w14:paraId="4553D9C3" w14:textId="4EF465BE" w:rsidR="00983EC7" w:rsidRDefault="00983EC7" w:rsidP="00983EC7">
      <w:pPr>
        <w:pStyle w:val="Heading5"/>
      </w:pPr>
      <w:r>
        <w:t>Committee Comment</w:t>
      </w:r>
    </w:p>
    <w:p w14:paraId="10F00A3C" w14:textId="6203CF1D" w:rsidR="00983EC7" w:rsidRDefault="00983EC7" w:rsidP="002E674A">
      <w:pPr>
        <w:pStyle w:val="BodyText"/>
      </w:pPr>
      <w:r>
        <w:t xml:space="preserve">The Committee notes that </w:t>
      </w:r>
      <w:r w:rsidR="007E0A04">
        <w:t>the Commonwealth electoral system</w:t>
      </w:r>
      <w:r>
        <w:t xml:space="preserve"> </w:t>
      </w:r>
      <w:r w:rsidR="007E0A04">
        <w:t>adopts</w:t>
      </w:r>
      <w:r>
        <w:t xml:space="preserve"> a defined </w:t>
      </w:r>
      <w:r w:rsidR="004007BC">
        <w:t>but</w:t>
      </w:r>
      <w:r>
        <w:t xml:space="preserve"> </w:t>
      </w:r>
      <w:r w:rsidR="004007BC">
        <w:t xml:space="preserve">contextual </w:t>
      </w:r>
      <w:r w:rsidR="007E0A04">
        <w:t xml:space="preserve">and flexible </w:t>
      </w:r>
      <w:r>
        <w:t xml:space="preserve">framework for regulating the format of authorisation statements on printed material.  This approach is preferable to prescribing font height and colour in legislation. </w:t>
      </w:r>
    </w:p>
    <w:tbl>
      <w:tblPr>
        <w:tblStyle w:val="TableGrid"/>
        <w:tblW w:w="9209" w:type="dxa"/>
        <w:tblInd w:w="-142" w:type="dxa"/>
        <w:tblLook w:val="04A0" w:firstRow="1" w:lastRow="0" w:firstColumn="1" w:lastColumn="0" w:noHBand="0" w:noVBand="1"/>
      </w:tblPr>
      <w:tblGrid>
        <w:gridCol w:w="9209"/>
      </w:tblGrid>
      <w:tr w:rsidR="00E62C3C" w14:paraId="659122DD" w14:textId="77777777" w:rsidTr="00E62C3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518A15C" w14:textId="6D692DDA" w:rsidR="00E62C3C" w:rsidRDefault="00E62C3C" w:rsidP="00E62C3C">
            <w:pPr>
              <w:pStyle w:val="RecommendationHeading"/>
            </w:pPr>
            <w:bookmarkStart w:id="120" w:name="_Toc78382517"/>
            <w:r>
              <w:t xml:space="preserve">Recommendation </w:t>
            </w:r>
            <w:r w:rsidR="00E41791">
              <w:rPr>
                <w:noProof/>
              </w:rPr>
              <w:t>2</w:t>
            </w:r>
            <w:r w:rsidR="00D12E90">
              <w:rPr>
                <w:noProof/>
              </w:rPr>
              <w:t>7</w:t>
            </w:r>
            <w:bookmarkEnd w:id="120"/>
          </w:p>
          <w:p w14:paraId="0CF31C4B" w14:textId="517D89D6" w:rsidR="00E62C3C" w:rsidRPr="00962807" w:rsidRDefault="00E62C3C" w:rsidP="00E62C3C">
            <w:pPr>
              <w:pStyle w:val="RecommendationText"/>
            </w:pPr>
            <w:bookmarkStart w:id="121" w:name="_Toc78382518"/>
            <w:r w:rsidRPr="00246948">
              <w:t>The Committee recommends</w:t>
            </w:r>
            <w:r w:rsidR="00CF3127">
              <w:t xml:space="preserve"> </w:t>
            </w:r>
            <w:r w:rsidR="00983EC7">
              <w:t>a legislative instrument</w:t>
            </w:r>
            <w:r w:rsidR="003C5103">
              <w:t xml:space="preserve"> be established</w:t>
            </w:r>
            <w:r w:rsidR="00CF3127">
              <w:t xml:space="preserve"> under</w:t>
            </w:r>
            <w:r w:rsidRPr="00246948">
              <w:t xml:space="preserve"> s292 of the Electoral Act</w:t>
            </w:r>
            <w:r w:rsidR="00707FD1">
              <w:t xml:space="preserve"> </w:t>
            </w:r>
            <w:r w:rsidRPr="00246948">
              <w:t xml:space="preserve">to clarify how an authorisation </w:t>
            </w:r>
            <w:r w:rsidR="00CF3127">
              <w:t xml:space="preserve">statement </w:t>
            </w:r>
            <w:r w:rsidRPr="00246948">
              <w:t>is to appear on printed material</w:t>
            </w:r>
            <w:r w:rsidR="00CF3127">
              <w:t>.</w:t>
            </w:r>
            <w:bookmarkEnd w:id="121"/>
            <w:r w:rsidR="00CF3127">
              <w:t xml:space="preserve"> </w:t>
            </w:r>
          </w:p>
        </w:tc>
      </w:tr>
    </w:tbl>
    <w:p w14:paraId="73C19CC9" w14:textId="06B3E40F" w:rsidR="00246948" w:rsidRDefault="00E62C3C" w:rsidP="00E62C3C">
      <w:pPr>
        <w:pStyle w:val="Heading4"/>
      </w:pPr>
      <w:r>
        <w:t>Format of Authorisation Statement in Social Media</w:t>
      </w:r>
    </w:p>
    <w:p w14:paraId="42AFAFE3" w14:textId="78C2802D" w:rsidR="00766F14" w:rsidRDefault="00983EC7" w:rsidP="002E674A">
      <w:pPr>
        <w:pStyle w:val="BodyText"/>
      </w:pPr>
      <w:r w:rsidRPr="00983EC7">
        <w:t>In its report on the 2020 Election, the Electoral Commission recommended that</w:t>
      </w:r>
      <w:r>
        <w:t xml:space="preserve"> s292 Electoral Act be expanded to clarify how an authorisation statement is to appear within social media accounts.</w:t>
      </w:r>
      <w:r w:rsidR="00707FD1">
        <w:rPr>
          <w:rStyle w:val="FootnoteReference"/>
        </w:rPr>
        <w:footnoteReference w:id="199"/>
      </w:r>
    </w:p>
    <w:p w14:paraId="11EC4AA3" w14:textId="196D9B0B" w:rsidR="00707FD1" w:rsidRPr="00246948" w:rsidRDefault="00707FD1" w:rsidP="002E674A">
      <w:pPr>
        <w:pStyle w:val="BodyText"/>
      </w:pPr>
      <w:r w:rsidRPr="00983EC7">
        <w:t xml:space="preserve">Section 9 </w:t>
      </w:r>
      <w:r>
        <w:t xml:space="preserve">of the </w:t>
      </w:r>
      <w:r w:rsidRPr="00983EC7">
        <w:t xml:space="preserve">Commonwealth </w:t>
      </w:r>
      <w:r w:rsidRPr="00366A9C">
        <w:t>Electoral (Authorisation of Voter Communication) Determination 201</w:t>
      </w:r>
      <w:r w:rsidR="007E0A04" w:rsidRPr="00366A9C">
        <w:t xml:space="preserve">8, discussed above at paragraph </w:t>
      </w:r>
      <w:r w:rsidR="007632FA" w:rsidRPr="00366A9C">
        <w:t>7.64</w:t>
      </w:r>
      <w:r w:rsidR="007E0A04" w:rsidRPr="00366A9C">
        <w:t>,</w:t>
      </w:r>
      <w:r w:rsidRPr="00366A9C">
        <w:t xml:space="preserve"> also</w:t>
      </w:r>
      <w:r>
        <w:t xml:space="preserve"> provides a framework for regulating the format of authorisation statements in social media.</w:t>
      </w:r>
      <w:r w:rsidR="005D07F8">
        <w:rPr>
          <w:rStyle w:val="FootnoteReference"/>
        </w:rPr>
        <w:footnoteReference w:id="200"/>
      </w:r>
      <w:r>
        <w:t xml:space="preserve"> </w:t>
      </w:r>
    </w:p>
    <w:tbl>
      <w:tblPr>
        <w:tblStyle w:val="TableGrid"/>
        <w:tblW w:w="9209" w:type="dxa"/>
        <w:tblInd w:w="-142" w:type="dxa"/>
        <w:tblLook w:val="04A0" w:firstRow="1" w:lastRow="0" w:firstColumn="1" w:lastColumn="0" w:noHBand="0" w:noVBand="1"/>
      </w:tblPr>
      <w:tblGrid>
        <w:gridCol w:w="9209"/>
      </w:tblGrid>
      <w:tr w:rsidR="00246948" w14:paraId="723F1B3B"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245A25C" w14:textId="5F14A12D" w:rsidR="00246948" w:rsidRDefault="00246948" w:rsidP="00246948">
            <w:pPr>
              <w:pStyle w:val="RecommendationHeading"/>
            </w:pPr>
            <w:bookmarkStart w:id="122" w:name="_Toc78382519"/>
            <w:r>
              <w:t xml:space="preserve">Recommendation </w:t>
            </w:r>
            <w:r w:rsidR="00E41791">
              <w:rPr>
                <w:noProof/>
              </w:rPr>
              <w:t>2</w:t>
            </w:r>
            <w:r w:rsidR="00D12E90">
              <w:rPr>
                <w:noProof/>
              </w:rPr>
              <w:t>8</w:t>
            </w:r>
            <w:bookmarkEnd w:id="122"/>
          </w:p>
          <w:p w14:paraId="23904F4E" w14:textId="5F56DAAA" w:rsidR="00246948" w:rsidRPr="00962807" w:rsidRDefault="00246948" w:rsidP="00246948">
            <w:pPr>
              <w:pStyle w:val="RecommendationText"/>
            </w:pPr>
            <w:bookmarkStart w:id="123" w:name="_Toc78382520"/>
            <w:r w:rsidRPr="00246948">
              <w:t xml:space="preserve">The Committee recommends </w:t>
            </w:r>
            <w:r w:rsidR="00707FD1">
              <w:t>a legislative instrument</w:t>
            </w:r>
            <w:r w:rsidR="00983EC7">
              <w:t xml:space="preserve"> be established under </w:t>
            </w:r>
            <w:r w:rsidRPr="00246948">
              <w:t>s292 of the Electoral Act</w:t>
            </w:r>
            <w:r w:rsidR="00707FD1">
              <w:t xml:space="preserve"> </w:t>
            </w:r>
            <w:r w:rsidRPr="00246948">
              <w:t>to clarify how an authorisation statement is to appear within social media accounts</w:t>
            </w:r>
            <w:r>
              <w:t>.</w:t>
            </w:r>
            <w:bookmarkEnd w:id="123"/>
          </w:p>
        </w:tc>
      </w:tr>
    </w:tbl>
    <w:p w14:paraId="39F55B47" w14:textId="18B980B9" w:rsidR="00246948" w:rsidRDefault="00246948" w:rsidP="00246948">
      <w:pPr>
        <w:pStyle w:val="Heading4"/>
      </w:pPr>
      <w:r>
        <w:lastRenderedPageBreak/>
        <w:t xml:space="preserve">Exception for </w:t>
      </w:r>
      <w:r w:rsidR="00E62C3C">
        <w:t>P</w:t>
      </w:r>
      <w:r>
        <w:t xml:space="preserve">ersonal </w:t>
      </w:r>
      <w:r w:rsidR="00E62C3C">
        <w:t>V</w:t>
      </w:r>
      <w:r>
        <w:t xml:space="preserve">iews on </w:t>
      </w:r>
      <w:r w:rsidR="00E62C3C">
        <w:t>S</w:t>
      </w:r>
      <w:r>
        <w:t xml:space="preserve">ocial </w:t>
      </w:r>
      <w:r w:rsidR="00E62C3C">
        <w:t>M</w:t>
      </w:r>
      <w:r>
        <w:t>edia</w:t>
      </w:r>
    </w:p>
    <w:p w14:paraId="1345145D" w14:textId="6B2CCB98" w:rsidR="00941D5C" w:rsidRDefault="00941D5C" w:rsidP="00136F40">
      <w:pPr>
        <w:pStyle w:val="BodyText"/>
      </w:pPr>
      <w:r>
        <w:t>Section 293A Electoral Act provides that electoral matter does not require an authorisation statement if it is disseminated through social media, and forms part of the individual’s personal political views.</w:t>
      </w:r>
    </w:p>
    <w:p w14:paraId="6025ADF6" w14:textId="6B84CD27" w:rsidR="00707FD1" w:rsidRDefault="00707FD1" w:rsidP="00136F40">
      <w:pPr>
        <w:pStyle w:val="BodyText"/>
      </w:pPr>
      <w:r w:rsidRPr="00983EC7">
        <w:t>In its report on the 2020 Election, the Electoral Commission recommended that</w:t>
      </w:r>
      <w:r>
        <w:t xml:space="preserve"> s293A Electoral Act be amended to clarify that the exception to the inclusion of an authorisation statement extends only to an individual’s personal views on social media if the individual is acting in their own name and in a private capacity, not acting for a special interest profile</w:t>
      </w:r>
      <w:r w:rsidR="00941D5C">
        <w:t>.</w:t>
      </w:r>
      <w:r>
        <w:rPr>
          <w:rStyle w:val="FootnoteReference"/>
        </w:rPr>
        <w:footnoteReference w:id="201"/>
      </w:r>
    </w:p>
    <w:p w14:paraId="47447CA9" w14:textId="0B58772E" w:rsidR="00136F40" w:rsidRDefault="00136F40" w:rsidP="00941D5C">
      <w:pPr>
        <w:pStyle w:val="Quote"/>
      </w:pPr>
      <w:r>
        <w:t>‘While this amendment has succeeded in exempting this class of publication, it has created some confusion in the community about the requirements for authorisation of social media content and has also created difficulties for the Electoral Commission in communicating the requirements.’</w:t>
      </w:r>
      <w:r w:rsidR="00941D5C">
        <w:rPr>
          <w:rStyle w:val="FootnoteReference"/>
        </w:rPr>
        <w:footnoteReference w:id="202"/>
      </w:r>
      <w:r>
        <w:t xml:space="preserve"> </w:t>
      </w:r>
    </w:p>
    <w:tbl>
      <w:tblPr>
        <w:tblStyle w:val="TableGrid"/>
        <w:tblW w:w="9209" w:type="dxa"/>
        <w:tblInd w:w="-142" w:type="dxa"/>
        <w:tblLook w:val="04A0" w:firstRow="1" w:lastRow="0" w:firstColumn="1" w:lastColumn="0" w:noHBand="0" w:noVBand="1"/>
      </w:tblPr>
      <w:tblGrid>
        <w:gridCol w:w="9209"/>
      </w:tblGrid>
      <w:tr w:rsidR="00246948" w14:paraId="3F37DECB"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50C4F6E" w14:textId="77777777" w:rsidR="00366A9C" w:rsidRDefault="00246948" w:rsidP="00366A9C">
            <w:pPr>
              <w:pStyle w:val="RecommendationHeading"/>
              <w:rPr>
                <w:noProof/>
              </w:rPr>
            </w:pPr>
            <w:bookmarkStart w:id="124" w:name="_Toc78382521"/>
            <w:r w:rsidRPr="00366A9C">
              <w:t xml:space="preserve">Recommendation </w:t>
            </w:r>
            <w:r w:rsidR="00E41791" w:rsidRPr="00366A9C">
              <w:rPr>
                <w:noProof/>
              </w:rPr>
              <w:t>2</w:t>
            </w:r>
            <w:r w:rsidR="00D12E90" w:rsidRPr="00366A9C">
              <w:rPr>
                <w:noProof/>
              </w:rPr>
              <w:t>9</w:t>
            </w:r>
            <w:bookmarkEnd w:id="124"/>
          </w:p>
          <w:p w14:paraId="31059BD4" w14:textId="2F943D9C" w:rsidR="00246948" w:rsidRPr="00366A9C" w:rsidRDefault="00246948" w:rsidP="00366A9C">
            <w:pPr>
              <w:pStyle w:val="RecommendationText"/>
            </w:pPr>
            <w:bookmarkStart w:id="125" w:name="_Toc78382522"/>
            <w:r w:rsidRPr="00366A9C">
              <w:t xml:space="preserve">The Committee recommends </w:t>
            </w:r>
            <w:r w:rsidR="00A46245" w:rsidRPr="00366A9C">
              <w:t xml:space="preserve">that ACT Government explore options for refining the scope of ‘personal views on social media’ in s293A Electoral Act, to meet the policy intention outlined by the Electoral Commission </w:t>
            </w:r>
            <w:r w:rsidR="00327FC7" w:rsidRPr="00366A9C">
              <w:t>and</w:t>
            </w:r>
            <w:r w:rsidR="00A46245" w:rsidRPr="00366A9C">
              <w:t xml:space="preserve"> avoid unintended consequences; and report to the Assembly by March 2022.</w:t>
            </w:r>
            <w:bookmarkEnd w:id="125"/>
            <w:r w:rsidR="00A46245" w:rsidRPr="00366A9C">
              <w:t xml:space="preserve">  </w:t>
            </w:r>
          </w:p>
        </w:tc>
      </w:tr>
    </w:tbl>
    <w:p w14:paraId="2BA1D341" w14:textId="3440D240" w:rsidR="00246948" w:rsidRDefault="00246948" w:rsidP="00246948">
      <w:pPr>
        <w:pStyle w:val="Heading4"/>
      </w:pPr>
      <w:r>
        <w:t>Definition of Electoral Matter</w:t>
      </w:r>
    </w:p>
    <w:p w14:paraId="08D80363" w14:textId="77777777" w:rsidR="00735053" w:rsidRDefault="00735053" w:rsidP="00B17EA1">
      <w:pPr>
        <w:pStyle w:val="BodyText"/>
      </w:pPr>
      <w:r>
        <w:t xml:space="preserve">As mentioned above, electoral matter is defined in s4 Electoral Act as ‘matter, in printed or electronic form, that is intended or likely to affect voting at an election’.  </w:t>
      </w:r>
    </w:p>
    <w:p w14:paraId="434B7625" w14:textId="4692CD3A" w:rsidR="00941D5C" w:rsidRDefault="00941D5C" w:rsidP="00B17EA1">
      <w:pPr>
        <w:pStyle w:val="BodyText"/>
      </w:pPr>
      <w:r>
        <w:t xml:space="preserve">Two submissions to the inquiry expressed concern about the </w:t>
      </w:r>
      <w:r w:rsidR="006E7BF3">
        <w:t>breadth of coverage</w:t>
      </w:r>
      <w:r>
        <w:t xml:space="preserve"> of </w:t>
      </w:r>
      <w:r w:rsidR="008C3A4E">
        <w:t xml:space="preserve">s4 and </w:t>
      </w:r>
      <w:r>
        <w:t xml:space="preserve">s292 </w:t>
      </w:r>
      <w:r w:rsidR="008C3A4E">
        <w:t>Electoral Act.</w:t>
      </w:r>
      <w:r w:rsidR="00CB5C64">
        <w:rPr>
          <w:rStyle w:val="FootnoteReference"/>
        </w:rPr>
        <w:footnoteReference w:id="203"/>
      </w:r>
      <w:r w:rsidR="008C3A4E">
        <w:t xml:space="preserve">  </w:t>
      </w:r>
    </w:p>
    <w:p w14:paraId="0CF87072" w14:textId="19ECC82C" w:rsidR="00B17EA1" w:rsidRDefault="00B17EA1" w:rsidP="006E7BF3">
      <w:pPr>
        <w:pStyle w:val="Quote"/>
      </w:pPr>
      <w:r w:rsidRPr="0042771A">
        <w:t>‘The requirements for authorising material are potentially extremely wide ranging, ongoing and open ended.</w:t>
      </w:r>
      <w:r w:rsidR="008C3A4E">
        <w:t xml:space="preserve"> </w:t>
      </w:r>
      <w:r w:rsidRPr="0042771A">
        <w:t xml:space="preserve"> If strictly interpreted, they require a range of ACT community organisations to include permanent authorisations on a wide range of material, newsletters and sites that could be taken to comment on government policy, raise policy issues or discuss normal interactions with elected officials.’</w:t>
      </w:r>
      <w:r w:rsidR="00CB5C64">
        <w:rPr>
          <w:rStyle w:val="FootnoteReference"/>
        </w:rPr>
        <w:footnoteReference w:id="204"/>
      </w:r>
      <w:r w:rsidRPr="0042771A">
        <w:t xml:space="preserve"> </w:t>
      </w:r>
    </w:p>
    <w:p w14:paraId="6FBD6552" w14:textId="470A8E84" w:rsidR="006E7BF3" w:rsidRPr="0042771A" w:rsidRDefault="006E7BF3" w:rsidP="006E7BF3">
      <w:pPr>
        <w:pStyle w:val="Quote"/>
      </w:pPr>
      <w:r>
        <w:t>‘</w:t>
      </w:r>
      <w:r w:rsidRPr="0096517D">
        <w:t xml:space="preserve">They also appear to apply at all times, including outside </w:t>
      </w:r>
      <w:proofErr w:type="gramStart"/>
      <w:r w:rsidRPr="0096517D">
        <w:t>elections</w:t>
      </w:r>
      <w:r>
        <w:t>’</w:t>
      </w:r>
      <w:proofErr w:type="gramEnd"/>
      <w:r w:rsidR="00CB5C64">
        <w:t>.</w:t>
      </w:r>
      <w:r w:rsidR="00CB5C64">
        <w:rPr>
          <w:rStyle w:val="FootnoteReference"/>
        </w:rPr>
        <w:footnoteReference w:id="205"/>
      </w:r>
      <w:r>
        <w:t xml:space="preserve"> </w:t>
      </w:r>
    </w:p>
    <w:p w14:paraId="00FBBA6F" w14:textId="266B94B6" w:rsidR="006E7BF3" w:rsidRDefault="008C3A4E" w:rsidP="00B17EA1">
      <w:pPr>
        <w:pStyle w:val="BodyText"/>
      </w:pPr>
      <w:r>
        <w:lastRenderedPageBreak/>
        <w:t xml:space="preserve">ACTCOSS told the Committee that </w:t>
      </w:r>
      <w:r w:rsidR="00CB5C64">
        <w:t>there is a distinction between ‘commentary on the business of government’ and ‘political material’.</w:t>
      </w:r>
      <w:r w:rsidR="00CB5C64">
        <w:rPr>
          <w:rStyle w:val="FootnoteReference"/>
        </w:rPr>
        <w:footnoteReference w:id="206"/>
      </w:r>
      <w:r w:rsidR="00CB5C64">
        <w:t xml:space="preserve">  T</w:t>
      </w:r>
      <w:r>
        <w:t xml:space="preserve">he community sector is </w:t>
      </w:r>
      <w:r w:rsidR="00B17EA1" w:rsidRPr="0042771A">
        <w:t>concerned the</w:t>
      </w:r>
      <w:r w:rsidR="006E7BF3">
        <w:t xml:space="preserve"> scope of </w:t>
      </w:r>
      <w:r w:rsidR="00CB5C64">
        <w:t>s292</w:t>
      </w:r>
      <w:r w:rsidR="006E7BF3">
        <w:t xml:space="preserve"> </w:t>
      </w:r>
      <w:r w:rsidR="00B17EA1" w:rsidRPr="0042771A">
        <w:t>misrepresent</w:t>
      </w:r>
      <w:r w:rsidR="006E7BF3">
        <w:t>s</w:t>
      </w:r>
      <w:r w:rsidR="00B17EA1" w:rsidRPr="0042771A">
        <w:t xml:space="preserve"> </w:t>
      </w:r>
      <w:r w:rsidR="008D660A">
        <w:t>systemic advocacy</w:t>
      </w:r>
      <w:r w:rsidR="00B17EA1" w:rsidRPr="0042771A">
        <w:t xml:space="preserve"> as partisan or political</w:t>
      </w:r>
      <w:r w:rsidR="008D660A">
        <w:t xml:space="preserve"> activity:</w:t>
      </w:r>
    </w:p>
    <w:p w14:paraId="31FE6F13" w14:textId="0AF62C17" w:rsidR="00B17EA1" w:rsidRDefault="006E7BF3" w:rsidP="006E7BF3">
      <w:pPr>
        <w:pStyle w:val="Quote"/>
      </w:pPr>
      <w:r>
        <w:t>‘</w:t>
      </w:r>
      <w:r w:rsidR="00B17EA1" w:rsidRPr="0042771A">
        <w:t>Advocacy organisations, including peak bodies like ACTCOSS, have a legitimate remit to examine the quality of public administration without it being considered partisan or electorally motivated.’</w:t>
      </w:r>
      <w:r w:rsidR="00CB5C64">
        <w:rPr>
          <w:rStyle w:val="FootnoteReference"/>
        </w:rPr>
        <w:footnoteReference w:id="207"/>
      </w:r>
      <w:r w:rsidR="00B17EA1" w:rsidRPr="0042771A">
        <w:t xml:space="preserve"> </w:t>
      </w:r>
    </w:p>
    <w:p w14:paraId="1AAE72EC" w14:textId="56C76C42" w:rsidR="0096517D" w:rsidRPr="0042771A" w:rsidRDefault="0096517D" w:rsidP="00735053">
      <w:pPr>
        <w:pStyle w:val="Quote"/>
      </w:pPr>
      <w:r>
        <w:t>‘</w:t>
      </w:r>
      <w:r w:rsidR="00CB5C64">
        <w:t>[W]</w:t>
      </w:r>
      <w:r w:rsidRPr="0096517D">
        <w:t xml:space="preserve">e </w:t>
      </w:r>
      <w:proofErr w:type="gramStart"/>
      <w:r w:rsidRPr="0096517D">
        <w:t>were</w:t>
      </w:r>
      <w:proofErr w:type="gramEnd"/>
      <w:r w:rsidRPr="0096517D">
        <w:t xml:space="preserve"> pleased to receive assurances from Elections ACT that they would exercise discretion in their application. </w:t>
      </w:r>
      <w:r w:rsidR="00735053">
        <w:t xml:space="preserve"> </w:t>
      </w:r>
      <w:r w:rsidRPr="0096517D">
        <w:t>However, the scope, reach and disproportionate impact of the authorisation requirements remains a concern to us, as well as the apparent focus of compliance activities.</w:t>
      </w:r>
      <w:r>
        <w:t>’</w:t>
      </w:r>
      <w:r w:rsidR="00CB5C64">
        <w:rPr>
          <w:rStyle w:val="FootnoteReference"/>
        </w:rPr>
        <w:footnoteReference w:id="208"/>
      </w:r>
      <w:r>
        <w:t xml:space="preserve"> </w:t>
      </w:r>
    </w:p>
    <w:p w14:paraId="58D1CA03" w14:textId="77777777" w:rsidR="00DC20D8" w:rsidRDefault="00DC20D8" w:rsidP="00DC20D8">
      <w:pPr>
        <w:pStyle w:val="BodyText"/>
      </w:pPr>
      <w:r>
        <w:t>ACTCOSS told the Committee that ‘d</w:t>
      </w:r>
      <w:r w:rsidRPr="001224DD">
        <w:t>isseminating unauthorised electoral matter’ in s292 captures ordinary activity of community organisations</w:t>
      </w:r>
      <w:r>
        <w:t xml:space="preserve">: </w:t>
      </w:r>
    </w:p>
    <w:p w14:paraId="25A75009" w14:textId="77777777" w:rsidR="00DC20D8" w:rsidRDefault="00DC20D8" w:rsidP="00DC20D8">
      <w:pPr>
        <w:pStyle w:val="Quote"/>
      </w:pPr>
      <w:r>
        <w:t>‘The requirements for authorising material are potentially extremely wide ranging, ongoing and open ended.  If strictly interpreted, they require a range of ACT community organisations to include permanent authorisations on a wide range of material, newsletters and sites that could be taken to comment on government policy, raise policy issues or discuss normal interactions with elected officials.’</w:t>
      </w:r>
      <w:r>
        <w:rPr>
          <w:rStyle w:val="FootnoteReference"/>
        </w:rPr>
        <w:footnoteReference w:id="209"/>
      </w:r>
      <w:r>
        <w:t xml:space="preserve"> </w:t>
      </w:r>
    </w:p>
    <w:p w14:paraId="3857B87D" w14:textId="0A98DEC8" w:rsidR="00CB5C64" w:rsidRDefault="00CB5C64" w:rsidP="00DC20D8">
      <w:pPr>
        <w:pStyle w:val="BodyText"/>
      </w:pPr>
      <w:r>
        <w:t>The Electoral Commission</w:t>
      </w:r>
      <w:r w:rsidR="00B17EA1">
        <w:t xml:space="preserve"> responded to </w:t>
      </w:r>
      <w:r>
        <w:t>the ACTCOSS submission</w:t>
      </w:r>
      <w:r w:rsidR="00B17EA1">
        <w:t xml:space="preserve"> during </w:t>
      </w:r>
      <w:r>
        <w:t xml:space="preserve">the </w:t>
      </w:r>
      <w:r w:rsidR="00B17EA1">
        <w:t xml:space="preserve">hearing: </w:t>
      </w:r>
    </w:p>
    <w:p w14:paraId="621BFCA1" w14:textId="3C97C9F4" w:rsidR="00B17EA1" w:rsidRDefault="00B17EA1" w:rsidP="00CB5C64">
      <w:pPr>
        <w:pStyle w:val="Quote"/>
      </w:pPr>
      <w:r>
        <w:t>‘</w:t>
      </w:r>
      <w:r w:rsidRPr="00B17EA1">
        <w:t xml:space="preserve">We understand that lots of organisations do not believe that what they are doing is political in nature, but if it is commenting on the performance of any political entity in the Assembly, or candidates or something like that, then it is captured by that and it requires an authorisation statement. </w:t>
      </w:r>
      <w:r w:rsidR="00CB5C64">
        <w:t xml:space="preserve"> </w:t>
      </w:r>
      <w:r w:rsidRPr="00B17EA1">
        <w:t>That is the limit of its requirement: a statement just saying who authorised that publication.</w:t>
      </w:r>
      <w:r>
        <w:t>’</w:t>
      </w:r>
      <w:r w:rsidR="00CB5C64">
        <w:rPr>
          <w:rStyle w:val="FootnoteReference"/>
        </w:rPr>
        <w:footnoteReference w:id="210"/>
      </w:r>
      <w:r>
        <w:t xml:space="preserve"> </w:t>
      </w:r>
    </w:p>
    <w:p w14:paraId="0C637E3A" w14:textId="2175F21A" w:rsidR="00735053" w:rsidRDefault="00735053" w:rsidP="00C4628D">
      <w:pPr>
        <w:pStyle w:val="BodyText"/>
      </w:pPr>
      <w:r>
        <w:t>Another submitter put the view</w:t>
      </w:r>
      <w:r w:rsidR="00C4628D">
        <w:t xml:space="preserve"> that s4 Electoral Act is drafted too broadly (captures too wide a range of conduct) in defining ‘electoral matter’ for the purpose of the offence of disseminating unauthorised electoral matter in s292 </w:t>
      </w:r>
      <w:r>
        <w:t>Electoral</w:t>
      </w:r>
      <w:r w:rsidR="00C4628D">
        <w:t xml:space="preserve"> Act.  </w:t>
      </w:r>
      <w:r>
        <w:t xml:space="preserve">Mark Fletcher suggested that </w:t>
      </w:r>
      <w:r w:rsidR="00C4628D">
        <w:t>s4 could capture academic papers, or private communication between individuals.</w:t>
      </w:r>
      <w:r>
        <w:rPr>
          <w:rStyle w:val="FootnoteReference"/>
        </w:rPr>
        <w:footnoteReference w:id="211"/>
      </w:r>
      <w:r w:rsidR="00C4628D">
        <w:t xml:space="preserve">  </w:t>
      </w:r>
    </w:p>
    <w:p w14:paraId="64843F5F" w14:textId="79C0F604" w:rsidR="001224DD" w:rsidRDefault="00735053" w:rsidP="00DC20D8">
      <w:pPr>
        <w:pStyle w:val="BodyText"/>
      </w:pPr>
      <w:r>
        <w:t>Mark Fletcher suggested to the Committee</w:t>
      </w:r>
      <w:r w:rsidR="00C4628D">
        <w:t xml:space="preserve"> that s4 be amended to </w:t>
      </w:r>
      <w:r>
        <w:t>align with</w:t>
      </w:r>
      <w:r w:rsidR="00C4628D">
        <w:t xml:space="preserve"> s4AA </w:t>
      </w:r>
      <w:r w:rsidR="00C4628D" w:rsidRPr="00735053">
        <w:rPr>
          <w:i/>
          <w:iCs/>
        </w:rPr>
        <w:t>Electoral Act 1918</w:t>
      </w:r>
      <w:r w:rsidR="00C4628D">
        <w:t xml:space="preserve"> (</w:t>
      </w:r>
      <w:proofErr w:type="spellStart"/>
      <w:r w:rsidR="00C4628D">
        <w:t>Cth</w:t>
      </w:r>
      <w:proofErr w:type="spellEnd"/>
      <w:r w:rsidR="00C4628D">
        <w:t xml:space="preserve">), which </w:t>
      </w:r>
      <w:r>
        <w:t>has a narrower coverage of</w:t>
      </w:r>
      <w:r w:rsidR="00C4628D">
        <w:t xml:space="preserve"> communication with the ‘dominant purpose of influencing the way electors vote in an election’, and expressly excludes news, editorial </w:t>
      </w:r>
      <w:r w:rsidR="00C4628D">
        <w:lastRenderedPageBreak/>
        <w:t xml:space="preserve">comment, content that is for a satirical, academic, </w:t>
      </w:r>
      <w:proofErr w:type="gramStart"/>
      <w:r w:rsidR="00C4628D">
        <w:t>educative</w:t>
      </w:r>
      <w:proofErr w:type="gramEnd"/>
      <w:r w:rsidR="00C4628D">
        <w:t xml:space="preserve"> or artistic purpose, or private communication.</w:t>
      </w:r>
      <w:r w:rsidR="001224DD">
        <w:t xml:space="preserve"> </w:t>
      </w:r>
    </w:p>
    <w:p w14:paraId="7AAAEEF6" w14:textId="5A073DCB" w:rsidR="00DC20D8" w:rsidRPr="00C370A2" w:rsidRDefault="00DC20D8" w:rsidP="00DC20D8">
      <w:pPr>
        <w:pStyle w:val="Heading5"/>
      </w:pPr>
      <w:r w:rsidRPr="00C370A2">
        <w:t>Committee Comment</w:t>
      </w:r>
    </w:p>
    <w:p w14:paraId="25D42228" w14:textId="7A742C64" w:rsidR="00DC20D8" w:rsidRPr="00C370A2" w:rsidRDefault="00DC20D8" w:rsidP="0033525B">
      <w:pPr>
        <w:pStyle w:val="BodyText"/>
      </w:pPr>
      <w:r w:rsidRPr="00C370A2">
        <w:t xml:space="preserve">The Committee agrees with ACTCOSS that there is, or should be, a relevant distinction between </w:t>
      </w:r>
      <w:r w:rsidR="00685960" w:rsidRPr="00C370A2">
        <w:t xml:space="preserve">(a) </w:t>
      </w:r>
      <w:r w:rsidRPr="00C370A2">
        <w:t>scrutiny of government</w:t>
      </w:r>
      <w:r w:rsidR="00685960" w:rsidRPr="00C370A2">
        <w:t>,</w:t>
      </w:r>
      <w:r w:rsidRPr="00C370A2">
        <w:t xml:space="preserve"> and </w:t>
      </w:r>
      <w:r w:rsidR="00685960" w:rsidRPr="00C370A2">
        <w:t xml:space="preserve">(b) </w:t>
      </w:r>
      <w:r w:rsidRPr="00C370A2">
        <w:t>political material.</w:t>
      </w:r>
    </w:p>
    <w:p w14:paraId="11B1A800" w14:textId="4C7AF73A" w:rsidR="00DC20D8" w:rsidRPr="00C370A2" w:rsidRDefault="00DC20D8" w:rsidP="00DC20D8">
      <w:pPr>
        <w:pStyle w:val="BodyText"/>
      </w:pPr>
      <w:r w:rsidRPr="00C370A2">
        <w:t xml:space="preserve">The Committee notes that the Commonwealth definition of ‘electoral matter’ is narrower, more clearly defined, and easier </w:t>
      </w:r>
      <w:r w:rsidR="00685960" w:rsidRPr="00C370A2">
        <w:t xml:space="preserve">for stakeholders </w:t>
      </w:r>
      <w:r w:rsidRPr="00C370A2">
        <w:t xml:space="preserve">to interpret than the ACT definition.  The Committee recommends ACT Government explore the potential for the Electoral Act to be amended to align with Commonwealth legislation. </w:t>
      </w:r>
    </w:p>
    <w:tbl>
      <w:tblPr>
        <w:tblStyle w:val="TableGrid"/>
        <w:tblW w:w="9209" w:type="dxa"/>
        <w:tblInd w:w="-142" w:type="dxa"/>
        <w:tblLook w:val="04A0" w:firstRow="1" w:lastRow="0" w:firstColumn="1" w:lastColumn="0" w:noHBand="0" w:noVBand="1"/>
      </w:tblPr>
      <w:tblGrid>
        <w:gridCol w:w="9209"/>
      </w:tblGrid>
      <w:tr w:rsidR="00DC20D8" w14:paraId="142270CA" w14:textId="77777777" w:rsidTr="00DC20D8">
        <w:tc>
          <w:tcPr>
            <w:tcW w:w="9209" w:type="dxa"/>
          </w:tcPr>
          <w:p w14:paraId="07E9FAEB" w14:textId="7278EB9C" w:rsidR="00DC20D8" w:rsidRDefault="00DC20D8" w:rsidP="0033525B">
            <w:pPr>
              <w:pStyle w:val="RecommendationHeading"/>
            </w:pPr>
            <w:bookmarkStart w:id="126" w:name="_Toc78382523"/>
            <w:r>
              <w:t xml:space="preserve">Recommendation </w:t>
            </w:r>
            <w:r w:rsidR="00D12E90">
              <w:t>30</w:t>
            </w:r>
            <w:bookmarkEnd w:id="126"/>
          </w:p>
          <w:p w14:paraId="364BC71D" w14:textId="77777777" w:rsidR="00DC20D8" w:rsidRPr="00962807" w:rsidRDefault="00DC20D8" w:rsidP="0033525B">
            <w:pPr>
              <w:pStyle w:val="RecommendationText"/>
            </w:pPr>
            <w:bookmarkStart w:id="127" w:name="_Toc78382524"/>
            <w:r w:rsidRPr="00AA3402">
              <w:t xml:space="preserve">The Committee recommends the Electoral Commission provide </w:t>
            </w:r>
            <w:r>
              <w:t>regulatory guidance</w:t>
            </w:r>
            <w:r w:rsidRPr="00AA3402">
              <w:t xml:space="preserve"> on how it interprets the definition of ‘electoral matter’ in s4 Electoral Act, and how it enforces the offence of ‘disseminating unauthorised electoral matter’ in s292 Electoral Act, to provide clarity to entities outside the electoral </w:t>
            </w:r>
            <w:r>
              <w:t>process</w:t>
            </w:r>
            <w:r w:rsidRPr="00AA3402">
              <w:t xml:space="preserve"> who may be captured under the provisions</w:t>
            </w:r>
            <w:r>
              <w:t>.</w:t>
            </w:r>
            <w:bookmarkEnd w:id="127"/>
          </w:p>
        </w:tc>
      </w:tr>
      <w:tr w:rsidR="00246948" w14:paraId="4EF46D08" w14:textId="77777777" w:rsidTr="00DC20D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76B1D67" w14:textId="5DFE7B6E" w:rsidR="00246948" w:rsidRDefault="00246948" w:rsidP="00246948">
            <w:pPr>
              <w:pStyle w:val="RecommendationHeading"/>
            </w:pPr>
            <w:bookmarkStart w:id="128" w:name="_Toc78382525"/>
            <w:r>
              <w:t xml:space="preserve">Recommendation </w:t>
            </w:r>
            <w:r w:rsidR="00D02D0E">
              <w:rPr>
                <w:noProof/>
              </w:rPr>
              <w:t>3</w:t>
            </w:r>
            <w:r w:rsidR="00D12E90">
              <w:rPr>
                <w:noProof/>
              </w:rPr>
              <w:t>1</w:t>
            </w:r>
            <w:bookmarkEnd w:id="128"/>
          </w:p>
          <w:p w14:paraId="6F9F57B3" w14:textId="1DAAC60C" w:rsidR="00246948" w:rsidRPr="00962807" w:rsidRDefault="00246948" w:rsidP="00246948">
            <w:pPr>
              <w:pStyle w:val="RecommendationText"/>
            </w:pPr>
            <w:bookmarkStart w:id="129" w:name="_Toc78382526"/>
            <w:r w:rsidRPr="00246948">
              <w:t xml:space="preserve">The Committee recommends that </w:t>
            </w:r>
            <w:r w:rsidR="00E62C3C">
              <w:t xml:space="preserve">ACT Government investigate the feasibility of amending the definition of </w:t>
            </w:r>
            <w:r w:rsidRPr="00246948">
              <w:t>‘electoral matter’ in s4 of the Electoral Act to align with the equivalent Commonwealth provision</w:t>
            </w:r>
            <w:r>
              <w:t>.</w:t>
            </w:r>
            <w:bookmarkEnd w:id="129"/>
          </w:p>
        </w:tc>
      </w:tr>
    </w:tbl>
    <w:p w14:paraId="2C1477A4" w14:textId="4F22053D" w:rsidR="00AA3402" w:rsidRDefault="00AA3402" w:rsidP="00AA3402">
      <w:pPr>
        <w:pStyle w:val="Heading4"/>
      </w:pPr>
      <w:r>
        <w:t>Falsely Authorising Electoral Material</w:t>
      </w:r>
    </w:p>
    <w:p w14:paraId="672FD84A" w14:textId="6A4D2D01" w:rsidR="00AA3402" w:rsidRDefault="00735053" w:rsidP="00AA3402">
      <w:pPr>
        <w:pStyle w:val="BodyText"/>
      </w:pPr>
      <w:r>
        <w:t xml:space="preserve">The Canberra Liberals recommended that </w:t>
      </w:r>
      <w:r w:rsidR="00140963">
        <w:t>the Electoral Act be amended to include a new offence of circulating false electoral material under another name:</w:t>
      </w:r>
    </w:p>
    <w:p w14:paraId="68A36B7A" w14:textId="7DD93EB6" w:rsidR="00735053" w:rsidRDefault="00735053" w:rsidP="00973E9C">
      <w:pPr>
        <w:pStyle w:val="Quote"/>
      </w:pPr>
      <w:r>
        <w:t xml:space="preserve">‘During the 2020 election, the Liberal Party was on the receiving end of repeated and targeted dissemination of false material claiming to originate from the Party.  This included fake social media accounts posting highly inappropriate material.  Some of this material included a statement that it was "Authorised by Josh </w:t>
      </w:r>
      <w:proofErr w:type="spellStart"/>
      <w:r>
        <w:t>Manuatu</w:t>
      </w:r>
      <w:proofErr w:type="spellEnd"/>
      <w:r>
        <w:t xml:space="preserve"> for the Canberra Liberals"… The fact that it is a requirement for parties to authorise material, but it is not an offense to falsely authorise material is problematic.  Despite these repeated examples the Australian Federal Police were unable to pursue the matters </w:t>
      </w:r>
      <w:r>
        <w:lastRenderedPageBreak/>
        <w:t>because it was not a substantial enough penalty to warrant the months of work required with international agencies to uncover the identities of the perpetrator(s).’</w:t>
      </w:r>
      <w:r w:rsidR="00140963">
        <w:rPr>
          <w:rStyle w:val="FootnoteReference"/>
        </w:rPr>
        <w:footnoteReference w:id="212"/>
      </w:r>
    </w:p>
    <w:p w14:paraId="1247D0BE" w14:textId="2A4DFCE8" w:rsidR="00973E9C" w:rsidRDefault="00973E9C" w:rsidP="00973E9C">
      <w:pPr>
        <w:pStyle w:val="BodyText"/>
      </w:pPr>
      <w:r>
        <w:t xml:space="preserve">Section 297 Electoral Act contains an existing offence of </w:t>
      </w:r>
      <w:r w:rsidR="000D555D">
        <w:t xml:space="preserve">misleading electoral matter affecting </w:t>
      </w:r>
      <w:r w:rsidR="008D660A">
        <w:t xml:space="preserve">the </w:t>
      </w:r>
      <w:r w:rsidR="000D555D">
        <w:t>casting of</w:t>
      </w:r>
      <w:r w:rsidR="008D660A">
        <w:t xml:space="preserve"> a</w:t>
      </w:r>
      <w:r w:rsidR="000D555D">
        <w:t xml:space="preserve"> vote </w:t>
      </w:r>
      <w:r>
        <w:t>(‘</w:t>
      </w:r>
      <w:r w:rsidRPr="00973E9C">
        <w:t>A person shall not disseminate, or authorise to be disseminated, electoral matter that is likely to mislead or deceive an elector about the casting of a vote</w:t>
      </w:r>
      <w:r>
        <w:t xml:space="preserve">’).  </w:t>
      </w:r>
    </w:p>
    <w:tbl>
      <w:tblPr>
        <w:tblStyle w:val="TableGrid"/>
        <w:tblW w:w="9209" w:type="dxa"/>
        <w:tblInd w:w="-142" w:type="dxa"/>
        <w:tblLook w:val="04A0" w:firstRow="1" w:lastRow="0" w:firstColumn="1" w:lastColumn="0" w:noHBand="0" w:noVBand="1"/>
      </w:tblPr>
      <w:tblGrid>
        <w:gridCol w:w="9209"/>
      </w:tblGrid>
      <w:tr w:rsidR="00AA3402" w14:paraId="037911DF" w14:textId="77777777" w:rsidTr="0057678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29A8A0AA" w14:textId="0D3FB58B" w:rsidR="00AA3402" w:rsidRDefault="00AA3402" w:rsidP="0057678B">
            <w:pPr>
              <w:pStyle w:val="RecommendationHeading"/>
            </w:pPr>
            <w:bookmarkStart w:id="130" w:name="_Toc78382527"/>
            <w:r>
              <w:t xml:space="preserve">Recommendation </w:t>
            </w:r>
            <w:r w:rsidR="00D02D0E">
              <w:rPr>
                <w:noProof/>
              </w:rPr>
              <w:t>3</w:t>
            </w:r>
            <w:r w:rsidR="00D12E90">
              <w:rPr>
                <w:noProof/>
              </w:rPr>
              <w:t>2</w:t>
            </w:r>
            <w:bookmarkEnd w:id="130"/>
          </w:p>
          <w:p w14:paraId="38F0A866" w14:textId="0D2A5A06" w:rsidR="00AA3402" w:rsidRPr="00962807" w:rsidRDefault="00AA3402" w:rsidP="00AA3402">
            <w:pPr>
              <w:pStyle w:val="RecommendationText"/>
            </w:pPr>
            <w:bookmarkStart w:id="131" w:name="_Toc78382528"/>
            <w:r w:rsidRPr="00AA3402">
              <w:t>The Committee recommends that the Electoral Act be amended to establish the offence of falsely authorising electoral matter</w:t>
            </w:r>
            <w:r w:rsidR="00973E9C">
              <w:t>, to the extent that such conduct is not already prohibited under section 297</w:t>
            </w:r>
            <w:r>
              <w:t>.</w:t>
            </w:r>
            <w:bookmarkEnd w:id="131"/>
          </w:p>
        </w:tc>
      </w:tr>
    </w:tbl>
    <w:p w14:paraId="5D985793" w14:textId="41CE12E2" w:rsidR="000E3DC9" w:rsidRDefault="000E3DC9" w:rsidP="000E3DC9">
      <w:pPr>
        <w:pStyle w:val="Heading3"/>
      </w:pPr>
      <w:bookmarkStart w:id="132" w:name="_Toc78535751"/>
      <w:r>
        <w:t>Truth in Political Advertising</w:t>
      </w:r>
      <w:bookmarkEnd w:id="132"/>
      <w:r>
        <w:t xml:space="preserve"> </w:t>
      </w:r>
    </w:p>
    <w:p w14:paraId="423CCA12" w14:textId="119DACB4" w:rsidR="000D555D" w:rsidRDefault="000D555D" w:rsidP="000D555D">
      <w:pPr>
        <w:pStyle w:val="Heading4"/>
      </w:pPr>
      <w:r>
        <w:t>Legislative Framework</w:t>
      </w:r>
    </w:p>
    <w:p w14:paraId="6744B1A7" w14:textId="7DD07C48" w:rsidR="000D555D" w:rsidRDefault="000D555D" w:rsidP="002E674A">
      <w:pPr>
        <w:pStyle w:val="BodyText"/>
      </w:pPr>
      <w:r>
        <w:t>New provisions in the Electoral Act prohibiting misleading electoral advertising commenced on 1 July 2021.  Section 297A provides that:</w:t>
      </w:r>
    </w:p>
    <w:p w14:paraId="00948091" w14:textId="7219F42C" w:rsidR="000D555D" w:rsidRDefault="000D555D" w:rsidP="000D555D">
      <w:pPr>
        <w:pStyle w:val="ListBullet"/>
      </w:pPr>
      <w:r>
        <w:t>A person commits an offence if they disseminate or authorise distribution of an advertisement containing electoral matter, and the advertisement contains a statement purporting to be a statement of fact that is inaccurate and misleading to a material extent.</w:t>
      </w:r>
    </w:p>
    <w:p w14:paraId="20223CD5" w14:textId="3A94A983" w:rsidR="000D555D" w:rsidRDefault="000D555D" w:rsidP="000D555D">
      <w:pPr>
        <w:pStyle w:val="ListBullet"/>
      </w:pPr>
      <w:r>
        <w:t xml:space="preserve">If the Electoral Commissioner is satisfied that these actions have occurred, the Commissioner may ask the person in writing to not disseminate the advertisement </w:t>
      </w:r>
      <w:proofErr w:type="gramStart"/>
      <w:r>
        <w:t>again, or</w:t>
      </w:r>
      <w:proofErr w:type="gramEnd"/>
      <w:r>
        <w:t xml:space="preserve"> publish a retraction. </w:t>
      </w:r>
    </w:p>
    <w:p w14:paraId="1E3A40B7" w14:textId="7FA3A1D1" w:rsidR="000D555D" w:rsidRDefault="000D555D" w:rsidP="000D555D">
      <w:pPr>
        <w:pStyle w:val="ListBullet"/>
      </w:pPr>
      <w:r>
        <w:t xml:space="preserve">The Commissioner may apply to the Supreme Court seeking an order that the person not disseminate the advertisement </w:t>
      </w:r>
      <w:proofErr w:type="gramStart"/>
      <w:r>
        <w:t>again, or</w:t>
      </w:r>
      <w:proofErr w:type="gramEnd"/>
      <w:r>
        <w:t xml:space="preserve"> publish a retraction.</w:t>
      </w:r>
    </w:p>
    <w:p w14:paraId="2112AC6E" w14:textId="1D619D18" w:rsidR="000D555D" w:rsidRDefault="000D555D" w:rsidP="000D555D">
      <w:pPr>
        <w:pStyle w:val="Heading4"/>
      </w:pPr>
      <w:r>
        <w:t>Views expressed in Submissions and Hearings</w:t>
      </w:r>
    </w:p>
    <w:p w14:paraId="7733984F" w14:textId="0852A2E9" w:rsidR="000D555D" w:rsidRDefault="000D555D" w:rsidP="000D555D">
      <w:pPr>
        <w:pStyle w:val="BodyText"/>
      </w:pPr>
      <w:r>
        <w:t xml:space="preserve">Truth in political advertising was a common theme during the inquiry.  </w:t>
      </w:r>
      <w:r w:rsidR="004F0C27">
        <w:t>Three</w:t>
      </w:r>
      <w:r>
        <w:t xml:space="preserve"> viewpoints emerged from submissions and hearings:</w:t>
      </w:r>
    </w:p>
    <w:p w14:paraId="242D5258" w14:textId="18BF8AC9" w:rsidR="000D555D" w:rsidRDefault="004F0C27" w:rsidP="000D555D">
      <w:pPr>
        <w:pStyle w:val="ListBullet"/>
      </w:pPr>
      <w:r>
        <w:t>Criticism of s297A,</w:t>
      </w:r>
    </w:p>
    <w:p w14:paraId="5F497D3C" w14:textId="74CFA838" w:rsidR="000D555D" w:rsidRDefault="004F0C27" w:rsidP="000D555D">
      <w:pPr>
        <w:pStyle w:val="ListBullet"/>
      </w:pPr>
      <w:r>
        <w:t>Proposals for an alternate oversight body, and</w:t>
      </w:r>
    </w:p>
    <w:p w14:paraId="5E36DCD8" w14:textId="0C4BEFC7" w:rsidR="000D555D" w:rsidRDefault="004F0C27" w:rsidP="000D555D">
      <w:pPr>
        <w:pStyle w:val="ListBullet"/>
      </w:pPr>
      <w:r>
        <w:t xml:space="preserve">Support for s297A. </w:t>
      </w:r>
    </w:p>
    <w:p w14:paraId="678B7117" w14:textId="69069544" w:rsidR="009878B7" w:rsidRDefault="009878B7" w:rsidP="009878B7">
      <w:pPr>
        <w:pStyle w:val="Heading5"/>
      </w:pPr>
      <w:r>
        <w:lastRenderedPageBreak/>
        <w:t>Criticism of section 297A</w:t>
      </w:r>
    </w:p>
    <w:p w14:paraId="71428863" w14:textId="4AC9F4F0" w:rsidR="009878B7" w:rsidRPr="00274198" w:rsidRDefault="009878B7" w:rsidP="009878B7">
      <w:pPr>
        <w:pStyle w:val="BodyText"/>
      </w:pPr>
      <w:r w:rsidRPr="00274198">
        <w:t xml:space="preserve">The Liberal Democrats </w:t>
      </w:r>
      <w:r w:rsidR="004F0C27">
        <w:t xml:space="preserve">told the Committee they </w:t>
      </w:r>
      <w:r w:rsidRPr="00274198">
        <w:t xml:space="preserve">oppose the introduction of a new offence for misleading electoral advertising </w:t>
      </w:r>
      <w:r w:rsidR="004F0C27">
        <w:t xml:space="preserve">on the basis that ‘[t]he </w:t>
      </w:r>
      <w:proofErr w:type="gramStart"/>
      <w:r w:rsidRPr="00274198">
        <w:t>answer</w:t>
      </w:r>
      <w:proofErr w:type="gramEnd"/>
      <w:r w:rsidRPr="00274198">
        <w:t xml:space="preserve"> to bad speech does not lie in the imposition of arbitrary rules but in the promotion of more speech.’</w:t>
      </w:r>
      <w:r w:rsidR="004F0C27">
        <w:rPr>
          <w:rStyle w:val="FootnoteReference"/>
        </w:rPr>
        <w:footnoteReference w:id="213"/>
      </w:r>
      <w:r>
        <w:t xml:space="preserve"> </w:t>
      </w:r>
    </w:p>
    <w:p w14:paraId="06EC3F87" w14:textId="256B806D" w:rsidR="009878B7" w:rsidRPr="00C4628D" w:rsidRDefault="009878B7" w:rsidP="004F0C27">
      <w:pPr>
        <w:pStyle w:val="Quote"/>
      </w:pPr>
      <w:r>
        <w:t>‘</w:t>
      </w:r>
      <w:r w:rsidRPr="004C0FA4">
        <w:t xml:space="preserve">We are very concerned that this will be weaponised. </w:t>
      </w:r>
      <w:r w:rsidR="004F0C27">
        <w:t xml:space="preserve"> </w:t>
      </w:r>
      <w:r w:rsidRPr="004C0FA4">
        <w:t xml:space="preserve">We support the AEC’s view. </w:t>
      </w:r>
      <w:r w:rsidR="004F0C27">
        <w:t xml:space="preserve"> </w:t>
      </w:r>
      <w:r w:rsidRPr="004C0FA4">
        <w:t>We think that it is entirely untenable to have an arbiter on what is inherently subjective political communications.</w:t>
      </w:r>
      <w:r>
        <w:t>’</w:t>
      </w:r>
      <w:r w:rsidR="004F0C27">
        <w:rPr>
          <w:rStyle w:val="FootnoteReference"/>
        </w:rPr>
        <w:footnoteReference w:id="214"/>
      </w:r>
      <w:r>
        <w:t xml:space="preserve"> </w:t>
      </w:r>
    </w:p>
    <w:p w14:paraId="5C0196AB" w14:textId="066A9873" w:rsidR="004F0C27" w:rsidRDefault="004F0C27" w:rsidP="009878B7">
      <w:pPr>
        <w:pStyle w:val="BodyText"/>
      </w:pPr>
      <w:r>
        <w:t xml:space="preserve">The Liberal Democrat submission </w:t>
      </w:r>
      <w:r w:rsidR="005F4E33">
        <w:t xml:space="preserve">expresses concern about the risk of ‘tit for tat’ complaints creating workload for the Electoral Commission that will divert attention away </w:t>
      </w:r>
      <w:r w:rsidR="008D660A">
        <w:t>from</w:t>
      </w:r>
      <w:r w:rsidR="005F4E33">
        <w:t xml:space="preserve"> managing the election.  The Liberal Democrats cite UK researchers in suggesting the benefits of any misinformation ban are limited, as ‘</w:t>
      </w:r>
      <w:r w:rsidR="005F4E33" w:rsidRPr="00274198">
        <w:t>only manifestly false claims can be stopped; it is all too easy to word a misleading claim in a way that is not strictly false, so change to discourse would be slight</w:t>
      </w:r>
      <w:r w:rsidR="005F4E33">
        <w:t>’.</w:t>
      </w:r>
      <w:r w:rsidR="005F4E33">
        <w:rPr>
          <w:rStyle w:val="FootnoteReference"/>
        </w:rPr>
        <w:footnoteReference w:id="215"/>
      </w:r>
    </w:p>
    <w:p w14:paraId="657389E3" w14:textId="7B5673F0" w:rsidR="005F4E33" w:rsidRDefault="008D660A" w:rsidP="005F4E33">
      <w:pPr>
        <w:pStyle w:val="BodyText"/>
      </w:pPr>
      <w:r>
        <w:t>Mark Fletcher in his submission</w:t>
      </w:r>
      <w:r w:rsidR="005F4E33">
        <w:t xml:space="preserve"> described s297A and the South Australia provision on which it is based as ‘draconian’:</w:t>
      </w:r>
    </w:p>
    <w:p w14:paraId="1C7DBA16" w14:textId="77777777" w:rsidR="005F4E33" w:rsidRDefault="005F4E33" w:rsidP="005F4E33">
      <w:pPr>
        <w:pStyle w:val="Quote"/>
      </w:pPr>
      <w:r w:rsidRPr="00C4628D">
        <w:t>‘They permit the Commissioners to censor electoral materials and empower the Commissioners to direct candidates, campaigners, or other electoral participants to publish messages authored by the Commissioner’.</w:t>
      </w:r>
      <w:r>
        <w:rPr>
          <w:rStyle w:val="FootnoteReference"/>
        </w:rPr>
        <w:footnoteReference w:id="216"/>
      </w:r>
    </w:p>
    <w:p w14:paraId="1E5891B2" w14:textId="06710396" w:rsidR="005F4E33" w:rsidRPr="00C4628D" w:rsidRDefault="008D660A" w:rsidP="005F4E33">
      <w:pPr>
        <w:pStyle w:val="BodyText"/>
      </w:pPr>
      <w:r>
        <w:t>Mr Fletcher</w:t>
      </w:r>
      <w:r w:rsidR="005F4E33">
        <w:t xml:space="preserve"> stated that the South Australia Electoral Commission </w:t>
      </w:r>
      <w:r w:rsidR="005F4E33" w:rsidRPr="00C4628D">
        <w:t>rarely uses the equivalent power, as it is difficult to apply the provision in borderline cases.</w:t>
      </w:r>
      <w:r w:rsidR="005F4E33">
        <w:rPr>
          <w:rStyle w:val="FootnoteReference"/>
        </w:rPr>
        <w:footnoteReference w:id="217"/>
      </w:r>
    </w:p>
    <w:p w14:paraId="049C0070" w14:textId="504D49C2" w:rsidR="009878B7" w:rsidRDefault="009878B7" w:rsidP="009878B7">
      <w:pPr>
        <w:pStyle w:val="Heading5"/>
      </w:pPr>
      <w:r>
        <w:t xml:space="preserve">Proposals </w:t>
      </w:r>
      <w:r w:rsidR="004F0C27">
        <w:t>for</w:t>
      </w:r>
      <w:r>
        <w:t xml:space="preserve"> an alternate oversight body</w:t>
      </w:r>
    </w:p>
    <w:p w14:paraId="05B4F24F" w14:textId="66F12704" w:rsidR="005F4E33" w:rsidRDefault="005F4E33" w:rsidP="009878B7">
      <w:pPr>
        <w:pStyle w:val="BodyText"/>
      </w:pPr>
      <w:r w:rsidRPr="00983EC7">
        <w:t>In its report on the 2020 Election, the Electoral Commission recommended that</w:t>
      </w:r>
      <w:r>
        <w:t xml:space="preserve"> the Assembly identify and empower a separate independent body to administer complaints, commence investigations and lodge prosecutions into matters of misleading electoral advertising.</w:t>
      </w:r>
      <w:r>
        <w:rPr>
          <w:rStyle w:val="FootnoteReference"/>
        </w:rPr>
        <w:footnoteReference w:id="218"/>
      </w:r>
    </w:p>
    <w:p w14:paraId="6879C4CC" w14:textId="31AEC4B4" w:rsidR="009878B7" w:rsidRDefault="005F4E33" w:rsidP="009878B7">
      <w:pPr>
        <w:pStyle w:val="BodyText"/>
      </w:pPr>
      <w:r>
        <w:t xml:space="preserve">The Electoral Commission is concerned that the functions required under s297A </w:t>
      </w:r>
      <w:r w:rsidR="00062784">
        <w:t>compromise</w:t>
      </w:r>
      <w:r>
        <w:t xml:space="preserve"> its impartiality</w:t>
      </w:r>
      <w:r w:rsidR="00062784">
        <w:t>, and expose it to accusations of partisanship, which may undermine its standing in the community and erode public trust in the electoral process</w:t>
      </w:r>
      <w:r>
        <w:t>:</w:t>
      </w:r>
    </w:p>
    <w:p w14:paraId="6ED3E708" w14:textId="0FC6043F" w:rsidR="009878B7" w:rsidRDefault="009878B7" w:rsidP="00062784">
      <w:pPr>
        <w:pStyle w:val="Quote"/>
      </w:pPr>
      <w:r>
        <w:t xml:space="preserve">‘While the Commission believes strongly that truth should be at the heart of an election campaign, it continues to hold a number of concerns about the new legislation </w:t>
      </w:r>
      <w:r>
        <w:lastRenderedPageBreak/>
        <w:t xml:space="preserve">aimed at regulating it. </w:t>
      </w:r>
      <w:r w:rsidR="005F4E33">
        <w:t xml:space="preserve"> </w:t>
      </w:r>
      <w:r>
        <w:t xml:space="preserve">Assessing political statements inevitably requires complex and often subjective judgments of concepts, policies, </w:t>
      </w:r>
      <w:proofErr w:type="gramStart"/>
      <w:r>
        <w:t>figures</w:t>
      </w:r>
      <w:proofErr w:type="gramEnd"/>
      <w:r>
        <w:t xml:space="preserve"> and theories. </w:t>
      </w:r>
      <w:r w:rsidR="005F4E33">
        <w:t xml:space="preserve"> </w:t>
      </w:r>
      <w:r>
        <w:t>It is the Commission’s view that such assessments are outside of what the Commission’s statutory function should be</w:t>
      </w:r>
      <w:r w:rsidR="00062784">
        <w:t>.</w:t>
      </w:r>
      <w:r>
        <w:t>’</w:t>
      </w:r>
      <w:r w:rsidR="005F4E33">
        <w:rPr>
          <w:rStyle w:val="FootnoteReference"/>
        </w:rPr>
        <w:footnoteReference w:id="219"/>
      </w:r>
      <w:r>
        <w:t xml:space="preserve"> </w:t>
      </w:r>
    </w:p>
    <w:p w14:paraId="5253024F" w14:textId="3D0CF873" w:rsidR="009878B7" w:rsidRDefault="009878B7" w:rsidP="00062784">
      <w:pPr>
        <w:pStyle w:val="Quote"/>
      </w:pPr>
      <w:r>
        <w:t xml:space="preserve">‘The Electoral Commission maintains concerns that when required to scrutinise political advertising and act as the final arbiter on the truth or otherwise, the consequence of determinations made, one way or the other, by the Commission could inevitably raise accusations of political partisanship. </w:t>
      </w:r>
      <w:r w:rsidR="00685960">
        <w:t xml:space="preserve"> </w:t>
      </w:r>
      <w:r>
        <w:t>The reputation of the Commission, based inherently around neutrality and independence, would likely face unprecedented attacks; attacks that could ultimately have a serious impact on the community’s perceptions of the ACT’s democratic system.’</w:t>
      </w:r>
      <w:r w:rsidR="00062784">
        <w:rPr>
          <w:rStyle w:val="FootnoteReference"/>
        </w:rPr>
        <w:footnoteReference w:id="220"/>
      </w:r>
      <w:r>
        <w:t xml:space="preserve"> </w:t>
      </w:r>
    </w:p>
    <w:p w14:paraId="7CE365C4" w14:textId="0594A69E" w:rsidR="00A16DFE" w:rsidRDefault="00A16DFE" w:rsidP="009878B7">
      <w:pPr>
        <w:pStyle w:val="BodyText"/>
      </w:pPr>
      <w:r>
        <w:t>The Electoral Commission suggests the Assembly nominat</w:t>
      </w:r>
      <w:r w:rsidR="00822014">
        <w:t>e another agency to take on the role:</w:t>
      </w:r>
    </w:p>
    <w:p w14:paraId="558C79D3" w14:textId="3BD65555" w:rsidR="009878B7" w:rsidRDefault="009878B7" w:rsidP="00822014">
      <w:pPr>
        <w:pStyle w:val="Quote"/>
      </w:pPr>
      <w:r>
        <w:t>‘Assuming that the Assembly does not wish to remove ‘Misleading electoral advertising’ law altogether</w:t>
      </w:r>
      <w:r w:rsidR="00822014">
        <w:t>…</w:t>
      </w:r>
      <w:r>
        <w:t xml:space="preserve"> the Commission recommends identifying and empowering a separate independent body to administer complaints, commence investigations and lodge prosecutions into matters of misleading electoral advertising.’</w:t>
      </w:r>
      <w:r w:rsidR="00822014">
        <w:rPr>
          <w:rStyle w:val="FootnoteReference"/>
        </w:rPr>
        <w:footnoteReference w:id="221"/>
      </w:r>
      <w:r>
        <w:t xml:space="preserve"> </w:t>
      </w:r>
    </w:p>
    <w:p w14:paraId="0915ABF8" w14:textId="634A4407" w:rsidR="00822014" w:rsidRDefault="00822014" w:rsidP="009878B7">
      <w:pPr>
        <w:pStyle w:val="BodyText"/>
      </w:pPr>
      <w:r>
        <w:t xml:space="preserve">During the hearing the Electoral Commissioner spoke about </w:t>
      </w:r>
      <w:r w:rsidR="005309F6">
        <w:t>individual responsibility</w:t>
      </w:r>
      <w:r>
        <w:t xml:space="preserve"> in assessing </w:t>
      </w:r>
      <w:r w:rsidR="005309F6">
        <w:t>claims made during elections:</w:t>
      </w:r>
      <w:r>
        <w:t xml:space="preserve"> </w:t>
      </w:r>
    </w:p>
    <w:p w14:paraId="005DAC66" w14:textId="7C5BDA4A" w:rsidR="009878B7" w:rsidRDefault="009878B7" w:rsidP="005309F6">
      <w:pPr>
        <w:pStyle w:val="Quote"/>
      </w:pPr>
      <w:r>
        <w:t xml:space="preserve">‘I would rather have the responsibility for the determination of the truth and the integrity of the information that has been provided in the electoral space ultimately resting with the elector. </w:t>
      </w:r>
      <w:r w:rsidR="00822014">
        <w:t xml:space="preserve"> </w:t>
      </w:r>
      <w:proofErr w:type="gramStart"/>
      <w:r>
        <w:t>As long as</w:t>
      </w:r>
      <w:proofErr w:type="gramEnd"/>
      <w:r>
        <w:t xml:space="preserve"> the elector is aware of, and reminded of, the opportunity to stop and think, check the source and think critically about the information they are receiving, ultimately that is all of the individuals’ responsibilities, as individual electors and voters.</w:t>
      </w:r>
      <w:r w:rsidR="00822014">
        <w:t xml:space="preserve"> </w:t>
      </w:r>
      <w:r>
        <w:t xml:space="preserve"> I think that ultimately rests with them.’</w:t>
      </w:r>
      <w:r w:rsidR="005309F6">
        <w:rPr>
          <w:rStyle w:val="FootnoteReference"/>
        </w:rPr>
        <w:footnoteReference w:id="222"/>
      </w:r>
      <w:r>
        <w:t xml:space="preserve"> </w:t>
      </w:r>
    </w:p>
    <w:p w14:paraId="079B16ED" w14:textId="6175C040" w:rsidR="009878B7" w:rsidRDefault="005309F6" w:rsidP="009878B7">
      <w:pPr>
        <w:pStyle w:val="BodyText"/>
      </w:pPr>
      <w:r>
        <w:t>ACT Greens suggested that the Electoral Commission could delegate the fact-checking function to an external advisory body:</w:t>
      </w:r>
    </w:p>
    <w:p w14:paraId="63C6C3BB" w14:textId="174B4074" w:rsidR="005309F6" w:rsidRDefault="005309F6" w:rsidP="005309F6">
      <w:pPr>
        <w:pStyle w:val="Quote"/>
      </w:pPr>
      <w:r>
        <w:t>‘We understand that the ACT Electoral Commission is reluctant to play a role in determining what is 'truthful', and thus we suggest that this role should be outsourced to an external body, just as it has long been done in South Australia.’</w:t>
      </w:r>
      <w:r>
        <w:rPr>
          <w:rStyle w:val="FootnoteReference"/>
        </w:rPr>
        <w:footnoteReference w:id="223"/>
      </w:r>
    </w:p>
    <w:p w14:paraId="148AF209" w14:textId="37183C80" w:rsidR="009878B7" w:rsidRDefault="009878B7" w:rsidP="009878B7">
      <w:pPr>
        <w:pStyle w:val="Heading5"/>
      </w:pPr>
      <w:r>
        <w:lastRenderedPageBreak/>
        <w:t>Support for s297A</w:t>
      </w:r>
    </w:p>
    <w:p w14:paraId="239E6710" w14:textId="77777777" w:rsidR="0005586B" w:rsidRDefault="005309F6" w:rsidP="0005586B">
      <w:pPr>
        <w:pStyle w:val="BodyText"/>
      </w:pPr>
      <w:r w:rsidRPr="005309F6">
        <w:t>Australian National University Law Reform and Social Justice Research Hub</w:t>
      </w:r>
      <w:r>
        <w:t xml:space="preserve"> </w:t>
      </w:r>
      <w:r w:rsidR="00970E15">
        <w:t xml:space="preserve">(ANULRSJRH) </w:t>
      </w:r>
      <w:r w:rsidR="0005586B">
        <w:t>provided a submission expressing</w:t>
      </w:r>
      <w:r>
        <w:t xml:space="preserve"> support for s297A</w:t>
      </w:r>
      <w:r w:rsidR="0005586B">
        <w:t>.  Their view is that the Electoral Commission should oversee the new offence of disseminating misleading electoral advertising</w:t>
      </w:r>
      <w:r w:rsidR="0005586B" w:rsidRPr="002D4BC1">
        <w:t>.</w:t>
      </w:r>
      <w:r w:rsidR="0005586B">
        <w:rPr>
          <w:rStyle w:val="FootnoteReference"/>
        </w:rPr>
        <w:footnoteReference w:id="224"/>
      </w:r>
      <w:r w:rsidR="0005586B" w:rsidRPr="002D4BC1">
        <w:t xml:space="preserve">  </w:t>
      </w:r>
    </w:p>
    <w:p w14:paraId="1F818BCC" w14:textId="2A4306C2" w:rsidR="0005586B" w:rsidRPr="0005586B" w:rsidRDefault="0005586B" w:rsidP="0005586B">
      <w:pPr>
        <w:pStyle w:val="Quote"/>
      </w:pPr>
      <w:r w:rsidRPr="0005586B">
        <w:t>‘The laws improve public confidence and faith in the electoral process, and this justifies their existence.’</w:t>
      </w:r>
      <w:r>
        <w:rPr>
          <w:rStyle w:val="FootnoteReference"/>
        </w:rPr>
        <w:footnoteReference w:id="225"/>
      </w:r>
      <w:r w:rsidRPr="0005586B">
        <w:t xml:space="preserve"> </w:t>
      </w:r>
    </w:p>
    <w:p w14:paraId="593796AC" w14:textId="593ECF9E" w:rsidR="005309F6" w:rsidRDefault="00970E15" w:rsidP="008C18B8">
      <w:pPr>
        <w:pStyle w:val="BodyText"/>
      </w:pPr>
      <w:r>
        <w:t xml:space="preserve">ANULRSJRH </w:t>
      </w:r>
      <w:r w:rsidR="0005586B">
        <w:t>recommended</w:t>
      </w:r>
      <w:r>
        <w:t xml:space="preserve"> </w:t>
      </w:r>
      <w:r w:rsidR="0005586B">
        <w:t>two amendments</w:t>
      </w:r>
      <w:r>
        <w:t xml:space="preserve"> to </w:t>
      </w:r>
      <w:r w:rsidR="0005586B">
        <w:t xml:space="preserve">s297A to </w:t>
      </w:r>
      <w:r>
        <w:t>strengthen the provisions:</w:t>
      </w:r>
    </w:p>
    <w:p w14:paraId="531538A4" w14:textId="54CD3DA8" w:rsidR="005A03C1" w:rsidRDefault="0005586B" w:rsidP="005A03C1">
      <w:pPr>
        <w:pStyle w:val="ListBullet"/>
      </w:pPr>
      <w:r>
        <w:t>D</w:t>
      </w:r>
      <w:r w:rsidR="005A03C1">
        <w:t xml:space="preserve">oubling the penalty units applied for breach of s297A, to increase deterrence.  </w:t>
      </w:r>
    </w:p>
    <w:p w14:paraId="702AD24D" w14:textId="1915F43A" w:rsidR="005A03C1" w:rsidRDefault="0005586B" w:rsidP="005A03C1">
      <w:pPr>
        <w:pStyle w:val="ListBullet"/>
      </w:pPr>
      <w:r>
        <w:t>E</w:t>
      </w:r>
      <w:r w:rsidR="005A03C1">
        <w:t>xtending liability for the offence in s 297</w:t>
      </w:r>
      <w:proofErr w:type="gramStart"/>
      <w:r w:rsidR="005A03C1">
        <w:t>A(</w:t>
      </w:r>
      <w:proofErr w:type="gramEnd"/>
      <w:r w:rsidR="005A03C1">
        <w:t>1) to vicariously include the political party responsible for the advertisement, to incentivise the party to monitor accuracy of candidate material.</w:t>
      </w:r>
      <w:r w:rsidR="008D660A">
        <w:rPr>
          <w:rStyle w:val="FootnoteReference"/>
        </w:rPr>
        <w:footnoteReference w:id="226"/>
      </w:r>
    </w:p>
    <w:p w14:paraId="120EBEF1" w14:textId="49F87577" w:rsidR="0005586B" w:rsidRDefault="0005586B" w:rsidP="0005586B">
      <w:pPr>
        <w:pStyle w:val="BodyText"/>
      </w:pPr>
      <w:r>
        <w:t>ANULRSJRH suggested that</w:t>
      </w:r>
      <w:r w:rsidRPr="002D4BC1">
        <w:t xml:space="preserve"> </w:t>
      </w:r>
      <w:r>
        <w:t xml:space="preserve">publication of </w:t>
      </w:r>
      <w:r w:rsidRPr="002D4BC1">
        <w:t xml:space="preserve">regulatory guidelines for enforcement of s297A </w:t>
      </w:r>
      <w:r>
        <w:t>might</w:t>
      </w:r>
      <w:r w:rsidRPr="002D4BC1">
        <w:t xml:space="preserve"> </w:t>
      </w:r>
      <w:r>
        <w:t xml:space="preserve">help address </w:t>
      </w:r>
      <w:r w:rsidRPr="002D4BC1">
        <w:t>the Commission’s concerns about the new functions compromising its impartiality</w:t>
      </w:r>
      <w:r>
        <w:t>:</w:t>
      </w:r>
      <w:r>
        <w:rPr>
          <w:rStyle w:val="FootnoteReference"/>
        </w:rPr>
        <w:footnoteReference w:id="227"/>
      </w:r>
      <w:r w:rsidRPr="002D4BC1">
        <w:t xml:space="preserve">  </w:t>
      </w:r>
    </w:p>
    <w:p w14:paraId="7AA8549A" w14:textId="5981CD5E" w:rsidR="005A03C1" w:rsidRDefault="0005586B" w:rsidP="0005586B">
      <w:pPr>
        <w:pStyle w:val="Quote"/>
      </w:pPr>
      <w:r>
        <w:t xml:space="preserve">‘The ACT </w:t>
      </w:r>
      <w:r w:rsidR="005A03C1">
        <w:t>Electoral Commission</w:t>
      </w:r>
      <w:r>
        <w:t>er</w:t>
      </w:r>
      <w:r w:rsidR="005A03C1">
        <w:t xml:space="preserve"> should publish a regulatory policy for the exercise of the prevention and take-down order powers in s 297</w:t>
      </w:r>
      <w:proofErr w:type="gramStart"/>
      <w:r w:rsidR="005A03C1">
        <w:t>A(</w:t>
      </w:r>
      <w:proofErr w:type="gramEnd"/>
      <w:r w:rsidR="005A03C1">
        <w:t>3) and (5) prior to the next election period to give their determinations greater legitimacy and political impartiality.</w:t>
      </w:r>
      <w:r>
        <w:t>’</w:t>
      </w:r>
      <w:r>
        <w:rPr>
          <w:rStyle w:val="FootnoteReference"/>
        </w:rPr>
        <w:footnoteReference w:id="228"/>
      </w:r>
    </w:p>
    <w:p w14:paraId="36470D8B" w14:textId="7947F800" w:rsidR="005309F6" w:rsidRDefault="0005586B" w:rsidP="005309F6">
      <w:pPr>
        <w:pStyle w:val="BodyText"/>
      </w:pPr>
      <w:r>
        <w:t xml:space="preserve">The </w:t>
      </w:r>
      <w:r w:rsidR="005309F6">
        <w:t xml:space="preserve">Australia Institute </w:t>
      </w:r>
      <w:r>
        <w:t xml:space="preserve">made a late submission </w:t>
      </w:r>
      <w:r w:rsidR="00C267A0">
        <w:t>in support of</w:t>
      </w:r>
      <w:r>
        <w:t xml:space="preserve"> </w:t>
      </w:r>
      <w:proofErr w:type="gramStart"/>
      <w:r>
        <w:t>s297A, and</w:t>
      </w:r>
      <w:proofErr w:type="gramEnd"/>
      <w:r>
        <w:t xml:space="preserve"> expressing concern about the discussion </w:t>
      </w:r>
      <w:r w:rsidR="00685960">
        <w:t>during</w:t>
      </w:r>
      <w:r>
        <w:t xml:space="preserve"> the first hearing about deferring commencement of s297A.</w:t>
      </w:r>
      <w:r>
        <w:rPr>
          <w:rStyle w:val="FootnoteReference"/>
        </w:rPr>
        <w:footnoteReference w:id="229"/>
      </w:r>
    </w:p>
    <w:p w14:paraId="421CA942" w14:textId="63C3F0AD" w:rsidR="009878B7" w:rsidRDefault="009878B7" w:rsidP="009878B7">
      <w:pPr>
        <w:pStyle w:val="Heading5"/>
      </w:pPr>
      <w:r>
        <w:t>Committee comment</w:t>
      </w:r>
    </w:p>
    <w:p w14:paraId="4E88F202" w14:textId="7220766E" w:rsidR="00185FC8" w:rsidRDefault="00185FC8" w:rsidP="00185FC8">
      <w:pPr>
        <w:pStyle w:val="BodyText"/>
      </w:pPr>
      <w:r>
        <w:t>Following the first hearing on 19 May 2021, the Committee wrote to the Special Minister of State</w:t>
      </w:r>
      <w:r w:rsidR="006A0907">
        <w:t>,</w:t>
      </w:r>
      <w:r w:rsidR="006A0907" w:rsidRPr="006A0907">
        <w:t xml:space="preserve"> </w:t>
      </w:r>
      <w:r w:rsidR="006A0907">
        <w:t xml:space="preserve">Mr Chris Steel MLA, </w:t>
      </w:r>
      <w:r w:rsidRPr="002E674A">
        <w:t>recommend</w:t>
      </w:r>
      <w:r>
        <w:t>ing</w:t>
      </w:r>
      <w:r w:rsidRPr="002E674A">
        <w:t xml:space="preserve"> a six-month delay in commencement of the new offence of disseminating misleading political advertising in s297A Electoral Act</w:t>
      </w:r>
      <w:r>
        <w:t>.</w:t>
      </w:r>
    </w:p>
    <w:p w14:paraId="76B91BE0" w14:textId="54DAD970" w:rsidR="00185FC8" w:rsidRPr="00FF5B9B" w:rsidRDefault="00185FC8" w:rsidP="00185FC8">
      <w:pPr>
        <w:pStyle w:val="BodyText"/>
      </w:pPr>
      <w:r>
        <w:t xml:space="preserve">The Minister responded to say ACT Government would await the findings of the Committee inquiry to inform any comprehensive amendments to </w:t>
      </w:r>
      <w:proofErr w:type="gramStart"/>
      <w:r>
        <w:t>legislation, and</w:t>
      </w:r>
      <w:proofErr w:type="gramEnd"/>
      <w:r>
        <w:t xml:space="preserve"> declined to delay commencement of s297A.  </w:t>
      </w:r>
    </w:p>
    <w:p w14:paraId="166E86C4" w14:textId="77777777" w:rsidR="006A0907" w:rsidRDefault="00C267A0" w:rsidP="00C267A0">
      <w:pPr>
        <w:pStyle w:val="BodyText"/>
      </w:pPr>
      <w:r>
        <w:lastRenderedPageBreak/>
        <w:t>The Committee has listened carefully to the Electoral Commission’s concerns about s297A.  The Committee will monitor the operation of the provisions</w:t>
      </w:r>
      <w:r w:rsidRPr="00C267A0">
        <w:t xml:space="preserve"> </w:t>
      </w:r>
      <w:r>
        <w:t xml:space="preserve">during future inquiries into Annual and Financial </w:t>
      </w:r>
      <w:proofErr w:type="gramStart"/>
      <w:r>
        <w:t>Reports, but</w:t>
      </w:r>
      <w:proofErr w:type="gramEnd"/>
      <w:r>
        <w:t xml:space="preserve"> will not recommend legislative amendment at this time.  </w:t>
      </w:r>
    </w:p>
    <w:p w14:paraId="0047EE81" w14:textId="6B9C06B3" w:rsidR="00C267A0" w:rsidRDefault="00685960" w:rsidP="00C267A0">
      <w:pPr>
        <w:pStyle w:val="BodyText"/>
      </w:pPr>
      <w:r>
        <w:t>The Committee notes that p</w:t>
      </w:r>
      <w:r w:rsidR="00147469">
        <w:t xml:space="preserve">articipants in the inquiry suggested </w:t>
      </w:r>
      <w:r w:rsidR="00C267A0">
        <w:t>two options open to the Electoral Commission to mitigate the risk of perception of impartiality</w:t>
      </w:r>
      <w:r w:rsidR="006A0907">
        <w:t>;</w:t>
      </w:r>
      <w:r w:rsidR="00C267A0">
        <w:t xml:space="preserve"> developing careful and detailed regulatory </w:t>
      </w:r>
      <w:proofErr w:type="gramStart"/>
      <w:r w:rsidR="00C267A0">
        <w:t>guidance, and</w:t>
      </w:r>
      <w:proofErr w:type="gramEnd"/>
      <w:r w:rsidR="00C267A0">
        <w:t xml:space="preserve"> appointing an external body or advisory panel to conduct assessments.  </w:t>
      </w:r>
    </w:p>
    <w:p w14:paraId="52B78352" w14:textId="150A8D2B" w:rsidR="000E3DC9" w:rsidRDefault="008C18B8" w:rsidP="008C18B8">
      <w:pPr>
        <w:pStyle w:val="Heading3"/>
      </w:pPr>
      <w:bookmarkStart w:id="133" w:name="_Toc78535752"/>
      <w:r>
        <w:t>Independent and Small Party Candidates</w:t>
      </w:r>
      <w:bookmarkEnd w:id="133"/>
    </w:p>
    <w:p w14:paraId="502114CA" w14:textId="2831A4E1" w:rsidR="00554A3A" w:rsidRDefault="00554A3A" w:rsidP="00554A3A">
      <w:pPr>
        <w:pStyle w:val="BodyText"/>
      </w:pPr>
      <w:r>
        <w:t xml:space="preserve">The Electoral Commission reported that eight Independent candidates contested the 2020 election, and that ‘[t]his </w:t>
      </w:r>
      <w:r w:rsidRPr="00136411">
        <w:t xml:space="preserve">represents a significant decline in </w:t>
      </w:r>
      <w:r w:rsidR="00711F38" w:rsidRPr="00136411">
        <w:t>non-party</w:t>
      </w:r>
      <w:r w:rsidRPr="00136411">
        <w:t xml:space="preserve"> candidates contesting the election in comparison to the 2016 election.’</w:t>
      </w:r>
      <w:r>
        <w:rPr>
          <w:rStyle w:val="FootnoteReference"/>
        </w:rPr>
        <w:footnoteReference w:id="230"/>
      </w:r>
      <w:r w:rsidRPr="00136411">
        <w:t xml:space="preserve"> </w:t>
      </w:r>
    </w:p>
    <w:p w14:paraId="2CCCEF44" w14:textId="5CAE2391" w:rsidR="00554A3A" w:rsidRDefault="00554A3A" w:rsidP="00554A3A">
      <w:pPr>
        <w:pStyle w:val="BodyText"/>
      </w:pPr>
      <w:r>
        <w:t xml:space="preserve">Several participants in the inquiry raised concerns that the ACT electoral system disadvantages Independent </w:t>
      </w:r>
      <w:r w:rsidR="00F65F96">
        <w:t xml:space="preserve">and small party </w:t>
      </w:r>
      <w:r>
        <w:t>candidates.</w:t>
      </w:r>
    </w:p>
    <w:p w14:paraId="2E5F4CC2" w14:textId="38F0D21F" w:rsidR="00554A3A" w:rsidRDefault="006179BD" w:rsidP="00554A3A">
      <w:pPr>
        <w:pStyle w:val="BodyText"/>
      </w:pPr>
      <w:r>
        <w:t>Two submissions highlighted</w:t>
      </w:r>
      <w:r w:rsidR="00535635">
        <w:t xml:space="preserve"> that no Independent candidate has been elected </w:t>
      </w:r>
      <w:r w:rsidR="00554A3A">
        <w:t xml:space="preserve">to the Assembly </w:t>
      </w:r>
      <w:r w:rsidR="00535635">
        <w:t>since 19</w:t>
      </w:r>
      <w:r w:rsidR="00554A3A">
        <w:t>9</w:t>
      </w:r>
      <w:r w:rsidR="00535635">
        <w:t>8</w:t>
      </w:r>
      <w:r>
        <w:t>, suggesting</w:t>
      </w:r>
      <w:r w:rsidR="00554A3A">
        <w:t xml:space="preserve"> this is not a good outcome for democracy</w:t>
      </w:r>
      <w:r w:rsidR="00C05FAD">
        <w:t>.</w:t>
      </w:r>
      <w:r w:rsidR="00554A3A">
        <w:rPr>
          <w:rStyle w:val="FootnoteReference"/>
        </w:rPr>
        <w:footnoteReference w:id="231"/>
      </w:r>
      <w:r w:rsidR="00C05FAD">
        <w:t xml:space="preserve">  </w:t>
      </w:r>
      <w:r w:rsidR="00554A3A">
        <w:t xml:space="preserve">During the hearing, </w:t>
      </w:r>
      <w:r>
        <w:t>Bruce Paine</w:t>
      </w:r>
      <w:r w:rsidR="00554A3A">
        <w:t xml:space="preserve"> elaborated on this point:</w:t>
      </w:r>
    </w:p>
    <w:p w14:paraId="3B48DFF6" w14:textId="50F4AB85" w:rsidR="00554A3A" w:rsidRDefault="00554A3A" w:rsidP="00554A3A">
      <w:pPr>
        <w:pStyle w:val="Quote"/>
      </w:pPr>
      <w:r>
        <w:t>‘</w:t>
      </w:r>
      <w:r w:rsidRPr="0002230F">
        <w:t xml:space="preserve">Having no independents or minor parties closes off an important channel by which matters of concern to the general community can be made </w:t>
      </w:r>
      <w:proofErr w:type="gramStart"/>
      <w:r w:rsidRPr="0002230F">
        <w:t>public, and</w:t>
      </w:r>
      <w:proofErr w:type="gramEnd"/>
      <w:r w:rsidRPr="0002230F">
        <w:t xml:space="preserve"> are made public in other states and territories.</w:t>
      </w:r>
      <w:r w:rsidR="00F65F96">
        <w:t xml:space="preserve"> </w:t>
      </w:r>
      <w:r w:rsidRPr="0002230F">
        <w:t xml:space="preserve"> Unless an issue in the ACT is taken up by at least one of the major parties, it does not get aired in the Assembly.</w:t>
      </w:r>
      <w:r>
        <w:t>’</w:t>
      </w:r>
      <w:r>
        <w:rPr>
          <w:rStyle w:val="FootnoteReference"/>
        </w:rPr>
        <w:footnoteReference w:id="232"/>
      </w:r>
      <w:r>
        <w:t xml:space="preserve"> </w:t>
      </w:r>
    </w:p>
    <w:p w14:paraId="0FABBFBA" w14:textId="3EA15C17" w:rsidR="00C05FAD" w:rsidRDefault="00C05FAD" w:rsidP="00C05FAD">
      <w:pPr>
        <w:pStyle w:val="BodyText"/>
      </w:pPr>
      <w:r>
        <w:t xml:space="preserve">Mr Paine provided the Committee with a </w:t>
      </w:r>
      <w:r w:rsidR="00F65F96">
        <w:t>table</w:t>
      </w:r>
      <w:r>
        <w:t xml:space="preserve"> </w:t>
      </w:r>
      <w:r w:rsidR="00F65F96">
        <w:t>comparing</w:t>
      </w:r>
      <w:r>
        <w:t xml:space="preserve"> the </w:t>
      </w:r>
      <w:r w:rsidR="00F65F96">
        <w:t>first preference formal votes and seats won by Independent and small party candidates in each Australian state and territory.  The table is available on the Committee website.</w:t>
      </w:r>
      <w:r w:rsidR="00F65F96">
        <w:rPr>
          <w:rStyle w:val="FootnoteReference"/>
        </w:rPr>
        <w:footnoteReference w:id="233"/>
      </w:r>
      <w:r w:rsidR="00F65F96">
        <w:t xml:space="preserve">  Mr Paine </w:t>
      </w:r>
      <w:r w:rsidR="006179BD">
        <w:t>described</w:t>
      </w:r>
      <w:r w:rsidR="00F65F96">
        <w:t xml:space="preserve"> the table during the hearing:</w:t>
      </w:r>
    </w:p>
    <w:p w14:paraId="0A97001E" w14:textId="548A291D" w:rsidR="00C05FAD" w:rsidRDefault="00C05FAD" w:rsidP="00C05FAD">
      <w:pPr>
        <w:pStyle w:val="Quote"/>
      </w:pPr>
      <w:r>
        <w:t>‘</w:t>
      </w:r>
      <w:r w:rsidRPr="0002230F">
        <w:t xml:space="preserve">At the last ACT election, nearly 15 per cent of votes went to independents or minor parties. </w:t>
      </w:r>
      <w:r w:rsidR="00F65F96">
        <w:t xml:space="preserve"> </w:t>
      </w:r>
      <w:r w:rsidRPr="0002230F">
        <w:t xml:space="preserve">That puts the ACT at about the median of all states and territories. </w:t>
      </w:r>
      <w:r>
        <w:t xml:space="preserve"> </w:t>
      </w:r>
      <w:r w:rsidRPr="0002230F">
        <w:t xml:space="preserve">However, no independent or minor party candidate was elected in the ACT. </w:t>
      </w:r>
      <w:r w:rsidR="00F65F96">
        <w:t xml:space="preserve"> </w:t>
      </w:r>
      <w:r w:rsidRPr="0002230F">
        <w:t xml:space="preserve">That puts the ACT at the bottom. </w:t>
      </w:r>
      <w:r>
        <w:t xml:space="preserve"> </w:t>
      </w:r>
      <w:r w:rsidRPr="0002230F">
        <w:t xml:space="preserve">The ACT is the only state or territory without even one independent or minor party member. </w:t>
      </w:r>
      <w:r>
        <w:t xml:space="preserve"> </w:t>
      </w:r>
      <w:r w:rsidRPr="0002230F">
        <w:t xml:space="preserve">The difference is not how people in the ACT vote; the difference </w:t>
      </w:r>
      <w:r w:rsidRPr="0002230F">
        <w:lastRenderedPageBreak/>
        <w:t>is in the ACT’s electoral system, which is heavily stacked in favour of the three big parties.</w:t>
      </w:r>
      <w:r>
        <w:t>’</w:t>
      </w:r>
      <w:r w:rsidR="00F65F96">
        <w:rPr>
          <w:rStyle w:val="FootnoteReference"/>
        </w:rPr>
        <w:footnoteReference w:id="234"/>
      </w:r>
      <w:r>
        <w:t xml:space="preserve"> </w:t>
      </w:r>
    </w:p>
    <w:p w14:paraId="1D9A9801" w14:textId="4C505506" w:rsidR="006D0029" w:rsidRDefault="006D0029" w:rsidP="00C05FAD">
      <w:pPr>
        <w:pStyle w:val="BodyText"/>
      </w:pPr>
      <w:r>
        <w:t>Mr Paine invited the Committee to consider changes to the electoral system</w:t>
      </w:r>
      <w:r w:rsidR="006179BD">
        <w:t xml:space="preserve"> to remove structural barriers to Independent and small party candidates translating votes into seats</w:t>
      </w:r>
      <w:r>
        <w:t>:</w:t>
      </w:r>
    </w:p>
    <w:p w14:paraId="50F5330C" w14:textId="3474B502" w:rsidR="00C05FAD" w:rsidRDefault="00C05FAD" w:rsidP="006D0029">
      <w:pPr>
        <w:pStyle w:val="Quote"/>
      </w:pPr>
      <w:r>
        <w:t>‘</w:t>
      </w:r>
      <w:r w:rsidRPr="0002230F">
        <w:t xml:space="preserve">I recognise that members of the committee and the Assembly generally operate within the political system as it has evolved so far. </w:t>
      </w:r>
      <w:r w:rsidR="006D0029">
        <w:t xml:space="preserve"> </w:t>
      </w:r>
      <w:r w:rsidRPr="0002230F">
        <w:t xml:space="preserve">However, I am inviting you, and also them, to take a broader and </w:t>
      </w:r>
      <w:proofErr w:type="gramStart"/>
      <w:r w:rsidRPr="0002230F">
        <w:t>longer term</w:t>
      </w:r>
      <w:proofErr w:type="gramEnd"/>
      <w:r w:rsidRPr="0002230F">
        <w:t xml:space="preserve"> view, and to make changes to the ACT's electoral system that will allow independent and minor parties some chance of being elected.</w:t>
      </w:r>
      <w:r>
        <w:t>’</w:t>
      </w:r>
      <w:r w:rsidR="006D0029">
        <w:rPr>
          <w:rStyle w:val="FootnoteReference"/>
        </w:rPr>
        <w:footnoteReference w:id="235"/>
      </w:r>
      <w:r>
        <w:t xml:space="preserve"> </w:t>
      </w:r>
    </w:p>
    <w:p w14:paraId="6843D144" w14:textId="39CB63B9" w:rsidR="00554A3A" w:rsidRPr="00136411" w:rsidRDefault="006D0029" w:rsidP="00136411">
      <w:pPr>
        <w:pStyle w:val="BodyText"/>
      </w:pPr>
      <w:r>
        <w:t xml:space="preserve">Suggestions for change were put forward by Bruce Paine, Canberra Progressives, ACT Greens, Martin Miller, Caroline Le Couteur, and </w:t>
      </w:r>
      <w:proofErr w:type="spellStart"/>
      <w:r>
        <w:t>Mignonne</w:t>
      </w:r>
      <w:proofErr w:type="spellEnd"/>
      <w:r>
        <w:t xml:space="preserve"> Cullen:</w:t>
      </w:r>
    </w:p>
    <w:p w14:paraId="4D188667" w14:textId="05CCDC87" w:rsidR="00554A3A" w:rsidRDefault="006D0029" w:rsidP="00554A3A">
      <w:pPr>
        <w:pStyle w:val="ListBullet"/>
      </w:pPr>
      <w:r>
        <w:t>R</w:t>
      </w:r>
      <w:r w:rsidR="00554A3A" w:rsidRPr="00554A3A">
        <w:t>edesign of the ballot paper to give greater prominence to Independent</w:t>
      </w:r>
      <w:r>
        <w:t xml:space="preserve"> or non-</w:t>
      </w:r>
      <w:r w:rsidRPr="00554A3A">
        <w:t>aligned</w:t>
      </w:r>
      <w:r w:rsidR="00554A3A" w:rsidRPr="00554A3A">
        <w:t xml:space="preserve"> candidates (rather than gathering them under the same column titled ‘ungrouped’)</w:t>
      </w:r>
      <w:r>
        <w:t>.</w:t>
      </w:r>
      <w:r>
        <w:rPr>
          <w:rStyle w:val="FootnoteReference"/>
        </w:rPr>
        <w:footnoteReference w:id="236"/>
      </w:r>
    </w:p>
    <w:p w14:paraId="1F34EA7B" w14:textId="55E88821" w:rsidR="006A3CC7" w:rsidRPr="00554A3A" w:rsidRDefault="006A3CC7" w:rsidP="00554A3A">
      <w:pPr>
        <w:pStyle w:val="ListBullet"/>
      </w:pPr>
      <w:r>
        <w:t>Provide a separate column on the allot paper to any non-aligned candidate who is nominated by at least 100 electors.</w:t>
      </w:r>
      <w:r>
        <w:rPr>
          <w:rStyle w:val="FootnoteReference"/>
        </w:rPr>
        <w:footnoteReference w:id="237"/>
      </w:r>
    </w:p>
    <w:p w14:paraId="6C7FEE9F" w14:textId="6E5CD2B2" w:rsidR="00554A3A" w:rsidRPr="00554A3A" w:rsidRDefault="00711F38" w:rsidP="00554A3A">
      <w:pPr>
        <w:pStyle w:val="ListBullet"/>
      </w:pPr>
      <w:r>
        <w:t>C</w:t>
      </w:r>
      <w:r w:rsidR="00554A3A" w:rsidRPr="00554A3A">
        <w:t xml:space="preserve">orflutes </w:t>
      </w:r>
      <w:r>
        <w:t xml:space="preserve">restricted </w:t>
      </w:r>
      <w:r w:rsidR="00554A3A" w:rsidRPr="00554A3A">
        <w:t xml:space="preserve">to certain locations, </w:t>
      </w:r>
      <w:r>
        <w:t>with a limit of 50</w:t>
      </w:r>
      <w:r w:rsidR="00554A3A" w:rsidRPr="00554A3A">
        <w:t xml:space="preserve"> per candidate.</w:t>
      </w:r>
      <w:r>
        <w:rPr>
          <w:rStyle w:val="FootnoteReference"/>
        </w:rPr>
        <w:footnoteReference w:id="238"/>
      </w:r>
    </w:p>
    <w:p w14:paraId="16DE7A31" w14:textId="623F6403" w:rsidR="00554A3A" w:rsidRDefault="00D914EE" w:rsidP="00554A3A">
      <w:pPr>
        <w:pStyle w:val="ListBullet"/>
      </w:pPr>
      <w:r>
        <w:t>A</w:t>
      </w:r>
      <w:r w:rsidR="00654EA4" w:rsidRPr="00654EA4">
        <w:t xml:space="preserve"> higher campaign expenditure cap of $60,000 for </w:t>
      </w:r>
      <w:r>
        <w:t>ungrouped</w:t>
      </w:r>
      <w:r w:rsidR="00654EA4" w:rsidRPr="00654EA4">
        <w:t xml:space="preserve"> candidates </w:t>
      </w:r>
      <w:r>
        <w:t>(as recommended by the Electoral Commission in its report on the 2016 election)</w:t>
      </w:r>
      <w:r w:rsidR="00654EA4" w:rsidRPr="00654EA4">
        <w:t>.</w:t>
      </w:r>
      <w:r>
        <w:rPr>
          <w:rStyle w:val="FootnoteReference"/>
        </w:rPr>
        <w:footnoteReference w:id="239"/>
      </w:r>
    </w:p>
    <w:p w14:paraId="22304ACE" w14:textId="1CBA692C" w:rsidR="00554A3A" w:rsidRDefault="00711F38" w:rsidP="00554A3A">
      <w:pPr>
        <w:pStyle w:val="ListBullet"/>
      </w:pPr>
      <w:r>
        <w:t>Lower</w:t>
      </w:r>
      <w:r w:rsidR="00554A3A" w:rsidRPr="006B2DB9">
        <w:t xml:space="preserve"> threshold for candidates to receive public funding, from the current 4% of votes to 1% of votes.</w:t>
      </w:r>
      <w:r w:rsidR="006179BD">
        <w:rPr>
          <w:rStyle w:val="FootnoteReference"/>
        </w:rPr>
        <w:footnoteReference w:id="240"/>
      </w:r>
    </w:p>
    <w:p w14:paraId="44AF78F4" w14:textId="1EED7992" w:rsidR="00554A3A" w:rsidRDefault="006179BD" w:rsidP="00554A3A">
      <w:pPr>
        <w:pStyle w:val="ListBullet"/>
      </w:pPr>
      <w:r>
        <w:t>R</w:t>
      </w:r>
      <w:r w:rsidR="00554A3A" w:rsidRPr="00BB3833">
        <w:t>eduction in the requirement for non-party candidates to gather 20 signatures from electors</w:t>
      </w:r>
      <w:r>
        <w:t>.</w:t>
      </w:r>
      <w:r>
        <w:rPr>
          <w:rStyle w:val="FootnoteReference"/>
        </w:rPr>
        <w:footnoteReference w:id="241"/>
      </w:r>
    </w:p>
    <w:p w14:paraId="28E1EB99" w14:textId="4FEC0AEC" w:rsidR="00554A3A" w:rsidRPr="00554A3A" w:rsidRDefault="006179BD" w:rsidP="00554A3A">
      <w:pPr>
        <w:pStyle w:val="ListBullet"/>
      </w:pPr>
      <w:r>
        <w:t>M</w:t>
      </w:r>
      <w:r w:rsidR="00554A3A" w:rsidRPr="00554A3A">
        <w:t xml:space="preserve">ajor parties </w:t>
      </w:r>
      <w:r>
        <w:t>limited to nominating</w:t>
      </w:r>
      <w:r w:rsidR="00554A3A" w:rsidRPr="00554A3A">
        <w:t xml:space="preserve"> a maximum of three candidates per election (rather than five)</w:t>
      </w:r>
      <w:r>
        <w:t>.</w:t>
      </w:r>
      <w:r>
        <w:rPr>
          <w:rStyle w:val="FootnoteReference"/>
        </w:rPr>
        <w:footnoteReference w:id="242"/>
      </w:r>
    </w:p>
    <w:p w14:paraId="6E2E6C6D" w14:textId="22B70092" w:rsidR="00554A3A" w:rsidRPr="00554A3A" w:rsidRDefault="00711F38" w:rsidP="00554A3A">
      <w:pPr>
        <w:pStyle w:val="ListBullet"/>
      </w:pPr>
      <w:r>
        <w:t xml:space="preserve">Media training provided by </w:t>
      </w:r>
      <w:r w:rsidR="00554A3A" w:rsidRPr="00554A3A">
        <w:t>Elections ACT or the Assembly for candidates, to increase media coverage of Independen</w:t>
      </w:r>
      <w:r>
        <w:t>ts</w:t>
      </w:r>
      <w:r w:rsidR="006179BD">
        <w:t>.</w:t>
      </w:r>
      <w:r w:rsidR="006179BD">
        <w:rPr>
          <w:rStyle w:val="FootnoteReference"/>
        </w:rPr>
        <w:footnoteReference w:id="243"/>
      </w:r>
    </w:p>
    <w:p w14:paraId="6504162C" w14:textId="7FD32DE8" w:rsidR="00F65F96" w:rsidRPr="00F65F96" w:rsidRDefault="006179BD" w:rsidP="00F65F96">
      <w:pPr>
        <w:pStyle w:val="ListBullet"/>
      </w:pPr>
      <w:r>
        <w:t>Revision of</w:t>
      </w:r>
      <w:r w:rsidR="00BE06DA" w:rsidRPr="00BE06DA">
        <w:t xml:space="preserve"> the quota system, as a quota of 16.66% is </w:t>
      </w:r>
      <w:r>
        <w:t>‘</w:t>
      </w:r>
      <w:r w:rsidR="00BE06DA" w:rsidRPr="00BE06DA">
        <w:t>beyond the reach</w:t>
      </w:r>
      <w:r>
        <w:t>’</w:t>
      </w:r>
      <w:r w:rsidR="00BE06DA" w:rsidRPr="00BE06DA">
        <w:t xml:space="preserve"> of any </w:t>
      </w:r>
      <w:r w:rsidR="00711F38" w:rsidRPr="00BE06DA">
        <w:t xml:space="preserve">Independent </w:t>
      </w:r>
      <w:r w:rsidR="00711F38">
        <w:t>or small</w:t>
      </w:r>
      <w:r w:rsidR="00711F38" w:rsidRPr="00BE06DA">
        <w:t xml:space="preserve"> party candidate</w:t>
      </w:r>
      <w:r w:rsidR="00BE06DA" w:rsidRPr="00BE06DA">
        <w:t>.</w:t>
      </w:r>
      <w:r>
        <w:rPr>
          <w:rStyle w:val="FootnoteReference"/>
        </w:rPr>
        <w:footnoteReference w:id="244"/>
      </w:r>
      <w:r w:rsidR="00F65F96">
        <w:t xml:space="preserve">  </w:t>
      </w:r>
    </w:p>
    <w:p w14:paraId="63F8A5C3" w14:textId="06A4DBC1" w:rsidR="00554A3A" w:rsidRDefault="006A3CC7" w:rsidP="00554A3A">
      <w:pPr>
        <w:pStyle w:val="ListBullet"/>
      </w:pPr>
      <w:r>
        <w:lastRenderedPageBreak/>
        <w:t xml:space="preserve">Returning the ACT to three </w:t>
      </w:r>
      <w:proofErr w:type="gramStart"/>
      <w:r>
        <w:t>electorates, and</w:t>
      </w:r>
      <w:proofErr w:type="gramEnd"/>
      <w:r>
        <w:t xml:space="preserve"> introducing nine Members per electorate</w:t>
      </w:r>
      <w:r w:rsidR="00BE06DA" w:rsidRPr="00BE06DA">
        <w:t>.</w:t>
      </w:r>
      <w:r w:rsidR="006179BD">
        <w:rPr>
          <w:rStyle w:val="FootnoteReference"/>
        </w:rPr>
        <w:footnoteReference w:id="245"/>
      </w:r>
    </w:p>
    <w:p w14:paraId="69E62B59" w14:textId="36A7B619" w:rsidR="00984DEB" w:rsidRDefault="00711F38" w:rsidP="00554A3A">
      <w:pPr>
        <w:pStyle w:val="ListBullet"/>
      </w:pPr>
      <w:r>
        <w:t>An</w:t>
      </w:r>
      <w:r w:rsidR="00984DEB" w:rsidRPr="00984DEB">
        <w:t xml:space="preserve"> inquiry into the impact of Division 14.3 of the Electoral Act</w:t>
      </w:r>
      <w:r>
        <w:t xml:space="preserve"> (</w:t>
      </w:r>
      <w:r w:rsidR="003C6A45">
        <w:t>election funding</w:t>
      </w:r>
      <w:r>
        <w:t>)</w:t>
      </w:r>
      <w:r w:rsidR="00984DEB" w:rsidRPr="00984DEB">
        <w:t xml:space="preserve">, to assess the extent to which the </w:t>
      </w:r>
      <w:r>
        <w:t>provisions</w:t>
      </w:r>
      <w:r w:rsidR="00984DEB" w:rsidRPr="00984DEB">
        <w:t xml:space="preserve"> entrench, </w:t>
      </w:r>
      <w:proofErr w:type="gramStart"/>
      <w:r w:rsidR="00984DEB" w:rsidRPr="00984DEB">
        <w:t>reward</w:t>
      </w:r>
      <w:proofErr w:type="gramEnd"/>
      <w:r w:rsidR="00984DEB" w:rsidRPr="00984DEB">
        <w:t xml:space="preserve"> and increase the profile of major parties, at the expense of bringing diversity of representation into the Assembly</w:t>
      </w:r>
      <w:r>
        <w:t>.</w:t>
      </w:r>
      <w:r>
        <w:rPr>
          <w:rStyle w:val="FootnoteReference"/>
        </w:rPr>
        <w:footnoteReference w:id="246"/>
      </w:r>
    </w:p>
    <w:p w14:paraId="15F44BAE" w14:textId="06F7BC39" w:rsidR="003D2BD5" w:rsidRDefault="00CE60FE" w:rsidP="003D2BD5">
      <w:pPr>
        <w:pStyle w:val="Heading2"/>
      </w:pPr>
      <w:bookmarkStart w:id="134" w:name="_Toc78535753"/>
      <w:r>
        <w:lastRenderedPageBreak/>
        <w:t xml:space="preserve">Campaign </w:t>
      </w:r>
      <w:r w:rsidR="00195C0C">
        <w:t>Financ</w:t>
      </w:r>
      <w:r w:rsidR="00C60D8F">
        <w:t>e</w:t>
      </w:r>
      <w:r w:rsidR="00195C0C">
        <w:t xml:space="preserve"> and Disclosure</w:t>
      </w:r>
      <w:bookmarkEnd w:id="134"/>
    </w:p>
    <w:p w14:paraId="741F72E5" w14:textId="25D013A5" w:rsidR="005F4987" w:rsidRPr="00A3518B" w:rsidRDefault="00241C85" w:rsidP="00960A9A">
      <w:pPr>
        <w:pStyle w:val="BodyText"/>
      </w:pPr>
      <w:r>
        <w:t>Part 14 of the</w:t>
      </w:r>
      <w:r w:rsidR="00C60D8F">
        <w:t xml:space="preserve"> Electoral Act establishes the election funding, </w:t>
      </w:r>
      <w:proofErr w:type="gramStart"/>
      <w:r w:rsidR="00C60D8F">
        <w:t>expenditure</w:t>
      </w:r>
      <w:proofErr w:type="gramEnd"/>
      <w:r w:rsidR="00C60D8F">
        <w:t xml:space="preserve"> and financial disclosure scheme</w:t>
      </w:r>
      <w:r w:rsidR="00E1041C">
        <w:t>.</w:t>
      </w:r>
      <w:r w:rsidR="00960A9A">
        <w:t xml:space="preserve">  The rationale for reporting political donations, partial public funding, and campaign expenditure limits is to discourage corruption: </w:t>
      </w:r>
      <w:r w:rsidR="005F4987" w:rsidRPr="00A3518B">
        <w:t>‘reducing the risk that electoral debates will be dominated by the well-financed and reducing the related risk that candidates and parties will be beholden to their financial supporters.’</w:t>
      </w:r>
      <w:r w:rsidR="00960A9A">
        <w:rPr>
          <w:rStyle w:val="FootnoteReference"/>
        </w:rPr>
        <w:footnoteReference w:id="247"/>
      </w:r>
      <w:r w:rsidR="005F4987" w:rsidRPr="00A3518B">
        <w:t xml:space="preserve"> </w:t>
      </w:r>
    </w:p>
    <w:p w14:paraId="282EC0E5" w14:textId="234E9C62" w:rsidR="003D2BD5" w:rsidRDefault="003D2BD5" w:rsidP="003D2BD5">
      <w:pPr>
        <w:pStyle w:val="Heading3"/>
      </w:pPr>
      <w:bookmarkStart w:id="135" w:name="_Toc78535754"/>
      <w:r>
        <w:t xml:space="preserve">Donation </w:t>
      </w:r>
      <w:r w:rsidR="008C18B8">
        <w:t>R</w:t>
      </w:r>
      <w:r>
        <w:t>ules</w:t>
      </w:r>
      <w:bookmarkEnd w:id="135"/>
    </w:p>
    <w:p w14:paraId="5C7A3912" w14:textId="1F24287C" w:rsidR="005F4987" w:rsidRPr="005F4987" w:rsidRDefault="005F4987" w:rsidP="005F4987">
      <w:pPr>
        <w:pStyle w:val="Heading4"/>
      </w:pPr>
      <w:r>
        <w:t>Views expressed in Submissions and Hearings</w:t>
      </w:r>
    </w:p>
    <w:p w14:paraId="06BC0057" w14:textId="740D25BB" w:rsidR="00E1041C" w:rsidRDefault="00E1041C" w:rsidP="003D2BD5">
      <w:pPr>
        <w:pStyle w:val="BodyText"/>
      </w:pPr>
      <w:r>
        <w:t>Donation rules were a common theme in submissions to the inquiry.</w:t>
      </w:r>
    </w:p>
    <w:p w14:paraId="57D24FA0" w14:textId="2DE8D96F" w:rsidR="00B87FF7" w:rsidRDefault="00960A9A" w:rsidP="00960A9A">
      <w:pPr>
        <w:pStyle w:val="ListBullet"/>
      </w:pPr>
      <w:r>
        <w:t xml:space="preserve">Liberal Democrats and John Paul Romano recommended </w:t>
      </w:r>
      <w:r w:rsidR="00B87FF7" w:rsidRPr="00B87FF7">
        <w:t xml:space="preserve">removal of bans on donations by </w:t>
      </w:r>
      <w:proofErr w:type="gramStart"/>
      <w:r w:rsidR="00B87FF7" w:rsidRPr="00B87FF7">
        <w:t>particular categories</w:t>
      </w:r>
      <w:proofErr w:type="gramEnd"/>
      <w:r w:rsidR="00B87FF7" w:rsidRPr="00B87FF7">
        <w:t xml:space="preserve"> of donors</w:t>
      </w:r>
      <w:r>
        <w:t>.</w:t>
      </w:r>
      <w:r>
        <w:rPr>
          <w:rStyle w:val="FootnoteReference"/>
        </w:rPr>
        <w:footnoteReference w:id="248"/>
      </w:r>
    </w:p>
    <w:p w14:paraId="321B5082" w14:textId="292DB98F" w:rsidR="005E5D0E" w:rsidRDefault="00960A9A" w:rsidP="00AD7BDF">
      <w:pPr>
        <w:pStyle w:val="ListBullet"/>
      </w:pPr>
      <w:r>
        <w:t>The Electoral Commission and ACT Greens</w:t>
      </w:r>
      <w:r w:rsidR="005E5D0E">
        <w:t xml:space="preserve"> </w:t>
      </w:r>
      <w:r w:rsidR="005E5D0E" w:rsidRPr="005E5D0E">
        <w:t>recommend</w:t>
      </w:r>
      <w:r w:rsidR="0033525B">
        <w:t>ed</w:t>
      </w:r>
      <w:r w:rsidR="005E5D0E" w:rsidRPr="005E5D0E">
        <w:t xml:space="preserve"> the Electoral Act be amended to reinstate the $10,000 cap on political donations that </w:t>
      </w:r>
      <w:r>
        <w:t xml:space="preserve">previously </w:t>
      </w:r>
      <w:r w:rsidR="005E5D0E" w:rsidRPr="005E5D0E">
        <w:t>existed</w:t>
      </w:r>
      <w:r>
        <w:t>.</w:t>
      </w:r>
      <w:r>
        <w:rPr>
          <w:rStyle w:val="FootnoteReference"/>
        </w:rPr>
        <w:footnoteReference w:id="249"/>
      </w:r>
    </w:p>
    <w:p w14:paraId="4E8C3038" w14:textId="717E0865" w:rsidR="00B87FF7" w:rsidRDefault="00960A9A" w:rsidP="00AD7BDF">
      <w:pPr>
        <w:pStyle w:val="ListBullet"/>
      </w:pPr>
      <w:r>
        <w:t>ACT Greens and Caroline Le Couteur</w:t>
      </w:r>
      <w:r w:rsidR="00B87FF7">
        <w:t xml:space="preserve"> </w:t>
      </w:r>
      <w:r w:rsidR="00B87FF7" w:rsidRPr="00B87FF7">
        <w:t>recommend</w:t>
      </w:r>
      <w:r w:rsidR="0033525B">
        <w:t>ed</w:t>
      </w:r>
      <w:r w:rsidR="00B87FF7" w:rsidRPr="00B87FF7">
        <w:t xml:space="preserve"> a ban on donations from for-profit gambling entities</w:t>
      </w:r>
      <w:r>
        <w:t>.</w:t>
      </w:r>
      <w:r>
        <w:rPr>
          <w:rStyle w:val="FootnoteReference"/>
        </w:rPr>
        <w:footnoteReference w:id="250"/>
      </w:r>
    </w:p>
    <w:p w14:paraId="2D223ED2" w14:textId="7D651FC7" w:rsidR="004539BA" w:rsidRDefault="004539BA" w:rsidP="004539BA">
      <w:pPr>
        <w:pStyle w:val="ListBullet"/>
      </w:pPr>
      <w:r>
        <w:t xml:space="preserve">ACT </w:t>
      </w:r>
      <w:proofErr w:type="spellStart"/>
      <w:r>
        <w:t>Labor</w:t>
      </w:r>
      <w:proofErr w:type="spellEnd"/>
      <w:r w:rsidR="00B87FF7">
        <w:t xml:space="preserve"> </w:t>
      </w:r>
      <w:r w:rsidR="00B87FF7" w:rsidRPr="00B87FF7">
        <w:t>recommend</w:t>
      </w:r>
      <w:r w:rsidR="0033525B">
        <w:t>ed</w:t>
      </w:r>
      <w:r w:rsidR="00B87FF7" w:rsidRPr="00B87FF7">
        <w:t xml:space="preserve"> a review of the operation of the MLA communications allowance</w:t>
      </w:r>
      <w:r>
        <w:t>.</w:t>
      </w:r>
      <w:r>
        <w:rPr>
          <w:rStyle w:val="FootnoteReference"/>
        </w:rPr>
        <w:footnoteReference w:id="251"/>
      </w:r>
      <w:r w:rsidR="004C0FA4">
        <w:t xml:space="preserve"> </w:t>
      </w:r>
    </w:p>
    <w:p w14:paraId="2C2AD834" w14:textId="3EC52183" w:rsidR="005E5D0E" w:rsidRDefault="004539BA" w:rsidP="004539BA">
      <w:pPr>
        <w:pStyle w:val="ListBullet"/>
      </w:pPr>
      <w:r>
        <w:t xml:space="preserve">Canberra Liberals </w:t>
      </w:r>
      <w:r w:rsidR="005E5D0E">
        <w:t xml:space="preserve">advised </w:t>
      </w:r>
      <w:r>
        <w:t xml:space="preserve">the </w:t>
      </w:r>
      <w:r w:rsidR="005E5D0E">
        <w:t xml:space="preserve">committee to </w:t>
      </w:r>
      <w:r w:rsidR="005E5D0E" w:rsidRPr="005E5D0E">
        <w:t>avoid making changes to donation and disclosure rules which create more administrative burden on parties and candidates</w:t>
      </w:r>
      <w:r>
        <w:t>.</w:t>
      </w:r>
      <w:r>
        <w:rPr>
          <w:rStyle w:val="FootnoteReference"/>
        </w:rPr>
        <w:footnoteReference w:id="252"/>
      </w:r>
    </w:p>
    <w:p w14:paraId="530B4462" w14:textId="30637EF2" w:rsidR="002F0215" w:rsidRDefault="00E82A37" w:rsidP="00E82A37">
      <w:pPr>
        <w:pStyle w:val="Heading4"/>
      </w:pPr>
      <w:bookmarkStart w:id="136" w:name="_Hlk76980025"/>
      <w:r>
        <w:t>Developer Donations</w:t>
      </w:r>
    </w:p>
    <w:p w14:paraId="69FA2638" w14:textId="42865D93" w:rsidR="005B5589" w:rsidRDefault="005B5589" w:rsidP="005B5589">
      <w:pPr>
        <w:pStyle w:val="Heading5"/>
      </w:pPr>
      <w:r>
        <w:t>Legislative Framework</w:t>
      </w:r>
    </w:p>
    <w:p w14:paraId="4BBBAB6E" w14:textId="75B05913" w:rsidR="00F72111" w:rsidRDefault="00F72111" w:rsidP="002D4BC1">
      <w:pPr>
        <w:pStyle w:val="BodyText"/>
      </w:pPr>
      <w:r>
        <w:t xml:space="preserve">New provisions </w:t>
      </w:r>
      <w:r w:rsidR="00C10DC7">
        <w:t xml:space="preserve">in the </w:t>
      </w:r>
      <w:r>
        <w:t xml:space="preserve">Electoral Act commenced on 1 July 2021 to prohibit political donations </w:t>
      </w:r>
      <w:r w:rsidR="00941647">
        <w:t>by</w:t>
      </w:r>
      <w:r>
        <w:t xml:space="preserve"> property developers.</w:t>
      </w:r>
      <w:r>
        <w:rPr>
          <w:rStyle w:val="FootnoteReference"/>
        </w:rPr>
        <w:footnoteReference w:id="253"/>
      </w:r>
      <w:r>
        <w:t xml:space="preserve">  </w:t>
      </w:r>
      <w:r w:rsidR="00C10DC7">
        <w:t xml:space="preserve">Division 14.4A establishes obligations on property developers, their close associates, and political entities (MLAs, parties, Independent candidates). </w:t>
      </w:r>
    </w:p>
    <w:p w14:paraId="4968E5D3" w14:textId="07829DD3" w:rsidR="00C10DC7" w:rsidRDefault="00C10DC7" w:rsidP="002D4BC1">
      <w:pPr>
        <w:pStyle w:val="BodyText"/>
      </w:pPr>
      <w:r>
        <w:lastRenderedPageBreak/>
        <w:t>If a property developer (</w:t>
      </w:r>
      <w:r w:rsidR="00AC64A3">
        <w:t xml:space="preserve">defined in </w:t>
      </w:r>
      <w:r>
        <w:t xml:space="preserve">s222C) has a current undecided planning </w:t>
      </w:r>
      <w:proofErr w:type="gramStart"/>
      <w:r>
        <w:t>application, or</w:t>
      </w:r>
      <w:proofErr w:type="gramEnd"/>
      <w:r>
        <w:t xml:space="preserve"> has made three planning applications in the last seven years (s222E), they are prohibited from </w:t>
      </w:r>
      <w:r w:rsidR="00516FA0">
        <w:t>donating</w:t>
      </w:r>
      <w:r>
        <w:t xml:space="preserve"> gifts to political entities.  The political entity is also prohibited from accepting gifts in such circumstances.  </w:t>
      </w:r>
    </w:p>
    <w:p w14:paraId="02AD0109" w14:textId="24EEA757" w:rsidR="00C10DC7" w:rsidRDefault="00C10DC7" w:rsidP="002D4BC1">
      <w:pPr>
        <w:pStyle w:val="BodyText"/>
      </w:pPr>
      <w:r>
        <w:t xml:space="preserve">There are two sets of penalties for these offences, based on the size of the gift.  For gifts below $250 </w:t>
      </w:r>
      <w:r w:rsidR="005B5589">
        <w:t xml:space="preserve">both </w:t>
      </w:r>
      <w:r>
        <w:t xml:space="preserve">the property developer </w:t>
      </w:r>
      <w:r w:rsidR="005B5589">
        <w:t xml:space="preserve">and the political entity </w:t>
      </w:r>
      <w:r>
        <w:t>must pay the Territory an amount</w:t>
      </w:r>
      <w:r w:rsidR="005B5589">
        <w:t xml:space="preserve"> equal to the gift</w:t>
      </w:r>
      <w:r>
        <w:t xml:space="preserve"> (s222F</w:t>
      </w:r>
      <w:r w:rsidR="005B5589">
        <w:t xml:space="preserve"> and s222H</w:t>
      </w:r>
      <w:r>
        <w:t>).  For gifts above $250 the m</w:t>
      </w:r>
      <w:r w:rsidRPr="00C10DC7">
        <w:t>aximum penalty</w:t>
      </w:r>
      <w:r w:rsidR="005B5589">
        <w:t xml:space="preserve"> for the property developer and the political entity</w:t>
      </w:r>
      <w:r>
        <w:t xml:space="preserve"> </w:t>
      </w:r>
      <w:r w:rsidR="005B5589">
        <w:t xml:space="preserve">is </w:t>
      </w:r>
      <w:r>
        <w:t>50</w:t>
      </w:r>
      <w:r w:rsidRPr="00C10DC7">
        <w:t xml:space="preserve"> penalty units, imprisonment for </w:t>
      </w:r>
      <w:r>
        <w:t>six</w:t>
      </w:r>
      <w:r w:rsidRPr="00C10DC7">
        <w:t xml:space="preserve"> months or both</w:t>
      </w:r>
      <w:r>
        <w:t xml:space="preserve"> (s222G)</w:t>
      </w:r>
      <w:r w:rsidRPr="00C10DC7">
        <w:t>.</w:t>
      </w:r>
    </w:p>
    <w:p w14:paraId="2B46E58D" w14:textId="6BB9AA77" w:rsidR="00C10DC7" w:rsidRDefault="00C10DC7" w:rsidP="00516FA0">
      <w:pPr>
        <w:pStyle w:val="BodyText"/>
      </w:pPr>
      <w:r>
        <w:t xml:space="preserve">Political entities may </w:t>
      </w:r>
      <w:r w:rsidR="005B5589">
        <w:t>avoid prosecution if they can demonstrate that they took reasonable steps to establish that (a) the donor was not a property developer or close associate, and (b) the donor d</w:t>
      </w:r>
      <w:r w:rsidR="00AC64A3">
        <w:t>id</w:t>
      </w:r>
      <w:r w:rsidR="005B5589">
        <w:t xml:space="preserve"> not have a current undecided planning </w:t>
      </w:r>
      <w:proofErr w:type="gramStart"/>
      <w:r w:rsidR="005B5589">
        <w:t>application, and</w:t>
      </w:r>
      <w:proofErr w:type="gramEnd"/>
      <w:r w:rsidR="005B5589">
        <w:t xml:space="preserve"> had not made three planning applications in the last seven years (s222H and s222I).  </w:t>
      </w:r>
      <w:r>
        <w:t xml:space="preserve">Examples of </w:t>
      </w:r>
      <w:r w:rsidR="005B5589">
        <w:t>‘</w:t>
      </w:r>
      <w:r>
        <w:t>reasonable steps</w:t>
      </w:r>
      <w:r w:rsidR="005B5589">
        <w:t>’</w:t>
      </w:r>
      <w:r>
        <w:t xml:space="preserve"> are provided in the Act</w:t>
      </w:r>
      <w:r w:rsidR="005B5589">
        <w:t xml:space="preserve"> (s222H and s222I).</w:t>
      </w:r>
    </w:p>
    <w:p w14:paraId="40D1536C" w14:textId="77777777" w:rsidR="005B5589" w:rsidRDefault="005B5589" w:rsidP="005B5589">
      <w:pPr>
        <w:pStyle w:val="Heading5"/>
      </w:pPr>
      <w:r>
        <w:t>Views expressed in Submissions and Hearings</w:t>
      </w:r>
    </w:p>
    <w:p w14:paraId="402845FF" w14:textId="31BE73E8" w:rsidR="00516FA0" w:rsidRDefault="00516FA0" w:rsidP="00516FA0">
      <w:pPr>
        <w:pStyle w:val="BodyText"/>
      </w:pPr>
      <w:r>
        <w:t>Canberra Liberals raised concerns about the ban on developer donations: that party officials are exposed to criminal penalties; that the Electoral Commission has not yet provided regulatory guidance on its enforcement policy and how it will interpret ‘reasonable steps’; and that is it not possible to definitively identify whether a person is a property developer.</w:t>
      </w:r>
    </w:p>
    <w:p w14:paraId="1D6D9D82" w14:textId="6D568F9B" w:rsidR="002D4BC1" w:rsidRPr="002D4BC1" w:rsidRDefault="002D4BC1" w:rsidP="005B5589">
      <w:pPr>
        <w:pStyle w:val="Quote"/>
      </w:pPr>
      <w:r w:rsidRPr="002D4BC1">
        <w:t>‘</w:t>
      </w:r>
      <w:r w:rsidR="00AC64A3">
        <w:t>[A]s</w:t>
      </w:r>
      <w:r w:rsidRPr="002D4BC1">
        <w:t xml:space="preserve"> at the date of this submission, the Electoral Commission has not provided any advice to parties about its interpretation of the Act.</w:t>
      </w:r>
      <w:r w:rsidR="005F4987">
        <w:t xml:space="preserve"> </w:t>
      </w:r>
      <w:r w:rsidRPr="002D4BC1">
        <w:t xml:space="preserve"> With the introduction of criminal sanctions for non-compliance, this creates a significant issue whereby parties are completely reliant on our own legal advice, instead of having been provided with clear advice from the Commission about how</w:t>
      </w:r>
      <w:r w:rsidR="005B5589">
        <w:t xml:space="preserve"> </w:t>
      </w:r>
      <w:proofErr w:type="gramStart"/>
      <w:r w:rsidR="005B5589">
        <w:t>–</w:t>
      </w:r>
      <w:r w:rsidRPr="002D4BC1">
        <w:t xml:space="preserve"> in particular </w:t>
      </w:r>
      <w:r w:rsidR="005B5589">
        <w:t xml:space="preserve">– </w:t>
      </w:r>
      <w:r w:rsidRPr="002D4BC1">
        <w:t>the</w:t>
      </w:r>
      <w:proofErr w:type="gramEnd"/>
      <w:r w:rsidRPr="002D4BC1">
        <w:t xml:space="preserve"> reasonableness provisions will be administered.’</w:t>
      </w:r>
      <w:r w:rsidR="00516FA0">
        <w:rPr>
          <w:rStyle w:val="FootnoteReference"/>
        </w:rPr>
        <w:footnoteReference w:id="254"/>
      </w:r>
      <w:r w:rsidRPr="002D4BC1">
        <w:t xml:space="preserve"> </w:t>
      </w:r>
    </w:p>
    <w:p w14:paraId="4EDF6C3A" w14:textId="01F955F6" w:rsidR="002D4BC1" w:rsidRDefault="004C0FA4" w:rsidP="00516FA0">
      <w:pPr>
        <w:pStyle w:val="Quote"/>
      </w:pPr>
      <w:r>
        <w:t>‘</w:t>
      </w:r>
      <w:r w:rsidR="00516FA0">
        <w:t>[T]</w:t>
      </w:r>
      <w:proofErr w:type="gramStart"/>
      <w:r w:rsidRPr="004C0FA4">
        <w:t>he</w:t>
      </w:r>
      <w:proofErr w:type="gramEnd"/>
      <w:r w:rsidRPr="004C0FA4">
        <w:t xml:space="preserve"> great concern is criminal sanctions that fall on party registered officers</w:t>
      </w:r>
      <w:r>
        <w:t>’</w:t>
      </w:r>
      <w:r w:rsidR="00516FA0">
        <w:t>.</w:t>
      </w:r>
      <w:r w:rsidR="00516FA0">
        <w:rPr>
          <w:rStyle w:val="FootnoteReference"/>
        </w:rPr>
        <w:footnoteReference w:id="255"/>
      </w:r>
      <w:r>
        <w:t xml:space="preserve"> </w:t>
      </w:r>
    </w:p>
    <w:p w14:paraId="0486EC65" w14:textId="5F8EB7C8" w:rsidR="00AD7BDF" w:rsidRDefault="00516FA0" w:rsidP="0028619B">
      <w:pPr>
        <w:pStyle w:val="BodyText"/>
      </w:pPr>
      <w:r>
        <w:t xml:space="preserve">During the hearing, Canberra Liberals acknowledged that the </w:t>
      </w:r>
      <w:r w:rsidR="0028619B">
        <w:t>Electoral Act</w:t>
      </w:r>
      <w:r>
        <w:t xml:space="preserve"> includes examples of ‘reasonable </w:t>
      </w:r>
      <w:proofErr w:type="gramStart"/>
      <w:r>
        <w:t>steps’, but</w:t>
      </w:r>
      <w:proofErr w:type="gramEnd"/>
      <w:r>
        <w:t xml:space="preserve"> sought </w:t>
      </w:r>
      <w:r w:rsidR="00AC64A3">
        <w:t>additional information about interpretation and</w:t>
      </w:r>
      <w:r>
        <w:t xml:space="preserve"> </w:t>
      </w:r>
      <w:r w:rsidR="00AC64A3">
        <w:t>enforcement</w:t>
      </w:r>
      <w:r>
        <w:t xml:space="preserve"> </w:t>
      </w:r>
      <w:r w:rsidR="0028619B">
        <w:t xml:space="preserve">in </w:t>
      </w:r>
      <w:r w:rsidR="00FC4341">
        <w:t xml:space="preserve">the form of </w:t>
      </w:r>
      <w:r w:rsidR="0028619B">
        <w:t xml:space="preserve">regulatory guidance from the Electoral Commission: </w:t>
      </w:r>
      <w:r w:rsidR="004C0FA4">
        <w:t>‘</w:t>
      </w:r>
      <w:r w:rsidR="004C0FA4" w:rsidRPr="004C0FA4">
        <w:t>I think it is important that we are all really clear on what that audit step is</w:t>
      </w:r>
      <w:r w:rsidR="0028619B">
        <w:t>.</w:t>
      </w:r>
      <w:r w:rsidR="004C0FA4">
        <w:t>’</w:t>
      </w:r>
      <w:r w:rsidR="0028619B">
        <w:rPr>
          <w:rStyle w:val="FootnoteReference"/>
        </w:rPr>
        <w:footnoteReference w:id="256"/>
      </w:r>
      <w:r w:rsidR="004C0FA4">
        <w:t xml:space="preserve"> </w:t>
      </w:r>
    </w:p>
    <w:p w14:paraId="012D5C7C" w14:textId="6720F114" w:rsidR="0033525B" w:rsidRPr="00C370A2" w:rsidRDefault="0033525B" w:rsidP="0028619B">
      <w:pPr>
        <w:pStyle w:val="BodyText"/>
      </w:pPr>
      <w:r w:rsidRPr="00C370A2">
        <w:t xml:space="preserve">Canberra Liberals told the Committee it would be easier to comply with the </w:t>
      </w:r>
      <w:r w:rsidR="009D0DC2" w:rsidRPr="00C370A2">
        <w:t>law if there was a register of property developers:</w:t>
      </w:r>
    </w:p>
    <w:p w14:paraId="2A3AB7F3" w14:textId="77777777" w:rsidR="0033525B" w:rsidRPr="00E82A37" w:rsidRDefault="0033525B" w:rsidP="0033525B">
      <w:pPr>
        <w:pStyle w:val="Quote"/>
      </w:pPr>
      <w:r>
        <w:lastRenderedPageBreak/>
        <w:t>‘There is not a list of property developers or close associates or anything like that that we can just check across.  All we have access to is effectively the electoral roll and a Google search.  If it is not coming up there, then it is very difficult for us to say that we are completely compliant.’</w:t>
      </w:r>
      <w:r>
        <w:rPr>
          <w:rStyle w:val="FootnoteReference"/>
        </w:rPr>
        <w:footnoteReference w:id="257"/>
      </w:r>
      <w:r>
        <w:t xml:space="preserve"> </w:t>
      </w:r>
    </w:p>
    <w:p w14:paraId="204EA69E" w14:textId="6C7EF182" w:rsidR="0033525B" w:rsidRPr="00C370A2" w:rsidRDefault="009D0DC2" w:rsidP="009D0DC2">
      <w:pPr>
        <w:pStyle w:val="Heading5"/>
      </w:pPr>
      <w:r w:rsidRPr="00C370A2">
        <w:t>Committee Comment</w:t>
      </w:r>
    </w:p>
    <w:p w14:paraId="5BD65154" w14:textId="6AC9C2C0" w:rsidR="009D0DC2" w:rsidRPr="00C370A2" w:rsidRDefault="009D0DC2" w:rsidP="009D0DC2">
      <w:pPr>
        <w:pStyle w:val="BodyText"/>
      </w:pPr>
      <w:r w:rsidRPr="00C370A2">
        <w:t xml:space="preserve">The Committee notes there is a ‘frequently asked questions’ page on the Elections ACT website summarising the developer donation provisions in the Electoral Act.  The Committee encourages the Electoral Commission to develop detailed regulatory guidance on its enforcement policy, and how entities can demonstrate compliance with the law. </w:t>
      </w:r>
    </w:p>
    <w:p w14:paraId="5D04097A" w14:textId="3683ECC5" w:rsidR="009D0DC2" w:rsidRPr="00C370A2" w:rsidRDefault="009D0DC2" w:rsidP="009D0DC2">
      <w:pPr>
        <w:pStyle w:val="BodyText"/>
      </w:pPr>
      <w:r w:rsidRPr="00C370A2">
        <w:t>The Committee also notes the challenge for political entities in establishing whether a donor is a property developer.  It may be possible for ACT Government to establish a register of property developers using publicly available information on development applications.  In the absence of such clarity,</w:t>
      </w:r>
      <w:r w:rsidR="006C06BF" w:rsidRPr="00C370A2">
        <w:t xml:space="preserve"> there is potential for inadvertent mistakes,</w:t>
      </w:r>
      <w:r w:rsidRPr="00C370A2">
        <w:t xml:space="preserve"> </w:t>
      </w:r>
      <w:r w:rsidR="006C06BF" w:rsidRPr="00C370A2">
        <w:t xml:space="preserve">and </w:t>
      </w:r>
      <w:r w:rsidRPr="00C370A2">
        <w:t>the imposition of criminal offences for breach of the laws</w:t>
      </w:r>
      <w:r w:rsidR="00941647" w:rsidRPr="00C370A2">
        <w:t xml:space="preserve"> may be unreasonable</w:t>
      </w:r>
      <w:r w:rsidRPr="00C370A2">
        <w:t xml:space="preserve">.  </w:t>
      </w:r>
    </w:p>
    <w:tbl>
      <w:tblPr>
        <w:tblStyle w:val="TableGrid"/>
        <w:tblW w:w="9209" w:type="dxa"/>
        <w:tblInd w:w="-142" w:type="dxa"/>
        <w:tblLook w:val="04A0" w:firstRow="1" w:lastRow="0" w:firstColumn="1" w:lastColumn="0" w:noHBand="0" w:noVBand="1"/>
      </w:tblPr>
      <w:tblGrid>
        <w:gridCol w:w="9209"/>
      </w:tblGrid>
      <w:tr w:rsidR="00E82A37" w14:paraId="0F0F63E7"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B365EBB" w14:textId="620ABEB1" w:rsidR="00E82A37" w:rsidRDefault="00E82A37" w:rsidP="00E7130C">
            <w:pPr>
              <w:pStyle w:val="RecommendationHeading"/>
            </w:pPr>
            <w:bookmarkStart w:id="137" w:name="_Toc78382529"/>
            <w:r>
              <w:t xml:space="preserve">Recommendation </w:t>
            </w:r>
            <w:r w:rsidR="00D02D0E">
              <w:rPr>
                <w:noProof/>
              </w:rPr>
              <w:t>3</w:t>
            </w:r>
            <w:r w:rsidR="00D12E90">
              <w:rPr>
                <w:noProof/>
              </w:rPr>
              <w:t>3</w:t>
            </w:r>
            <w:bookmarkEnd w:id="137"/>
          </w:p>
          <w:p w14:paraId="4DF6C5CF" w14:textId="7994465A" w:rsidR="00E82A37" w:rsidRPr="00962807" w:rsidRDefault="00E82A37" w:rsidP="00E82A37">
            <w:pPr>
              <w:pStyle w:val="RecommendationText"/>
            </w:pPr>
            <w:bookmarkStart w:id="138" w:name="_Toc78382530"/>
            <w:r w:rsidRPr="00E82A37">
              <w:t>The Committee recommends that the Electoral Commission provide regulatory guidance to parties and candidates on the interpretation and enforcement of the ban on developer donations</w:t>
            </w:r>
            <w:r w:rsidR="00AC64A3">
              <w:t xml:space="preserve"> </w:t>
            </w:r>
            <w:r w:rsidRPr="00E82A37">
              <w:t xml:space="preserve">under s222I </w:t>
            </w:r>
            <w:r w:rsidRPr="00E82A37">
              <w:rPr>
                <w:i/>
                <w:iCs/>
              </w:rPr>
              <w:t>Electoral Act 1992</w:t>
            </w:r>
            <w:r>
              <w:t>.</w:t>
            </w:r>
            <w:bookmarkEnd w:id="138"/>
          </w:p>
        </w:tc>
      </w:tr>
      <w:tr w:rsidR="00E82A37" w14:paraId="112746B9"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E21F7EF" w14:textId="3879EEC8" w:rsidR="00E82A37" w:rsidRDefault="00E82A37" w:rsidP="00E7130C">
            <w:pPr>
              <w:pStyle w:val="RecommendationHeading"/>
            </w:pPr>
            <w:bookmarkStart w:id="139" w:name="_Toc78382531"/>
            <w:r>
              <w:t xml:space="preserve">Recommendation </w:t>
            </w:r>
            <w:r w:rsidR="00D02D0E">
              <w:rPr>
                <w:noProof/>
              </w:rPr>
              <w:t>3</w:t>
            </w:r>
            <w:r w:rsidR="00D12E90">
              <w:rPr>
                <w:noProof/>
              </w:rPr>
              <w:t>4</w:t>
            </w:r>
            <w:bookmarkEnd w:id="139"/>
          </w:p>
          <w:p w14:paraId="33FD22A8" w14:textId="189B77A9" w:rsidR="00E82A37" w:rsidRPr="00962807" w:rsidRDefault="00E82A37" w:rsidP="00E82A37">
            <w:pPr>
              <w:pStyle w:val="RecommendationText"/>
            </w:pPr>
            <w:bookmarkStart w:id="140" w:name="_Toc78382532"/>
            <w:r w:rsidRPr="00E82A37">
              <w:t xml:space="preserve">The Committee recommends </w:t>
            </w:r>
            <w:r w:rsidR="00941647" w:rsidRPr="00E82A37">
              <w:t xml:space="preserve">ACT Government </w:t>
            </w:r>
            <w:r w:rsidR="00941647">
              <w:t>use</w:t>
            </w:r>
            <w:r w:rsidR="00941647" w:rsidRPr="00E82A37">
              <w:t xml:space="preserve"> the Development Application </w:t>
            </w:r>
            <w:r w:rsidR="00941647">
              <w:t>database</w:t>
            </w:r>
            <w:r w:rsidR="00941647" w:rsidRPr="00E82A37">
              <w:t xml:space="preserve"> to establish </w:t>
            </w:r>
            <w:r w:rsidR="00941647">
              <w:t xml:space="preserve">and maintain </w:t>
            </w:r>
            <w:r w:rsidR="00941647" w:rsidRPr="00E82A37">
              <w:t xml:space="preserve">a </w:t>
            </w:r>
            <w:r w:rsidR="00941647">
              <w:t xml:space="preserve">public </w:t>
            </w:r>
            <w:r w:rsidR="00941647" w:rsidRPr="00E82A37">
              <w:t xml:space="preserve">register of property developers </w:t>
            </w:r>
            <w:r w:rsidR="00941647">
              <w:t>as defined in</w:t>
            </w:r>
            <w:r w:rsidR="00941647" w:rsidRPr="00E82A37">
              <w:t xml:space="preserve"> s222C </w:t>
            </w:r>
            <w:r w:rsidR="00941647" w:rsidRPr="00E82A37">
              <w:rPr>
                <w:i/>
                <w:iCs/>
              </w:rPr>
              <w:t>Electoral Act 1992</w:t>
            </w:r>
            <w:r w:rsidR="00941647">
              <w:t>.</w:t>
            </w:r>
            <w:bookmarkEnd w:id="140"/>
            <w:r w:rsidR="00941647">
              <w:t xml:space="preserve">  </w:t>
            </w:r>
          </w:p>
        </w:tc>
      </w:tr>
    </w:tbl>
    <w:bookmarkEnd w:id="136"/>
    <w:p w14:paraId="33935D1C" w14:textId="5AB00D5E" w:rsidR="003C2E44" w:rsidRPr="00366A9C" w:rsidRDefault="003C2E44" w:rsidP="002F0215">
      <w:pPr>
        <w:pStyle w:val="Heading4"/>
      </w:pPr>
      <w:r w:rsidRPr="00366A9C">
        <w:t>Reinstatement of $10,000 Cap on Donations</w:t>
      </w:r>
    </w:p>
    <w:p w14:paraId="0FE016C7" w14:textId="51BD4832" w:rsidR="00F36049" w:rsidRPr="00366A9C" w:rsidRDefault="00AF5E72" w:rsidP="003C2E44">
      <w:pPr>
        <w:pStyle w:val="BodyText"/>
      </w:pPr>
      <w:r w:rsidRPr="00366A9C">
        <w:t xml:space="preserve">Before 2015, </w:t>
      </w:r>
      <w:r w:rsidR="00F36049" w:rsidRPr="00366A9C">
        <w:t>s</w:t>
      </w:r>
      <w:r w:rsidR="000D04E1" w:rsidRPr="00366A9C">
        <w:t xml:space="preserve">ection </w:t>
      </w:r>
      <w:r w:rsidR="00F36049" w:rsidRPr="00366A9C">
        <w:t>205J</w:t>
      </w:r>
      <w:r w:rsidRPr="00366A9C">
        <w:t xml:space="preserve"> </w:t>
      </w:r>
      <w:r w:rsidR="000D04E1" w:rsidRPr="00366A9C">
        <w:t xml:space="preserve">of the </w:t>
      </w:r>
      <w:r w:rsidRPr="00366A9C">
        <w:t xml:space="preserve">Electoral Act </w:t>
      </w:r>
      <w:r w:rsidR="00F36049" w:rsidRPr="00366A9C">
        <w:t xml:space="preserve">prohibited any person from donating more than $10,000 in a financial year to a political party, MLA, </w:t>
      </w:r>
      <w:proofErr w:type="gramStart"/>
      <w:r w:rsidR="00F36049" w:rsidRPr="00366A9C">
        <w:t>candidate</w:t>
      </w:r>
      <w:proofErr w:type="gramEnd"/>
      <w:r w:rsidR="00F36049" w:rsidRPr="00366A9C">
        <w:t xml:space="preserve"> or associated entity.</w:t>
      </w:r>
    </w:p>
    <w:p w14:paraId="5C582C3E" w14:textId="308965AE" w:rsidR="00AF5E72" w:rsidRPr="00366A9C" w:rsidRDefault="00F36049" w:rsidP="009F1EFF">
      <w:pPr>
        <w:pStyle w:val="BodyText"/>
      </w:pPr>
      <w:r w:rsidRPr="00366A9C">
        <w:t xml:space="preserve">In June 2014 the Select Committee on Amendments to the Electoral Act 1992 recommended that ‘the Assembly debate the merits of the $10,000 limit on donations from a person </w:t>
      </w:r>
      <w:r w:rsidRPr="00366A9C">
        <w:lastRenderedPageBreak/>
        <w:t>(including a natural person, an unincorporated association and a corporation) in a financial year.’</w:t>
      </w:r>
      <w:r w:rsidRPr="00366A9C">
        <w:rPr>
          <w:rStyle w:val="FootnoteReference"/>
        </w:rPr>
        <w:footnoteReference w:id="258"/>
      </w:r>
    </w:p>
    <w:p w14:paraId="4FE83C1F" w14:textId="35010B64" w:rsidR="002310C2" w:rsidRPr="00366A9C" w:rsidRDefault="00F36049" w:rsidP="003C2E44">
      <w:pPr>
        <w:pStyle w:val="BodyText"/>
      </w:pPr>
      <w:r w:rsidRPr="00366A9C">
        <w:t>Section 205J</w:t>
      </w:r>
      <w:r w:rsidR="00AF5E72" w:rsidRPr="00366A9C">
        <w:t xml:space="preserve"> was removed </w:t>
      </w:r>
      <w:r w:rsidR="000D04E1" w:rsidRPr="00366A9C">
        <w:t xml:space="preserve">from the Electoral Act in March 2015 </w:t>
      </w:r>
      <w:r w:rsidR="00AF5E72" w:rsidRPr="00366A9C">
        <w:t xml:space="preserve">by the </w:t>
      </w:r>
      <w:r w:rsidR="00AF5E72" w:rsidRPr="00366A9C">
        <w:rPr>
          <w:i/>
          <w:iCs/>
        </w:rPr>
        <w:t>Electoral Amendment Act 2015</w:t>
      </w:r>
      <w:r w:rsidR="002310C2" w:rsidRPr="00366A9C">
        <w:t>.  T</w:t>
      </w:r>
      <w:r w:rsidRPr="00366A9C">
        <w:t xml:space="preserve">he Explanatory Statement </w:t>
      </w:r>
      <w:r w:rsidR="002310C2" w:rsidRPr="00366A9C">
        <w:t xml:space="preserve">to the amendment Bill contains no explanation of the policy intention, but </w:t>
      </w:r>
      <w:r w:rsidR="000D04E1" w:rsidRPr="00366A9C">
        <w:t>in his</w:t>
      </w:r>
      <w:r w:rsidR="002310C2" w:rsidRPr="00366A9C">
        <w:t xml:space="preserve"> presentation speech </w:t>
      </w:r>
      <w:r w:rsidR="000D04E1" w:rsidRPr="00366A9C">
        <w:t xml:space="preserve">the </w:t>
      </w:r>
      <w:r w:rsidRPr="00366A9C">
        <w:t xml:space="preserve">Attorney General </w:t>
      </w:r>
      <w:r w:rsidR="002310C2" w:rsidRPr="00366A9C">
        <w:t>state</w:t>
      </w:r>
      <w:r w:rsidR="000D04E1" w:rsidRPr="00366A9C">
        <w:t>d</w:t>
      </w:r>
      <w:r w:rsidR="002310C2" w:rsidRPr="00366A9C">
        <w:t xml:space="preserve">: </w:t>
      </w:r>
    </w:p>
    <w:p w14:paraId="7ED12531" w14:textId="5DB45628" w:rsidR="00AF5E72" w:rsidRPr="00366A9C" w:rsidRDefault="002310C2" w:rsidP="002310C2">
      <w:pPr>
        <w:pStyle w:val="Quote"/>
      </w:pPr>
      <w:r w:rsidRPr="00366A9C">
        <w:t>‘By abolishing the $10,000 limit on donations, the government is removing an unintended incentive for donors to circumvent the electoral funding laws and therefore reduce transparency.  We have seen experience of this in New South Wales.’</w:t>
      </w:r>
      <w:r w:rsidRPr="00366A9C">
        <w:rPr>
          <w:rStyle w:val="FootnoteReference"/>
        </w:rPr>
        <w:footnoteReference w:id="259"/>
      </w:r>
    </w:p>
    <w:p w14:paraId="5AB8BC45" w14:textId="24AF82EC" w:rsidR="003C2E44" w:rsidRPr="00366A9C" w:rsidRDefault="003C2E44" w:rsidP="00AF5E72">
      <w:pPr>
        <w:pStyle w:val="Heading5"/>
      </w:pPr>
      <w:r w:rsidRPr="00366A9C">
        <w:t>Views expressed in Submissions and Hearings</w:t>
      </w:r>
    </w:p>
    <w:p w14:paraId="7C3E5A0B" w14:textId="7DEE02C4" w:rsidR="00AF5E72" w:rsidRPr="00366A9C" w:rsidRDefault="00AF5E72" w:rsidP="003C2E44">
      <w:pPr>
        <w:pStyle w:val="BodyText"/>
      </w:pPr>
      <w:r w:rsidRPr="00366A9C">
        <w:t>In its report on the 2020 election, the Electoral Commission recommended ‘that the Assembly review the previous legislation imposing a $10,000 cap on political donations with a view to reinstating a similar provision’.</w:t>
      </w:r>
      <w:r w:rsidRPr="00366A9C">
        <w:rPr>
          <w:rStyle w:val="FootnoteReference"/>
        </w:rPr>
        <w:footnoteReference w:id="260"/>
      </w:r>
      <w:r w:rsidRPr="00366A9C">
        <w:t xml:space="preserve">  When describing the rationale for this recommendation, the Commission mentioned the increase in public funding:</w:t>
      </w:r>
    </w:p>
    <w:p w14:paraId="6D384C23" w14:textId="11582811" w:rsidR="00AF5E72" w:rsidRPr="00366A9C" w:rsidRDefault="00AF5E72" w:rsidP="00AF5E72">
      <w:pPr>
        <w:pStyle w:val="Quote"/>
      </w:pPr>
      <w:r w:rsidRPr="00366A9C">
        <w:t>‘Noting that the high levels of public funding have resulted in political parties covering a significant majority of their electoral expenditure through public funding, and in some cases exceeding it, the amount of public funding received has duly and significantly limited the potential for undue influence from private funding.’</w:t>
      </w:r>
      <w:r w:rsidRPr="00366A9C">
        <w:rPr>
          <w:rStyle w:val="FootnoteReference"/>
        </w:rPr>
        <w:footnoteReference w:id="261"/>
      </w:r>
    </w:p>
    <w:p w14:paraId="0DA3EB3C" w14:textId="0D56B45D" w:rsidR="00AF5E72" w:rsidRPr="00366A9C" w:rsidRDefault="00AF5E72" w:rsidP="003C2E44">
      <w:pPr>
        <w:pStyle w:val="BodyText"/>
      </w:pPr>
      <w:r w:rsidRPr="00366A9C">
        <w:t xml:space="preserve">While </w:t>
      </w:r>
      <w:r w:rsidR="00AD59B1" w:rsidRPr="00366A9C">
        <w:t>acknowledging</w:t>
      </w:r>
      <w:r w:rsidRPr="00366A9C">
        <w:t xml:space="preserve"> that the </w:t>
      </w:r>
      <w:r w:rsidR="00AD59B1" w:rsidRPr="00366A9C">
        <w:t>‘</w:t>
      </w:r>
      <w:r w:rsidRPr="00366A9C">
        <w:t>potential for undue influence from private funding</w:t>
      </w:r>
      <w:r w:rsidR="00AD59B1" w:rsidRPr="00366A9C">
        <w:t>’</w:t>
      </w:r>
      <w:r w:rsidRPr="00366A9C">
        <w:t xml:space="preserve"> has been </w:t>
      </w:r>
      <w:r w:rsidR="00AD59B1" w:rsidRPr="00366A9C">
        <w:t xml:space="preserve">significantly </w:t>
      </w:r>
      <w:r w:rsidRPr="00366A9C">
        <w:t xml:space="preserve">limited by public funding, the Commission </w:t>
      </w:r>
      <w:r w:rsidR="0026627B" w:rsidRPr="00366A9C">
        <w:t xml:space="preserve">nonetheless </w:t>
      </w:r>
      <w:r w:rsidR="00AD59B1" w:rsidRPr="00366A9C">
        <w:t xml:space="preserve">suggested a donation cap is needed </w:t>
      </w:r>
      <w:r w:rsidR="000D04E1" w:rsidRPr="00366A9C">
        <w:t>due to what they describe as</w:t>
      </w:r>
      <w:r w:rsidR="00AD59B1" w:rsidRPr="00366A9C">
        <w:t xml:space="preserve"> a</w:t>
      </w:r>
      <w:r w:rsidRPr="00366A9C">
        <w:t xml:space="preserve"> ‘perception of undue influence of </w:t>
      </w:r>
      <w:r w:rsidR="00FE7848" w:rsidRPr="00366A9C">
        <w:t>private</w:t>
      </w:r>
      <w:r w:rsidRPr="00366A9C">
        <w:t xml:space="preserve"> money in ACT </w:t>
      </w:r>
      <w:proofErr w:type="gramStart"/>
      <w:r w:rsidRPr="00366A9C">
        <w:t>elections’</w:t>
      </w:r>
      <w:proofErr w:type="gramEnd"/>
      <w:r w:rsidRPr="00366A9C">
        <w:t>.</w:t>
      </w:r>
      <w:r w:rsidR="00AD59B1" w:rsidRPr="00366A9C">
        <w:rPr>
          <w:rStyle w:val="FootnoteReference"/>
        </w:rPr>
        <w:footnoteReference w:id="262"/>
      </w:r>
    </w:p>
    <w:p w14:paraId="799CC726" w14:textId="224C48B4" w:rsidR="003C2E44" w:rsidRPr="00366A9C" w:rsidRDefault="0026627B" w:rsidP="003C2E44">
      <w:pPr>
        <w:pStyle w:val="BodyText"/>
      </w:pPr>
      <w:r w:rsidRPr="00366A9C">
        <w:t>ACT Greens support the Electoral Commission’s position:</w:t>
      </w:r>
    </w:p>
    <w:p w14:paraId="489D48B1" w14:textId="79C680E9" w:rsidR="0026627B" w:rsidRPr="00366A9C" w:rsidRDefault="0026627B" w:rsidP="0026627B">
      <w:pPr>
        <w:pStyle w:val="Quote"/>
      </w:pPr>
      <w:r w:rsidRPr="00366A9C">
        <w:t>‘The Greens would like to see the cap put back on donations.  We believe that $10,000 is generous - it is certainly much higher than the donation limit in Victoria, currently set at $4,000 across a four-year parliamentary term (or $1000 per year).’</w:t>
      </w:r>
      <w:r w:rsidRPr="00366A9C">
        <w:rPr>
          <w:rStyle w:val="FootnoteReference"/>
        </w:rPr>
        <w:footnoteReference w:id="263"/>
      </w:r>
    </w:p>
    <w:p w14:paraId="3B272397" w14:textId="2D210B50" w:rsidR="0026627B" w:rsidRPr="00366A9C" w:rsidRDefault="0026627B" w:rsidP="003C2E44">
      <w:pPr>
        <w:pStyle w:val="BodyText"/>
      </w:pPr>
      <w:r w:rsidRPr="00366A9C">
        <w:t xml:space="preserve">The principle on which ACT Greens support donation caps is to minimise the influence of corporations </w:t>
      </w:r>
      <w:r w:rsidR="00FE7848" w:rsidRPr="00366A9C">
        <w:t>in the electoral process:</w:t>
      </w:r>
    </w:p>
    <w:p w14:paraId="271D1B05" w14:textId="25298F25" w:rsidR="00FE7848" w:rsidRPr="00366A9C" w:rsidRDefault="00FE7848" w:rsidP="00FE7848">
      <w:pPr>
        <w:pStyle w:val="Quote"/>
      </w:pPr>
      <w:r w:rsidRPr="00366A9C">
        <w:t xml:space="preserve">‘People donate money to political parties or candidates for two primary reasons: either because they support a political party or a candidate's views or policy platform, or to </w:t>
      </w:r>
      <w:r w:rsidRPr="00366A9C">
        <w:lastRenderedPageBreak/>
        <w:t xml:space="preserve">influence a political party or a candidate's views or policy platform. </w:t>
      </w:r>
      <w:r w:rsidR="000D04E1" w:rsidRPr="00366A9C">
        <w:t xml:space="preserve"> </w:t>
      </w:r>
      <w:r w:rsidRPr="00366A9C">
        <w:t>The Greens believe that corporations should not have a disproportionate influence over politics, regardless of whether donations are capped at a certain amount.’</w:t>
      </w:r>
      <w:r w:rsidRPr="00366A9C">
        <w:rPr>
          <w:rStyle w:val="FootnoteReference"/>
        </w:rPr>
        <w:footnoteReference w:id="264"/>
      </w:r>
    </w:p>
    <w:p w14:paraId="2B31E6E3" w14:textId="42CFDB91" w:rsidR="00AD59B1" w:rsidRPr="00366A9C" w:rsidRDefault="00AD59B1" w:rsidP="003C2E44">
      <w:pPr>
        <w:pStyle w:val="BodyText"/>
      </w:pPr>
      <w:r w:rsidRPr="00366A9C">
        <w:t xml:space="preserve">ACT </w:t>
      </w:r>
      <w:proofErr w:type="spellStart"/>
      <w:r w:rsidRPr="00366A9C">
        <w:t>Labor</w:t>
      </w:r>
      <w:proofErr w:type="spellEnd"/>
      <w:r w:rsidRPr="00366A9C">
        <w:t xml:space="preserve"> do not support the Electoral Commission’s recommendation, expressing the view that the scheme </w:t>
      </w:r>
      <w:r w:rsidR="0026627B" w:rsidRPr="00366A9C">
        <w:t>which replaced the donation cap in 2015 (</w:t>
      </w:r>
      <w:proofErr w:type="spellStart"/>
      <w:r w:rsidR="0026627B" w:rsidRPr="00366A9C">
        <w:t>ie</w:t>
      </w:r>
      <w:proofErr w:type="spellEnd"/>
      <w:r w:rsidR="0026627B" w:rsidRPr="00366A9C">
        <w:t xml:space="preserve">. </w:t>
      </w:r>
      <w:r w:rsidRPr="00366A9C">
        <w:t>expenditure caps and public funding</w:t>
      </w:r>
      <w:r w:rsidR="0026627B" w:rsidRPr="00366A9C">
        <w:t>)</w:t>
      </w:r>
      <w:r w:rsidRPr="00366A9C">
        <w:t xml:space="preserve"> is best practice:</w:t>
      </w:r>
    </w:p>
    <w:p w14:paraId="67955761" w14:textId="4D638863" w:rsidR="00AD59B1" w:rsidRPr="00366A9C" w:rsidRDefault="00AD59B1" w:rsidP="00AD59B1">
      <w:pPr>
        <w:pStyle w:val="Quote"/>
      </w:pPr>
      <w:r w:rsidRPr="00366A9C">
        <w:t xml:space="preserve">‘This provision was removed with the introduction of expenditure caps and a new public funding model. </w:t>
      </w:r>
      <w:r w:rsidR="0026627B" w:rsidRPr="00366A9C">
        <w:t xml:space="preserve"> </w:t>
      </w:r>
      <w:r w:rsidRPr="00366A9C">
        <w:t>Expenditure caps create an even playing field, and public funding reduces undue influence - this is a best practice model.’</w:t>
      </w:r>
      <w:r w:rsidRPr="00366A9C">
        <w:rPr>
          <w:rStyle w:val="FootnoteReference"/>
        </w:rPr>
        <w:footnoteReference w:id="265"/>
      </w:r>
    </w:p>
    <w:p w14:paraId="066B8D8C" w14:textId="0AA60BBC" w:rsidR="00AD59B1" w:rsidRPr="00366A9C" w:rsidRDefault="00AD59B1" w:rsidP="003C2E44">
      <w:pPr>
        <w:pStyle w:val="BodyText"/>
      </w:pPr>
      <w:r w:rsidRPr="00366A9C">
        <w:t>The</w:t>
      </w:r>
      <w:r w:rsidR="0026627B" w:rsidRPr="00366A9C">
        <w:t xml:space="preserve"> principle on which ACT </w:t>
      </w:r>
      <w:proofErr w:type="spellStart"/>
      <w:r w:rsidR="0026627B" w:rsidRPr="00366A9C">
        <w:t>Labor</w:t>
      </w:r>
      <w:proofErr w:type="spellEnd"/>
      <w:r w:rsidR="0026627B" w:rsidRPr="00366A9C">
        <w:t xml:space="preserve"> opposes donation caps is that it does not distinguish collective action and individual action:</w:t>
      </w:r>
    </w:p>
    <w:p w14:paraId="1F1CF4A7" w14:textId="0DD447E9" w:rsidR="0026627B" w:rsidRPr="00366A9C" w:rsidRDefault="0026627B" w:rsidP="0026627B">
      <w:pPr>
        <w:pStyle w:val="Quote"/>
      </w:pPr>
      <w:r w:rsidRPr="00366A9C">
        <w:t xml:space="preserve">‘We oppose the introduction of donation caps not only because they are unnecessary with our existing model, but because they fail to recognise that there is a fundamental difference between collective action by a group of people and individual action by a single person. </w:t>
      </w:r>
      <w:r w:rsidR="000D04E1" w:rsidRPr="00366A9C">
        <w:t xml:space="preserve"> </w:t>
      </w:r>
      <w:r w:rsidRPr="00366A9C">
        <w:t xml:space="preserve">For example, introducing donation caps would place the same limit on a community group, made up of 1000 members, as it would on a wealthy individual. </w:t>
      </w:r>
      <w:r w:rsidR="000D04E1" w:rsidRPr="00366A9C">
        <w:t xml:space="preserve"> </w:t>
      </w:r>
      <w:r w:rsidRPr="00366A9C">
        <w:t>This is an objectively unfair approach.’</w:t>
      </w:r>
      <w:r w:rsidRPr="00366A9C">
        <w:rPr>
          <w:rStyle w:val="FootnoteReference"/>
        </w:rPr>
        <w:footnoteReference w:id="266"/>
      </w:r>
    </w:p>
    <w:p w14:paraId="2CB367E9" w14:textId="2CD3F3BA" w:rsidR="003C2E44" w:rsidRPr="00366A9C" w:rsidRDefault="003C2E44" w:rsidP="00AD59B1">
      <w:pPr>
        <w:pStyle w:val="Heading5"/>
      </w:pPr>
      <w:r w:rsidRPr="00366A9C">
        <w:t>Committee Comment</w:t>
      </w:r>
    </w:p>
    <w:p w14:paraId="5A39EC7A" w14:textId="5BF7780E" w:rsidR="00AD59B1" w:rsidRPr="00366A9C" w:rsidRDefault="00FE7848" w:rsidP="003C2E44">
      <w:pPr>
        <w:pStyle w:val="BodyText"/>
      </w:pPr>
      <w:r w:rsidRPr="00366A9C">
        <w:t>A</w:t>
      </w:r>
      <w:r w:rsidR="000D04E1" w:rsidRPr="00366A9C">
        <w:t xml:space="preserve"> widespread</w:t>
      </w:r>
      <w:r w:rsidRPr="00366A9C">
        <w:t xml:space="preserve"> perception of undue influence of private money in ACT elections could have a serious negative affect on the democratic process.  Evidence of </w:t>
      </w:r>
      <w:r w:rsidR="009F1EFF" w:rsidRPr="00366A9C">
        <w:t xml:space="preserve">such a </w:t>
      </w:r>
      <w:r w:rsidRPr="00366A9C">
        <w:t xml:space="preserve">perception in the ACT was not put forward in evidence to this inquiry, but it is a risk to be monitored and managed.  </w:t>
      </w:r>
    </w:p>
    <w:p w14:paraId="212C48C7" w14:textId="4CAFB912" w:rsidR="00594776" w:rsidRPr="00366A9C" w:rsidRDefault="00594776" w:rsidP="003C2E44">
      <w:pPr>
        <w:pStyle w:val="BodyText"/>
      </w:pPr>
      <w:r w:rsidRPr="00366A9C">
        <w:t xml:space="preserve">The rationale for removing the cap </w:t>
      </w:r>
      <w:r w:rsidR="009F1EFF" w:rsidRPr="00366A9C">
        <w:t xml:space="preserve">in 2015 </w:t>
      </w:r>
      <w:r w:rsidRPr="00366A9C">
        <w:t xml:space="preserve">was that it created perverse incentive for donors to circumvent the cap by making multiple smaller donations, and this created risks for transparency.  The Committee notes that such risks are </w:t>
      </w:r>
      <w:r w:rsidR="009F1EFF" w:rsidRPr="00366A9C">
        <w:t xml:space="preserve">mitigated by the introduction of expenditure caps.  </w:t>
      </w:r>
    </w:p>
    <w:tbl>
      <w:tblPr>
        <w:tblStyle w:val="TableGrid"/>
        <w:tblW w:w="9209" w:type="dxa"/>
        <w:tblInd w:w="-142" w:type="dxa"/>
        <w:tblLook w:val="04A0" w:firstRow="1" w:lastRow="0" w:firstColumn="1" w:lastColumn="0" w:noHBand="0" w:noVBand="1"/>
      </w:tblPr>
      <w:tblGrid>
        <w:gridCol w:w="9209"/>
      </w:tblGrid>
      <w:tr w:rsidR="003C2E44" w14:paraId="2121D60E" w14:textId="77777777" w:rsidTr="00841BA3">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136C4D8" w14:textId="61E19C05" w:rsidR="003C2E44" w:rsidRPr="00366A9C" w:rsidRDefault="003C2E44" w:rsidP="00841BA3">
            <w:pPr>
              <w:pStyle w:val="RecommendationHeading"/>
            </w:pPr>
            <w:bookmarkStart w:id="141" w:name="_Toc78382533"/>
            <w:r w:rsidRPr="00366A9C">
              <w:t>Recommendation 3</w:t>
            </w:r>
            <w:r w:rsidR="00D12E90" w:rsidRPr="00366A9C">
              <w:t>5</w:t>
            </w:r>
            <w:bookmarkEnd w:id="141"/>
          </w:p>
          <w:p w14:paraId="229AA111" w14:textId="5E19F35C" w:rsidR="003C2E44" w:rsidRPr="00366A9C" w:rsidRDefault="003C2E44" w:rsidP="00FE7848">
            <w:pPr>
              <w:pStyle w:val="RecommendationText"/>
            </w:pPr>
            <w:bookmarkStart w:id="142" w:name="_Toc78382534"/>
            <w:r w:rsidRPr="00366A9C">
              <w:t xml:space="preserve">The Committee recommends that ACT Government </w:t>
            </w:r>
            <w:r w:rsidR="00FE7848" w:rsidRPr="00366A9C">
              <w:t xml:space="preserve">explore options for reinstating the $10,000 cap on political donations, to remove the risk of perception of undue influence of private money in ACT </w:t>
            </w:r>
            <w:proofErr w:type="gramStart"/>
            <w:r w:rsidR="00FE7848" w:rsidRPr="00366A9C">
              <w:t>elections;</w:t>
            </w:r>
            <w:proofErr w:type="gramEnd"/>
            <w:r w:rsidR="00FE7848" w:rsidRPr="00366A9C">
              <w:t xml:space="preserve"> and report to the Assembly by March 2022.</w:t>
            </w:r>
            <w:bookmarkEnd w:id="142"/>
            <w:r w:rsidR="00FE7848" w:rsidRPr="00366A9C">
              <w:t xml:space="preserve"> </w:t>
            </w:r>
          </w:p>
        </w:tc>
      </w:tr>
    </w:tbl>
    <w:p w14:paraId="7B67C7FC" w14:textId="776FBE54" w:rsidR="003D2BD5" w:rsidRDefault="002F0215" w:rsidP="002F0215">
      <w:pPr>
        <w:pStyle w:val="Heading4"/>
      </w:pPr>
      <w:r>
        <w:lastRenderedPageBreak/>
        <w:t xml:space="preserve">Foreign </w:t>
      </w:r>
      <w:r w:rsidR="00E82A37">
        <w:t>D</w:t>
      </w:r>
      <w:r>
        <w:t>onations</w:t>
      </w:r>
    </w:p>
    <w:p w14:paraId="74020AF0" w14:textId="2BCC4107" w:rsidR="002F0215" w:rsidRDefault="002F0215" w:rsidP="003D2BD5">
      <w:pPr>
        <w:pStyle w:val="BodyText"/>
      </w:pPr>
      <w:r>
        <w:t xml:space="preserve">No evidence </w:t>
      </w:r>
      <w:r w:rsidR="00A61A91">
        <w:t xml:space="preserve">was </w:t>
      </w:r>
      <w:r>
        <w:t>presented during this inquiry</w:t>
      </w:r>
      <w:r w:rsidR="00A61A91">
        <w:t xml:space="preserve"> on the topic of foreign donations</w:t>
      </w:r>
      <w:r>
        <w:t>, other than the suggestion raised in the ACT Government submission</w:t>
      </w:r>
      <w:r w:rsidR="003C2E44">
        <w:t xml:space="preserve"> </w:t>
      </w:r>
      <w:r w:rsidR="003C2E44" w:rsidRPr="00366A9C">
        <w:t xml:space="preserve">that </w:t>
      </w:r>
      <w:r w:rsidR="009D146E" w:rsidRPr="00366A9C">
        <w:t>the Committee consider whether to ‘legislate to ban any political donations from foreign sources’</w:t>
      </w:r>
      <w:r w:rsidR="005A03C1" w:rsidRPr="00366A9C">
        <w:t>:</w:t>
      </w:r>
    </w:p>
    <w:p w14:paraId="12492F68" w14:textId="5D39B134" w:rsidR="005A03C1" w:rsidRDefault="005A03C1" w:rsidP="005A03C1">
      <w:pPr>
        <w:pStyle w:val="Quote"/>
      </w:pPr>
      <w:r w:rsidRPr="005A03C1">
        <w:t>‘The Government would welcome the Committee’s consideration of these issues and any recommendations relating to them or any other options the Government should consider aimed at reducing the risk of potential foreign interference or influence over ACT election processes and political parties.’</w:t>
      </w:r>
    </w:p>
    <w:p w14:paraId="411F3D39" w14:textId="658D9546" w:rsidR="003416E7" w:rsidRDefault="003416E7" w:rsidP="002D2E6D">
      <w:pPr>
        <w:pStyle w:val="BodyText"/>
      </w:pPr>
      <w:r>
        <w:t>In 2017 t</w:t>
      </w:r>
      <w:r w:rsidR="00D83600">
        <w:t>he Joint Standing Committee on Electoral Matters in the Commonwealth Parliament recommended prohibition of donations from foreign citizens and foreign entities to Australian registered political parties, associated entities and third parties (not applying to dual Australian citizens, or to non-Australian permanent residents in Australia).</w:t>
      </w:r>
      <w:r w:rsidR="00D83600">
        <w:rPr>
          <w:rStyle w:val="FootnoteReference"/>
        </w:rPr>
        <w:footnoteReference w:id="267"/>
      </w:r>
    </w:p>
    <w:p w14:paraId="2608F834" w14:textId="202ADF3C" w:rsidR="003D3563" w:rsidRDefault="003D3563" w:rsidP="003D2BD5">
      <w:pPr>
        <w:pStyle w:val="BodyText"/>
      </w:pPr>
      <w:r>
        <w:t xml:space="preserve">In 2018 the Senate Select Committee into the Political Influence of Donations recommended </w:t>
      </w:r>
      <w:r w:rsidRPr="003D3563">
        <w:t xml:space="preserve">that the Australian Government amend the </w:t>
      </w:r>
      <w:r w:rsidRPr="003D3563">
        <w:rPr>
          <w:i/>
          <w:iCs/>
        </w:rPr>
        <w:t>Commonwealth Electoral Act 1918</w:t>
      </w:r>
      <w:r w:rsidRPr="003D3563">
        <w:t xml:space="preserve"> to introduce a ban on foreign donations to political parties, </w:t>
      </w:r>
      <w:proofErr w:type="gramStart"/>
      <w:r w:rsidRPr="003D3563">
        <w:t>candidates</w:t>
      </w:r>
      <w:proofErr w:type="gramEnd"/>
      <w:r w:rsidRPr="003D3563">
        <w:t xml:space="preserve"> and associated entities. </w:t>
      </w:r>
      <w:r>
        <w:t xml:space="preserve"> </w:t>
      </w:r>
      <w:r w:rsidRPr="003D3563">
        <w:t>F</w:t>
      </w:r>
      <w:r>
        <w:t>o</w:t>
      </w:r>
      <w:r w:rsidRPr="003D3563">
        <w:t xml:space="preserve">reign donations </w:t>
      </w:r>
      <w:r>
        <w:t>were to</w:t>
      </w:r>
      <w:r w:rsidRPr="003D3563">
        <w:t xml:space="preserve"> be defined </w:t>
      </w:r>
      <w:r>
        <w:t xml:space="preserve">in this context </w:t>
      </w:r>
      <w:r w:rsidRPr="003D3563">
        <w:t>as donations from a source that is not an Australian citizen or resident, or an entity registered in Australia</w:t>
      </w:r>
      <w:r>
        <w:t>.</w:t>
      </w:r>
      <w:r>
        <w:rPr>
          <w:rStyle w:val="FootnoteReference"/>
        </w:rPr>
        <w:footnoteReference w:id="268"/>
      </w:r>
    </w:p>
    <w:p w14:paraId="02FA1EF2" w14:textId="5633EA7D" w:rsidR="00A24915" w:rsidRPr="00A24915" w:rsidRDefault="00A24915" w:rsidP="00A24915">
      <w:pPr>
        <w:pStyle w:val="BodyText"/>
      </w:pPr>
      <w:r>
        <w:t>The Commonwealth</w:t>
      </w:r>
      <w:r w:rsidRPr="00A24915">
        <w:t xml:space="preserve">, NSW, </w:t>
      </w:r>
      <w:proofErr w:type="gramStart"/>
      <w:r>
        <w:t>Victoria</w:t>
      </w:r>
      <w:proofErr w:type="gramEnd"/>
      <w:r>
        <w:t xml:space="preserve"> and Queensland </w:t>
      </w:r>
      <w:r w:rsidR="00D90E41">
        <w:t xml:space="preserve">currently </w:t>
      </w:r>
      <w:r>
        <w:t>regulate</w:t>
      </w:r>
      <w:r w:rsidRPr="00A24915">
        <w:t xml:space="preserve"> foreign donations</w:t>
      </w:r>
      <w:r>
        <w:t>:</w:t>
      </w:r>
    </w:p>
    <w:p w14:paraId="27C2C3B6" w14:textId="56095CC3" w:rsidR="00D83600" w:rsidRDefault="00D83600" w:rsidP="00A24915">
      <w:pPr>
        <w:pStyle w:val="ListBullet"/>
      </w:pPr>
      <w:r>
        <w:t xml:space="preserve">In 2018 the </w:t>
      </w:r>
      <w:r w:rsidRPr="00D83600">
        <w:rPr>
          <w:i/>
          <w:iCs/>
        </w:rPr>
        <w:t>Commonwealth Electoral Act 1918</w:t>
      </w:r>
      <w:r>
        <w:t xml:space="preserve"> was amended to </w:t>
      </w:r>
      <w:r w:rsidR="00202A7A">
        <w:t>prohibit</w:t>
      </w:r>
      <w:r>
        <w:t xml:space="preserve"> </w:t>
      </w:r>
      <w:r w:rsidR="00202A7A">
        <w:t xml:space="preserve">(a) any </w:t>
      </w:r>
      <w:r>
        <w:t xml:space="preserve">donations </w:t>
      </w:r>
      <w:r w:rsidR="00202A7A">
        <w:t>from foreign donors</w:t>
      </w:r>
      <w:r>
        <w:t xml:space="preserve"> </w:t>
      </w:r>
      <w:r w:rsidR="00202A7A" w:rsidRPr="00202A7A">
        <w:t>for the purpose of incurring electoral expenditure or creating or communicating electoral matter</w:t>
      </w:r>
      <w:r w:rsidR="00202A7A">
        <w:t>; and (b) foreign donations above $1,000 for any purpose</w:t>
      </w:r>
      <w:r>
        <w:t>.</w:t>
      </w:r>
      <w:r>
        <w:rPr>
          <w:rStyle w:val="FootnoteReference"/>
        </w:rPr>
        <w:footnoteReference w:id="269"/>
      </w:r>
    </w:p>
    <w:p w14:paraId="55FB19A8" w14:textId="5C6E82EB" w:rsidR="003D3563" w:rsidRDefault="00D83600" w:rsidP="00A24915">
      <w:pPr>
        <w:pStyle w:val="ListBullet"/>
      </w:pPr>
      <w:r w:rsidRPr="00D83600">
        <w:t xml:space="preserve">Section </w:t>
      </w:r>
      <w:r w:rsidR="00A24915">
        <w:t xml:space="preserve">46 </w:t>
      </w:r>
      <w:r w:rsidR="00A24915" w:rsidRPr="00A24915">
        <w:rPr>
          <w:i/>
          <w:iCs/>
        </w:rPr>
        <w:t>Electoral Funding Act 2018</w:t>
      </w:r>
      <w:r w:rsidRPr="00D83600">
        <w:t xml:space="preserve"> (NSW) requires that </w:t>
      </w:r>
      <w:r w:rsidR="00202A7A">
        <w:t xml:space="preserve">political </w:t>
      </w:r>
      <w:r w:rsidRPr="00D83600">
        <w:t xml:space="preserve">donors </w:t>
      </w:r>
      <w:r w:rsidR="00202A7A" w:rsidRPr="00202A7A">
        <w:t xml:space="preserve">have a legitimate </w:t>
      </w:r>
      <w:r w:rsidR="00202A7A">
        <w:t>connection with</w:t>
      </w:r>
      <w:r w:rsidR="00202A7A" w:rsidRPr="00202A7A">
        <w:t xml:space="preserve"> Australia, </w:t>
      </w:r>
      <w:r w:rsidR="00202A7A">
        <w:t>such as</w:t>
      </w:r>
      <w:r w:rsidR="00202A7A" w:rsidRPr="00202A7A">
        <w:t xml:space="preserve"> residence</w:t>
      </w:r>
      <w:r w:rsidR="00202A7A">
        <w:t xml:space="preserve"> or</w:t>
      </w:r>
      <w:r w:rsidR="00202A7A" w:rsidRPr="00202A7A">
        <w:t xml:space="preserve"> </w:t>
      </w:r>
      <w:r w:rsidR="00202A7A">
        <w:t xml:space="preserve">business registration, </w:t>
      </w:r>
      <w:r w:rsidR="00202A7A" w:rsidRPr="00D83600">
        <w:t>before a donation can be accepted</w:t>
      </w:r>
      <w:r w:rsidR="00202A7A">
        <w:t>.</w:t>
      </w:r>
      <w:r w:rsidR="00202A7A">
        <w:rPr>
          <w:rStyle w:val="FootnoteReference"/>
        </w:rPr>
        <w:footnoteReference w:id="270"/>
      </w:r>
    </w:p>
    <w:p w14:paraId="16A146CB" w14:textId="73C93071" w:rsidR="00A24915" w:rsidRDefault="00B81DD6" w:rsidP="00A24915">
      <w:pPr>
        <w:pStyle w:val="ListBullet"/>
      </w:pPr>
      <w:r>
        <w:t xml:space="preserve">Section 217A </w:t>
      </w:r>
      <w:r w:rsidRPr="00931EC9">
        <w:rPr>
          <w:i/>
          <w:iCs/>
        </w:rPr>
        <w:t>Electoral Act 2002</w:t>
      </w:r>
      <w:r>
        <w:t xml:space="preserve"> (Vic) prohibits political donations from any person who is not an Australian citizen or resident, and any entity that does not have an Australian Business Number (ABN).</w:t>
      </w:r>
      <w:r>
        <w:rPr>
          <w:rStyle w:val="FootnoteReference"/>
        </w:rPr>
        <w:footnoteReference w:id="271"/>
      </w:r>
    </w:p>
    <w:p w14:paraId="1A621CA8" w14:textId="59E6DF37" w:rsidR="00D83600" w:rsidRDefault="00D83600" w:rsidP="002D2E6D">
      <w:pPr>
        <w:pStyle w:val="ListBullet"/>
      </w:pPr>
      <w:r w:rsidRPr="00D83600">
        <w:lastRenderedPageBreak/>
        <w:t xml:space="preserve">Section 270 </w:t>
      </w:r>
      <w:r w:rsidRPr="00A24915">
        <w:rPr>
          <w:i/>
          <w:iCs/>
        </w:rPr>
        <w:t>Electoral Act 1992</w:t>
      </w:r>
      <w:r w:rsidRPr="00D83600">
        <w:t xml:space="preserve"> (</w:t>
      </w:r>
      <w:r w:rsidR="00A24915">
        <w:t>Qld</w:t>
      </w:r>
      <w:r w:rsidRPr="00D83600">
        <w:t xml:space="preserve">) </w:t>
      </w:r>
      <w:r w:rsidR="00A24915">
        <w:t>makes i</w:t>
      </w:r>
      <w:r w:rsidR="00A24915" w:rsidRPr="00A24915">
        <w:t>t is unlawful for a</w:t>
      </w:r>
      <w:r w:rsidR="00A24915">
        <w:t xml:space="preserve"> political party </w:t>
      </w:r>
      <w:r w:rsidR="00A24915" w:rsidRPr="00A24915">
        <w:t>to receive a gift of foreign property</w:t>
      </w:r>
      <w:r w:rsidR="00A24915">
        <w:t>, and for a candidate to receive such a gift during an election period.</w:t>
      </w:r>
      <w:r w:rsidR="00A24915">
        <w:rPr>
          <w:rStyle w:val="FootnoteReference"/>
        </w:rPr>
        <w:footnoteReference w:id="272"/>
      </w:r>
    </w:p>
    <w:p w14:paraId="090E1594" w14:textId="630B45D3" w:rsidR="00B81DD6" w:rsidRDefault="00B81DD6" w:rsidP="00B81DD6">
      <w:pPr>
        <w:pStyle w:val="Heading5"/>
      </w:pPr>
      <w:r>
        <w:t>Committee Comment</w:t>
      </w:r>
    </w:p>
    <w:p w14:paraId="42828BAA" w14:textId="33CCF07C" w:rsidR="00B81DD6" w:rsidRPr="003D3563" w:rsidRDefault="00B81DD6" w:rsidP="00B81DD6">
      <w:pPr>
        <w:pStyle w:val="BodyText"/>
      </w:pPr>
      <w:r>
        <w:t xml:space="preserve">The Committee notes that other Australian jurisdictions have acted to ban foreign donations to political parties, and a range of legislative models are available for the Territory to consider. </w:t>
      </w:r>
    </w:p>
    <w:tbl>
      <w:tblPr>
        <w:tblStyle w:val="TableGrid"/>
        <w:tblW w:w="9209" w:type="dxa"/>
        <w:tblInd w:w="-142" w:type="dxa"/>
        <w:tblLook w:val="04A0" w:firstRow="1" w:lastRow="0" w:firstColumn="1" w:lastColumn="0" w:noHBand="0" w:noVBand="1"/>
      </w:tblPr>
      <w:tblGrid>
        <w:gridCol w:w="9209"/>
      </w:tblGrid>
      <w:tr w:rsidR="002F0215" w14:paraId="5E0CB9BA" w14:textId="77777777" w:rsidTr="002F021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CD12B03" w14:textId="224B5170" w:rsidR="002F0215" w:rsidRDefault="002F0215" w:rsidP="002F0215">
            <w:pPr>
              <w:pStyle w:val="RecommendationHeading"/>
            </w:pPr>
            <w:bookmarkStart w:id="143" w:name="_Toc78382535"/>
            <w:r>
              <w:t xml:space="preserve">Recommendation </w:t>
            </w:r>
            <w:r w:rsidR="00D02D0E">
              <w:rPr>
                <w:noProof/>
              </w:rPr>
              <w:t>3</w:t>
            </w:r>
            <w:r w:rsidR="00327FC7">
              <w:rPr>
                <w:noProof/>
              </w:rPr>
              <w:t>6</w:t>
            </w:r>
            <w:bookmarkEnd w:id="143"/>
          </w:p>
          <w:p w14:paraId="4B9CEBBE" w14:textId="12141CDB" w:rsidR="002F0215" w:rsidRPr="002F0215" w:rsidRDefault="002F0215" w:rsidP="00B87FF7">
            <w:pPr>
              <w:pStyle w:val="RecommendationText"/>
            </w:pPr>
            <w:bookmarkStart w:id="144" w:name="_Toc78382536"/>
            <w:r w:rsidRPr="002F0215">
              <w:t xml:space="preserve">The Committee recommends </w:t>
            </w:r>
            <w:r w:rsidR="00B87FF7">
              <w:t xml:space="preserve">that ACT Government explore </w:t>
            </w:r>
            <w:r w:rsidR="00277341">
              <w:t xml:space="preserve">legislative </w:t>
            </w:r>
            <w:r w:rsidR="00B87FF7">
              <w:t>options for banning</w:t>
            </w:r>
            <w:r w:rsidRPr="002F0215">
              <w:t xml:space="preserve"> political donations from foreign sources</w:t>
            </w:r>
            <w:r w:rsidR="00B87FF7">
              <w:t>, consult with the community</w:t>
            </w:r>
            <w:r w:rsidR="005F4987">
              <w:t>, and report to the Assembly on preferred options by March 2022</w:t>
            </w:r>
            <w:r w:rsidR="00B87FF7">
              <w:t>.</w:t>
            </w:r>
            <w:bookmarkEnd w:id="144"/>
            <w:r w:rsidR="00B87FF7">
              <w:t xml:space="preserve">  </w:t>
            </w:r>
          </w:p>
        </w:tc>
      </w:tr>
    </w:tbl>
    <w:p w14:paraId="3C5EB20C" w14:textId="5EF9E4D2" w:rsidR="009D146E" w:rsidRPr="00463AAE" w:rsidRDefault="009D146E" w:rsidP="009D146E">
      <w:pPr>
        <w:pStyle w:val="Heading4"/>
      </w:pPr>
      <w:r w:rsidRPr="00463AAE">
        <w:t>Ban on Donations by Gambling Entities</w:t>
      </w:r>
    </w:p>
    <w:p w14:paraId="6A188F1A" w14:textId="4F567DEF" w:rsidR="009D146E" w:rsidRPr="00463AAE" w:rsidRDefault="009D146E" w:rsidP="009F1EFF">
      <w:pPr>
        <w:pStyle w:val="Heading5"/>
      </w:pPr>
      <w:r w:rsidRPr="00463AAE">
        <w:t xml:space="preserve">Views expressed in Submissions and Hearings </w:t>
      </w:r>
    </w:p>
    <w:p w14:paraId="442A23D9" w14:textId="550F9D85" w:rsidR="009F1EFF" w:rsidRPr="00463AAE" w:rsidRDefault="009F1EFF" w:rsidP="009D146E">
      <w:pPr>
        <w:pStyle w:val="BodyText"/>
      </w:pPr>
      <w:r w:rsidRPr="00463AAE">
        <w:t>ACT Greens and Caroline Le Couteur told the Committee that for-profit gambling entities should be banned from donating to political parties:</w:t>
      </w:r>
    </w:p>
    <w:p w14:paraId="3F604B12" w14:textId="541FF5E9" w:rsidR="009F1EFF" w:rsidRPr="00463AAE" w:rsidRDefault="009F1EFF" w:rsidP="009F1EFF">
      <w:pPr>
        <w:pStyle w:val="Quote"/>
      </w:pPr>
      <w:r w:rsidRPr="00463AAE">
        <w:t>‘The Greens propose extending the ban on political donations from property developers to include gambling businesses because gambling entities are much more likely than many other organisations or sectors to be in positions where relatively simple changes in Government policy can have major implications for their viability and profitability.’</w:t>
      </w:r>
      <w:r w:rsidRPr="00463AAE">
        <w:rPr>
          <w:rStyle w:val="FootnoteReference"/>
        </w:rPr>
        <w:footnoteReference w:id="273"/>
      </w:r>
    </w:p>
    <w:p w14:paraId="6929DC42" w14:textId="45C935E6" w:rsidR="006E5D3A" w:rsidRPr="00463AAE" w:rsidRDefault="006E5D3A" w:rsidP="009F1EFF">
      <w:pPr>
        <w:pStyle w:val="Quote"/>
      </w:pPr>
      <w:r w:rsidRPr="00463AAE">
        <w:t xml:space="preserve">‘I would support enacting the ban on donations from gambling entities that I moved in the Assembly last </w:t>
      </w:r>
      <w:proofErr w:type="gramStart"/>
      <w:r w:rsidRPr="00463AAE">
        <w:t>year, but</w:t>
      </w:r>
      <w:proofErr w:type="gramEnd"/>
      <w:r w:rsidRPr="00463AAE">
        <w:t xml:space="preserve"> was not passed.  I note that NSW has banned donations from gambling entities.’</w:t>
      </w:r>
      <w:r w:rsidRPr="00463AAE">
        <w:rPr>
          <w:rStyle w:val="FootnoteReference"/>
        </w:rPr>
        <w:footnoteReference w:id="274"/>
      </w:r>
    </w:p>
    <w:p w14:paraId="3BD16480" w14:textId="30468D08" w:rsidR="009F1EFF" w:rsidRPr="00463AAE" w:rsidRDefault="009F1EFF" w:rsidP="009D146E">
      <w:pPr>
        <w:pStyle w:val="BodyText"/>
      </w:pPr>
      <w:r w:rsidRPr="00463AAE">
        <w:t xml:space="preserve">The Greens drew the Committee’s attention to </w:t>
      </w:r>
      <w:r w:rsidR="006E5D3A" w:rsidRPr="00463AAE">
        <w:t>recommendation 9 of the Senate Select Committee into the Political Influence of Donations, which recommended in 2018 a ban on donations from gambling entities (among others).</w:t>
      </w:r>
      <w:r w:rsidR="006E5D3A" w:rsidRPr="00463AAE">
        <w:rPr>
          <w:rStyle w:val="FootnoteReference"/>
        </w:rPr>
        <w:footnoteReference w:id="275"/>
      </w:r>
    </w:p>
    <w:p w14:paraId="1D9D4808" w14:textId="6F7FE799" w:rsidR="006E5D3A" w:rsidRPr="00463AAE" w:rsidRDefault="006E5D3A" w:rsidP="009D146E">
      <w:pPr>
        <w:pStyle w:val="BodyText"/>
      </w:pPr>
      <w:r w:rsidRPr="00463AAE">
        <w:lastRenderedPageBreak/>
        <w:t>The Liberal Democrats put the contrasting view, that ‘prohibition of donations from any one group… should be abolished’.</w:t>
      </w:r>
      <w:r w:rsidRPr="00463AAE">
        <w:rPr>
          <w:rStyle w:val="FootnoteReference"/>
        </w:rPr>
        <w:footnoteReference w:id="276"/>
      </w:r>
    </w:p>
    <w:p w14:paraId="18E4D0B2" w14:textId="28E31DA4" w:rsidR="006E5D3A" w:rsidRPr="00463AAE" w:rsidRDefault="006E5D3A" w:rsidP="006E5D3A">
      <w:pPr>
        <w:pStyle w:val="Heading5"/>
      </w:pPr>
      <w:r w:rsidRPr="00463AAE">
        <w:t>Committee Comment</w:t>
      </w:r>
    </w:p>
    <w:p w14:paraId="2BF4E4E3" w14:textId="41B8D1ED" w:rsidR="006E5D3A" w:rsidRPr="00463AAE" w:rsidRDefault="006E5D3A" w:rsidP="006E5D3A">
      <w:pPr>
        <w:pStyle w:val="BodyText"/>
      </w:pPr>
      <w:r w:rsidRPr="00463AAE">
        <w:t xml:space="preserve">The Committee notes that </w:t>
      </w:r>
      <w:r w:rsidR="00131D83" w:rsidRPr="00463AAE">
        <w:t>the jurisdiction nearest to the ACT has in recent years taken steps to prevent gambling</w:t>
      </w:r>
      <w:r w:rsidR="00463AAE" w:rsidRPr="00463AAE">
        <w:t xml:space="preserve">, </w:t>
      </w:r>
      <w:proofErr w:type="gramStart"/>
      <w:r w:rsidR="00463AAE" w:rsidRPr="00463AAE">
        <w:t>liquor</w:t>
      </w:r>
      <w:proofErr w:type="gramEnd"/>
      <w:r w:rsidR="00463AAE" w:rsidRPr="00463AAE">
        <w:t xml:space="preserve"> and tobacco</w:t>
      </w:r>
      <w:r w:rsidR="00131D83" w:rsidRPr="00463AAE">
        <w:t xml:space="preserve"> entities from making political donations.  </w:t>
      </w:r>
      <w:r w:rsidR="002767DE" w:rsidRPr="00463AAE">
        <w:t xml:space="preserve">Part 3 </w:t>
      </w:r>
      <w:r w:rsidRPr="00463AAE">
        <w:t xml:space="preserve">Division 7 of the </w:t>
      </w:r>
      <w:r w:rsidR="00131D83" w:rsidRPr="00463AAE">
        <w:rPr>
          <w:i/>
          <w:iCs/>
        </w:rPr>
        <w:t>Electoral Funding Act 2018 Act</w:t>
      </w:r>
      <w:r w:rsidR="00131D83" w:rsidRPr="00463AAE">
        <w:t xml:space="preserve"> (NSW) </w:t>
      </w:r>
      <w:r w:rsidR="00463AAE" w:rsidRPr="00463AAE">
        <w:t xml:space="preserve">defines these entities as ‘prohibited </w:t>
      </w:r>
      <w:proofErr w:type="gramStart"/>
      <w:r w:rsidR="00463AAE" w:rsidRPr="00463AAE">
        <w:t>donors’, and</w:t>
      </w:r>
      <w:proofErr w:type="gramEnd"/>
      <w:r w:rsidR="00463AAE" w:rsidRPr="00463AAE">
        <w:t xml:space="preserve"> </w:t>
      </w:r>
      <w:r w:rsidR="003768CC">
        <w:t>prohibits them from making political donations in NSW</w:t>
      </w:r>
      <w:r w:rsidR="00131D83" w:rsidRPr="00463AAE">
        <w:t>.</w:t>
      </w:r>
    </w:p>
    <w:p w14:paraId="6CA1980A" w14:textId="52FF1A1A" w:rsidR="00131D83" w:rsidRPr="00463AAE" w:rsidRDefault="00131D83" w:rsidP="006E5D3A">
      <w:pPr>
        <w:pStyle w:val="BodyText"/>
      </w:pPr>
      <w:r w:rsidRPr="00463AAE">
        <w:t>The Committee notes that</w:t>
      </w:r>
      <w:r w:rsidR="0062061B" w:rsidRPr="00463AAE">
        <w:t xml:space="preserve"> any</w:t>
      </w:r>
      <w:r w:rsidRPr="00463AAE">
        <w:t xml:space="preserve"> </w:t>
      </w:r>
      <w:r w:rsidR="00247450" w:rsidRPr="00463AAE">
        <w:t>equivalent</w:t>
      </w:r>
      <w:r w:rsidRPr="00463AAE">
        <w:t xml:space="preserve"> provisions in the ACT would need to be drafted in a manner compliant with the </w:t>
      </w:r>
      <w:r w:rsidRPr="00463AAE">
        <w:rPr>
          <w:i/>
          <w:iCs/>
        </w:rPr>
        <w:t>Human Rights Act 2004</w:t>
      </w:r>
      <w:r w:rsidRPr="00463AAE">
        <w:t xml:space="preserve">, which protects the right to freedom of expression, and the right to take part in public life. </w:t>
      </w:r>
    </w:p>
    <w:tbl>
      <w:tblPr>
        <w:tblStyle w:val="TableGrid"/>
        <w:tblW w:w="9209" w:type="dxa"/>
        <w:tblInd w:w="-142" w:type="dxa"/>
        <w:tblLook w:val="04A0" w:firstRow="1" w:lastRow="0" w:firstColumn="1" w:lastColumn="0" w:noHBand="0" w:noVBand="1"/>
      </w:tblPr>
      <w:tblGrid>
        <w:gridCol w:w="9209"/>
      </w:tblGrid>
      <w:tr w:rsidR="006E5D3A" w14:paraId="2939607C" w14:textId="77777777" w:rsidTr="000D04E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8860015" w14:textId="2643BD94" w:rsidR="006E5D3A" w:rsidRPr="00463AAE" w:rsidRDefault="006E5D3A" w:rsidP="000D04E1">
            <w:pPr>
              <w:pStyle w:val="RecommendationHeading"/>
            </w:pPr>
            <w:bookmarkStart w:id="145" w:name="_Toc275821"/>
            <w:bookmarkStart w:id="146" w:name="_Toc78382537"/>
            <w:r w:rsidRPr="00463AAE">
              <w:t xml:space="preserve">Recommendation </w:t>
            </w:r>
            <w:bookmarkEnd w:id="145"/>
            <w:r w:rsidR="00D12E90" w:rsidRPr="00463AAE">
              <w:rPr>
                <w:noProof/>
              </w:rPr>
              <w:t>3</w:t>
            </w:r>
            <w:r w:rsidR="00327FC7" w:rsidRPr="00463AAE">
              <w:rPr>
                <w:noProof/>
              </w:rPr>
              <w:t>7</w:t>
            </w:r>
            <w:bookmarkEnd w:id="146"/>
          </w:p>
          <w:p w14:paraId="2F5D4C00" w14:textId="4DC0A8D2" w:rsidR="006E5D3A" w:rsidRPr="00463AAE" w:rsidRDefault="006E5D3A" w:rsidP="006E5D3A">
            <w:pPr>
              <w:pStyle w:val="RecommendationText"/>
            </w:pPr>
            <w:bookmarkStart w:id="147" w:name="_Toc78382538"/>
            <w:r w:rsidRPr="00463AAE">
              <w:t xml:space="preserve">The Committee recommends that ACT Government explore options for banning donations from </w:t>
            </w:r>
            <w:r w:rsidR="00463AAE" w:rsidRPr="00463AAE">
              <w:t>tobacco, liquor and gambling entities and associated industry representative bodies.</w:t>
            </w:r>
            <w:bookmarkEnd w:id="147"/>
            <w:r w:rsidRPr="00463AAE">
              <w:t xml:space="preserve"> </w:t>
            </w:r>
          </w:p>
        </w:tc>
      </w:tr>
    </w:tbl>
    <w:p w14:paraId="4FB155B2" w14:textId="1217F6AB" w:rsidR="00BF171A" w:rsidRDefault="00BF171A" w:rsidP="00BF171A">
      <w:pPr>
        <w:pStyle w:val="Heading3"/>
      </w:pPr>
      <w:bookmarkStart w:id="148" w:name="_Toc78535755"/>
      <w:r>
        <w:t>Public Funding</w:t>
      </w:r>
      <w:bookmarkEnd w:id="148"/>
      <w:r>
        <w:t xml:space="preserve"> </w:t>
      </w:r>
    </w:p>
    <w:p w14:paraId="302193C9" w14:textId="768FE323" w:rsidR="005F4987" w:rsidRDefault="005F4987" w:rsidP="005F4987">
      <w:pPr>
        <w:pStyle w:val="Heading4"/>
      </w:pPr>
      <w:r>
        <w:t>Legislative Framework</w:t>
      </w:r>
    </w:p>
    <w:p w14:paraId="422B993F" w14:textId="5A1B285B" w:rsidR="002D2E6D" w:rsidRDefault="00BF171A" w:rsidP="00D90E41">
      <w:pPr>
        <w:pStyle w:val="BodyText"/>
      </w:pPr>
      <w:r>
        <w:t xml:space="preserve">Division 14.3 </w:t>
      </w:r>
      <w:r w:rsidR="002D2E6D">
        <w:t xml:space="preserve">Electoral Act provides for </w:t>
      </w:r>
      <w:r w:rsidR="00D90E41" w:rsidRPr="00D90E41">
        <w:t>public funding of election campaign expenditure</w:t>
      </w:r>
      <w:r w:rsidR="002D2E6D">
        <w:t xml:space="preserve">.  A prescribed amount of money is payable for each eligible vote cast for a candidate or party in an election (s207).  There is a threshold for access to public funding; a candidate must receive at least 4% of the votes in their electorate (s208). </w:t>
      </w:r>
    </w:p>
    <w:p w14:paraId="38124807" w14:textId="24D90FE0" w:rsidR="00D90E41" w:rsidRPr="00D90E41" w:rsidRDefault="002D2E6D" w:rsidP="00D90E41">
      <w:pPr>
        <w:pStyle w:val="BodyText"/>
      </w:pPr>
      <w:r>
        <w:t>For the 2020 election, the public funding amount was 862.105 cents per eligible vote.</w:t>
      </w:r>
      <w:r>
        <w:rPr>
          <w:rStyle w:val="FootnoteReference"/>
        </w:rPr>
        <w:footnoteReference w:id="277"/>
      </w:r>
    </w:p>
    <w:p w14:paraId="16FED319" w14:textId="294B8D49" w:rsidR="00BF171A" w:rsidRDefault="00BF171A" w:rsidP="00BF171A">
      <w:pPr>
        <w:pStyle w:val="BodyText"/>
      </w:pPr>
      <w:r>
        <w:t xml:space="preserve">Division 14.3A </w:t>
      </w:r>
      <w:r w:rsidR="002D2E6D">
        <w:t xml:space="preserve">provides for </w:t>
      </w:r>
      <w:r>
        <w:t>administrative funding</w:t>
      </w:r>
      <w:r w:rsidR="002D2E6D">
        <w:t xml:space="preserve"> for parties</w:t>
      </w:r>
      <w:r w:rsidR="0088722E">
        <w:t xml:space="preserve"> with sitting Members in the Assembly</w:t>
      </w:r>
      <w:r w:rsidR="002D2E6D">
        <w:t xml:space="preserve">.  A party is eligible for payment for administrative expenditure if at least one MLA is a member of the party (s215B).  </w:t>
      </w:r>
      <w:r w:rsidR="0088722E">
        <w:t xml:space="preserve">Independent MLAs are also eligible for the payment (s215D).  This funding must not be used for electoral expenditure (s215G). </w:t>
      </w:r>
    </w:p>
    <w:p w14:paraId="16F83F5B" w14:textId="5F32B8A4" w:rsidR="00D90E41" w:rsidRDefault="00D90E41" w:rsidP="00391347">
      <w:pPr>
        <w:pStyle w:val="Heading4"/>
      </w:pPr>
      <w:r>
        <w:lastRenderedPageBreak/>
        <w:t>Views expressed in Submissions and Hearings</w:t>
      </w:r>
    </w:p>
    <w:p w14:paraId="5E799BF6" w14:textId="2AFCAE19" w:rsidR="0088722E" w:rsidRDefault="0088722E" w:rsidP="0088722E">
      <w:pPr>
        <w:pStyle w:val="BodyText"/>
      </w:pPr>
      <w:r>
        <w:t xml:space="preserve">Public funding was a regular theme during the inquiry.  </w:t>
      </w:r>
      <w:r w:rsidR="008D660A">
        <w:t>Three</w:t>
      </w:r>
      <w:r>
        <w:t xml:space="preserve"> viewpoints emerged from submissions and hearings:</w:t>
      </w:r>
    </w:p>
    <w:p w14:paraId="5CA504B5" w14:textId="4276993E" w:rsidR="00BF171A" w:rsidRDefault="00E27850" w:rsidP="00BF171A">
      <w:pPr>
        <w:pStyle w:val="ListBullet"/>
      </w:pPr>
      <w:r>
        <w:t>A</w:t>
      </w:r>
      <w:r w:rsidR="00BF171A" w:rsidRPr="00152342">
        <w:t>bolish public funding for candidates and political parties</w:t>
      </w:r>
      <w:r w:rsidR="0088722E">
        <w:t>,</w:t>
      </w:r>
      <w:r w:rsidR="00BF171A">
        <w:t xml:space="preserve"> </w:t>
      </w:r>
    </w:p>
    <w:p w14:paraId="41B28891" w14:textId="74C28585" w:rsidR="00BF171A" w:rsidRDefault="00E27850" w:rsidP="00BF171A">
      <w:pPr>
        <w:pStyle w:val="ListBullet"/>
      </w:pPr>
      <w:r>
        <w:t>R</w:t>
      </w:r>
      <w:r w:rsidR="0088722E">
        <w:t>educe</w:t>
      </w:r>
      <w:r w:rsidR="00BF171A" w:rsidRPr="00152342">
        <w:t xml:space="preserve"> public funding</w:t>
      </w:r>
      <w:r w:rsidR="0088722E">
        <w:t xml:space="preserve">, </w:t>
      </w:r>
      <w:r w:rsidR="008D660A">
        <w:t>or</w:t>
      </w:r>
    </w:p>
    <w:p w14:paraId="792E0355" w14:textId="0B3B4616" w:rsidR="00BF171A" w:rsidRDefault="00E27850" w:rsidP="008D660A">
      <w:pPr>
        <w:pStyle w:val="ListBullet"/>
      </w:pPr>
      <w:r>
        <w:t>R</w:t>
      </w:r>
      <w:r w:rsidR="00BF171A" w:rsidRPr="00152342">
        <w:t>estructure the way public funding is allocated</w:t>
      </w:r>
      <w:r w:rsidR="008D660A">
        <w:t xml:space="preserve">. </w:t>
      </w:r>
      <w:r w:rsidR="0088722E">
        <w:t xml:space="preserve"> </w:t>
      </w:r>
    </w:p>
    <w:p w14:paraId="53493912" w14:textId="77777777" w:rsidR="00853FE8" w:rsidRDefault="00853FE8" w:rsidP="00853FE8">
      <w:pPr>
        <w:pStyle w:val="BodyText"/>
      </w:pPr>
      <w:r>
        <w:t>Liberal Democrats highlighted that the ACT rate of $8.62 per vote is the highest level of public funding in all Australian jurisdictions, and three times the rate in Western Australia.</w:t>
      </w:r>
      <w:r>
        <w:rPr>
          <w:rStyle w:val="FootnoteReference"/>
        </w:rPr>
        <w:footnoteReference w:id="278"/>
      </w:r>
    </w:p>
    <w:p w14:paraId="7542B9DA" w14:textId="324EEEE9" w:rsidR="00BF171A" w:rsidRDefault="0088722E" w:rsidP="0019343C">
      <w:pPr>
        <w:pStyle w:val="BodyText"/>
      </w:pPr>
      <w:r>
        <w:t>Liberal Democrats told the Committee that public funding should be abolished</w:t>
      </w:r>
      <w:r w:rsidR="00853FE8">
        <w:t>, as ‘[p]</w:t>
      </w:r>
      <w:proofErr w:type="spellStart"/>
      <w:r w:rsidR="00853FE8" w:rsidRPr="00274198">
        <w:t>ublic</w:t>
      </w:r>
      <w:proofErr w:type="spellEnd"/>
      <w:r w:rsidR="00853FE8" w:rsidRPr="00274198">
        <w:t xml:space="preserve"> funding forces taxpayers to contribute to parties they would never support voluntarily.</w:t>
      </w:r>
      <w:r w:rsidR="00853FE8">
        <w:t>’</w:t>
      </w:r>
      <w:r w:rsidR="00853FE8">
        <w:rPr>
          <w:rStyle w:val="FootnoteReference"/>
        </w:rPr>
        <w:footnoteReference w:id="279"/>
      </w:r>
      <w:r w:rsidR="00853FE8">
        <w:t xml:space="preserve">  I</w:t>
      </w:r>
      <w:r>
        <w:t xml:space="preserve">f it is to be retained, </w:t>
      </w:r>
      <w:r w:rsidR="00853FE8">
        <w:t>Liberal Democrats called for</w:t>
      </w:r>
      <w:r>
        <w:t xml:space="preserve"> </w:t>
      </w:r>
      <w:r w:rsidR="00E27850">
        <w:t>public funding to</w:t>
      </w:r>
      <w:r>
        <w:t xml:space="preserve"> be reduced to </w:t>
      </w:r>
      <w:r w:rsidR="00BF171A" w:rsidRPr="006B2DB9">
        <w:t>the lower of either the smallest rate of funding o</w:t>
      </w:r>
      <w:r w:rsidR="008D660A">
        <w:t>f</w:t>
      </w:r>
      <w:r w:rsidR="00BF171A" w:rsidRPr="006B2DB9">
        <w:t xml:space="preserve"> other Australian jurisdictions, or one quarter of actual expenditure by the candidate</w:t>
      </w:r>
      <w:r w:rsidR="00BF171A">
        <w:t>.</w:t>
      </w:r>
      <w:r w:rsidR="00853FE8" w:rsidRPr="00853FE8">
        <w:t xml:space="preserve"> </w:t>
      </w:r>
      <w:r w:rsidR="00853FE8">
        <w:t xml:space="preserve"> They also suggested the </w:t>
      </w:r>
      <w:r w:rsidR="008D660A">
        <w:t>ballot paper</w:t>
      </w:r>
      <w:r w:rsidR="00853FE8" w:rsidRPr="006B2DB9">
        <w:t xml:space="preserve"> include an option for voters to consent to public expenditure</w:t>
      </w:r>
      <w:r w:rsidR="00853FE8">
        <w:t>.</w:t>
      </w:r>
      <w:r>
        <w:rPr>
          <w:rStyle w:val="FootnoteReference"/>
        </w:rPr>
        <w:footnoteReference w:id="280"/>
      </w:r>
      <w:r w:rsidR="00853FE8">
        <w:t xml:space="preserve">  </w:t>
      </w:r>
    </w:p>
    <w:p w14:paraId="1BE0E8A4" w14:textId="391E7049" w:rsidR="00BF171A" w:rsidRDefault="00853FE8" w:rsidP="00BF171A">
      <w:pPr>
        <w:pStyle w:val="BodyText"/>
      </w:pPr>
      <w:r>
        <w:t xml:space="preserve">Several submitters </w:t>
      </w:r>
      <w:r w:rsidR="00BF171A" w:rsidRPr="006B2DB9">
        <w:t>recommend</w:t>
      </w:r>
      <w:r>
        <w:t>ed</w:t>
      </w:r>
      <w:r w:rsidR="00BF171A" w:rsidRPr="006B2DB9">
        <w:t xml:space="preserve"> lowering the threshold for candidates to receive public funding from the current </w:t>
      </w:r>
      <w:r>
        <w:t>threshold of four per cent</w:t>
      </w:r>
      <w:r w:rsidR="00BF171A" w:rsidRPr="006B2DB9">
        <w:t xml:space="preserve"> of votes, to enable </w:t>
      </w:r>
      <w:r>
        <w:t>fairer</w:t>
      </w:r>
      <w:r w:rsidR="00BF171A" w:rsidRPr="006B2DB9">
        <w:t xml:space="preserve"> access for small parties and Independent candidates</w:t>
      </w:r>
      <w:r w:rsidR="00BF171A">
        <w:t>.</w:t>
      </w:r>
      <w:r>
        <w:rPr>
          <w:rStyle w:val="FootnoteReference"/>
        </w:rPr>
        <w:footnoteReference w:id="281"/>
      </w:r>
    </w:p>
    <w:p w14:paraId="095D66C4" w14:textId="65833BEB" w:rsidR="00BF171A" w:rsidRDefault="00853FE8" w:rsidP="00BF171A">
      <w:pPr>
        <w:pStyle w:val="BodyText"/>
      </w:pPr>
      <w:r>
        <w:t>On this theme, Canberra Progressives</w:t>
      </w:r>
      <w:r w:rsidR="00BF171A" w:rsidRPr="003C6A45">
        <w:t xml:space="preserve"> recommend</w:t>
      </w:r>
      <w:r>
        <w:t>ed</w:t>
      </w:r>
      <w:r w:rsidR="00BF171A" w:rsidRPr="003C6A45">
        <w:t xml:space="preserve"> a </w:t>
      </w:r>
      <w:r w:rsidR="00BF171A">
        <w:t>formal</w:t>
      </w:r>
      <w:r w:rsidR="00BF171A" w:rsidRPr="003C6A45">
        <w:t xml:space="preserve"> inquiry into the impact of Division 14.3 of the Electoral Act 1992</w:t>
      </w:r>
      <w:r>
        <w:t xml:space="preserve"> ‘</w:t>
      </w:r>
      <w:r w:rsidR="00BF171A" w:rsidRPr="003C6A45">
        <w:t>to assess the extent to which the outcome of this part of the Act is to entrench, reward and increase the profile of major parties, at the expense of bringing diversity of representation into the ACT Legislative Assembly</w:t>
      </w:r>
      <w:r>
        <w:t>’.</w:t>
      </w:r>
      <w:r>
        <w:rPr>
          <w:rStyle w:val="FootnoteReference"/>
        </w:rPr>
        <w:footnoteReference w:id="282"/>
      </w:r>
    </w:p>
    <w:p w14:paraId="2F148D42" w14:textId="2BCC3F3F" w:rsidR="00391347" w:rsidRDefault="00391347" w:rsidP="00391347">
      <w:pPr>
        <w:pStyle w:val="Heading4"/>
      </w:pPr>
      <w:r>
        <w:t>Public funding not to exceed expenditure</w:t>
      </w:r>
    </w:p>
    <w:p w14:paraId="55A31EBD" w14:textId="43C127CB" w:rsidR="00391347" w:rsidRDefault="0090591A" w:rsidP="00391347">
      <w:pPr>
        <w:pStyle w:val="BodyText"/>
      </w:pPr>
      <w:r>
        <w:t>The Electoral Commission</w:t>
      </w:r>
      <w:r w:rsidR="00391347">
        <w:t xml:space="preserve"> </w:t>
      </w:r>
      <w:r>
        <w:t>reported that</w:t>
      </w:r>
      <w:r w:rsidR="00391347">
        <w:t xml:space="preserve"> </w:t>
      </w:r>
      <w:r w:rsidR="008D660A">
        <w:t>two</w:t>
      </w:r>
      <w:r w:rsidR="00391347">
        <w:t xml:space="preserve"> parties </w:t>
      </w:r>
      <w:r w:rsidR="008D660A">
        <w:t>and one Independent</w:t>
      </w:r>
      <w:r w:rsidR="00391347">
        <w:t xml:space="preserve"> candidate received more public funding than </w:t>
      </w:r>
      <w:r w:rsidR="00E27850">
        <w:t xml:space="preserve">the amount of </w:t>
      </w:r>
      <w:r w:rsidR="00391347">
        <w:t>their election expenditure.</w:t>
      </w:r>
      <w:r w:rsidR="0019343C">
        <w:rPr>
          <w:rStyle w:val="FootnoteReference"/>
        </w:rPr>
        <w:footnoteReference w:id="283"/>
      </w:r>
      <w:r w:rsidR="00391347">
        <w:t xml:space="preserve"> </w:t>
      </w:r>
    </w:p>
    <w:p w14:paraId="511F77E9" w14:textId="308FF186" w:rsidR="0019343C" w:rsidRDefault="0019343C" w:rsidP="00391347">
      <w:pPr>
        <w:pStyle w:val="BodyText"/>
      </w:pPr>
      <w:r>
        <w:t xml:space="preserve">In its report on the 2020 Election, the Electoral Commission recommended that the Electoral Act be amended to include provisions that limit the amount of public funding that can be </w:t>
      </w:r>
      <w:r>
        <w:lastRenderedPageBreak/>
        <w:t>received by a political party or candidate to not exceed the amount of electoral expenditure incurred.</w:t>
      </w:r>
      <w:r>
        <w:rPr>
          <w:rStyle w:val="FootnoteReference"/>
        </w:rPr>
        <w:footnoteReference w:id="284"/>
      </w:r>
    </w:p>
    <w:p w14:paraId="3099C15D" w14:textId="5E46D09B" w:rsidR="0088722E" w:rsidRDefault="0019343C" w:rsidP="00391347">
      <w:pPr>
        <w:pStyle w:val="BodyText"/>
      </w:pPr>
      <w:r>
        <w:t xml:space="preserve">Liberal Democrats agreed with the Electoral Commission: </w:t>
      </w:r>
      <w:r w:rsidR="0088722E">
        <w:t>‘</w:t>
      </w:r>
      <w:r>
        <w:t>[p]</w:t>
      </w:r>
      <w:proofErr w:type="spellStart"/>
      <w:r w:rsidR="0088722E">
        <w:t>ublic</w:t>
      </w:r>
      <w:proofErr w:type="spellEnd"/>
      <w:r w:rsidR="0088722E">
        <w:t xml:space="preserve"> funding should never exceed the amount of election expenditure of the funded party or candidate’</w:t>
      </w:r>
      <w:r>
        <w:t>.</w:t>
      </w:r>
      <w:r>
        <w:rPr>
          <w:rStyle w:val="FootnoteReference"/>
        </w:rPr>
        <w:footnoteReference w:id="285"/>
      </w:r>
      <w:r w:rsidR="0088722E">
        <w:t xml:space="preserve"> </w:t>
      </w:r>
    </w:p>
    <w:p w14:paraId="2E534EC4" w14:textId="3089A741" w:rsidR="0019343C" w:rsidRDefault="0019343C" w:rsidP="00391347">
      <w:pPr>
        <w:pStyle w:val="BodyText"/>
      </w:pPr>
      <w:r>
        <w:t xml:space="preserve">ACT Greens disagreed, and suggested that </w:t>
      </w:r>
      <w:r w:rsidR="0090591A">
        <w:t xml:space="preserve">the reasonableness of </w:t>
      </w:r>
      <w:r>
        <w:t xml:space="preserve">public campaign funding </w:t>
      </w:r>
      <w:r w:rsidR="0090591A">
        <w:t>be assessed in broader context of administrative funding</w:t>
      </w:r>
      <w:r>
        <w:t>:</w:t>
      </w:r>
    </w:p>
    <w:p w14:paraId="73447118" w14:textId="22F3EC9C" w:rsidR="0090591A" w:rsidRDefault="0019343C" w:rsidP="0090591A">
      <w:pPr>
        <w:pStyle w:val="Quote"/>
      </w:pPr>
      <w:r>
        <w:t>‘Given that the funds were initially created to cover parties' costs of administration and bookkeeping to meet the 2012 electoral donations laws whereby only individuals on the electoral roll could donate and a separate bank account was required for these funds, and the fact that these requirements have since been rescinded, means that it is now unclear why the ACT taxpayers should continue to cover administrative costs for political parties at this rate.  It is certainly clear that once a funding stream has been created for political parties, it is difficult to revoke it, despite the grounds no longer being there.’</w:t>
      </w:r>
      <w:r w:rsidR="0090591A">
        <w:rPr>
          <w:rStyle w:val="FootnoteReference"/>
        </w:rPr>
        <w:footnoteReference w:id="286"/>
      </w:r>
    </w:p>
    <w:p w14:paraId="1DAC78AC" w14:textId="22E43A0A" w:rsidR="0090591A" w:rsidRDefault="0090591A" w:rsidP="0056608A">
      <w:pPr>
        <w:pStyle w:val="BodyText"/>
      </w:pPr>
      <w:r>
        <w:t>ACT Greens recommended an annual cap for administrative funding per party, rather than an amount set per MLA:</w:t>
      </w:r>
      <w:r>
        <w:rPr>
          <w:rStyle w:val="FootnoteReference"/>
        </w:rPr>
        <w:footnoteReference w:id="287"/>
      </w:r>
      <w:r>
        <w:t xml:space="preserve"> </w:t>
      </w:r>
    </w:p>
    <w:p w14:paraId="434DEA96" w14:textId="70A00E16" w:rsidR="0019343C" w:rsidRDefault="0090591A" w:rsidP="0090591A">
      <w:pPr>
        <w:pStyle w:val="Quote"/>
      </w:pPr>
      <w:r>
        <w:t>‘parties should be able to manage their administrative costs efficiently and effectively with capped funding, and the public payment for this should be capped at the equivalent of five times the maximum amount payable per MLA.  Based on current figures, this would equate to $115,631 per annum for parties with five or more MLAs.’</w:t>
      </w:r>
      <w:r>
        <w:rPr>
          <w:rStyle w:val="FootnoteReference"/>
        </w:rPr>
        <w:footnoteReference w:id="288"/>
      </w:r>
    </w:p>
    <w:p w14:paraId="0C5D99CD" w14:textId="36252C90" w:rsidR="0090591A" w:rsidRDefault="0090591A" w:rsidP="00391347">
      <w:pPr>
        <w:pStyle w:val="BodyText"/>
      </w:pPr>
      <w:r>
        <w:t>Canberra Liberals defended the current level of administrative funding for political parties:</w:t>
      </w:r>
    </w:p>
    <w:p w14:paraId="0B7DD4D9" w14:textId="44E402AA" w:rsidR="00391347" w:rsidRDefault="00391347" w:rsidP="0090591A">
      <w:pPr>
        <w:pStyle w:val="Quote"/>
      </w:pPr>
      <w:r>
        <w:t>‘</w:t>
      </w:r>
      <w:r w:rsidRPr="004C0FA4">
        <w:t xml:space="preserve">There is a huge administrative burden for parties that is over and above what a normal business has. </w:t>
      </w:r>
      <w:r>
        <w:t xml:space="preserve"> </w:t>
      </w:r>
      <w:r w:rsidRPr="004C0FA4">
        <w:t xml:space="preserve">The Canberra Liberals have had—and I know that other parties are probably in the same boat—very regular audits from the Electoral Commission that require a lot of work from both our paid staff but also external lawyers, </w:t>
      </w:r>
      <w:proofErr w:type="gramStart"/>
      <w:r w:rsidRPr="004C0FA4">
        <w:t>accountants</w:t>
      </w:r>
      <w:proofErr w:type="gramEnd"/>
      <w:r w:rsidRPr="004C0FA4">
        <w:t xml:space="preserve"> and the rest. </w:t>
      </w:r>
      <w:r>
        <w:t xml:space="preserve"> </w:t>
      </w:r>
      <w:r w:rsidRPr="004C0FA4">
        <w:t>That is what the administrative funding is there for, recognising that a political party operates in a different regulatory atmosphere than most other businesses in the country do.</w:t>
      </w:r>
      <w:r>
        <w:t>’</w:t>
      </w:r>
      <w:r w:rsidR="0090591A">
        <w:rPr>
          <w:rStyle w:val="FootnoteReference"/>
        </w:rPr>
        <w:footnoteReference w:id="289"/>
      </w:r>
      <w:r>
        <w:t xml:space="preserve"> </w:t>
      </w:r>
    </w:p>
    <w:p w14:paraId="7A471D67" w14:textId="16163567" w:rsidR="00E27850" w:rsidRPr="00C370A2" w:rsidRDefault="00E27850" w:rsidP="00E27850">
      <w:pPr>
        <w:pStyle w:val="Heading5"/>
      </w:pPr>
      <w:r w:rsidRPr="00C370A2">
        <w:lastRenderedPageBreak/>
        <w:t>Committee Comment</w:t>
      </w:r>
    </w:p>
    <w:p w14:paraId="48DD3D68" w14:textId="58E9F38C" w:rsidR="002D082C" w:rsidRPr="00600D80" w:rsidRDefault="00E27850" w:rsidP="00600D80">
      <w:pPr>
        <w:pStyle w:val="BodyText"/>
      </w:pPr>
      <w:r w:rsidRPr="00C370A2">
        <w:t xml:space="preserve">The Committee supports the policy intention of public funding for candidates and parties, in reducing risk of corruption in the political system.  The Committee considers it is reasonable to limit public funding to not exceed a candidate’s electoral expenditure. </w:t>
      </w:r>
    </w:p>
    <w:tbl>
      <w:tblPr>
        <w:tblStyle w:val="TableGrid"/>
        <w:tblW w:w="9209" w:type="dxa"/>
        <w:tblInd w:w="-142" w:type="dxa"/>
        <w:tblLook w:val="04A0" w:firstRow="1" w:lastRow="0" w:firstColumn="1" w:lastColumn="0" w:noHBand="0" w:noVBand="1"/>
      </w:tblPr>
      <w:tblGrid>
        <w:gridCol w:w="9209"/>
      </w:tblGrid>
      <w:tr w:rsidR="00BF171A" w14:paraId="62F03DFF" w14:textId="77777777" w:rsidTr="00BF171A">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7D93892" w14:textId="089B4CA5" w:rsidR="00BF171A" w:rsidRDefault="00BF171A" w:rsidP="00BF171A">
            <w:pPr>
              <w:pStyle w:val="RecommendationHeading"/>
            </w:pPr>
            <w:bookmarkStart w:id="149" w:name="_Toc78382539"/>
            <w:r>
              <w:t xml:space="preserve">Recommendation </w:t>
            </w:r>
            <w:r w:rsidR="00E41791">
              <w:t>3</w:t>
            </w:r>
            <w:r w:rsidR="00327FC7">
              <w:t>8</w:t>
            </w:r>
            <w:bookmarkEnd w:id="149"/>
          </w:p>
          <w:p w14:paraId="635C31D2" w14:textId="20CBA13A" w:rsidR="00BF171A" w:rsidRPr="00962807" w:rsidRDefault="00BF171A" w:rsidP="00BF171A">
            <w:pPr>
              <w:pStyle w:val="RecommendationText"/>
            </w:pPr>
            <w:bookmarkStart w:id="150" w:name="_Toc78382540"/>
            <w:r w:rsidRPr="00580730">
              <w:t>The Committee recommends the Electoral Act be amended to limit the amount of public funding received by a party or candidate to not exceed the amount of electoral expenditure incurred</w:t>
            </w:r>
            <w:r>
              <w:t>.</w:t>
            </w:r>
            <w:bookmarkEnd w:id="150"/>
          </w:p>
        </w:tc>
      </w:tr>
    </w:tbl>
    <w:p w14:paraId="0444C4C6" w14:textId="5B4E24B3" w:rsidR="003D2BD5" w:rsidRDefault="003D2BD5" w:rsidP="003D2BD5">
      <w:pPr>
        <w:pStyle w:val="Heading3"/>
      </w:pPr>
      <w:bookmarkStart w:id="151" w:name="_Toc78535756"/>
      <w:r>
        <w:t xml:space="preserve">Donation </w:t>
      </w:r>
      <w:r w:rsidR="008C18B8">
        <w:t>R</w:t>
      </w:r>
      <w:r>
        <w:t>eporting</w:t>
      </w:r>
      <w:bookmarkEnd w:id="151"/>
      <w:r>
        <w:t xml:space="preserve"> </w:t>
      </w:r>
    </w:p>
    <w:p w14:paraId="5FE2BEC4" w14:textId="3711AC5C" w:rsidR="005F4987" w:rsidRDefault="005F4987" w:rsidP="005F4987">
      <w:pPr>
        <w:pStyle w:val="Heading4"/>
      </w:pPr>
      <w:r>
        <w:t>Legislative Framework</w:t>
      </w:r>
    </w:p>
    <w:p w14:paraId="7D3CEFBB" w14:textId="5A0B86E7" w:rsidR="00F9144D" w:rsidRDefault="00F9144D" w:rsidP="005F4987">
      <w:pPr>
        <w:pStyle w:val="BodyText"/>
      </w:pPr>
      <w:r>
        <w:t>Division 14.4 Electoral Act regulates recordkeeping and disclosure of political donations</w:t>
      </w:r>
      <w:r w:rsidR="0056608A">
        <w:t>, and Division 14.6 regulates annual returns</w:t>
      </w:r>
      <w:r>
        <w:t xml:space="preserve">.  </w:t>
      </w:r>
    </w:p>
    <w:p w14:paraId="64700E2D" w14:textId="77777777" w:rsidR="001C0FC1" w:rsidRDefault="00F9144D" w:rsidP="001C0FC1">
      <w:pPr>
        <w:pStyle w:val="BodyText"/>
      </w:pPr>
      <w:r>
        <w:t xml:space="preserve">Parties, non-party </w:t>
      </w:r>
      <w:proofErr w:type="gramStart"/>
      <w:r>
        <w:t>candidates</w:t>
      </w:r>
      <w:proofErr w:type="gramEnd"/>
      <w:r>
        <w:t xml:space="preserve"> and associated entities must record the date, source and amount of donations received, and submit a return to the Electoral Commission when </w:t>
      </w:r>
      <w:r w:rsidRPr="00F9144D">
        <w:t>donations from a single individual or entity exceed $1,000</w:t>
      </w:r>
      <w:r w:rsidR="0056608A">
        <w:t xml:space="preserve"> (s216A)</w:t>
      </w:r>
      <w:r>
        <w:t>.</w:t>
      </w:r>
      <w:r w:rsidR="00F433C4">
        <w:t xml:space="preserve">  </w:t>
      </w:r>
    </w:p>
    <w:p w14:paraId="3C3EE9EE" w14:textId="34C4C03F" w:rsidR="00F9144D" w:rsidRDefault="00F433C4" w:rsidP="001C0FC1">
      <w:pPr>
        <w:pStyle w:val="BodyText"/>
      </w:pPr>
      <w:r>
        <w:t>In a non-election year, or the first three months of an election year, the return is due quarterly.  From 30 June until polling day in an election year, d</w:t>
      </w:r>
      <w:r w:rsidRPr="00F433C4">
        <w:t xml:space="preserve">onations that reach </w:t>
      </w:r>
      <w:r>
        <w:t>the $1,000</w:t>
      </w:r>
      <w:r w:rsidRPr="00F433C4">
        <w:t xml:space="preserve"> threshold must be declared within seven days.</w:t>
      </w:r>
      <w:r>
        <w:rPr>
          <w:rStyle w:val="FootnoteReference"/>
        </w:rPr>
        <w:footnoteReference w:id="290"/>
      </w:r>
      <w:r w:rsidRPr="00F433C4">
        <w:t xml:space="preserve"> </w:t>
      </w:r>
    </w:p>
    <w:p w14:paraId="7B04BB39" w14:textId="4FA9DBE5" w:rsidR="00F9144D" w:rsidRDefault="00F433C4" w:rsidP="005F4987">
      <w:pPr>
        <w:pStyle w:val="BodyText"/>
      </w:pPr>
      <w:r>
        <w:t xml:space="preserve">Parties, non-party </w:t>
      </w:r>
      <w:proofErr w:type="gramStart"/>
      <w:r>
        <w:t>candidates</w:t>
      </w:r>
      <w:proofErr w:type="gramEnd"/>
      <w:r>
        <w:t xml:space="preserve"> and associated entities </w:t>
      </w:r>
      <w:r w:rsidR="00F9144D">
        <w:t xml:space="preserve">must also submit an annual return </w:t>
      </w:r>
      <w:r w:rsidR="0056608A">
        <w:t>by 31 August stating the amount received in donations, the identity of donors</w:t>
      </w:r>
      <w:r w:rsidR="00557874">
        <w:t xml:space="preserve"> contributing</w:t>
      </w:r>
      <w:r w:rsidR="0056608A">
        <w:t xml:space="preserve"> $1,000</w:t>
      </w:r>
      <w:r w:rsidR="00557874">
        <w:t xml:space="preserve"> or more</w:t>
      </w:r>
      <w:r w:rsidR="0056608A">
        <w:t>, the amount of electoral expenditure, and any outstanding debts (s228 and s230).</w:t>
      </w:r>
    </w:p>
    <w:p w14:paraId="0EEC4BD6" w14:textId="004901B9" w:rsidR="00580730" w:rsidRDefault="00580730" w:rsidP="00580730">
      <w:pPr>
        <w:pStyle w:val="Heading4"/>
      </w:pPr>
      <w:r>
        <w:t>Duplicate Reporting as MLA and Candidate</w:t>
      </w:r>
    </w:p>
    <w:p w14:paraId="3B4E7A5F" w14:textId="0FA6F0F6" w:rsidR="00274CE4" w:rsidRDefault="00274CE4" w:rsidP="00535635">
      <w:pPr>
        <w:pStyle w:val="BodyText"/>
      </w:pPr>
      <w:r>
        <w:t xml:space="preserve">ACT </w:t>
      </w:r>
      <w:proofErr w:type="spellStart"/>
      <w:r>
        <w:t>Labor</w:t>
      </w:r>
      <w:proofErr w:type="spellEnd"/>
      <w:r>
        <w:t xml:space="preserve"> recommended changes to prevent double reporting of gifts:</w:t>
      </w:r>
    </w:p>
    <w:p w14:paraId="1276CD6F" w14:textId="7CC0165F" w:rsidR="00274CE4" w:rsidRDefault="00274CE4" w:rsidP="00274CE4">
      <w:pPr>
        <w:pStyle w:val="Quote"/>
      </w:pPr>
      <w:r>
        <w:t>‘</w:t>
      </w:r>
      <w:r w:rsidRPr="00274CE4">
        <w:t xml:space="preserve">Currently, when an MLA receives a gift of any value, they must report it in both their own MLA Annual Return, and to the office of the party to which they belong so that the party can report it in their own returns to Elections ACT. </w:t>
      </w:r>
      <w:r>
        <w:t xml:space="preserve"> </w:t>
      </w:r>
      <w:r w:rsidRPr="00274CE4">
        <w:t>This results in every gift an MLA receives being reported twice</w:t>
      </w:r>
      <w:r>
        <w:t xml:space="preserve">… ACT </w:t>
      </w:r>
      <w:proofErr w:type="spellStart"/>
      <w:r>
        <w:t>Labor</w:t>
      </w:r>
      <w:proofErr w:type="spellEnd"/>
      <w:r>
        <w:t xml:space="preserve"> believes that to ensure gifts are </w:t>
      </w:r>
      <w:r>
        <w:lastRenderedPageBreak/>
        <w:t>reported in such a way that is transparent and depicts an accurate account of events, gifts received by MLAs in their capacity as an MLA or Minister (i.e., not as candidates representing a political party) should only be reported once.’</w:t>
      </w:r>
      <w:r>
        <w:rPr>
          <w:rStyle w:val="FootnoteReference"/>
        </w:rPr>
        <w:footnoteReference w:id="291"/>
      </w:r>
    </w:p>
    <w:p w14:paraId="70274234" w14:textId="213E1992" w:rsidR="00E27850" w:rsidRPr="00C370A2" w:rsidRDefault="00E27850" w:rsidP="00E27850">
      <w:pPr>
        <w:pStyle w:val="Heading5"/>
      </w:pPr>
      <w:r w:rsidRPr="00C370A2">
        <w:t>Committee Comment</w:t>
      </w:r>
    </w:p>
    <w:p w14:paraId="6667C60F" w14:textId="347EF93F" w:rsidR="00E27850" w:rsidRPr="00C370A2" w:rsidRDefault="00E27850" w:rsidP="00E27850">
      <w:pPr>
        <w:pStyle w:val="BodyText"/>
      </w:pPr>
      <w:r w:rsidRPr="00C370A2">
        <w:t xml:space="preserve">The Committee notes that </w:t>
      </w:r>
      <w:r w:rsidR="00EE3549" w:rsidRPr="00C370A2">
        <w:t xml:space="preserve">electoral reporting is established in legislation, and MLA reporting of gifts is required by Standing Orders of the Legislative Assembly.   The Committee recommends the Assembly initiate a consultative process to identify areas of duplication, and potential opportunities for resolution. </w:t>
      </w:r>
    </w:p>
    <w:tbl>
      <w:tblPr>
        <w:tblStyle w:val="TableGrid"/>
        <w:tblW w:w="9209" w:type="dxa"/>
        <w:tblInd w:w="-142" w:type="dxa"/>
        <w:tblLook w:val="04A0" w:firstRow="1" w:lastRow="0" w:firstColumn="1" w:lastColumn="0" w:noHBand="0" w:noVBand="1"/>
      </w:tblPr>
      <w:tblGrid>
        <w:gridCol w:w="9209"/>
      </w:tblGrid>
      <w:tr w:rsidR="00580730" w14:paraId="7C282244"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182E396" w14:textId="4B3D9EBD" w:rsidR="00580730" w:rsidRDefault="00580730" w:rsidP="00E7130C">
            <w:pPr>
              <w:pStyle w:val="RecommendationHeading"/>
            </w:pPr>
            <w:bookmarkStart w:id="152" w:name="_Toc78382541"/>
            <w:r>
              <w:t xml:space="preserve">Recommendation </w:t>
            </w:r>
            <w:r w:rsidR="00E41791">
              <w:rPr>
                <w:noProof/>
              </w:rPr>
              <w:t>3</w:t>
            </w:r>
            <w:r w:rsidR="00327FC7">
              <w:rPr>
                <w:noProof/>
              </w:rPr>
              <w:t>9</w:t>
            </w:r>
            <w:bookmarkEnd w:id="152"/>
          </w:p>
          <w:p w14:paraId="6FE8FA71" w14:textId="77777777" w:rsidR="00D03CCF" w:rsidRDefault="00580730" w:rsidP="00580730">
            <w:pPr>
              <w:pStyle w:val="RecommendationText"/>
            </w:pPr>
            <w:bookmarkStart w:id="153" w:name="_Toc78382542"/>
            <w:r w:rsidRPr="00580730">
              <w:t xml:space="preserve">The Committee recommends </w:t>
            </w:r>
            <w:r w:rsidR="00D03CCF">
              <w:t>the Legislative Assembly Standing Committee on Administration and Procedure:</w:t>
            </w:r>
            <w:bookmarkEnd w:id="153"/>
          </w:p>
          <w:p w14:paraId="71A588A6" w14:textId="77777777" w:rsidR="00D03CCF" w:rsidRDefault="00D03CCF" w:rsidP="00D03CCF">
            <w:pPr>
              <w:pStyle w:val="RecommendationBullet"/>
            </w:pPr>
            <w:bookmarkStart w:id="154" w:name="_Toc78382543"/>
            <w:r>
              <w:t>consult with the Electoral Commission on potential opportunities to streamline and remove duplication in reporting requirements for gifts to MLAs,</w:t>
            </w:r>
            <w:bookmarkEnd w:id="154"/>
            <w:r>
              <w:t xml:space="preserve"> </w:t>
            </w:r>
          </w:p>
          <w:p w14:paraId="3B390C7B" w14:textId="2017B6C2" w:rsidR="00580730" w:rsidRDefault="00D03CCF" w:rsidP="00D03CCF">
            <w:pPr>
              <w:pStyle w:val="RecommendationBullet"/>
            </w:pPr>
            <w:bookmarkStart w:id="155" w:name="_Toc78382544"/>
            <w:r>
              <w:t xml:space="preserve">pursue any </w:t>
            </w:r>
            <w:r w:rsidR="00274CE4">
              <w:t xml:space="preserve">identified </w:t>
            </w:r>
            <w:r>
              <w:t xml:space="preserve">amendments to the ‘statement of registerable interests’ under Continuing </w:t>
            </w:r>
            <w:r w:rsidR="00EE3549">
              <w:t>R</w:t>
            </w:r>
            <w:r>
              <w:t>esolution 6 of Standing Orders, and</w:t>
            </w:r>
            <w:bookmarkEnd w:id="155"/>
          </w:p>
          <w:p w14:paraId="458E38DC" w14:textId="2D44B3E9" w:rsidR="00D03CCF" w:rsidRPr="00962807" w:rsidRDefault="00D03CCF" w:rsidP="00D03CCF">
            <w:pPr>
              <w:pStyle w:val="RecommendationBullet"/>
            </w:pPr>
            <w:bookmarkStart w:id="156" w:name="_Toc78382545"/>
            <w:r>
              <w:t>publicly report any recommendations for amendment to the Electoral Act</w:t>
            </w:r>
            <w:r w:rsidR="00C62D64">
              <w:t>, for consideration by JACS Committee and ACT Government</w:t>
            </w:r>
            <w:r>
              <w:t>.</w:t>
            </w:r>
            <w:bookmarkEnd w:id="156"/>
            <w:r>
              <w:t xml:space="preserve"> </w:t>
            </w:r>
          </w:p>
        </w:tc>
      </w:tr>
    </w:tbl>
    <w:p w14:paraId="6590A150" w14:textId="67DAFDDC" w:rsidR="00580730" w:rsidRDefault="00580730" w:rsidP="00580730">
      <w:pPr>
        <w:pStyle w:val="Heading4"/>
      </w:pPr>
      <w:r>
        <w:t>Reporting Agent</w:t>
      </w:r>
    </w:p>
    <w:p w14:paraId="5E22F873" w14:textId="3E32B157" w:rsidR="00580730" w:rsidRDefault="001C0FC1" w:rsidP="00DE3DB7">
      <w:pPr>
        <w:pStyle w:val="BodyText"/>
      </w:pPr>
      <w:r>
        <w:t xml:space="preserve">Section 203 Electoral Act allows parties, </w:t>
      </w:r>
      <w:proofErr w:type="gramStart"/>
      <w:r>
        <w:t>MLAs</w:t>
      </w:r>
      <w:proofErr w:type="gramEnd"/>
      <w:r>
        <w:t xml:space="preserve"> and candidates to appoint a ‘reporting agent’ to perform disclosure obligations on their behalf.  </w:t>
      </w:r>
    </w:p>
    <w:p w14:paraId="2E54F4DD" w14:textId="7D5F2F8B" w:rsidR="00241C85" w:rsidRDefault="001C0FC1" w:rsidP="00DE3DB7">
      <w:pPr>
        <w:pStyle w:val="BodyText"/>
      </w:pPr>
      <w:r>
        <w:t>ACT Greens suggested that the Act permit the appointment of an ‘alternate reporting agent’ to assist with reporting duties in peak times:</w:t>
      </w:r>
    </w:p>
    <w:p w14:paraId="7B0126CD" w14:textId="687A5758" w:rsidR="00FC4341" w:rsidRDefault="00FC4341" w:rsidP="001C0FC1">
      <w:pPr>
        <w:pStyle w:val="Quote"/>
      </w:pPr>
      <w:r>
        <w:t xml:space="preserve">‘The ACT Greens support allowing for the appointment of alternate agents. </w:t>
      </w:r>
      <w:r w:rsidR="001C0FC1">
        <w:t xml:space="preserve"> </w:t>
      </w:r>
      <w:r>
        <w:t>During prolonged periods where the 7-day gift disclosure deadline applies an alternate agent would help address the added compliance burden and provide coverage if a reporting agent were unable to fulfil this duty short-term.’</w:t>
      </w:r>
      <w:r w:rsidR="001C0FC1">
        <w:rPr>
          <w:rStyle w:val="FootnoteReference"/>
        </w:rPr>
        <w:footnoteReference w:id="292"/>
      </w:r>
      <w:r>
        <w:t xml:space="preserve"> </w:t>
      </w:r>
    </w:p>
    <w:p w14:paraId="3875B85D" w14:textId="41F82FFE" w:rsidR="00600D80" w:rsidRDefault="00600D80" w:rsidP="001C0FC1">
      <w:pPr>
        <w:pStyle w:val="Quote"/>
      </w:pPr>
    </w:p>
    <w:p w14:paraId="6955F624" w14:textId="77777777" w:rsidR="00600D80" w:rsidRDefault="00600D80" w:rsidP="001C0FC1">
      <w:pPr>
        <w:pStyle w:val="Quote"/>
      </w:pPr>
    </w:p>
    <w:tbl>
      <w:tblPr>
        <w:tblStyle w:val="TableGrid"/>
        <w:tblW w:w="9209" w:type="dxa"/>
        <w:tblInd w:w="-142" w:type="dxa"/>
        <w:tblLook w:val="04A0" w:firstRow="1" w:lastRow="0" w:firstColumn="1" w:lastColumn="0" w:noHBand="0" w:noVBand="1"/>
      </w:tblPr>
      <w:tblGrid>
        <w:gridCol w:w="9209"/>
      </w:tblGrid>
      <w:tr w:rsidR="00580730" w14:paraId="0CBE77B7"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B57EF97" w14:textId="5CC166D2" w:rsidR="00580730" w:rsidRDefault="00580730" w:rsidP="00E7130C">
            <w:pPr>
              <w:pStyle w:val="RecommendationHeading"/>
            </w:pPr>
            <w:bookmarkStart w:id="157" w:name="_Toc78382546"/>
            <w:r>
              <w:lastRenderedPageBreak/>
              <w:t xml:space="preserve">Recommendation </w:t>
            </w:r>
            <w:r w:rsidR="00327FC7">
              <w:t>40</w:t>
            </w:r>
            <w:bookmarkEnd w:id="157"/>
          </w:p>
          <w:p w14:paraId="0BEFE204" w14:textId="72350DC2" w:rsidR="00580730" w:rsidRPr="00962807" w:rsidRDefault="00580730" w:rsidP="00580730">
            <w:pPr>
              <w:pStyle w:val="RecommendationText"/>
            </w:pPr>
            <w:bookmarkStart w:id="158" w:name="_Toc78382547"/>
            <w:r w:rsidRPr="00580730">
              <w:t xml:space="preserve">The Committee recommends that provision be made </w:t>
            </w:r>
            <w:r w:rsidR="001C0FC1">
              <w:t xml:space="preserve">in the Electoral Act </w:t>
            </w:r>
            <w:r w:rsidRPr="00580730">
              <w:t>to allow for an 'Alternate Reporting Agent', to assist with reporting duties in peak times.</w:t>
            </w:r>
            <w:bookmarkEnd w:id="158"/>
          </w:p>
        </w:tc>
      </w:tr>
    </w:tbl>
    <w:p w14:paraId="1581C56E" w14:textId="6E152721" w:rsidR="00580730" w:rsidRDefault="00580730" w:rsidP="00580730">
      <w:pPr>
        <w:pStyle w:val="Heading4"/>
      </w:pPr>
      <w:r>
        <w:t>Seven-day reporting period</w:t>
      </w:r>
    </w:p>
    <w:p w14:paraId="6F096867" w14:textId="4834F198" w:rsidR="001C0FC1" w:rsidRDefault="001C0FC1" w:rsidP="00DE3DB7">
      <w:pPr>
        <w:pStyle w:val="BodyText"/>
      </w:pPr>
      <w:r>
        <w:t>From 30 June until polling day in an election year, d</w:t>
      </w:r>
      <w:r w:rsidRPr="00F433C4">
        <w:t xml:space="preserve">onations that reach </w:t>
      </w:r>
      <w:r>
        <w:t>the $1,000</w:t>
      </w:r>
      <w:r w:rsidRPr="00F433C4">
        <w:t xml:space="preserve"> threshold must be declared </w:t>
      </w:r>
      <w:r>
        <w:t xml:space="preserve">to the Electoral Commission </w:t>
      </w:r>
      <w:r w:rsidRPr="00F433C4">
        <w:t>within seven days.</w:t>
      </w:r>
      <w:r>
        <w:rPr>
          <w:rStyle w:val="FootnoteReference"/>
        </w:rPr>
        <w:footnoteReference w:id="293"/>
      </w:r>
      <w:r w:rsidRPr="00F433C4">
        <w:t xml:space="preserve"> </w:t>
      </w:r>
    </w:p>
    <w:p w14:paraId="59A3744D" w14:textId="2D64F570" w:rsidR="00580730" w:rsidRDefault="001C0FC1" w:rsidP="00DE3DB7">
      <w:pPr>
        <w:pStyle w:val="BodyText"/>
      </w:pPr>
      <w:r>
        <w:t xml:space="preserve">ACT </w:t>
      </w:r>
      <w:proofErr w:type="spellStart"/>
      <w:r>
        <w:t>Labor</w:t>
      </w:r>
      <w:proofErr w:type="spellEnd"/>
      <w:r>
        <w:t xml:space="preserve"> recommended that the Electoral Commission avoid conducting full past-year audits during this busy </w:t>
      </w:r>
      <w:proofErr w:type="gramStart"/>
      <w:r>
        <w:t>15 week</w:t>
      </w:r>
      <w:proofErr w:type="gramEnd"/>
      <w:r>
        <w:t xml:space="preserve"> period:</w:t>
      </w:r>
    </w:p>
    <w:p w14:paraId="1528954B" w14:textId="2EF18D2D" w:rsidR="001C0FC1" w:rsidRDefault="001C0FC1" w:rsidP="001C0FC1">
      <w:pPr>
        <w:pStyle w:val="Quote"/>
      </w:pPr>
      <w:r>
        <w:t>‘</w:t>
      </w:r>
      <w:r w:rsidRPr="001C0FC1">
        <w:t xml:space="preserve">To ensure that audits are able to be undertaken in a timely manner, with the full attention and resources they deserve, ACT </w:t>
      </w:r>
      <w:proofErr w:type="spellStart"/>
      <w:r w:rsidRPr="001C0FC1">
        <w:t>Labor</w:t>
      </w:r>
      <w:proofErr w:type="spellEnd"/>
      <w:r w:rsidRPr="001C0FC1">
        <w:t xml:space="preserve"> believes that audits for past years should not be conducted during the 7-day reporting period and should instead be delayed until after this period has concluded.</w:t>
      </w:r>
      <w:r>
        <w:t>’</w:t>
      </w:r>
      <w:r>
        <w:rPr>
          <w:rStyle w:val="FootnoteReference"/>
        </w:rPr>
        <w:footnoteReference w:id="294"/>
      </w:r>
    </w:p>
    <w:tbl>
      <w:tblPr>
        <w:tblStyle w:val="TableGrid"/>
        <w:tblW w:w="9209" w:type="dxa"/>
        <w:tblInd w:w="-142" w:type="dxa"/>
        <w:tblLook w:val="04A0" w:firstRow="1" w:lastRow="0" w:firstColumn="1" w:lastColumn="0" w:noHBand="0" w:noVBand="1"/>
      </w:tblPr>
      <w:tblGrid>
        <w:gridCol w:w="9209"/>
      </w:tblGrid>
      <w:tr w:rsidR="00580730" w14:paraId="1FC029F0"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6D7D077" w14:textId="2D4073B4" w:rsidR="00580730" w:rsidRDefault="00580730" w:rsidP="00E7130C">
            <w:pPr>
              <w:pStyle w:val="RecommendationHeading"/>
            </w:pPr>
            <w:bookmarkStart w:id="159" w:name="_Toc78382548"/>
            <w:r>
              <w:t xml:space="preserve">Recommendation </w:t>
            </w:r>
            <w:r w:rsidR="00D12E90">
              <w:t>4</w:t>
            </w:r>
            <w:r w:rsidR="00327FC7">
              <w:t>1</w:t>
            </w:r>
            <w:bookmarkEnd w:id="159"/>
          </w:p>
          <w:p w14:paraId="48D7F433" w14:textId="322D30B1" w:rsidR="00580730" w:rsidRPr="00962807" w:rsidRDefault="00580730" w:rsidP="00580730">
            <w:pPr>
              <w:pStyle w:val="RecommendationText"/>
            </w:pPr>
            <w:bookmarkStart w:id="160" w:name="_Toc78382549"/>
            <w:r w:rsidRPr="00580730">
              <w:t xml:space="preserve">The Committee recommends </w:t>
            </w:r>
            <w:r w:rsidR="00B4502A">
              <w:t>the Electoral Commission minimise the conduct of</w:t>
            </w:r>
            <w:r w:rsidRPr="00580730">
              <w:t xml:space="preserve"> past-year audits </w:t>
            </w:r>
            <w:r w:rsidR="00B4502A">
              <w:t>within</w:t>
            </w:r>
            <w:r w:rsidRPr="00580730">
              <w:t xml:space="preserve"> the 7-day reporting period</w:t>
            </w:r>
            <w:r w:rsidR="00B4502A">
              <w:t xml:space="preserve"> leading up to an election</w:t>
            </w:r>
            <w:r>
              <w:t>.</w:t>
            </w:r>
            <w:bookmarkEnd w:id="160"/>
          </w:p>
        </w:tc>
      </w:tr>
    </w:tbl>
    <w:p w14:paraId="5E648A6D" w14:textId="797AD9F1" w:rsidR="00580730" w:rsidRDefault="001C0FC1" w:rsidP="00DE3DB7">
      <w:pPr>
        <w:pStyle w:val="BodyText"/>
      </w:pPr>
      <w:r>
        <w:t xml:space="preserve">Liberal Democrats </w:t>
      </w:r>
      <w:r w:rsidR="00557874">
        <w:t>submitted a comparative table showing ‘public funding and disclosure settings’ in Australian jurisdictions.</w:t>
      </w:r>
      <w:r w:rsidR="00557874">
        <w:rPr>
          <w:rStyle w:val="FootnoteReference"/>
        </w:rPr>
        <w:footnoteReference w:id="295"/>
      </w:r>
      <w:r w:rsidR="00557874">
        <w:t xml:space="preserve">  They recommended that the ACT align with NSW and Victoria by extending the reporting timeframe during election periods from seven days to 21 days:</w:t>
      </w:r>
    </w:p>
    <w:p w14:paraId="5413CB11" w14:textId="07DB3EB5" w:rsidR="001C0FC1" w:rsidRDefault="001C0FC1" w:rsidP="001C0FC1">
      <w:pPr>
        <w:pStyle w:val="Quote"/>
      </w:pPr>
      <w:r>
        <w:t xml:space="preserve">‘The ACT has a very short timeframe for reporting electoral expenditure – one week compared to 21 days in NSW and Victoria.  The ACT should move to a </w:t>
      </w:r>
      <w:proofErr w:type="gramStart"/>
      <w:r>
        <w:t>21 day</w:t>
      </w:r>
      <w:proofErr w:type="gramEnd"/>
      <w:r>
        <w:t xml:space="preserve"> reporting time frame to allow more comprehensive reporting.’</w:t>
      </w:r>
      <w:r>
        <w:rPr>
          <w:rStyle w:val="FootnoteReference"/>
        </w:rPr>
        <w:footnoteReference w:id="296"/>
      </w:r>
    </w:p>
    <w:tbl>
      <w:tblPr>
        <w:tblStyle w:val="TableGrid"/>
        <w:tblW w:w="9209" w:type="dxa"/>
        <w:tblInd w:w="-142" w:type="dxa"/>
        <w:tblLook w:val="04A0" w:firstRow="1" w:lastRow="0" w:firstColumn="1" w:lastColumn="0" w:noHBand="0" w:noVBand="1"/>
      </w:tblPr>
      <w:tblGrid>
        <w:gridCol w:w="9209"/>
      </w:tblGrid>
      <w:tr w:rsidR="00580730" w14:paraId="34878F57"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638AB08" w14:textId="4DA09011" w:rsidR="00580730" w:rsidRDefault="00580730" w:rsidP="00E7130C">
            <w:pPr>
              <w:pStyle w:val="RecommendationHeading"/>
            </w:pPr>
            <w:bookmarkStart w:id="161" w:name="_Toc78382550"/>
            <w:r>
              <w:t xml:space="preserve">Recommendation </w:t>
            </w:r>
            <w:r w:rsidR="00E41791">
              <w:t>4</w:t>
            </w:r>
            <w:r w:rsidR="00327FC7">
              <w:t>2</w:t>
            </w:r>
            <w:bookmarkEnd w:id="161"/>
          </w:p>
          <w:p w14:paraId="4E3724B2" w14:textId="2363A9BC" w:rsidR="00580730" w:rsidRPr="00962807" w:rsidRDefault="00580730" w:rsidP="00580730">
            <w:pPr>
              <w:pStyle w:val="RecommendationText"/>
            </w:pPr>
            <w:bookmarkStart w:id="162" w:name="_Toc78382551"/>
            <w:r w:rsidRPr="00580730">
              <w:t xml:space="preserve">The Committee recommends </w:t>
            </w:r>
            <w:r w:rsidR="00557874">
              <w:t>the Electoral Act be amended to extend</w:t>
            </w:r>
            <w:r w:rsidRPr="00580730">
              <w:t xml:space="preserve"> the timeframe for reporting electoral expenditure from </w:t>
            </w:r>
            <w:r w:rsidR="00557874">
              <w:t>seven days</w:t>
            </w:r>
            <w:r w:rsidRPr="00580730">
              <w:t xml:space="preserve"> to 21 days</w:t>
            </w:r>
            <w:r>
              <w:t>.</w:t>
            </w:r>
            <w:bookmarkEnd w:id="162"/>
          </w:p>
        </w:tc>
      </w:tr>
    </w:tbl>
    <w:p w14:paraId="45D130F5" w14:textId="29891139" w:rsidR="003D2BD5" w:rsidRDefault="00DE3DB7" w:rsidP="00DE3DB7">
      <w:pPr>
        <w:pStyle w:val="Heading3"/>
      </w:pPr>
      <w:bookmarkStart w:id="163" w:name="_Toc78535757"/>
      <w:r>
        <w:lastRenderedPageBreak/>
        <w:t xml:space="preserve">Expenditure </w:t>
      </w:r>
      <w:r w:rsidR="008C18B8">
        <w:t>C</w:t>
      </w:r>
      <w:r>
        <w:t>ap</w:t>
      </w:r>
      <w:bookmarkEnd w:id="163"/>
    </w:p>
    <w:p w14:paraId="0A667C32" w14:textId="7DE7A04C" w:rsidR="005F4987" w:rsidRDefault="005F4987" w:rsidP="005F4987">
      <w:pPr>
        <w:pStyle w:val="Heading4"/>
      </w:pPr>
      <w:r>
        <w:t>Legislative Framework</w:t>
      </w:r>
    </w:p>
    <w:p w14:paraId="661E7231" w14:textId="65042F2A" w:rsidR="00AC67C1" w:rsidRDefault="00AC67C1" w:rsidP="00B15DD5">
      <w:pPr>
        <w:pStyle w:val="BodyText"/>
      </w:pPr>
      <w:r>
        <w:t xml:space="preserve">Division 14.2B Electoral Act establishes limits or caps on electoral expenditure. </w:t>
      </w:r>
      <w:r w:rsidR="00B15DD5">
        <w:t xml:space="preserve"> Expenditure caps apply from 1 January in an election year until polling day (s198).  The cap is calculated using the formula in s205E.  </w:t>
      </w:r>
    </w:p>
    <w:p w14:paraId="6C924223" w14:textId="7D166424" w:rsidR="00B15DD5" w:rsidRDefault="00B15DD5" w:rsidP="00B15DD5">
      <w:pPr>
        <w:pStyle w:val="BodyText"/>
      </w:pPr>
      <w:r>
        <w:t xml:space="preserve">The electoral expenditure limit for party groupings is the amount of the cap multiplied by the number of candidates (to maximum of five per electorate) (s205F).  The expenditure limit for non-party MLAs, associated entities, non-party candidate groupings, and </w:t>
      </w:r>
      <w:proofErr w:type="gramStart"/>
      <w:r>
        <w:t>third party</w:t>
      </w:r>
      <w:proofErr w:type="gramEnd"/>
      <w:r>
        <w:t xml:space="preserve"> campaigners is the amount of the expenditure cap for the election (s205G).</w:t>
      </w:r>
    </w:p>
    <w:p w14:paraId="31BEED2F" w14:textId="3ECECD3F" w:rsidR="00B15DD5" w:rsidRDefault="00B15DD5" w:rsidP="00B15DD5">
      <w:pPr>
        <w:pStyle w:val="BodyText"/>
      </w:pPr>
      <w:r>
        <w:t>The Electoral Commission reported that the expenditure caps for the 2020 election were $42,750 per candidate, to a maximum of 25 candidates for party groupings; $42,750 per non-party MLA or non-party candidate; $42,750 per associated entity; $42,750 per third-party campaigner.</w:t>
      </w:r>
      <w:r>
        <w:rPr>
          <w:rStyle w:val="FootnoteReference"/>
        </w:rPr>
        <w:footnoteReference w:id="297"/>
      </w:r>
    </w:p>
    <w:p w14:paraId="70545C84" w14:textId="0EADA7AE" w:rsidR="007557C1" w:rsidRDefault="00557874" w:rsidP="00B15DD5">
      <w:pPr>
        <w:pStyle w:val="BodyText"/>
      </w:pPr>
      <w:r>
        <w:t xml:space="preserve">Division 14.5 </w:t>
      </w:r>
      <w:r w:rsidR="007557C1">
        <w:t xml:space="preserve">Electoral Act governs </w:t>
      </w:r>
      <w:r>
        <w:t>disclosure of electoral expenditure</w:t>
      </w:r>
      <w:r w:rsidR="007557C1">
        <w:t xml:space="preserve">.  Party groupings, non-party MLAs, associated entities, and non-party candidate groupings, and </w:t>
      </w:r>
      <w:proofErr w:type="gramStart"/>
      <w:r w:rsidR="007557C1">
        <w:t>third party</w:t>
      </w:r>
      <w:proofErr w:type="gramEnd"/>
      <w:r w:rsidR="007557C1">
        <w:t xml:space="preserve"> campaigners must report their electoral expenditure to the Electoral Commission within 60 days of the election (s224).  Broadcasters and publishers must also submit a return (s226). </w:t>
      </w:r>
    </w:p>
    <w:p w14:paraId="370685EB" w14:textId="5D028BE1" w:rsidR="00414BA8" w:rsidRDefault="00414BA8" w:rsidP="00414BA8">
      <w:pPr>
        <w:pStyle w:val="Heading4"/>
      </w:pPr>
      <w:r>
        <w:t>Conduct during the 2020 election</w:t>
      </w:r>
    </w:p>
    <w:p w14:paraId="52F95A4E" w14:textId="10F75FDF" w:rsidR="00414BA8" w:rsidRDefault="00414BA8" w:rsidP="00EE64C7">
      <w:pPr>
        <w:pStyle w:val="BodyText"/>
      </w:pPr>
      <w:r>
        <w:t>The Electoral Commission reported that there were no incidents of entities exceeding the electoral expenditure cap during the 2020 capped expenditure period.</w:t>
      </w:r>
      <w:r>
        <w:rPr>
          <w:rStyle w:val="FootnoteReference"/>
        </w:rPr>
        <w:footnoteReference w:id="298"/>
      </w:r>
    </w:p>
    <w:p w14:paraId="7D25B976" w14:textId="4519D409" w:rsidR="00414BA8" w:rsidRDefault="00414BA8" w:rsidP="00414BA8">
      <w:pPr>
        <w:pStyle w:val="Heading4"/>
      </w:pPr>
      <w:r>
        <w:t>Views expressed in Submissions and Hearings</w:t>
      </w:r>
    </w:p>
    <w:p w14:paraId="48165074" w14:textId="1555CA04" w:rsidR="00B93068" w:rsidRDefault="00414BA8" w:rsidP="00B93068">
      <w:pPr>
        <w:pStyle w:val="BodyText"/>
      </w:pPr>
      <w:r>
        <w:t>Liberal Democrats a</w:t>
      </w:r>
      <w:r w:rsidR="00FE202A">
        <w:t>nd</w:t>
      </w:r>
      <w:r>
        <w:t xml:space="preserve"> John Paul Romano</w:t>
      </w:r>
      <w:r w:rsidR="00152342">
        <w:t xml:space="preserve"> </w:t>
      </w:r>
      <w:r w:rsidR="00152342" w:rsidRPr="00152342">
        <w:t>recommend</w:t>
      </w:r>
      <w:r>
        <w:t>ed</w:t>
      </w:r>
      <w:r w:rsidR="00152342" w:rsidRPr="00152342">
        <w:t xml:space="preserve"> removal of expenditure caps for candidates</w:t>
      </w:r>
      <w:r>
        <w:t>:</w:t>
      </w:r>
      <w:r>
        <w:rPr>
          <w:rStyle w:val="FootnoteReference"/>
        </w:rPr>
        <w:footnoteReference w:id="299"/>
      </w:r>
    </w:p>
    <w:p w14:paraId="1F70FFC0" w14:textId="5502BC0C" w:rsidR="00174A57" w:rsidRPr="00174A57" w:rsidRDefault="00174A57" w:rsidP="00414BA8">
      <w:pPr>
        <w:pStyle w:val="Quote"/>
      </w:pPr>
      <w:r>
        <w:t>‘</w:t>
      </w:r>
      <w:r w:rsidRPr="00174A57">
        <w:t>Electoral expenditure caps are an unnecessary fettering of free political speech.  There is no sound evidence that funding caps meet their intended purpose of addressing undue influence on political campaigns.</w:t>
      </w:r>
      <w:r>
        <w:t>’</w:t>
      </w:r>
      <w:r w:rsidR="00414BA8">
        <w:rPr>
          <w:rStyle w:val="FootnoteReference"/>
        </w:rPr>
        <w:footnoteReference w:id="300"/>
      </w:r>
      <w:r>
        <w:t xml:space="preserve"> </w:t>
      </w:r>
    </w:p>
    <w:p w14:paraId="0F56C043" w14:textId="008EEFE0" w:rsidR="00414BA8" w:rsidRDefault="00414BA8" w:rsidP="00B93068">
      <w:pPr>
        <w:pStyle w:val="BodyText"/>
      </w:pPr>
      <w:r>
        <w:lastRenderedPageBreak/>
        <w:t>ACT Greens recommended</w:t>
      </w:r>
      <w:r w:rsidR="00152342" w:rsidRPr="00152342">
        <w:t xml:space="preserve"> a higher campaign expenditure cap of $60,000 for non-party candidates</w:t>
      </w:r>
      <w:r>
        <w:t>:</w:t>
      </w:r>
      <w:r w:rsidRPr="00414BA8">
        <w:t xml:space="preserve"> </w:t>
      </w:r>
    </w:p>
    <w:p w14:paraId="0F0A255D" w14:textId="4A79DFF7" w:rsidR="00152342" w:rsidRDefault="00414BA8" w:rsidP="00414BA8">
      <w:pPr>
        <w:pStyle w:val="Quote"/>
      </w:pPr>
      <w:r>
        <w:t>‘[C]</w:t>
      </w:r>
      <w:proofErr w:type="spellStart"/>
      <w:r w:rsidRPr="00414BA8">
        <w:t>reating</w:t>
      </w:r>
      <w:proofErr w:type="spellEnd"/>
      <w:r w:rsidRPr="00414BA8">
        <w:t xml:space="preserve"> different expenditure caps for party and non-party candidates would be beneficial for democracy, diversity, and independent </w:t>
      </w:r>
      <w:proofErr w:type="gramStart"/>
      <w:r w:rsidRPr="00414BA8">
        <w:t>voices</w:t>
      </w:r>
      <w:r>
        <w:t>’</w:t>
      </w:r>
      <w:proofErr w:type="gramEnd"/>
      <w:r>
        <w:t>.</w:t>
      </w:r>
      <w:r>
        <w:rPr>
          <w:rStyle w:val="FootnoteReference"/>
        </w:rPr>
        <w:footnoteReference w:id="301"/>
      </w:r>
    </w:p>
    <w:p w14:paraId="7C40DD16" w14:textId="197567A8" w:rsidR="00B93068" w:rsidRDefault="00B93068" w:rsidP="00B93068">
      <w:pPr>
        <w:pStyle w:val="Heading4"/>
      </w:pPr>
      <w:r>
        <w:t>Definition of party grouping</w:t>
      </w:r>
    </w:p>
    <w:p w14:paraId="17FDE07C" w14:textId="6FABA528" w:rsidR="00C62D64" w:rsidRDefault="00C62D64" w:rsidP="00C93C9E">
      <w:pPr>
        <w:pStyle w:val="BodyText"/>
      </w:pPr>
      <w:r>
        <w:t>Party grouping i</w:t>
      </w:r>
      <w:r w:rsidR="00C93C9E">
        <w:t>s defined in</w:t>
      </w:r>
      <w:r>
        <w:t xml:space="preserve"> </w:t>
      </w:r>
      <w:r w:rsidR="00C93C9E">
        <w:t>s198</w:t>
      </w:r>
      <w:r>
        <w:t xml:space="preserve"> Electoral Act</w:t>
      </w:r>
      <w:r w:rsidR="00C93C9E">
        <w:t xml:space="preserve"> as: a party, an MLA for the party, an associated entity of the party, an associated entity of an MLA for the party, a candidate for the party, and a prospective candidate for the party.</w:t>
      </w:r>
    </w:p>
    <w:p w14:paraId="0BFA78F0" w14:textId="35C4FA4E" w:rsidR="00C62D64" w:rsidRDefault="00C62D64" w:rsidP="00EE64C7">
      <w:pPr>
        <w:pStyle w:val="BodyText"/>
      </w:pPr>
      <w:r>
        <w:t>In its report on the 2020 Election, the Electoral Commission recommended that</w:t>
      </w:r>
    </w:p>
    <w:p w14:paraId="127912BA" w14:textId="417842FA" w:rsidR="00EE64C7" w:rsidRDefault="00EE64C7" w:rsidP="00C62D64">
      <w:pPr>
        <w:pStyle w:val="Quote"/>
      </w:pPr>
      <w:r>
        <w:t xml:space="preserve">‘the definition of ‘party grouping’ be expanded to include ‘related political parties’ and other associated political entities such as elected members from other jurisdictions, for the purpose of electoral expenditure cap calculations. </w:t>
      </w:r>
      <w:r w:rsidR="00C62D64">
        <w:t xml:space="preserve"> </w:t>
      </w:r>
      <w:r>
        <w:t>An alternative approach may be to amend the Electoral Act simply to clarify the relationship between a territory registered political party and a related political party, for the purpose of electoral expenditure cap calculations.’</w:t>
      </w:r>
      <w:r w:rsidR="00C62D64">
        <w:rPr>
          <w:rStyle w:val="FootnoteReference"/>
        </w:rPr>
        <w:footnoteReference w:id="302"/>
      </w:r>
      <w:r>
        <w:t xml:space="preserve"> </w:t>
      </w:r>
    </w:p>
    <w:p w14:paraId="2F288190" w14:textId="77777777" w:rsidR="00C93C9E" w:rsidRDefault="00C93C9E" w:rsidP="00C93C9E">
      <w:pPr>
        <w:pStyle w:val="BodyText"/>
      </w:pPr>
      <w:r>
        <w:t>The Electoral Commission considers that the resulting potential scenario described below is not within the intent of the expenditure cap provisions:</w:t>
      </w:r>
    </w:p>
    <w:p w14:paraId="58F14AB1" w14:textId="158C1C90" w:rsidR="00C93C9E" w:rsidRDefault="00C93C9E" w:rsidP="00C93C9E">
      <w:pPr>
        <w:pStyle w:val="Quote"/>
      </w:pPr>
      <w:r>
        <w:t>‘</w:t>
      </w:r>
      <w:r w:rsidRPr="00C93C9E">
        <w:t>The extrapolated possible impact of this is the potential for related political parties and/or related elected members from another jurisdiction, but particularly federally elected members representing the ACT either in the Senate or the House of Representatives, to act in a concerted manner to benefit the electoral campaign of an ACT registered political party or its associated candidates, outside of the associated party grouping’s expenditure cap.</w:t>
      </w:r>
      <w:r>
        <w:t>’</w:t>
      </w:r>
      <w:r>
        <w:rPr>
          <w:rStyle w:val="FootnoteReference"/>
        </w:rPr>
        <w:footnoteReference w:id="303"/>
      </w:r>
    </w:p>
    <w:tbl>
      <w:tblPr>
        <w:tblStyle w:val="TableGrid"/>
        <w:tblW w:w="9209" w:type="dxa"/>
        <w:tblInd w:w="-142" w:type="dxa"/>
        <w:tblLook w:val="04A0" w:firstRow="1" w:lastRow="0" w:firstColumn="1" w:lastColumn="0" w:noHBand="0" w:noVBand="1"/>
      </w:tblPr>
      <w:tblGrid>
        <w:gridCol w:w="9209"/>
      </w:tblGrid>
      <w:tr w:rsidR="00B93068" w14:paraId="5844D65B" w14:textId="77777777" w:rsidTr="002F0215">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BCFF3E8" w14:textId="0258627D" w:rsidR="00B93068" w:rsidRDefault="00B93068" w:rsidP="002F0215">
            <w:pPr>
              <w:pStyle w:val="RecommendationHeading"/>
            </w:pPr>
            <w:bookmarkStart w:id="164" w:name="_Toc78382552"/>
            <w:r>
              <w:t xml:space="preserve">Recommendation </w:t>
            </w:r>
            <w:r w:rsidR="00D02D0E">
              <w:rPr>
                <w:noProof/>
              </w:rPr>
              <w:t>4</w:t>
            </w:r>
            <w:r w:rsidR="00327FC7">
              <w:rPr>
                <w:noProof/>
              </w:rPr>
              <w:t>3</w:t>
            </w:r>
            <w:bookmarkEnd w:id="164"/>
          </w:p>
          <w:p w14:paraId="77677D75" w14:textId="3E1BE6C1" w:rsidR="00B93068" w:rsidRPr="00962807" w:rsidRDefault="00B93068" w:rsidP="00B93068">
            <w:pPr>
              <w:pStyle w:val="RecommendationText"/>
            </w:pPr>
            <w:bookmarkStart w:id="165" w:name="_Toc78382553"/>
            <w:r w:rsidRPr="00B93068">
              <w:t xml:space="preserve">The Committee recommends </w:t>
            </w:r>
            <w:r w:rsidR="00C93C9E">
              <w:t>ACT Government consider the feasibility of amending s198</w:t>
            </w:r>
            <w:r w:rsidRPr="00B93068">
              <w:t xml:space="preserve"> Electoral Act to </w:t>
            </w:r>
            <w:r w:rsidR="00C93C9E">
              <w:t xml:space="preserve">incorporate ‘related political parties’ </w:t>
            </w:r>
            <w:r w:rsidRPr="00B93068">
              <w:t>for the purpose of electoral expenditure cap calculations.</w:t>
            </w:r>
            <w:bookmarkEnd w:id="165"/>
            <w:r w:rsidRPr="00B93068">
              <w:t xml:space="preserve">  </w:t>
            </w:r>
          </w:p>
        </w:tc>
      </w:tr>
    </w:tbl>
    <w:p w14:paraId="341C8D20" w14:textId="038F2A8B" w:rsidR="00B93068" w:rsidRDefault="00E82A37" w:rsidP="00E82A37">
      <w:pPr>
        <w:pStyle w:val="Heading4"/>
      </w:pPr>
      <w:r>
        <w:lastRenderedPageBreak/>
        <w:t>Acting in Concert</w:t>
      </w:r>
    </w:p>
    <w:p w14:paraId="2B425AFA" w14:textId="03F82076" w:rsidR="007B6439" w:rsidRDefault="007B6439" w:rsidP="007B6439">
      <w:pPr>
        <w:pStyle w:val="BodyText"/>
      </w:pPr>
      <w:r>
        <w:t xml:space="preserve">During hearings, the Committee invited discussion about third party advertising.  </w:t>
      </w:r>
    </w:p>
    <w:p w14:paraId="6101F395" w14:textId="0A0C1A55" w:rsidR="007B6439" w:rsidRDefault="007B6439" w:rsidP="007B6439">
      <w:pPr>
        <w:pStyle w:val="BodyText"/>
      </w:pPr>
      <w:r>
        <w:t xml:space="preserve">ACT </w:t>
      </w:r>
      <w:proofErr w:type="spellStart"/>
      <w:r>
        <w:t>Labor</w:t>
      </w:r>
      <w:proofErr w:type="spellEnd"/>
      <w:r>
        <w:t xml:space="preserve"> </w:t>
      </w:r>
      <w:r w:rsidR="00373E49">
        <w:t>saw this a legitimate feature of elections, as electoral matter contains an authorisation statement to make people aware of the source of the material:</w:t>
      </w:r>
    </w:p>
    <w:p w14:paraId="23E8272E" w14:textId="114C7F30" w:rsidR="007B6439" w:rsidRDefault="007B6439" w:rsidP="007B6439">
      <w:pPr>
        <w:pStyle w:val="Quote"/>
      </w:pPr>
      <w:r>
        <w:t>‘</w:t>
      </w:r>
      <w:r w:rsidRPr="007B6439">
        <w:t xml:space="preserve">where there are individual candidates with certain values or policy positions standing for public office, and they talk to the community about that, there will be no doubt that there are community groups with those values and that have the same policy position statements. </w:t>
      </w:r>
      <w:r>
        <w:t xml:space="preserve"> </w:t>
      </w:r>
      <w:r w:rsidRPr="007B6439">
        <w:t xml:space="preserve">It stands to reason that those third parties would support those candidates. </w:t>
      </w:r>
      <w:r>
        <w:t xml:space="preserve"> </w:t>
      </w:r>
      <w:r w:rsidRPr="007B6439">
        <w:t xml:space="preserve">That is in respect of third-party campaigners. </w:t>
      </w:r>
      <w:r>
        <w:t xml:space="preserve"> </w:t>
      </w:r>
      <w:r w:rsidRPr="007B6439">
        <w:t xml:space="preserve">We saw it with unions. </w:t>
      </w:r>
      <w:r>
        <w:t xml:space="preserve"> </w:t>
      </w:r>
      <w:r w:rsidRPr="007B6439">
        <w:t xml:space="preserve">We saw it with </w:t>
      </w:r>
      <w:proofErr w:type="spellStart"/>
      <w:r w:rsidRPr="007B6439">
        <w:t>UnionsACT</w:t>
      </w:r>
      <w:proofErr w:type="spellEnd"/>
      <w:r w:rsidRPr="007B6439">
        <w:t>, we saw it with the Christian Lobby, Christian schools ACT, the Racing Club and those sorts of groups, where they had certain candidates or parties that they felt were good for their values and they were willing to expend their resources to try and get there.</w:t>
      </w:r>
      <w:r>
        <w:t>’</w:t>
      </w:r>
      <w:r>
        <w:rPr>
          <w:rStyle w:val="FootnoteReference"/>
        </w:rPr>
        <w:footnoteReference w:id="304"/>
      </w:r>
      <w:r>
        <w:t xml:space="preserve"> </w:t>
      </w:r>
    </w:p>
    <w:p w14:paraId="3EB81EB1" w14:textId="68944F60" w:rsidR="007B6439" w:rsidRDefault="007B6439" w:rsidP="007B6439">
      <w:pPr>
        <w:pStyle w:val="BodyText"/>
      </w:pPr>
      <w:r>
        <w:t xml:space="preserve">Canberra Liberals </w:t>
      </w:r>
      <w:r w:rsidR="00373E49">
        <w:t xml:space="preserve">expressed concern about organisations paying for electoral advertising under a </w:t>
      </w:r>
      <w:proofErr w:type="gramStart"/>
      <w:r w:rsidR="00373E49">
        <w:t>third party</w:t>
      </w:r>
      <w:proofErr w:type="gramEnd"/>
      <w:r w:rsidR="00373E49">
        <w:t xml:space="preserve"> cap when they are closely affiliated </w:t>
      </w:r>
      <w:r w:rsidR="00AE2CCF">
        <w:t xml:space="preserve">with, </w:t>
      </w:r>
      <w:r w:rsidR="00373E49">
        <w:t>or controlled by</w:t>
      </w:r>
      <w:r w:rsidR="00AE2CCF">
        <w:t>,</w:t>
      </w:r>
      <w:r w:rsidR="00373E49">
        <w:t xml:space="preserve"> a party:  </w:t>
      </w:r>
    </w:p>
    <w:p w14:paraId="3DA47BE6" w14:textId="05126D80" w:rsidR="007B6439" w:rsidRDefault="007B6439" w:rsidP="007B6439">
      <w:pPr>
        <w:pStyle w:val="Quote"/>
      </w:pPr>
      <w:r>
        <w:t>‘</w:t>
      </w:r>
      <w:r w:rsidRPr="00BB6B07">
        <w:t xml:space="preserve">Third parties obviously have a role to play in campaigns. </w:t>
      </w:r>
      <w:r>
        <w:t xml:space="preserve"> </w:t>
      </w:r>
      <w:r w:rsidRPr="00BB6B07">
        <w:t>What I and the Liberal Party have a problem with is third parties that are directly affiliated and constitutionally aligned to a political party accessing that third-party cap, which effectively increases the cap for a particular candidate</w:t>
      </w:r>
      <w:r w:rsidR="00373E49">
        <w:t xml:space="preserve">… </w:t>
      </w:r>
      <w:r w:rsidRPr="00BB6B07">
        <w:t xml:space="preserve">it is important that the cap has full and proper integrity, otherwise there is nothing to stop the Liberal Party, the </w:t>
      </w:r>
      <w:proofErr w:type="spellStart"/>
      <w:r w:rsidRPr="00BB6B07">
        <w:t>Labor</w:t>
      </w:r>
      <w:proofErr w:type="spellEnd"/>
      <w:r w:rsidRPr="00BB6B07">
        <w:t xml:space="preserve"> Party or the Greens setting up all sorts of offshoot organisations that are not really third parties and trying to increase that cap by, I think, $13,000 a pop</w:t>
      </w:r>
      <w:r>
        <w:t>’</w:t>
      </w:r>
      <w:r w:rsidR="00373E49">
        <w:t>.</w:t>
      </w:r>
      <w:r w:rsidR="00373E49">
        <w:rPr>
          <w:rStyle w:val="FootnoteReference"/>
        </w:rPr>
        <w:footnoteReference w:id="305"/>
      </w:r>
      <w:r>
        <w:t xml:space="preserve"> </w:t>
      </w:r>
    </w:p>
    <w:p w14:paraId="69605BB1" w14:textId="46E9EBD1" w:rsidR="00373E49" w:rsidRDefault="00373E49" w:rsidP="007B6439">
      <w:pPr>
        <w:pStyle w:val="BodyText"/>
      </w:pPr>
      <w:r>
        <w:t>The Electoral Commissioner pointed to the requirement under the Electoral Act for third party campaigners to report expenditure, which provides ‘a means by which the electorate can see such expenditure relations being made’.</w:t>
      </w:r>
      <w:r>
        <w:rPr>
          <w:rStyle w:val="FootnoteReference"/>
        </w:rPr>
        <w:footnoteReference w:id="306"/>
      </w:r>
    </w:p>
    <w:p w14:paraId="3DEDC38C" w14:textId="6724CB3F" w:rsidR="007B6439" w:rsidRDefault="00373E49" w:rsidP="007B6439">
      <w:pPr>
        <w:pStyle w:val="BodyText"/>
      </w:pPr>
      <w:r>
        <w:t xml:space="preserve">In this context, the Deputy Electoral Commissioner referenced historical provisions in the Electoral Act </w:t>
      </w:r>
      <w:r w:rsidR="00702460">
        <w:t>that regulated</w:t>
      </w:r>
      <w:r>
        <w:t xml:space="preserve"> ‘acting in concert’.</w:t>
      </w:r>
      <w:r>
        <w:rPr>
          <w:rStyle w:val="FootnoteReference"/>
        </w:rPr>
        <w:footnoteReference w:id="307"/>
      </w:r>
    </w:p>
    <w:p w14:paraId="377872CA" w14:textId="78FA2221" w:rsidR="0011587D" w:rsidRDefault="0011587D" w:rsidP="007B6439">
      <w:pPr>
        <w:pStyle w:val="BodyText"/>
      </w:pPr>
      <w:r>
        <w:t xml:space="preserve">Before </w:t>
      </w:r>
      <w:r w:rsidR="00702460">
        <w:t xml:space="preserve">March </w:t>
      </w:r>
      <w:r>
        <w:t>2015, the Electoral Act contained provision</w:t>
      </w:r>
      <w:r w:rsidR="00373E49">
        <w:t xml:space="preserve"> s205H that</w:t>
      </w:r>
      <w:r>
        <w:t xml:space="preserve"> </w:t>
      </w:r>
      <w:r w:rsidR="007B6439">
        <w:t>limit</w:t>
      </w:r>
      <w:r w:rsidR="00373E49">
        <w:t>ed</w:t>
      </w:r>
      <w:r w:rsidR="007B6439">
        <w:t xml:space="preserve"> electoral expenditure by third party campaigners acting in concert with others:</w:t>
      </w:r>
    </w:p>
    <w:p w14:paraId="4E465856" w14:textId="5851FC3C" w:rsidR="007B6439" w:rsidRDefault="007B6439" w:rsidP="007B6439">
      <w:pPr>
        <w:pStyle w:val="Quote"/>
      </w:pPr>
      <w:r>
        <w:t>‘</w:t>
      </w:r>
      <w:r w:rsidRPr="007B6439">
        <w:t xml:space="preserve">A third-party campaigner must not act in concert with another person to incur electoral expenditure in relation to an election in the capped expenditure period for </w:t>
      </w:r>
      <w:r w:rsidRPr="007B6439">
        <w:lastRenderedPageBreak/>
        <w:t>the election that is more than the expenditure cap for the third-party campaigner for the election.</w:t>
      </w:r>
      <w:r>
        <w:t>’</w:t>
      </w:r>
      <w:r>
        <w:rPr>
          <w:rStyle w:val="FootnoteReference"/>
        </w:rPr>
        <w:footnoteReference w:id="308"/>
      </w:r>
    </w:p>
    <w:p w14:paraId="6D20F0B7" w14:textId="55F51779" w:rsidR="00543965" w:rsidRDefault="00702460" w:rsidP="00E82A37">
      <w:pPr>
        <w:pStyle w:val="BodyText"/>
      </w:pPr>
      <w:r>
        <w:t xml:space="preserve">A Bill was introduced in 2014 to remove </w:t>
      </w:r>
      <w:r w:rsidR="00543965">
        <w:t xml:space="preserve">Section 205H </w:t>
      </w:r>
      <w:r w:rsidR="00C62D64">
        <w:t xml:space="preserve">on the basis that it </w:t>
      </w:r>
      <w:r w:rsidR="00543965">
        <w:t>‘may be invalid’:</w:t>
      </w:r>
      <w:r w:rsidR="00543965">
        <w:rPr>
          <w:rStyle w:val="FootnoteReference"/>
        </w:rPr>
        <w:footnoteReference w:id="309"/>
      </w:r>
      <w:r w:rsidR="00543965" w:rsidRPr="00543965">
        <w:t xml:space="preserve"> </w:t>
      </w:r>
    </w:p>
    <w:p w14:paraId="408D2C6F" w14:textId="67C0EC84" w:rsidR="00373E49" w:rsidRDefault="00543965" w:rsidP="00543965">
      <w:pPr>
        <w:pStyle w:val="Quote"/>
      </w:pPr>
      <w:r>
        <w:t>‘</w:t>
      </w:r>
      <w:r w:rsidRPr="00543965">
        <w:t xml:space="preserve">The High Court decision in </w:t>
      </w:r>
      <w:r w:rsidRPr="00543965">
        <w:rPr>
          <w:i/>
          <w:iCs w:val="0"/>
        </w:rPr>
        <w:t>Unions New South Wales v New South Wales</w:t>
      </w:r>
      <w:r>
        <w:t xml:space="preserve">… </w:t>
      </w:r>
      <w:r w:rsidRPr="00543965">
        <w:t>cast some doubt on the validity of the provisions contained in sections 205F, 205G and 205H relating to aggregated electoral expenditure.</w:t>
      </w:r>
      <w:r>
        <w:t>’</w:t>
      </w:r>
      <w:r>
        <w:rPr>
          <w:rStyle w:val="FootnoteReference"/>
        </w:rPr>
        <w:footnoteReference w:id="310"/>
      </w:r>
    </w:p>
    <w:p w14:paraId="2333D512" w14:textId="79F48CCD" w:rsidR="00543965" w:rsidRDefault="00C62D64" w:rsidP="00E82A37">
      <w:pPr>
        <w:pStyle w:val="BodyText"/>
      </w:pPr>
      <w:r>
        <w:t>However, ea</w:t>
      </w:r>
      <w:r w:rsidR="00543965">
        <w:t xml:space="preserve">rlier in 2014, the </w:t>
      </w:r>
      <w:r w:rsidR="00AE2CCF">
        <w:t xml:space="preserve">Assembly </w:t>
      </w:r>
      <w:r w:rsidR="00543965">
        <w:t xml:space="preserve">Select Committee on Amendments to the Electoral Act 1992 took a different view on the impact of the </w:t>
      </w:r>
      <w:r w:rsidR="00AE2CCF">
        <w:t>High Court decision</w:t>
      </w:r>
      <w:r w:rsidR="00543965">
        <w:t xml:space="preserve"> on s205H, and recommended that it remain in place: </w:t>
      </w:r>
    </w:p>
    <w:p w14:paraId="4B72C8B1" w14:textId="3B527518" w:rsidR="0011587D" w:rsidRDefault="0011587D" w:rsidP="00543965">
      <w:pPr>
        <w:pStyle w:val="Quote"/>
      </w:pPr>
      <w:r>
        <w:t>‘</w:t>
      </w:r>
      <w:r w:rsidRPr="0011587D">
        <w:t xml:space="preserve">The Committee acknowledges the legal uncertainty about the validity of the aggregated expenditure cap provisions in ss 205F, 205G and 205H, and notes that there are differences of opinion about the likelihood of each of those provisions surviving a challenge. </w:t>
      </w:r>
      <w:r w:rsidR="00543965">
        <w:t xml:space="preserve"> </w:t>
      </w:r>
      <w:r w:rsidRPr="0011587D">
        <w:t>The Committee also notes that those provisions are narrower than the NSW provisions found invalid by the High Court in 2013 on the basis that they had no legitimate purpose.</w:t>
      </w:r>
      <w:r>
        <w:t>’</w:t>
      </w:r>
      <w:r>
        <w:rPr>
          <w:rStyle w:val="FootnoteReference"/>
        </w:rPr>
        <w:footnoteReference w:id="311"/>
      </w:r>
    </w:p>
    <w:p w14:paraId="300ADCD2" w14:textId="11A2D3FB" w:rsidR="0011587D" w:rsidRDefault="0011587D" w:rsidP="00543965">
      <w:pPr>
        <w:pStyle w:val="Quote"/>
      </w:pPr>
      <w:r>
        <w:t>‘</w:t>
      </w:r>
      <w:r w:rsidRPr="0011587D">
        <w:t xml:space="preserve">The Committee considers there are valid reasons to include associated entities in caps on electoral expenditure by parties and non-party MLAs, </w:t>
      </w:r>
      <w:proofErr w:type="gramStart"/>
      <w:r w:rsidRPr="0011587D">
        <w:t>in order to</w:t>
      </w:r>
      <w:proofErr w:type="gramEnd"/>
      <w:r w:rsidRPr="0011587D">
        <w:t xml:space="preserve"> prevent the limits being avoided through the setting up of an entity with the sole purpose of assisting in the election of an MLA or candidates from a political party.</w:t>
      </w:r>
      <w:r>
        <w:t>’</w:t>
      </w:r>
      <w:r>
        <w:rPr>
          <w:rStyle w:val="FootnoteReference"/>
        </w:rPr>
        <w:footnoteReference w:id="312"/>
      </w:r>
    </w:p>
    <w:p w14:paraId="41E28152" w14:textId="0798D8EF" w:rsidR="0011587D" w:rsidRDefault="0011587D" w:rsidP="00543965">
      <w:pPr>
        <w:pStyle w:val="Quote"/>
      </w:pPr>
      <w:r>
        <w:t>‘T</w:t>
      </w:r>
      <w:r w:rsidRPr="0011587D">
        <w:t xml:space="preserve">he Committee also considers that the aggregated expenditure provisions in ss 205G and 205H have a sound policy basis in terms of aiming to ensure that parties, non-party candidates and </w:t>
      </w:r>
      <w:proofErr w:type="gramStart"/>
      <w:r w:rsidRPr="0011587D">
        <w:t>third party</w:t>
      </w:r>
      <w:proofErr w:type="gramEnd"/>
      <w:r w:rsidRPr="0011587D">
        <w:t xml:space="preserve"> campaigners are not able to effectively avoid limits on campaign expenditure through affiliation with other entities whose purpose is to promote a particular candidate or party.</w:t>
      </w:r>
      <w:r>
        <w:t>’</w:t>
      </w:r>
      <w:r>
        <w:rPr>
          <w:rStyle w:val="FootnoteReference"/>
        </w:rPr>
        <w:footnoteReference w:id="313"/>
      </w:r>
    </w:p>
    <w:p w14:paraId="0DC706B8" w14:textId="66FEC791" w:rsidR="0011587D" w:rsidRDefault="0011587D" w:rsidP="00543965">
      <w:pPr>
        <w:pStyle w:val="Quote"/>
      </w:pPr>
      <w:r>
        <w:t>‘</w:t>
      </w:r>
      <w:r w:rsidRPr="0011587D">
        <w:t>In light of the views of Professor Twomey and Professor Williams, both of whom suggested that the ACT provisions might well survive a challenge given their narrower reach compared with the NSW provisions, the Committee considers that there is no need to amend ss 205F, 205G and 205H at this time.</w:t>
      </w:r>
      <w:r>
        <w:t>’</w:t>
      </w:r>
      <w:r>
        <w:rPr>
          <w:rStyle w:val="FootnoteReference"/>
        </w:rPr>
        <w:footnoteReference w:id="314"/>
      </w:r>
    </w:p>
    <w:p w14:paraId="3EDE3555" w14:textId="5813183C" w:rsidR="007105A6" w:rsidRPr="00C370A2" w:rsidRDefault="00AE2CCF" w:rsidP="00F50E33">
      <w:pPr>
        <w:pStyle w:val="BodyText"/>
      </w:pPr>
      <w:r w:rsidRPr="00C370A2">
        <w:lastRenderedPageBreak/>
        <w:t>Since 201</w:t>
      </w:r>
      <w:r w:rsidR="007105A6" w:rsidRPr="00C370A2">
        <w:t>4</w:t>
      </w:r>
      <w:r w:rsidRPr="00C370A2">
        <w:t>, there have been further legislative and judicial developments in this area of law.  A Panel of Experts on Political Donations was appointed to identify long term reforms to NSW donation laws</w:t>
      </w:r>
      <w:r w:rsidR="007105A6" w:rsidRPr="00C370A2">
        <w:t>.</w:t>
      </w:r>
      <w:r w:rsidRPr="00C370A2">
        <w:rPr>
          <w:rStyle w:val="FootnoteReference"/>
        </w:rPr>
        <w:footnoteReference w:id="315"/>
      </w:r>
      <w:r w:rsidRPr="00C370A2">
        <w:rPr>
          <w:rFonts w:ascii="Cambria" w:hAnsi="Cambria"/>
          <w:color w:val="000000"/>
          <w:sz w:val="23"/>
          <w:szCs w:val="23"/>
          <w:shd w:val="clear" w:color="auto" w:fill="FFFFFF"/>
        </w:rPr>
        <w:t xml:space="preserve"> </w:t>
      </w:r>
      <w:r w:rsidR="007105A6" w:rsidRPr="00C370A2">
        <w:t xml:space="preserve"> The </w:t>
      </w:r>
      <w:r w:rsidR="001C7551" w:rsidRPr="00C370A2">
        <w:t>NSW</w:t>
      </w:r>
      <w:r w:rsidR="007105A6" w:rsidRPr="00C370A2">
        <w:t xml:space="preserve"> Parliament</w:t>
      </w:r>
      <w:r w:rsidRPr="00C370A2">
        <w:t xml:space="preserve"> Joint Standing Committee on Electoral Matters</w:t>
      </w:r>
      <w:bookmarkStart w:id="167" w:name="fnB20"/>
      <w:r w:rsidR="007105A6" w:rsidRPr="00C370A2">
        <w:t xml:space="preserve"> inquired into </w:t>
      </w:r>
      <w:r w:rsidR="001C7551" w:rsidRPr="00C370A2">
        <w:t>the Expert Panel report in June 2016</w:t>
      </w:r>
      <w:r w:rsidR="007105A6" w:rsidRPr="00C370A2">
        <w:t>.</w:t>
      </w:r>
      <w:r w:rsidR="001C7551" w:rsidRPr="00C370A2">
        <w:rPr>
          <w:rStyle w:val="FootnoteReference"/>
        </w:rPr>
        <w:footnoteReference w:id="316"/>
      </w:r>
      <w:bookmarkEnd w:id="167"/>
      <w:r w:rsidR="001C7551" w:rsidRPr="00C370A2">
        <w:t xml:space="preserve">  In</w:t>
      </w:r>
      <w:r w:rsidR="007105A6" w:rsidRPr="00C370A2">
        <w:t xml:space="preserve"> July 2018</w:t>
      </w:r>
      <w:r w:rsidR="001C7551" w:rsidRPr="00C370A2">
        <w:t xml:space="preserve"> NSW Parliament passed the</w:t>
      </w:r>
      <w:r w:rsidR="007105A6" w:rsidRPr="00C370A2">
        <w:t> </w:t>
      </w:r>
      <w:r w:rsidR="001C7551" w:rsidRPr="00C370A2">
        <w:rPr>
          <w:i/>
          <w:iCs/>
        </w:rPr>
        <w:t xml:space="preserve">Electoral Funding Act 2018 </w:t>
      </w:r>
      <w:r w:rsidR="001C7551" w:rsidRPr="00C370A2">
        <w:t>(NSW)</w:t>
      </w:r>
      <w:r w:rsidR="001C7551" w:rsidRPr="00C370A2">
        <w:rPr>
          <w:i/>
          <w:iCs/>
        </w:rPr>
        <w:t xml:space="preserve"> </w:t>
      </w:r>
      <w:r w:rsidR="001C7551" w:rsidRPr="00C370A2">
        <w:t>to replace</w:t>
      </w:r>
      <w:r w:rsidR="007105A6" w:rsidRPr="00C370A2">
        <w:t xml:space="preserve"> the </w:t>
      </w:r>
      <w:r w:rsidR="001C7551" w:rsidRPr="00C370A2">
        <w:rPr>
          <w:i/>
          <w:iCs/>
        </w:rPr>
        <w:t>Election Funding, Expenditure and Disclosures Act 1981 </w:t>
      </w:r>
      <w:r w:rsidR="001C7551" w:rsidRPr="00C370A2">
        <w:t>(NSW).</w:t>
      </w:r>
      <w:r w:rsidR="001C7551" w:rsidRPr="00C370A2">
        <w:rPr>
          <w:rStyle w:val="FootnoteReference"/>
        </w:rPr>
        <w:footnoteReference w:id="317"/>
      </w:r>
      <w:r w:rsidR="001C7551" w:rsidRPr="00C370A2">
        <w:t xml:space="preserve">  NSW </w:t>
      </w:r>
      <w:r w:rsidR="007105A6" w:rsidRPr="00C370A2">
        <w:t xml:space="preserve">Unions challenged </w:t>
      </w:r>
      <w:r w:rsidR="0018234A" w:rsidRPr="00C370A2">
        <w:t xml:space="preserve">parts of </w:t>
      </w:r>
      <w:r w:rsidR="007105A6" w:rsidRPr="00C370A2">
        <w:t>the E</w:t>
      </w:r>
      <w:r w:rsidR="001C7551" w:rsidRPr="00C370A2">
        <w:t>lectoral Funding</w:t>
      </w:r>
      <w:r w:rsidR="007105A6" w:rsidRPr="00C370A2">
        <w:t xml:space="preserve"> Act, resulting in </w:t>
      </w:r>
      <w:r w:rsidR="001C7551" w:rsidRPr="00C370A2">
        <w:t>a</w:t>
      </w:r>
      <w:r w:rsidR="007105A6" w:rsidRPr="00C370A2">
        <w:t xml:space="preserve"> second High Court decision </w:t>
      </w:r>
      <w:r w:rsidR="001C7551" w:rsidRPr="00C370A2">
        <w:t>of</w:t>
      </w:r>
      <w:r w:rsidR="007105A6" w:rsidRPr="00C370A2">
        <w:t xml:space="preserve"> January 2019.</w:t>
      </w:r>
      <w:r w:rsidR="001C7551" w:rsidRPr="00C370A2">
        <w:rPr>
          <w:rStyle w:val="FootnoteReference"/>
        </w:rPr>
        <w:footnoteReference w:id="318"/>
      </w:r>
      <w:r w:rsidR="007105A6" w:rsidRPr="00C370A2">
        <w:t xml:space="preserve"> </w:t>
      </w:r>
    </w:p>
    <w:tbl>
      <w:tblPr>
        <w:tblStyle w:val="TableGrid"/>
        <w:tblW w:w="9209" w:type="dxa"/>
        <w:tblInd w:w="-142" w:type="dxa"/>
        <w:tblLook w:val="04A0" w:firstRow="1" w:lastRow="0" w:firstColumn="1" w:lastColumn="0" w:noHBand="0" w:noVBand="1"/>
      </w:tblPr>
      <w:tblGrid>
        <w:gridCol w:w="9209"/>
      </w:tblGrid>
      <w:tr w:rsidR="00E82A37" w14:paraId="04A3BCA8"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BCC30B3" w14:textId="4F25C081" w:rsidR="00E82A37" w:rsidRPr="00C370A2" w:rsidRDefault="00E82A37" w:rsidP="00E7130C">
            <w:pPr>
              <w:pStyle w:val="RecommendationHeading"/>
            </w:pPr>
            <w:bookmarkStart w:id="168" w:name="_Toc78382554"/>
            <w:r w:rsidRPr="00C370A2">
              <w:t xml:space="preserve">Recommendation </w:t>
            </w:r>
            <w:r w:rsidR="00D02D0E" w:rsidRPr="00C370A2">
              <w:rPr>
                <w:noProof/>
              </w:rPr>
              <w:t>4</w:t>
            </w:r>
            <w:r w:rsidR="00327FC7">
              <w:rPr>
                <w:noProof/>
              </w:rPr>
              <w:t>4</w:t>
            </w:r>
            <w:bookmarkEnd w:id="168"/>
          </w:p>
          <w:p w14:paraId="3C438074" w14:textId="68B3E0FC" w:rsidR="00E82A37" w:rsidRPr="00C370A2" w:rsidRDefault="00E82A37" w:rsidP="00E82A37">
            <w:pPr>
              <w:pStyle w:val="RecommendationText"/>
            </w:pPr>
            <w:bookmarkStart w:id="169" w:name="_Toc78382555"/>
            <w:r w:rsidRPr="00C370A2">
              <w:t xml:space="preserve">The Committee recommends ACT Government re-establish a legislative prohibition on third party campaigners acting in concert with others, in terms that comply with </w:t>
            </w:r>
            <w:r w:rsidR="007105A6" w:rsidRPr="00C370A2">
              <w:t>recent</w:t>
            </w:r>
            <w:r w:rsidRPr="00C370A2">
              <w:t xml:space="preserve"> High Court judgment</w:t>
            </w:r>
            <w:r w:rsidR="007105A6" w:rsidRPr="00C370A2">
              <w:t>s</w:t>
            </w:r>
            <w:r w:rsidRPr="00C370A2">
              <w:t>.</w:t>
            </w:r>
            <w:bookmarkEnd w:id="169"/>
          </w:p>
        </w:tc>
      </w:tr>
    </w:tbl>
    <w:p w14:paraId="2992C367" w14:textId="17A1264D" w:rsidR="003D2BD5" w:rsidRDefault="003D2BD5" w:rsidP="003D2BD5">
      <w:pPr>
        <w:pStyle w:val="Heading2"/>
      </w:pPr>
      <w:bookmarkStart w:id="170" w:name="_Toc78535758"/>
      <w:r>
        <w:lastRenderedPageBreak/>
        <w:t>Participation in Elections</w:t>
      </w:r>
      <w:bookmarkEnd w:id="170"/>
    </w:p>
    <w:p w14:paraId="0BC4102A" w14:textId="559A93BB" w:rsidR="00194A3F" w:rsidRDefault="00BF6855" w:rsidP="00194A3F">
      <w:pPr>
        <w:pStyle w:val="Heading3"/>
      </w:pPr>
      <w:bookmarkStart w:id="171" w:name="_Toc78535759"/>
      <w:r>
        <w:t>Participation in the 2020 Election</w:t>
      </w:r>
      <w:bookmarkEnd w:id="171"/>
    </w:p>
    <w:p w14:paraId="4A983709" w14:textId="70B910F7" w:rsidR="00BF6855" w:rsidRPr="00BF6855" w:rsidRDefault="00BF6855" w:rsidP="00BF6855">
      <w:pPr>
        <w:pStyle w:val="Heading4"/>
      </w:pPr>
      <w:r>
        <w:t>Enrolment Rate</w:t>
      </w:r>
    </w:p>
    <w:p w14:paraId="36213CB7" w14:textId="1B3847E0" w:rsidR="00194A3F" w:rsidRPr="00136411" w:rsidRDefault="00194A3F" w:rsidP="00194A3F">
      <w:pPr>
        <w:pStyle w:val="BodyText"/>
      </w:pPr>
      <w:r>
        <w:t xml:space="preserve">At the preliminary close of rolls for the 2020 election, the </w:t>
      </w:r>
      <w:r w:rsidR="00505F5B">
        <w:t>Electoral Commission estimates that 99.5</w:t>
      </w:r>
      <w:r>
        <w:t xml:space="preserve"> </w:t>
      </w:r>
      <w:r w:rsidR="00505F5B">
        <w:t xml:space="preserve">per cent of </w:t>
      </w:r>
      <w:r>
        <w:t xml:space="preserve">people </w:t>
      </w:r>
      <w:r w:rsidR="00505F5B">
        <w:t>entitled to be enrolled were on</w:t>
      </w:r>
      <w:r>
        <w:t xml:space="preserve"> the ACT electoral roll.  At the final close of rolls on election day, </w:t>
      </w:r>
      <w:r w:rsidR="00505F5B">
        <w:t>they estimate the figure was</w:t>
      </w:r>
      <w:r>
        <w:t xml:space="preserve"> 99.9 per cent.</w:t>
      </w:r>
      <w:r>
        <w:rPr>
          <w:rStyle w:val="FootnoteReference"/>
        </w:rPr>
        <w:footnoteReference w:id="319"/>
      </w:r>
    </w:p>
    <w:p w14:paraId="3ECCE7C7" w14:textId="3A805A0F" w:rsidR="00D41516" w:rsidRDefault="00194A3F" w:rsidP="00136411">
      <w:pPr>
        <w:pStyle w:val="BodyText"/>
      </w:pPr>
      <w:r>
        <w:t>The ACT has the h</w:t>
      </w:r>
      <w:r w:rsidR="00136411" w:rsidRPr="00136411">
        <w:t>ighest enrolment participation</w:t>
      </w:r>
      <w:r>
        <w:t xml:space="preserve"> rate of all Australian jurisdictions, as described by the Electoral Commission in the report on the 2020 election:</w:t>
      </w:r>
    </w:p>
    <w:p w14:paraId="05E395F9" w14:textId="17679EFE" w:rsidR="00136411" w:rsidRDefault="00136411" w:rsidP="00194A3F">
      <w:pPr>
        <w:pStyle w:val="Quote"/>
      </w:pPr>
      <w:r w:rsidRPr="00136411">
        <w:t xml:space="preserve">‘By comparison with all other Australian States and the Northern Territory, the ACT has tended to out-perform the other jurisdictions in enrolment participation rates. </w:t>
      </w:r>
      <w:r w:rsidR="00D41516">
        <w:t xml:space="preserve"> </w:t>
      </w:r>
      <w:r w:rsidRPr="00136411">
        <w:t xml:space="preserve">The rates displayed in 2020 continue this trend. </w:t>
      </w:r>
      <w:r w:rsidR="00D41516">
        <w:t xml:space="preserve"> </w:t>
      </w:r>
      <w:r w:rsidRPr="00136411">
        <w:t xml:space="preserve">Looking at the 2020 September quarter enrolment report figures, the ACT again had the highest EEP </w:t>
      </w:r>
      <w:r w:rsidR="00194A3F">
        <w:t xml:space="preserve">[eligible elector population] </w:t>
      </w:r>
      <w:r w:rsidRPr="00136411">
        <w:t xml:space="preserve">rate of all the states and territories. </w:t>
      </w:r>
      <w:r w:rsidR="00D41516">
        <w:t xml:space="preserve"> </w:t>
      </w:r>
      <w:r w:rsidRPr="00136411">
        <w:t xml:space="preserve">At that time, it is estimated that the enrolment participation rate in the ACT was 99.8 per cent, compared to a national average of 96.7 per cent. </w:t>
      </w:r>
      <w:r w:rsidR="00D41516">
        <w:t xml:space="preserve"> </w:t>
      </w:r>
      <w:r w:rsidRPr="00136411">
        <w:t>The next highest participation rate was 97.8 per cent in New South Wales, while the lowest was 86.6 per cent in the Northern Territory.’</w:t>
      </w:r>
      <w:r w:rsidR="00194A3F">
        <w:rPr>
          <w:rStyle w:val="FootnoteReference"/>
        </w:rPr>
        <w:footnoteReference w:id="320"/>
      </w:r>
      <w:r w:rsidRPr="00136411">
        <w:t xml:space="preserve"> </w:t>
      </w:r>
    </w:p>
    <w:p w14:paraId="65229699" w14:textId="4D863DA7" w:rsidR="003D2BD5" w:rsidRDefault="003D2BD5" w:rsidP="00BF6855">
      <w:pPr>
        <w:pStyle w:val="Heading4"/>
      </w:pPr>
      <w:r>
        <w:t xml:space="preserve">Voter </w:t>
      </w:r>
      <w:r w:rsidR="008C18B8">
        <w:t>T</w:t>
      </w:r>
      <w:r>
        <w:t>urnout</w:t>
      </w:r>
    </w:p>
    <w:p w14:paraId="64CB2E58" w14:textId="0F9B2BC5" w:rsidR="0052658A" w:rsidRDefault="0052658A" w:rsidP="00136411">
      <w:pPr>
        <w:pStyle w:val="BodyText"/>
      </w:pPr>
      <w:r>
        <w:t>Voter turnout at the 2020 election was 273,143 people.</w:t>
      </w:r>
      <w:r>
        <w:rPr>
          <w:rStyle w:val="FootnoteReference"/>
        </w:rPr>
        <w:footnoteReference w:id="321"/>
      </w:r>
      <w:r>
        <w:t xml:space="preserve">  </w:t>
      </w:r>
    </w:p>
    <w:p w14:paraId="78B79335" w14:textId="3B788FEB" w:rsidR="0052658A" w:rsidRDefault="0052658A" w:rsidP="0052658A">
      <w:pPr>
        <w:pStyle w:val="BodyText"/>
      </w:pPr>
      <w:r>
        <w:t>The participation rate in an election</w:t>
      </w:r>
      <w:r w:rsidR="00136411">
        <w:t xml:space="preserve"> is a measure of the </w:t>
      </w:r>
      <w:r>
        <w:t xml:space="preserve">Electoral </w:t>
      </w:r>
      <w:r w:rsidR="00136411">
        <w:t>Commission’s performance</w:t>
      </w:r>
      <w:r>
        <w:t xml:space="preserve">. </w:t>
      </w:r>
      <w:r w:rsidRPr="0052658A">
        <w:t xml:space="preserve"> </w:t>
      </w:r>
      <w:r>
        <w:t xml:space="preserve">One of the </w:t>
      </w:r>
      <w:r w:rsidR="000E0DD2">
        <w:t>methods for calculating</w:t>
      </w:r>
      <w:r>
        <w:t xml:space="preserve"> participation rate is to express voter turnout as a percentage of the estimated eligible population.</w:t>
      </w:r>
      <w:r>
        <w:rPr>
          <w:rStyle w:val="FootnoteReference"/>
        </w:rPr>
        <w:footnoteReference w:id="322"/>
      </w:r>
      <w:r>
        <w:t xml:space="preserve">  The Electoral Commission report on the 2020 election includes a table </w:t>
      </w:r>
      <w:r w:rsidR="00FE202A">
        <w:t>that displays</w:t>
      </w:r>
      <w:r>
        <w:t xml:space="preserve"> enrolment and voter turnout at </w:t>
      </w:r>
      <w:r w:rsidR="000E0DD2">
        <w:t>each</w:t>
      </w:r>
      <w:r>
        <w:t xml:space="preserve"> Territory election since 2004.</w:t>
      </w:r>
      <w:r>
        <w:rPr>
          <w:rStyle w:val="FootnoteReference"/>
        </w:rPr>
        <w:footnoteReference w:id="323"/>
      </w:r>
      <w:r>
        <w:t xml:space="preserve">  The Electoral Commission described the </w:t>
      </w:r>
      <w:r w:rsidR="00FE202A">
        <w:t>figures in this way</w:t>
      </w:r>
      <w:r>
        <w:t>:</w:t>
      </w:r>
    </w:p>
    <w:p w14:paraId="2376DC83" w14:textId="446C40B0" w:rsidR="00136411" w:rsidRDefault="00136411" w:rsidP="000E0DD2">
      <w:pPr>
        <w:pStyle w:val="Quote"/>
      </w:pPr>
      <w:r>
        <w:t xml:space="preserve">‘This table shows that participation rates (measured by voter turnout as a proportion of estimated eligible population) improved between the 2004 and 2008 elections, declined in 2012, improved significantly in 2016 following the introduction of direct enrolment and update and improved again slightly at the 2020 election. </w:t>
      </w:r>
      <w:r w:rsidR="0052658A">
        <w:t xml:space="preserve"> </w:t>
      </w:r>
      <w:r>
        <w:t xml:space="preserve">Noting that </w:t>
      </w:r>
      <w:r>
        <w:lastRenderedPageBreak/>
        <w:t xml:space="preserve">the 2020 election was held </w:t>
      </w:r>
      <w:proofErr w:type="gramStart"/>
      <w:r>
        <w:t>in the midst of</w:t>
      </w:r>
      <w:proofErr w:type="gramEnd"/>
      <w:r>
        <w:t xml:space="preserve"> the COVID-19 pandemic, the Commission considers an increase in voter turnout in all measures against 2016 figures as a considerable achievement.’</w:t>
      </w:r>
      <w:r w:rsidR="000E0DD2">
        <w:rPr>
          <w:rStyle w:val="FootnoteReference"/>
        </w:rPr>
        <w:footnoteReference w:id="324"/>
      </w:r>
      <w:r>
        <w:t xml:space="preserve"> </w:t>
      </w:r>
    </w:p>
    <w:p w14:paraId="30B09B95" w14:textId="18A76D2E" w:rsidR="003D2BD5" w:rsidRDefault="003D2BD5" w:rsidP="003D2BD5">
      <w:pPr>
        <w:pStyle w:val="Heading3"/>
      </w:pPr>
      <w:bookmarkStart w:id="172" w:name="_Toc78535760"/>
      <w:r>
        <w:t xml:space="preserve">Encouraging </w:t>
      </w:r>
      <w:r w:rsidR="008C18B8">
        <w:t>P</w:t>
      </w:r>
      <w:r>
        <w:t xml:space="preserve">articipation in </w:t>
      </w:r>
      <w:r w:rsidR="008C18B8">
        <w:t>E</w:t>
      </w:r>
      <w:r>
        <w:t>lections</w:t>
      </w:r>
      <w:bookmarkEnd w:id="172"/>
      <w:r>
        <w:t xml:space="preserve"> </w:t>
      </w:r>
    </w:p>
    <w:p w14:paraId="34DDDAFC" w14:textId="29B62DEE" w:rsidR="00B73396" w:rsidRDefault="00B73396" w:rsidP="00B73396">
      <w:pPr>
        <w:pStyle w:val="Heading4"/>
      </w:pPr>
      <w:r>
        <w:t>Communications campaign for 2020 Election</w:t>
      </w:r>
    </w:p>
    <w:p w14:paraId="19C100EF" w14:textId="3D8B85DF" w:rsidR="009B6C5E" w:rsidRDefault="009B6C5E" w:rsidP="00B73396">
      <w:pPr>
        <w:pStyle w:val="BodyText"/>
      </w:pPr>
      <w:r>
        <w:t>The Electoral Commission described the communications campaign surrounding the 2020 election in the Election report:</w:t>
      </w:r>
    </w:p>
    <w:p w14:paraId="1528ED2F" w14:textId="0FF96DCE" w:rsidR="00B73396" w:rsidRDefault="00B73396" w:rsidP="009B6C5E">
      <w:pPr>
        <w:pStyle w:val="Quote"/>
      </w:pPr>
      <w:r>
        <w:t xml:space="preserve">‘Noting that the 2020 ACT election was to be held </w:t>
      </w:r>
      <w:proofErr w:type="gramStart"/>
      <w:r>
        <w:t>in the midst of</w:t>
      </w:r>
      <w:proofErr w:type="gramEnd"/>
      <w:r>
        <w:t xml:space="preserve"> the COVID-19 pandemic, Elections ACT undertook an extensive five-stage communication campaign leading up to the 2020 election, focussing on ‘Election safety’, ‘Enrol to vote’, ‘Vote now’, ‘Formal voting’ and ‘Check the source’.’</w:t>
      </w:r>
      <w:r w:rsidR="009B6C5E">
        <w:rPr>
          <w:rStyle w:val="FootnoteReference"/>
        </w:rPr>
        <w:footnoteReference w:id="325"/>
      </w:r>
    </w:p>
    <w:p w14:paraId="6415781D" w14:textId="17E90EDE" w:rsidR="009B6C5E" w:rsidRDefault="009B6C5E" w:rsidP="00B73396">
      <w:pPr>
        <w:pStyle w:val="BodyText"/>
      </w:pPr>
      <w:r>
        <w:t>The Commission reported providing ‘targeted information’ to people with disability, family carers, people experiencing homelessness, people from culturally and linguistically diverse backgrounds, and the Aboriginal and Torres Strait Islander community.</w:t>
      </w:r>
      <w:r>
        <w:rPr>
          <w:rStyle w:val="FootnoteReference"/>
        </w:rPr>
        <w:footnoteReference w:id="326"/>
      </w:r>
      <w:r>
        <w:t xml:space="preserve"> </w:t>
      </w:r>
    </w:p>
    <w:p w14:paraId="0A79E169" w14:textId="525CCCED" w:rsidR="00B73396" w:rsidRDefault="009B6C5E" w:rsidP="00B73396">
      <w:pPr>
        <w:pStyle w:val="BodyText"/>
      </w:pPr>
      <w:r>
        <w:t xml:space="preserve">During previous elections, the Electoral Commission conducted education programs with schools and community groups, </w:t>
      </w:r>
      <w:r w:rsidR="004C7124">
        <w:t xml:space="preserve">and engaged bilingual educators to work with multicultural communities, </w:t>
      </w:r>
      <w:r>
        <w:t xml:space="preserve">but these </w:t>
      </w:r>
      <w:r w:rsidR="004C7124">
        <w:t xml:space="preserve">activities </w:t>
      </w:r>
      <w:r>
        <w:t>were cancelled in 2020 due to the COVID-19 pandemic.</w:t>
      </w:r>
      <w:r>
        <w:rPr>
          <w:rStyle w:val="FootnoteReference"/>
        </w:rPr>
        <w:footnoteReference w:id="327"/>
      </w:r>
    </w:p>
    <w:p w14:paraId="0532FC4B" w14:textId="3F74B10A" w:rsidR="00B73396" w:rsidRDefault="00B73396" w:rsidP="00B73396">
      <w:pPr>
        <w:pStyle w:val="Heading4"/>
      </w:pPr>
      <w:r>
        <w:t xml:space="preserve">Civics Education </w:t>
      </w:r>
    </w:p>
    <w:p w14:paraId="7373313B" w14:textId="20FA0B5A" w:rsidR="00D15AB6" w:rsidRDefault="00D15AB6" w:rsidP="00DE3DB7">
      <w:pPr>
        <w:pStyle w:val="BodyText"/>
      </w:pPr>
      <w:r>
        <w:t xml:space="preserve">Submissions to the inquiry spoke of the importance of civics education in the ACT community.  </w:t>
      </w:r>
    </w:p>
    <w:p w14:paraId="3CAC0CA4" w14:textId="6CC5CF8A" w:rsidR="006B2DB9" w:rsidRDefault="00D15AB6" w:rsidP="00DE3DB7">
      <w:pPr>
        <w:pStyle w:val="BodyText"/>
      </w:pPr>
      <w:r>
        <w:t xml:space="preserve">Canberra </w:t>
      </w:r>
      <w:r w:rsidR="00FE202A">
        <w:t>P</w:t>
      </w:r>
      <w:r>
        <w:t>rogressive</w:t>
      </w:r>
      <w:r w:rsidR="00FE202A">
        <w:t>s</w:t>
      </w:r>
      <w:r>
        <w:t xml:space="preserve"> suggested </w:t>
      </w:r>
      <w:r w:rsidR="006B2DB9" w:rsidRPr="006B2DB9">
        <w:t>the Electoral Commission produce and promote basic civics education material to voters in the lead-up to elections</w:t>
      </w:r>
      <w:r>
        <w:t>, such as ‘easy-to-understand TV and social media explanatory videos, and newspaper notices.’</w:t>
      </w:r>
      <w:r>
        <w:rPr>
          <w:rStyle w:val="FootnoteReference"/>
        </w:rPr>
        <w:footnoteReference w:id="328"/>
      </w:r>
    </w:p>
    <w:p w14:paraId="3C6ACA79" w14:textId="59D76C97" w:rsidR="00530A37" w:rsidRDefault="00FE202A" w:rsidP="00DE3DB7">
      <w:pPr>
        <w:pStyle w:val="BodyText"/>
      </w:pPr>
      <w:r>
        <w:t xml:space="preserve">The </w:t>
      </w:r>
      <w:r w:rsidR="00D15AB6">
        <w:t>Youth Coalition suggested improvement to civics education for young people, in schools and other settings.  They recommended ACT Government address barriers to young people participating in political processes.</w:t>
      </w:r>
      <w:r w:rsidR="00D15AB6">
        <w:rPr>
          <w:rStyle w:val="FootnoteReference"/>
        </w:rPr>
        <w:footnoteReference w:id="329"/>
      </w:r>
      <w:r w:rsidR="00D15AB6">
        <w:t xml:space="preserve">  </w:t>
      </w:r>
    </w:p>
    <w:p w14:paraId="12164662" w14:textId="02E43CE5" w:rsidR="003D2BD5" w:rsidRDefault="00DE3DB7" w:rsidP="00DE3DB7">
      <w:pPr>
        <w:pStyle w:val="Heading3"/>
      </w:pPr>
      <w:bookmarkStart w:id="173" w:name="_Toc78535761"/>
      <w:r>
        <w:lastRenderedPageBreak/>
        <w:t xml:space="preserve">Vulnerable </w:t>
      </w:r>
      <w:r w:rsidR="008C18B8">
        <w:t>V</w:t>
      </w:r>
      <w:r>
        <w:t>oters</w:t>
      </w:r>
      <w:bookmarkEnd w:id="173"/>
      <w:r>
        <w:t xml:space="preserve"> </w:t>
      </w:r>
    </w:p>
    <w:p w14:paraId="7D27A292" w14:textId="4CA28614" w:rsidR="00D15AB6" w:rsidRDefault="00D15AB6" w:rsidP="00B73396">
      <w:pPr>
        <w:pStyle w:val="BodyText"/>
      </w:pPr>
      <w:r>
        <w:t xml:space="preserve">The Electoral Commission reported </w:t>
      </w:r>
      <w:r w:rsidR="00BF6855">
        <w:t xml:space="preserve">its </w:t>
      </w:r>
      <w:r>
        <w:t>efforts to engage with communities who may experience barriers to participating in the 2020 election:</w:t>
      </w:r>
    </w:p>
    <w:p w14:paraId="5E24E353" w14:textId="0777C877" w:rsidR="00B73396" w:rsidRDefault="00B73396" w:rsidP="00D15AB6">
      <w:pPr>
        <w:pStyle w:val="Quote"/>
      </w:pPr>
      <w:r w:rsidRPr="00B73396">
        <w:t>‘A key component of the Commission’s communication strategy was to assist voters with special needs, including people from culturally and linguistically diverse backgrounds, electors experiencing homelessness and people with disability, including vision or hearing impairment.</w:t>
      </w:r>
      <w:r w:rsidR="00D15AB6">
        <w:t xml:space="preserve"> </w:t>
      </w:r>
      <w:r w:rsidRPr="00B73396">
        <w:t xml:space="preserve"> The focus was on ensuring people understood the compulsory nature of enrolment and voting, where to vote and how to cast a valid vote at the election.’</w:t>
      </w:r>
      <w:r w:rsidR="00D15AB6">
        <w:rPr>
          <w:rStyle w:val="FootnoteReference"/>
        </w:rPr>
        <w:footnoteReference w:id="330"/>
      </w:r>
      <w:r>
        <w:t xml:space="preserve"> </w:t>
      </w:r>
    </w:p>
    <w:p w14:paraId="5AC36A92" w14:textId="5708C62B" w:rsidR="004548FE" w:rsidRPr="00B73396" w:rsidRDefault="004548FE" w:rsidP="004548FE">
      <w:pPr>
        <w:pStyle w:val="Heading4"/>
      </w:pPr>
      <w:r>
        <w:t xml:space="preserve">Mobile Polling </w:t>
      </w:r>
    </w:p>
    <w:p w14:paraId="15F09F9F" w14:textId="34D03612" w:rsidR="00D15AB6" w:rsidRDefault="00D15AB6" w:rsidP="004548FE">
      <w:pPr>
        <w:pStyle w:val="BodyText"/>
      </w:pPr>
      <w:r>
        <w:t xml:space="preserve">During previous elections, the Electoral Commission conducted mobile polling at hospitals, </w:t>
      </w:r>
      <w:r w:rsidR="00FE202A">
        <w:t>aged care facilities</w:t>
      </w:r>
      <w:r>
        <w:t xml:space="preserve"> and the Alexander Maconochie Centre</w:t>
      </w:r>
      <w:r w:rsidR="00C86B86">
        <w:t xml:space="preserve">, but these activities were </w:t>
      </w:r>
      <w:r>
        <w:t>cancelled in 2020 due to the COVID-19 pandemic.</w:t>
      </w:r>
      <w:r w:rsidR="00C86B86">
        <w:rPr>
          <w:rStyle w:val="FootnoteReference"/>
        </w:rPr>
        <w:footnoteReference w:id="331"/>
      </w:r>
    </w:p>
    <w:p w14:paraId="458177EC" w14:textId="4AFC73B2" w:rsidR="004548FE" w:rsidRDefault="004548FE" w:rsidP="004548FE">
      <w:pPr>
        <w:pStyle w:val="BodyText"/>
      </w:pPr>
      <w:r>
        <w:t xml:space="preserve">As an alternative, </w:t>
      </w:r>
      <w:r w:rsidR="00C86B86">
        <w:t>the Electoral Commission worked with certain</w:t>
      </w:r>
      <w:r>
        <w:t xml:space="preserve"> </w:t>
      </w:r>
      <w:r w:rsidR="00C86B86">
        <w:t>‘</w:t>
      </w:r>
      <w:r>
        <w:t>eligible institutions</w:t>
      </w:r>
      <w:r w:rsidR="00C86B86">
        <w:t>’</w:t>
      </w:r>
      <w:r>
        <w:t xml:space="preserve"> </w:t>
      </w:r>
      <w:r w:rsidR="00C86B86">
        <w:t>to facilitate a ‘bulk and direct postal voting process’:</w:t>
      </w:r>
      <w:r w:rsidR="00C86B86">
        <w:rPr>
          <w:rStyle w:val="FootnoteReference"/>
        </w:rPr>
        <w:footnoteReference w:id="332"/>
      </w:r>
      <w:r w:rsidR="00C86B86">
        <w:t xml:space="preserve"> </w:t>
      </w:r>
    </w:p>
    <w:p w14:paraId="12E27EDD" w14:textId="57AA9024" w:rsidR="004548FE" w:rsidRDefault="004548FE" w:rsidP="00C86B86">
      <w:pPr>
        <w:pStyle w:val="Quote"/>
      </w:pPr>
      <w:r>
        <w:t>‘At the commencement of voting, each institution was delivered the postal vote packages for their residents in bulk… These postal votes were then returned to Elections ACT via the standard postal service.’</w:t>
      </w:r>
      <w:r w:rsidR="00C86B86">
        <w:rPr>
          <w:rStyle w:val="FootnoteReference"/>
        </w:rPr>
        <w:footnoteReference w:id="333"/>
      </w:r>
      <w:r>
        <w:t xml:space="preserve"> </w:t>
      </w:r>
    </w:p>
    <w:p w14:paraId="37F0817F" w14:textId="26252CD9" w:rsidR="00C86B86" w:rsidRDefault="00C86B86" w:rsidP="009873BE">
      <w:pPr>
        <w:pStyle w:val="BodyText"/>
      </w:pPr>
      <w:r>
        <w:t>ACT Greens expressed concern at this situation, suggesting that mobile polling may have been conducted under COVID-Safe measures, given the importance of democratic participation:</w:t>
      </w:r>
      <w:r>
        <w:rPr>
          <w:rStyle w:val="FootnoteReference"/>
        </w:rPr>
        <w:footnoteReference w:id="334"/>
      </w:r>
    </w:p>
    <w:p w14:paraId="0900D6BD" w14:textId="0A2AA15E" w:rsidR="00892BD3" w:rsidRPr="00892BD3" w:rsidRDefault="00174A57" w:rsidP="00C86B86">
      <w:pPr>
        <w:pStyle w:val="Quote"/>
      </w:pPr>
      <w:r>
        <w:t>‘</w:t>
      </w:r>
      <w:r w:rsidRPr="00174A57">
        <w:t xml:space="preserve">While postal voting was theoretically made available, it is unclear how widespread this take-up was. </w:t>
      </w:r>
      <w:r w:rsidR="00C86B86">
        <w:t xml:space="preserve"> </w:t>
      </w:r>
      <w:r w:rsidRPr="00174A57">
        <w:t>Problematically there was certainly no systematic way for voting information, party how-to-vote cards and party information to be circulated in these places</w:t>
      </w:r>
      <w:r w:rsidR="00C86B86">
        <w:t>.’</w:t>
      </w:r>
      <w:r w:rsidR="00C86B86">
        <w:rPr>
          <w:rStyle w:val="FootnoteReference"/>
        </w:rPr>
        <w:footnoteReference w:id="335"/>
      </w:r>
      <w:r>
        <w:t xml:space="preserve"> </w:t>
      </w:r>
    </w:p>
    <w:p w14:paraId="11FA1CB8" w14:textId="3B042ACE" w:rsidR="00DE3DB7" w:rsidRDefault="00DE3DB7" w:rsidP="007518C0">
      <w:pPr>
        <w:pStyle w:val="Heading4"/>
      </w:pPr>
      <w:r>
        <w:lastRenderedPageBreak/>
        <w:t xml:space="preserve">People with </w:t>
      </w:r>
      <w:r w:rsidR="00852ABE">
        <w:t>D</w:t>
      </w:r>
      <w:r>
        <w:t xml:space="preserve">isability </w:t>
      </w:r>
    </w:p>
    <w:p w14:paraId="401F4C55" w14:textId="5700FDEB" w:rsidR="00852ABE" w:rsidRDefault="00852ABE" w:rsidP="00D4717F">
      <w:pPr>
        <w:pStyle w:val="BodyText"/>
      </w:pPr>
      <w:r>
        <w:t>During the 2020 election, telephone voting services were offered to blind and vision impaired voters for the first time</w:t>
      </w:r>
      <w:r w:rsidR="00921D14">
        <w:t xml:space="preserve">.  The Electoral Commission used the </w:t>
      </w:r>
      <w:proofErr w:type="spellStart"/>
      <w:r w:rsidR="00921D14">
        <w:t>eVACS</w:t>
      </w:r>
      <w:proofErr w:type="spellEnd"/>
      <w:r w:rsidR="00921D14">
        <w:t xml:space="preserve"> system to provide a secret and independent voting process for people to use from their location of choice:</w:t>
      </w:r>
      <w:r>
        <w:t xml:space="preserve">  </w:t>
      </w:r>
    </w:p>
    <w:p w14:paraId="2502519D" w14:textId="4C7F6982" w:rsidR="00D4717F" w:rsidRDefault="00D4717F" w:rsidP="00852ABE">
      <w:pPr>
        <w:pStyle w:val="Quote"/>
      </w:pPr>
      <w:r>
        <w:t xml:space="preserve">‘While </w:t>
      </w:r>
      <w:proofErr w:type="spellStart"/>
      <w:r>
        <w:t>eVACS</w:t>
      </w:r>
      <w:proofErr w:type="spellEnd"/>
      <w:r>
        <w:t>® has long provided electors with vision impairment the ability to cast an unassisted secret vote at ACT elections, it became apparent following the 2017 Select Committee inquiry into the 2016 ACT election, that some blind and vision impaired electors were seeking an ability to cast their vote in secret and unassisted from home, without the often difficult and sometime confronting requirement to attend an electronic voting location.’</w:t>
      </w:r>
      <w:r w:rsidR="00852ABE">
        <w:rPr>
          <w:rStyle w:val="FootnoteReference"/>
        </w:rPr>
        <w:footnoteReference w:id="336"/>
      </w:r>
      <w:r>
        <w:t xml:space="preserve"> </w:t>
      </w:r>
    </w:p>
    <w:p w14:paraId="18B6AE3A" w14:textId="2576E73B" w:rsidR="00921D14" w:rsidRDefault="00921D14" w:rsidP="00D4717F">
      <w:pPr>
        <w:pStyle w:val="BodyText"/>
      </w:pPr>
      <w:r>
        <w:t>Telephone voting was accessed by 52 people during the 2020 election.</w:t>
      </w:r>
      <w:r>
        <w:rPr>
          <w:rStyle w:val="FootnoteReference"/>
        </w:rPr>
        <w:footnoteReference w:id="337"/>
      </w:r>
    </w:p>
    <w:p w14:paraId="5D918737" w14:textId="33C937D2" w:rsidR="00921D14" w:rsidRDefault="00921D14" w:rsidP="00D4717F">
      <w:pPr>
        <w:pStyle w:val="BodyText"/>
      </w:pPr>
      <w:r>
        <w:t>The legislation authorising telephone voting was established temporarily in the context of the COVID-19 pandemic.  In its report on the 2020 Election, the Electoral Commission recommended amending the Electoral Act to re-introduce supporting legislation to provide for telephone voting for electors who are blind or vision impaired.</w:t>
      </w:r>
    </w:p>
    <w:p w14:paraId="49EA87A7" w14:textId="0622CE5D" w:rsidR="006353FE" w:rsidRDefault="006353FE" w:rsidP="006353FE">
      <w:pPr>
        <w:pStyle w:val="Heading5"/>
      </w:pPr>
      <w:r>
        <w:t>Committee Comment</w:t>
      </w:r>
    </w:p>
    <w:p w14:paraId="58ECA420" w14:textId="54ED6C88" w:rsidR="00E7130C" w:rsidRPr="006353FE" w:rsidRDefault="006353FE" w:rsidP="006353FE">
      <w:pPr>
        <w:pStyle w:val="BodyText"/>
      </w:pPr>
      <w:r>
        <w:t xml:space="preserve">The Committee supports the continued availability of telephone </w:t>
      </w:r>
      <w:proofErr w:type="gramStart"/>
      <w:r>
        <w:t>voting, and</w:t>
      </w:r>
      <w:proofErr w:type="gramEnd"/>
      <w:r>
        <w:t xml:space="preserve"> encourages the Electoral Commission to assess whether it </w:t>
      </w:r>
      <w:r w:rsidR="00C167EA">
        <w:t xml:space="preserve">should </w:t>
      </w:r>
      <w:r>
        <w:t xml:space="preserve">be made available and promoted to people with other forms of disability to improve their access to the electoral process.  </w:t>
      </w:r>
    </w:p>
    <w:tbl>
      <w:tblPr>
        <w:tblStyle w:val="TableGrid"/>
        <w:tblW w:w="9209" w:type="dxa"/>
        <w:tblInd w:w="-142" w:type="dxa"/>
        <w:tblLook w:val="04A0" w:firstRow="1" w:lastRow="0" w:firstColumn="1" w:lastColumn="0" w:noHBand="0" w:noVBand="1"/>
      </w:tblPr>
      <w:tblGrid>
        <w:gridCol w:w="9209"/>
      </w:tblGrid>
      <w:tr w:rsidR="00E7130C" w14:paraId="09C5E63F"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43776245" w14:textId="720FF517" w:rsidR="00E7130C" w:rsidRDefault="00E7130C" w:rsidP="00E7130C">
            <w:pPr>
              <w:pStyle w:val="RecommendationHeading"/>
            </w:pPr>
            <w:bookmarkStart w:id="174" w:name="_Toc78382556"/>
            <w:r>
              <w:t xml:space="preserve">Recommendation </w:t>
            </w:r>
            <w:r w:rsidR="00D02D0E">
              <w:rPr>
                <w:noProof/>
              </w:rPr>
              <w:t>4</w:t>
            </w:r>
            <w:r w:rsidR="00327FC7">
              <w:rPr>
                <w:noProof/>
              </w:rPr>
              <w:t>5</w:t>
            </w:r>
            <w:bookmarkEnd w:id="174"/>
          </w:p>
          <w:p w14:paraId="1BA4510B" w14:textId="7260E78A" w:rsidR="00E7130C" w:rsidRPr="00962807" w:rsidRDefault="00E7130C" w:rsidP="00E7130C">
            <w:pPr>
              <w:pStyle w:val="RecommendationText"/>
            </w:pPr>
            <w:bookmarkStart w:id="175" w:name="_Toc78382557"/>
            <w:r w:rsidRPr="00E7130C">
              <w:t xml:space="preserve">The Committee recommends the Electoral Act be amended to permanently reintroduce supporting legislation for telephone voting for voters </w:t>
            </w:r>
            <w:r w:rsidR="006353FE">
              <w:t>with disability</w:t>
            </w:r>
            <w:r w:rsidR="00921D14">
              <w:t>.</w:t>
            </w:r>
            <w:bookmarkEnd w:id="175"/>
          </w:p>
        </w:tc>
      </w:tr>
    </w:tbl>
    <w:p w14:paraId="4B00ADB6" w14:textId="77777777" w:rsidR="00921D14" w:rsidRDefault="00921D14" w:rsidP="00921D14">
      <w:pPr>
        <w:pStyle w:val="BodyText"/>
      </w:pPr>
      <w:r>
        <w:t>During hearings, ACTCOSS drew attention to the fact that most polling places are at schools, and told the Committee there are currently no school buildings in the ACT that meet Disability Standards for full accessibility:</w:t>
      </w:r>
    </w:p>
    <w:p w14:paraId="7414F07D" w14:textId="77777777" w:rsidR="00921D14" w:rsidRDefault="00921D14" w:rsidP="00921D14">
      <w:pPr>
        <w:pStyle w:val="Quote"/>
      </w:pPr>
      <w:r>
        <w:t>‘</w:t>
      </w:r>
      <w:r w:rsidRPr="00B97EE4">
        <w:t>all of the ACT’s 89 polling places are registered as accessible with assistance, but none were registered as fully accessible</w:t>
      </w:r>
      <w:r>
        <w:t>.’</w:t>
      </w:r>
      <w:r>
        <w:rPr>
          <w:rStyle w:val="FootnoteReference"/>
        </w:rPr>
        <w:footnoteReference w:id="338"/>
      </w:r>
    </w:p>
    <w:p w14:paraId="6DBBE5AE" w14:textId="790997E0" w:rsidR="006353FE" w:rsidRDefault="006353FE" w:rsidP="0096517D">
      <w:pPr>
        <w:pStyle w:val="BodyText"/>
      </w:pPr>
      <w:r>
        <w:lastRenderedPageBreak/>
        <w:t>ACTCOSS also encouraged the community not to assume that people with cognitive or psychosocial disability lack capacity to vote in an election:</w:t>
      </w:r>
    </w:p>
    <w:p w14:paraId="4B77FACA" w14:textId="0794CDBC" w:rsidR="0096517D" w:rsidRDefault="0096517D" w:rsidP="006353FE">
      <w:pPr>
        <w:pStyle w:val="Quote"/>
      </w:pPr>
      <w:r>
        <w:t>‘</w:t>
      </w:r>
      <w:r w:rsidRPr="0096517D">
        <w:t>We should not have the default assumption that people who are in residential settings, or who might have diminished cognitive ability in one area of their lives, are not entitled to vote and do not have important things to say about the standards of services and supports that are available to them.</w:t>
      </w:r>
      <w:r>
        <w:t>’</w:t>
      </w:r>
      <w:r w:rsidR="006353FE">
        <w:rPr>
          <w:rStyle w:val="FootnoteReference"/>
        </w:rPr>
        <w:footnoteReference w:id="339"/>
      </w:r>
      <w:r>
        <w:t xml:space="preserve"> </w:t>
      </w:r>
    </w:p>
    <w:p w14:paraId="60C41E7F" w14:textId="2FCE585D" w:rsidR="00DE3DB7" w:rsidRDefault="007518C0" w:rsidP="007518C0">
      <w:pPr>
        <w:pStyle w:val="Heading4"/>
      </w:pPr>
      <w:r>
        <w:t>People experiencing H</w:t>
      </w:r>
      <w:r w:rsidR="00DE3DB7">
        <w:t>omelessness</w:t>
      </w:r>
    </w:p>
    <w:p w14:paraId="7A2240F1" w14:textId="36832DE7" w:rsidR="00C167EA" w:rsidRDefault="00C167EA" w:rsidP="00C167EA">
      <w:pPr>
        <w:pStyle w:val="BodyText"/>
      </w:pPr>
      <w:r>
        <w:t xml:space="preserve">During the 2020 election, the Electoral Commission established a polling place at a </w:t>
      </w:r>
      <w:r w:rsidR="00A3668B">
        <w:t>venue</w:t>
      </w:r>
      <w:r>
        <w:t xml:space="preserve"> accessible to people experiencing homelessness.  The polling place at the Early Morning Centre on Northbourne Avenue in Civic was open for two hours on 12 and 13 October 2021:</w:t>
      </w:r>
      <w:r>
        <w:rPr>
          <w:rStyle w:val="FootnoteReference"/>
        </w:rPr>
        <w:footnoteReference w:id="340"/>
      </w:r>
      <w:r>
        <w:t xml:space="preserve">  </w:t>
      </w:r>
    </w:p>
    <w:p w14:paraId="13DEA70B" w14:textId="3778FFB9" w:rsidR="00C167EA" w:rsidRDefault="00C167EA" w:rsidP="00C167EA">
      <w:pPr>
        <w:pStyle w:val="Quote"/>
      </w:pPr>
      <w:r>
        <w:t>‘The centre was open on two separate days in the final week of early voting, between the hours of 9:00am and 11:00am when the centre is typically at its busiest serving breakfast.’</w:t>
      </w:r>
      <w:r>
        <w:rPr>
          <w:rStyle w:val="FootnoteReference"/>
        </w:rPr>
        <w:footnoteReference w:id="341"/>
      </w:r>
      <w:r>
        <w:t xml:space="preserve"> </w:t>
      </w:r>
    </w:p>
    <w:p w14:paraId="5FBB157B" w14:textId="058C66FF" w:rsidR="00C167EA" w:rsidRDefault="00C167EA" w:rsidP="00C167EA">
      <w:pPr>
        <w:pStyle w:val="Quote"/>
      </w:pPr>
      <w:r>
        <w:t>‘While only six votes were taken at the EMC over the two days, it was an important first step in increasing the services provided to homeless electors.’</w:t>
      </w:r>
      <w:r>
        <w:rPr>
          <w:rStyle w:val="FootnoteReference"/>
        </w:rPr>
        <w:footnoteReference w:id="342"/>
      </w:r>
      <w:r>
        <w:t xml:space="preserve"> </w:t>
      </w:r>
    </w:p>
    <w:p w14:paraId="03520E64" w14:textId="50059A3C" w:rsidR="00C167EA" w:rsidRDefault="00C167EA" w:rsidP="00C167EA">
      <w:pPr>
        <w:pStyle w:val="BodyText"/>
      </w:pPr>
      <w:r>
        <w:t xml:space="preserve">The Electoral Commission told the Committee that their preference was to </w:t>
      </w:r>
      <w:r w:rsidR="00A3668B">
        <w:t>engage with homeless electors at a range of locations across Canberra, however this type of activity is classified as mobile polling under the Electoral Act and currently limited to correctional centres and institutions that meet the definition of ‘special hospital’ in s149A Electoral Act, such as hospitals and aged care facilities.</w:t>
      </w:r>
      <w:r w:rsidR="00A3668B">
        <w:rPr>
          <w:rStyle w:val="FootnoteReference"/>
        </w:rPr>
        <w:footnoteReference w:id="343"/>
      </w:r>
      <w:r w:rsidR="00A3668B">
        <w:t xml:space="preserve">  </w:t>
      </w:r>
    </w:p>
    <w:p w14:paraId="2D51A2E0" w14:textId="77777777" w:rsidR="00C167EA" w:rsidRDefault="00C167EA" w:rsidP="00C167EA">
      <w:pPr>
        <w:pStyle w:val="BodyText"/>
      </w:pPr>
      <w:r>
        <w:t>In its report on the 2020 Election, the Electoral Commission recommended amending Division 10.5 Electoral Act to allow mobile polling to be conducted at locations across the ACT where homeless electors congregate to access government and welfare services.</w:t>
      </w:r>
      <w:r>
        <w:rPr>
          <w:rStyle w:val="FootnoteReference"/>
        </w:rPr>
        <w:footnoteReference w:id="344"/>
      </w:r>
    </w:p>
    <w:p w14:paraId="44AD835A" w14:textId="4F976C52" w:rsidR="0086591C" w:rsidRDefault="004548FE" w:rsidP="004548FE">
      <w:pPr>
        <w:pStyle w:val="Heading5"/>
      </w:pPr>
      <w:r>
        <w:t>Committee comment</w:t>
      </w:r>
    </w:p>
    <w:p w14:paraId="21D260C9" w14:textId="7BB401ED" w:rsidR="004548FE" w:rsidRPr="004548FE" w:rsidRDefault="004548FE" w:rsidP="004548FE">
      <w:pPr>
        <w:pStyle w:val="BodyText"/>
      </w:pPr>
      <w:r w:rsidRPr="004548FE">
        <w:t>The Committee agrees with the Electoral Commission that the</w:t>
      </w:r>
      <w:r>
        <w:t>ir</w:t>
      </w:r>
      <w:r w:rsidRPr="004548FE">
        <w:t xml:space="preserve"> effort</w:t>
      </w:r>
      <w:r>
        <w:t>s</w:t>
      </w:r>
      <w:r w:rsidRPr="004548FE">
        <w:t xml:space="preserve"> to engage with people experiencing homelessness during the 2020 election was an important first </w:t>
      </w:r>
      <w:proofErr w:type="gramStart"/>
      <w:r w:rsidRPr="004548FE">
        <w:t>step, and</w:t>
      </w:r>
      <w:proofErr w:type="gramEnd"/>
      <w:r w:rsidRPr="004548FE">
        <w:t xml:space="preserve"> encourages further </w:t>
      </w:r>
      <w:r>
        <w:t>work</w:t>
      </w:r>
      <w:r w:rsidRPr="004548FE">
        <w:t xml:space="preserve"> in this area.  </w:t>
      </w:r>
    </w:p>
    <w:tbl>
      <w:tblPr>
        <w:tblStyle w:val="TableGrid"/>
        <w:tblW w:w="9209" w:type="dxa"/>
        <w:tblInd w:w="-142" w:type="dxa"/>
        <w:tblLook w:val="04A0" w:firstRow="1" w:lastRow="0" w:firstColumn="1" w:lastColumn="0" w:noHBand="0" w:noVBand="1"/>
      </w:tblPr>
      <w:tblGrid>
        <w:gridCol w:w="9209"/>
      </w:tblGrid>
      <w:tr w:rsidR="00E7130C" w14:paraId="2081C698"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05724C4" w14:textId="108F1268" w:rsidR="00E7130C" w:rsidRDefault="00E7130C" w:rsidP="00E7130C">
            <w:pPr>
              <w:pStyle w:val="RecommendationHeading"/>
            </w:pPr>
            <w:bookmarkStart w:id="176" w:name="_Toc78382558"/>
            <w:r>
              <w:lastRenderedPageBreak/>
              <w:t xml:space="preserve">Recommendation </w:t>
            </w:r>
            <w:r w:rsidR="00D02D0E">
              <w:rPr>
                <w:noProof/>
              </w:rPr>
              <w:t>4</w:t>
            </w:r>
            <w:r w:rsidR="00327FC7">
              <w:rPr>
                <w:noProof/>
              </w:rPr>
              <w:t>6</w:t>
            </w:r>
            <w:bookmarkEnd w:id="176"/>
          </w:p>
          <w:p w14:paraId="145BCADA" w14:textId="4F158CCE" w:rsidR="00E7130C" w:rsidRPr="00962807" w:rsidRDefault="00E7130C" w:rsidP="00E7130C">
            <w:pPr>
              <w:pStyle w:val="RecommendationText"/>
            </w:pPr>
            <w:bookmarkStart w:id="177" w:name="_Toc78382559"/>
            <w:r w:rsidRPr="00E7130C">
              <w:t>The Committee recommends the Electoral Act be amended to allow mobile polling to be conducted at locations across the ACT where</w:t>
            </w:r>
            <w:r w:rsidR="00776B84">
              <w:t xml:space="preserve"> people experiencing</w:t>
            </w:r>
            <w:r w:rsidRPr="00E7130C">
              <w:t xml:space="preserve"> homeless </w:t>
            </w:r>
            <w:r w:rsidR="00776B84">
              <w:t>gather</w:t>
            </w:r>
            <w:r w:rsidRPr="00E7130C">
              <w:t xml:space="preserve"> to access government services</w:t>
            </w:r>
            <w:r w:rsidR="00776B84">
              <w:t xml:space="preserve"> and community support</w:t>
            </w:r>
            <w:r>
              <w:t>.</w:t>
            </w:r>
            <w:bookmarkEnd w:id="177"/>
          </w:p>
        </w:tc>
      </w:tr>
    </w:tbl>
    <w:p w14:paraId="4CF20192" w14:textId="6CC9B6E4" w:rsidR="00DE3DB7" w:rsidRDefault="00DE3DB7" w:rsidP="007518C0">
      <w:pPr>
        <w:pStyle w:val="Heading4"/>
      </w:pPr>
      <w:r>
        <w:t>Detainees in Alexander Maconochie Centre</w:t>
      </w:r>
    </w:p>
    <w:p w14:paraId="5F768A44" w14:textId="6A5A8FA7" w:rsidR="00A3668B" w:rsidRPr="00366A9C" w:rsidRDefault="00A3668B" w:rsidP="00A3668B">
      <w:pPr>
        <w:pStyle w:val="BodyText"/>
      </w:pPr>
      <w:r>
        <w:t xml:space="preserve">As mentioned </w:t>
      </w:r>
      <w:r w:rsidRPr="00366A9C">
        <w:t>above at paragraph</w:t>
      </w:r>
      <w:r w:rsidR="007632FA" w:rsidRPr="00366A9C">
        <w:t xml:space="preserve"> 9.12</w:t>
      </w:r>
      <w:r w:rsidRPr="00366A9C">
        <w:t>, during previous elections, the Electoral Commission conducted mobile polling at the Alexander Maconochie Centre</w:t>
      </w:r>
      <w:r w:rsidR="00543786" w:rsidRPr="00366A9C">
        <w:t xml:space="preserve"> (AMC)</w:t>
      </w:r>
      <w:r w:rsidRPr="00366A9C">
        <w:t>, but these activities were cancelled in 2020 due to the COVID-19 pandemic.</w:t>
      </w:r>
      <w:r w:rsidR="00543786" w:rsidRPr="00366A9C">
        <w:t xml:space="preserve">  The </w:t>
      </w:r>
      <w:r w:rsidR="00FE202A" w:rsidRPr="00366A9C">
        <w:t xml:space="preserve">Electoral Commission reported that the </w:t>
      </w:r>
      <w:r w:rsidR="00543786" w:rsidRPr="00366A9C">
        <w:t>special arrangements put in place for the AMC were as follows:</w:t>
      </w:r>
    </w:p>
    <w:p w14:paraId="55FB06F8" w14:textId="670CC900" w:rsidR="00700809" w:rsidRPr="00366A9C" w:rsidRDefault="00700809" w:rsidP="00543786">
      <w:pPr>
        <w:pStyle w:val="Quote"/>
      </w:pPr>
      <w:r w:rsidRPr="00366A9C">
        <w:t xml:space="preserve">‘Instead of conducting mobile polling activities, alternate arrangements were made with Corrective Services to collect postal vote applications for </w:t>
      </w:r>
      <w:proofErr w:type="spellStart"/>
      <w:r w:rsidRPr="00366A9C">
        <w:t>remandees</w:t>
      </w:r>
      <w:proofErr w:type="spellEnd"/>
      <w:r w:rsidRPr="00366A9C">
        <w:t xml:space="preserve"> and prisoners at AMC.  A total of 74 electors requested a postal vote through this means.  Elections ACT then arranged for the distribution of these postal packs through Corrective Services.  </w:t>
      </w:r>
      <w:proofErr w:type="spellStart"/>
      <w:r w:rsidRPr="00366A9C">
        <w:t>Remandees</w:t>
      </w:r>
      <w:proofErr w:type="spellEnd"/>
      <w:r w:rsidRPr="00366A9C">
        <w:t xml:space="preserve"> and prisoners returned their completed postal votes through the postal service.’</w:t>
      </w:r>
      <w:r w:rsidR="00FE202A" w:rsidRPr="00366A9C">
        <w:rPr>
          <w:rStyle w:val="FootnoteReference"/>
        </w:rPr>
        <w:footnoteReference w:id="345"/>
      </w:r>
      <w:r w:rsidRPr="00366A9C">
        <w:t xml:space="preserve"> </w:t>
      </w:r>
    </w:p>
    <w:p w14:paraId="4D533358" w14:textId="552818F0" w:rsidR="00A3668B" w:rsidRPr="00366A9C" w:rsidRDefault="00543786" w:rsidP="003D2BD5">
      <w:pPr>
        <w:pStyle w:val="BodyText"/>
      </w:pPr>
      <w:r w:rsidRPr="00366A9C">
        <w:t xml:space="preserve">ACT Greens expressed concern about the cancellation of mobile </w:t>
      </w:r>
      <w:r w:rsidR="00941045" w:rsidRPr="00366A9C">
        <w:t>polling</w:t>
      </w:r>
      <w:r w:rsidRPr="00366A9C">
        <w:t xml:space="preserve"> (see paragraph </w:t>
      </w:r>
      <w:r w:rsidR="007632FA" w:rsidRPr="00366A9C">
        <w:t>9.14</w:t>
      </w:r>
      <w:r w:rsidRPr="00366A9C">
        <w:t xml:space="preserve">).  </w:t>
      </w:r>
    </w:p>
    <w:p w14:paraId="26DF32D6" w14:textId="35BCC65E" w:rsidR="00802A5C" w:rsidRPr="00802A5C" w:rsidRDefault="00941045" w:rsidP="00802A5C">
      <w:pPr>
        <w:pStyle w:val="BodyText"/>
      </w:pPr>
      <w:r>
        <w:t>ACTCOSS made a submission expressing concern about ‘</w:t>
      </w:r>
      <w:r w:rsidRPr="0042771A">
        <w:t>the apparent failure to fully include Alexander Maconochie Centre (AMC) detainees in the democratic process.’</w:t>
      </w:r>
      <w:r>
        <w:t xml:space="preserve">  They told the Committee that community workers</w:t>
      </w:r>
      <w:r w:rsidR="00802A5C" w:rsidRPr="00802A5C">
        <w:t xml:space="preserve"> providing services in AMC ‘are not aware of any inmates receiving information on candidate or party platforms before the election.’</w:t>
      </w:r>
      <w:r>
        <w:rPr>
          <w:rStyle w:val="FootnoteReference"/>
        </w:rPr>
        <w:footnoteReference w:id="346"/>
      </w:r>
    </w:p>
    <w:p w14:paraId="742A7077" w14:textId="003F9719" w:rsidR="00941045" w:rsidRDefault="00941045" w:rsidP="0042771A">
      <w:pPr>
        <w:pStyle w:val="BodyText"/>
      </w:pPr>
      <w:r>
        <w:t>ACTCOSS suggested that candidates, parties, the AMC and JACS Directorate ensure people detained at AMC during future elections receive access to electoral information.</w:t>
      </w:r>
      <w:r>
        <w:rPr>
          <w:rStyle w:val="FootnoteReference"/>
        </w:rPr>
        <w:footnoteReference w:id="347"/>
      </w:r>
    </w:p>
    <w:tbl>
      <w:tblPr>
        <w:tblStyle w:val="TableGrid"/>
        <w:tblW w:w="9209" w:type="dxa"/>
        <w:tblInd w:w="-142" w:type="dxa"/>
        <w:tblLook w:val="04A0" w:firstRow="1" w:lastRow="0" w:firstColumn="1" w:lastColumn="0" w:noHBand="0" w:noVBand="1"/>
      </w:tblPr>
      <w:tblGrid>
        <w:gridCol w:w="9209"/>
      </w:tblGrid>
      <w:tr w:rsidR="00E7130C" w14:paraId="24261296"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8D3CDE" w14:textId="341EE3A2" w:rsidR="00E7130C" w:rsidRDefault="00E7130C" w:rsidP="00E7130C">
            <w:pPr>
              <w:pStyle w:val="RecommendationHeading"/>
            </w:pPr>
            <w:bookmarkStart w:id="178" w:name="_Toc78382560"/>
            <w:r>
              <w:t xml:space="preserve">Recommendation </w:t>
            </w:r>
            <w:r w:rsidR="00D02D0E">
              <w:rPr>
                <w:noProof/>
              </w:rPr>
              <w:t>4</w:t>
            </w:r>
            <w:r w:rsidR="00327FC7">
              <w:rPr>
                <w:noProof/>
              </w:rPr>
              <w:t>7</w:t>
            </w:r>
            <w:bookmarkEnd w:id="178"/>
          </w:p>
          <w:p w14:paraId="56480649" w14:textId="256661EE" w:rsidR="00E7130C" w:rsidRPr="00962807" w:rsidRDefault="00E7130C" w:rsidP="00E7130C">
            <w:pPr>
              <w:pStyle w:val="RecommendationText"/>
            </w:pPr>
            <w:bookmarkStart w:id="179" w:name="_Toc78382561"/>
            <w:r w:rsidRPr="00366A9C">
              <w:t xml:space="preserve">The Committee recommends that ACT Government </w:t>
            </w:r>
            <w:r w:rsidR="00E249ED" w:rsidRPr="00366A9C">
              <w:t>investigate options for</w:t>
            </w:r>
            <w:r w:rsidRPr="00366A9C">
              <w:t xml:space="preserve"> a process</w:t>
            </w:r>
            <w:r w:rsidRPr="00E7130C">
              <w:t xml:space="preserve"> whereby parties and candidates can submit electoral material for distribution to detainees at Alexander Maconochie Centre</w:t>
            </w:r>
            <w:r>
              <w:t>.</w:t>
            </w:r>
            <w:bookmarkEnd w:id="179"/>
          </w:p>
        </w:tc>
      </w:tr>
    </w:tbl>
    <w:p w14:paraId="11333924" w14:textId="0B4D5F61" w:rsidR="00DE3DB7" w:rsidRDefault="00DE3DB7" w:rsidP="007518C0">
      <w:pPr>
        <w:pStyle w:val="Heading4"/>
      </w:pPr>
      <w:r>
        <w:lastRenderedPageBreak/>
        <w:t>People from non-English</w:t>
      </w:r>
      <w:r w:rsidR="007518C0">
        <w:t>-</w:t>
      </w:r>
      <w:r>
        <w:t xml:space="preserve">speaking backgrounds </w:t>
      </w:r>
    </w:p>
    <w:p w14:paraId="000183C6" w14:textId="7A853855" w:rsidR="00B73396" w:rsidRDefault="00817C42" w:rsidP="00817C42">
      <w:pPr>
        <w:pStyle w:val="BodyText"/>
      </w:pPr>
      <w:r>
        <w:t>During previous elections, the Electoral Commission engaged bilingual educators to conduct outreach activities with multicultural communities, but these activities were cancelled in 2020 due to the COVID-19 pandemic.</w:t>
      </w:r>
      <w:r>
        <w:rPr>
          <w:rStyle w:val="FootnoteReference"/>
        </w:rPr>
        <w:footnoteReference w:id="348"/>
      </w:r>
    </w:p>
    <w:p w14:paraId="2F082B19" w14:textId="5816B77E" w:rsidR="00A33EF3" w:rsidRDefault="00A33EF3" w:rsidP="00A33EF3">
      <w:pPr>
        <w:pStyle w:val="BodyText"/>
        <w:spacing w:before="0"/>
      </w:pPr>
      <w:r>
        <w:t xml:space="preserve">ACT Greens </w:t>
      </w:r>
      <w:r w:rsidR="00817C42">
        <w:t xml:space="preserve">congratulated the Electoral Commission </w:t>
      </w:r>
      <w:r w:rsidR="00FE202A">
        <w:t>on</w:t>
      </w:r>
      <w:r w:rsidR="00817C42">
        <w:t xml:space="preserve"> the translation of electronic</w:t>
      </w:r>
      <w:r>
        <w:t xml:space="preserve"> voting instructions in</w:t>
      </w:r>
      <w:r w:rsidR="00FE202A">
        <w:t>to</w:t>
      </w:r>
      <w:r>
        <w:t xml:space="preserve"> 12 languages (</w:t>
      </w:r>
      <w:r w:rsidRPr="00A33EF3">
        <w:t>Arabic, Chinese, Croatian, English, Greek, Italian, Lao, Persian (Farsi), Serbian, Spanish, Turkish and Vietnamese</w:t>
      </w:r>
      <w:r>
        <w:t xml:space="preserve">), but suggested this information also be </w:t>
      </w:r>
      <w:r w:rsidR="00817C42">
        <w:t xml:space="preserve">made </w:t>
      </w:r>
      <w:r>
        <w:t>available for people voting on ballot papers.</w:t>
      </w:r>
      <w:r>
        <w:rPr>
          <w:rStyle w:val="FootnoteReference"/>
        </w:rPr>
        <w:footnoteReference w:id="349"/>
      </w:r>
    </w:p>
    <w:tbl>
      <w:tblPr>
        <w:tblStyle w:val="TableGrid"/>
        <w:tblW w:w="9209" w:type="dxa"/>
        <w:tblInd w:w="-142" w:type="dxa"/>
        <w:tblLook w:val="04A0" w:firstRow="1" w:lastRow="0" w:firstColumn="1" w:lastColumn="0" w:noHBand="0" w:noVBand="1"/>
      </w:tblPr>
      <w:tblGrid>
        <w:gridCol w:w="9209"/>
      </w:tblGrid>
      <w:tr w:rsidR="00E7130C" w14:paraId="44886661" w14:textId="77777777" w:rsidTr="00E7130C">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5922E393" w14:textId="3E2168A7" w:rsidR="00E7130C" w:rsidRDefault="00E7130C" w:rsidP="00E7130C">
            <w:pPr>
              <w:pStyle w:val="RecommendationHeading"/>
            </w:pPr>
            <w:bookmarkStart w:id="180" w:name="_Toc78382562"/>
            <w:r>
              <w:t xml:space="preserve">Recommendation </w:t>
            </w:r>
            <w:r w:rsidR="00D02D0E">
              <w:rPr>
                <w:noProof/>
              </w:rPr>
              <w:t>4</w:t>
            </w:r>
            <w:r w:rsidR="00327FC7">
              <w:rPr>
                <w:noProof/>
              </w:rPr>
              <w:t>8</w:t>
            </w:r>
            <w:bookmarkEnd w:id="180"/>
          </w:p>
          <w:p w14:paraId="4330DC83" w14:textId="3CFF11C5" w:rsidR="00E7130C" w:rsidRPr="00962807" w:rsidRDefault="00E7130C" w:rsidP="00E7130C">
            <w:pPr>
              <w:pStyle w:val="RecommendationText"/>
            </w:pPr>
            <w:bookmarkStart w:id="181" w:name="_Toc78382563"/>
            <w:r w:rsidRPr="00E7130C">
              <w:t xml:space="preserve">The Committee recommends that </w:t>
            </w:r>
            <w:r w:rsidR="00A33EF3">
              <w:t>voting instructions</w:t>
            </w:r>
            <w:r w:rsidRPr="00E7130C">
              <w:t xml:space="preserve"> in multiple languages be </w:t>
            </w:r>
            <w:r w:rsidR="00A33EF3">
              <w:t xml:space="preserve">provided </w:t>
            </w:r>
            <w:r w:rsidR="00817C42">
              <w:t>to</w:t>
            </w:r>
            <w:r w:rsidR="00FE202A">
              <w:t xml:space="preserve"> </w:t>
            </w:r>
            <w:r w:rsidR="00C6434E">
              <w:t xml:space="preserve">voters using </w:t>
            </w:r>
            <w:r w:rsidR="00F50E33">
              <w:t>either</w:t>
            </w:r>
            <w:r w:rsidR="00C6434E">
              <w:t xml:space="preserve"> electronic voting </w:t>
            </w:r>
            <w:r w:rsidR="00F50E33">
              <w:t>or</w:t>
            </w:r>
            <w:r w:rsidR="00C6434E">
              <w:t xml:space="preserve"> paper ballots</w:t>
            </w:r>
            <w:r w:rsidR="00817C42">
              <w:t xml:space="preserve"> </w:t>
            </w:r>
            <w:r w:rsidR="00FE202A">
              <w:t>in future elections</w:t>
            </w:r>
            <w:r w:rsidR="00A33EF3">
              <w:t>.</w:t>
            </w:r>
            <w:bookmarkEnd w:id="181"/>
            <w:r w:rsidR="00A33EF3">
              <w:t xml:space="preserve"> </w:t>
            </w:r>
          </w:p>
        </w:tc>
      </w:tr>
    </w:tbl>
    <w:p w14:paraId="4065BC4F" w14:textId="05F99A8E" w:rsidR="003D2BD5" w:rsidRDefault="003D2BD5" w:rsidP="003D2BD5">
      <w:pPr>
        <w:pStyle w:val="Heading2"/>
      </w:pPr>
      <w:bookmarkStart w:id="182" w:name="_Toc78535762"/>
      <w:r>
        <w:lastRenderedPageBreak/>
        <w:t>Lowering the Voting Age</w:t>
      </w:r>
      <w:bookmarkEnd w:id="182"/>
    </w:p>
    <w:p w14:paraId="0D6ACF4A" w14:textId="6D8787EC" w:rsidR="00DB6ED1" w:rsidRDefault="00DB6ED1" w:rsidP="009814DC">
      <w:pPr>
        <w:pStyle w:val="Heading4"/>
      </w:pPr>
      <w:r>
        <w:t xml:space="preserve">Legislative Framework </w:t>
      </w:r>
    </w:p>
    <w:p w14:paraId="300E5D9C" w14:textId="1AD33297" w:rsidR="00606EB6" w:rsidRDefault="00B31581" w:rsidP="00606EB6">
      <w:pPr>
        <w:pStyle w:val="BodyText"/>
      </w:pPr>
      <w:r w:rsidRPr="00B31581">
        <w:t>The</w:t>
      </w:r>
      <w:r>
        <w:rPr>
          <w:i/>
          <w:iCs/>
        </w:rPr>
        <w:t xml:space="preserve"> </w:t>
      </w:r>
      <w:r w:rsidR="00606EB6" w:rsidRPr="00606EB6">
        <w:rPr>
          <w:i/>
          <w:iCs/>
        </w:rPr>
        <w:t>Australian Capital Territory (Self-Government) Act 1988</w:t>
      </w:r>
      <w:r w:rsidR="00606EB6">
        <w:t xml:space="preserve"> (the Self-Government Act)</w:t>
      </w:r>
      <w:r>
        <w:t xml:space="preserve"> is an instrument of the Australian Parliament that</w:t>
      </w:r>
      <w:r w:rsidR="00606EB6">
        <w:t xml:space="preserve"> gives the Assembly the power to legislate for electoral matters, </w:t>
      </w:r>
      <w:r>
        <w:t xml:space="preserve">within certain </w:t>
      </w:r>
      <w:r w:rsidR="007D1341">
        <w:t xml:space="preserve">declared </w:t>
      </w:r>
      <w:r>
        <w:t>limits</w:t>
      </w:r>
      <w:r w:rsidR="00606EB6">
        <w:t>.</w:t>
      </w:r>
    </w:p>
    <w:p w14:paraId="738BED29" w14:textId="50BCC337" w:rsidR="00606EB6" w:rsidRDefault="007D1341" w:rsidP="00606EB6">
      <w:pPr>
        <w:pStyle w:val="BodyText"/>
      </w:pPr>
      <w:r>
        <w:t>The</w:t>
      </w:r>
      <w:r w:rsidR="00606EB6">
        <w:t xml:space="preserve"> </w:t>
      </w:r>
      <w:r w:rsidR="00606EB6" w:rsidRPr="007D1341">
        <w:rPr>
          <w:i/>
          <w:iCs/>
        </w:rPr>
        <w:t>Electoral Act 1992</w:t>
      </w:r>
      <w:r>
        <w:t xml:space="preserve"> (ACT) establishes the</w:t>
      </w:r>
      <w:r w:rsidR="00606EB6">
        <w:t xml:space="preserve"> ACT Electoral Commission and </w:t>
      </w:r>
      <w:r>
        <w:t>governs</w:t>
      </w:r>
      <w:r w:rsidR="00606EB6">
        <w:t xml:space="preserve"> the conduct of elections, within the constraints imposed by the Self-Government Act.</w:t>
      </w:r>
    </w:p>
    <w:p w14:paraId="7499FA0E" w14:textId="70469BE8" w:rsidR="007D1341" w:rsidRDefault="007D1341" w:rsidP="009814DC">
      <w:pPr>
        <w:pStyle w:val="Heading5"/>
      </w:pPr>
      <w:r>
        <w:t>Voting Age</w:t>
      </w:r>
    </w:p>
    <w:p w14:paraId="223D0171" w14:textId="6F2949A1" w:rsidR="00FE202A" w:rsidRDefault="00FE202A" w:rsidP="00606EB6">
      <w:pPr>
        <w:pStyle w:val="BodyText"/>
      </w:pPr>
      <w:r>
        <w:t xml:space="preserve">A resident of the ACT is entitled to vote in a Territory election if they are 18 years or older on polling day.  </w:t>
      </w:r>
    </w:p>
    <w:p w14:paraId="28A0F635" w14:textId="59D85D47" w:rsidR="00D06DB9" w:rsidRDefault="00D06DB9" w:rsidP="00606EB6">
      <w:pPr>
        <w:pStyle w:val="BodyText"/>
      </w:pPr>
      <w:r>
        <w:t xml:space="preserve">Section 72 Electoral Act provides that a person is entitled to enrol to vote in Territory elections if (a) they are entitled to be enrolled on the Commonwealth roll under the Commonwealth Electoral Act (excluding provisional enrolment), and (b) they live in </w:t>
      </w:r>
      <w:r w:rsidR="00FE202A">
        <w:t>a Territory</w:t>
      </w:r>
      <w:r>
        <w:t xml:space="preserve"> electorate.   </w:t>
      </w:r>
    </w:p>
    <w:p w14:paraId="18D48A80" w14:textId="2266685D" w:rsidR="00D06DB9" w:rsidRDefault="00D06DB9" w:rsidP="00606EB6">
      <w:pPr>
        <w:pStyle w:val="BodyText"/>
      </w:pPr>
      <w:r>
        <w:t xml:space="preserve">Section 93 Commonwealth Electoral Act provides that a person is </w:t>
      </w:r>
      <w:r w:rsidR="00B31581">
        <w:t xml:space="preserve">entitled to enrolment on Commonwealth electoral roll </w:t>
      </w:r>
      <w:r>
        <w:t>if they are 18 years or older, and an Australian citizen</w:t>
      </w:r>
      <w:r w:rsidR="00B31581">
        <w:t xml:space="preserve">. </w:t>
      </w:r>
    </w:p>
    <w:p w14:paraId="4DBE8017" w14:textId="0CF5BF6D" w:rsidR="007D1341" w:rsidRDefault="007D1341" w:rsidP="009814DC">
      <w:pPr>
        <w:pStyle w:val="Heading5"/>
      </w:pPr>
      <w:r>
        <w:t>Compulsory Voting</w:t>
      </w:r>
    </w:p>
    <w:p w14:paraId="02864424" w14:textId="77777777" w:rsidR="00FE202A" w:rsidRDefault="00FE202A" w:rsidP="00FE202A">
      <w:pPr>
        <w:pStyle w:val="BodyText"/>
      </w:pPr>
      <w:r>
        <w:t xml:space="preserve">Enrolment is compulsory for people who meet the eligibility criteria.  </w:t>
      </w:r>
    </w:p>
    <w:p w14:paraId="6DC16539" w14:textId="143C8DAD" w:rsidR="00606EB6" w:rsidRDefault="007D1341" w:rsidP="00606EB6">
      <w:pPr>
        <w:pStyle w:val="BodyText"/>
      </w:pPr>
      <w:r>
        <w:t xml:space="preserve">Section 67B(c) </w:t>
      </w:r>
      <w:r w:rsidR="00606EB6">
        <w:t xml:space="preserve">Self-Government Act </w:t>
      </w:r>
      <w:r>
        <w:t>requires the Electoral Act to provide</w:t>
      </w:r>
      <w:r w:rsidR="00606EB6">
        <w:t xml:space="preserve"> that every person who is entitled to be enrolled and who is resident in the Territory is required to claim enrolment</w:t>
      </w:r>
      <w:r>
        <w:t xml:space="preserve">.  Consequently, Section </w:t>
      </w:r>
      <w:r w:rsidR="00606EB6">
        <w:t>73 Electoral Act</w:t>
      </w:r>
      <w:r>
        <w:t xml:space="preserve"> </w:t>
      </w:r>
      <w:r w:rsidR="00606EB6">
        <w:t xml:space="preserve">provides that enrolment is compulsory and that failure to enrol </w:t>
      </w:r>
      <w:r>
        <w:t>will result in a fine of</w:t>
      </w:r>
      <w:r w:rsidR="00606EB6">
        <w:t xml:space="preserve"> 0.5 penalty units.</w:t>
      </w:r>
    </w:p>
    <w:p w14:paraId="40D247FB" w14:textId="77777777" w:rsidR="00B27320" w:rsidRDefault="00B27320" w:rsidP="00B27320">
      <w:pPr>
        <w:pStyle w:val="BodyText"/>
      </w:pPr>
      <w:r>
        <w:t xml:space="preserve">Section 4(1)(c) </w:t>
      </w:r>
      <w:r w:rsidRPr="00B31581">
        <w:rPr>
          <w:i/>
          <w:iCs/>
        </w:rPr>
        <w:t>Proportional Representation (Hare-Clark) Entrenchment Act 1994</w:t>
      </w:r>
      <w:r>
        <w:t xml:space="preserve"> provides that ‘</w:t>
      </w:r>
      <w:r w:rsidRPr="00B31581">
        <w:t>voting in an election shall be compulsory</w:t>
      </w:r>
      <w:r>
        <w:t>’.  This principle is entrenched, which means the Electoral Act cannot be amended in a way that is inconsistent with this principle unless the amendments are passed by (a) two thirds majority in the Assembly, or (b) simple majority in the Assembly and majority of electors at referendum.</w:t>
      </w:r>
    </w:p>
    <w:p w14:paraId="2640778B" w14:textId="753B2CDB" w:rsidR="00DB6ED1" w:rsidRDefault="00DB6ED1" w:rsidP="009814DC">
      <w:pPr>
        <w:pStyle w:val="Heading4"/>
      </w:pPr>
      <w:r>
        <w:t xml:space="preserve">Policy Context </w:t>
      </w:r>
    </w:p>
    <w:p w14:paraId="4AE35D53" w14:textId="4CE7B7BB" w:rsidR="002D4BC1" w:rsidRDefault="00243A0E" w:rsidP="0048718C">
      <w:pPr>
        <w:pStyle w:val="BodyText"/>
      </w:pPr>
      <w:r>
        <w:t xml:space="preserve">There have been several </w:t>
      </w:r>
      <w:r w:rsidR="005D24AC">
        <w:t>ACT and federal parliamentary</w:t>
      </w:r>
      <w:r>
        <w:t xml:space="preserve"> inquiries into lowering the voting age:</w:t>
      </w:r>
    </w:p>
    <w:p w14:paraId="71ABCEE9" w14:textId="5EB93C00" w:rsidR="00C60D8F" w:rsidRDefault="005D24AC" w:rsidP="00C60D8F">
      <w:pPr>
        <w:pStyle w:val="ListBullet"/>
      </w:pPr>
      <w:r>
        <w:lastRenderedPageBreak/>
        <w:t>Standing Committee on Education Training and Young People (2007) Inquiry into the Eligible Voting Age</w:t>
      </w:r>
      <w:r w:rsidR="001900CC">
        <w:t>,</w:t>
      </w:r>
      <w:r w:rsidR="001900CC">
        <w:rPr>
          <w:rStyle w:val="FootnoteReference"/>
        </w:rPr>
        <w:footnoteReference w:id="350"/>
      </w:r>
    </w:p>
    <w:p w14:paraId="1EEC8177" w14:textId="64793A5A" w:rsidR="00C60D8F" w:rsidRDefault="005D24AC" w:rsidP="00C60D8F">
      <w:pPr>
        <w:pStyle w:val="ListBullet"/>
      </w:pPr>
      <w:r>
        <w:t xml:space="preserve">Joint Standing Committee on Electoral Matters (2007) </w:t>
      </w:r>
      <w:r w:rsidR="00C60D8F">
        <w:t>Inquiry into Civics and Electoral Education</w:t>
      </w:r>
      <w:r w:rsidR="001900CC">
        <w:t>,</w:t>
      </w:r>
      <w:r w:rsidR="001900CC">
        <w:rPr>
          <w:rStyle w:val="FootnoteReference"/>
        </w:rPr>
        <w:footnoteReference w:id="351"/>
      </w:r>
    </w:p>
    <w:p w14:paraId="17C8E2A0" w14:textId="20ED2159" w:rsidR="00776B84" w:rsidRDefault="00776B84" w:rsidP="00776B84">
      <w:pPr>
        <w:pStyle w:val="ListBullet"/>
      </w:pPr>
      <w:r>
        <w:t>Select Committee</w:t>
      </w:r>
      <w:r w:rsidR="00606EB6">
        <w:t xml:space="preserve"> </w:t>
      </w:r>
      <w:r w:rsidR="005D24AC">
        <w:t>on the 2016 ACT Election and Electoral Act</w:t>
      </w:r>
      <w:r w:rsidR="001900CC">
        <w:t>,</w:t>
      </w:r>
      <w:r w:rsidR="001900CC">
        <w:rPr>
          <w:rStyle w:val="FootnoteReference"/>
        </w:rPr>
        <w:footnoteReference w:id="352"/>
      </w:r>
      <w:r w:rsidR="001900CC">
        <w:t xml:space="preserve"> and</w:t>
      </w:r>
    </w:p>
    <w:p w14:paraId="46FA3593" w14:textId="1DF45882" w:rsidR="005D24AC" w:rsidRDefault="005D24AC" w:rsidP="005D24AC">
      <w:pPr>
        <w:pStyle w:val="ListBullet"/>
      </w:pPr>
      <w:r>
        <w:t xml:space="preserve">Joint Standing Committee on Electoral Matters (2018) Inquiry into the </w:t>
      </w:r>
      <w:r w:rsidRPr="005D24AC">
        <w:t>Commonwealth Electoral Amendment (Lowering Voting Age and Increasing Voter Participation) Bill 2018</w:t>
      </w:r>
      <w:r w:rsidR="001900CC">
        <w:t>.</w:t>
      </w:r>
      <w:r w:rsidR="001900CC">
        <w:rPr>
          <w:rStyle w:val="FootnoteReference"/>
        </w:rPr>
        <w:footnoteReference w:id="353"/>
      </w:r>
    </w:p>
    <w:p w14:paraId="38AC84A0" w14:textId="41B3A810" w:rsidR="00606EB6" w:rsidRDefault="00606EB6" w:rsidP="00E67C16">
      <w:pPr>
        <w:pStyle w:val="BodyText"/>
      </w:pPr>
      <w:r>
        <w:t>The Electoral Commission told the Committee</w:t>
      </w:r>
      <w:r w:rsidR="005D24AC">
        <w:t xml:space="preserve"> </w:t>
      </w:r>
      <w:r w:rsidR="00E67C16">
        <w:t>that, while the topic of lowering the voting age below 18 years has been raised in other Australian jurisdictions, it is not currently being actively considered in any state or territory.</w:t>
      </w:r>
      <w:r>
        <w:rPr>
          <w:rStyle w:val="FootnoteReference"/>
        </w:rPr>
        <w:footnoteReference w:id="354"/>
      </w:r>
    </w:p>
    <w:p w14:paraId="695710BB" w14:textId="6E350E21" w:rsidR="00DB6ED1" w:rsidRDefault="00DB6ED1" w:rsidP="009814DC">
      <w:pPr>
        <w:pStyle w:val="Heading4"/>
      </w:pPr>
      <w:r>
        <w:t>Views expressed in Submissions and Hearings</w:t>
      </w:r>
    </w:p>
    <w:p w14:paraId="046BEA60" w14:textId="57F1F2A7" w:rsidR="00DB6ED1" w:rsidRPr="00DB6ED1" w:rsidRDefault="00DB6ED1" w:rsidP="00DB6ED1">
      <w:pPr>
        <w:pStyle w:val="BodyText"/>
      </w:pPr>
      <w:r>
        <w:t xml:space="preserve">The Committee received submissions on both sides of the question of lowering the voting age. </w:t>
      </w:r>
    </w:p>
    <w:p w14:paraId="53AAF4B4" w14:textId="6EF287F7" w:rsidR="0048718C" w:rsidRDefault="002A28EC" w:rsidP="009814DC">
      <w:pPr>
        <w:pStyle w:val="Heading5"/>
      </w:pPr>
      <w:r>
        <w:t>Arguments for lowering the voting age</w:t>
      </w:r>
    </w:p>
    <w:p w14:paraId="3C56D49E" w14:textId="44958860" w:rsidR="00F66D0D" w:rsidRDefault="00F66D0D" w:rsidP="005A03C1">
      <w:pPr>
        <w:pStyle w:val="BodyText"/>
      </w:pPr>
      <w:r>
        <w:t xml:space="preserve">ACT Greens </w:t>
      </w:r>
      <w:r w:rsidR="00243A0E">
        <w:t>expressed support for lowering the voting age, based on the capacity of young people aged 16 – 17 years, and the other significant responsibilities they hold at that age:</w:t>
      </w:r>
    </w:p>
    <w:p w14:paraId="4F01F352" w14:textId="40B73B32" w:rsidR="00C12FAF" w:rsidRDefault="00C12FAF" w:rsidP="00C12FAF">
      <w:pPr>
        <w:pStyle w:val="Quote"/>
      </w:pPr>
      <w:r>
        <w:t>‘The Greens have consistently argued for voluntary voting to be an option for young people aged 16 and 17.  These young people can legally work full-time.  If they are working, they pay taxes.  They can drive a car, have sex, and make medical decisions about their bodies.  They can join the Army, Navy or Air Force.  They can sign a lease or join a political party – yet they cannot vote.’</w:t>
      </w:r>
      <w:r>
        <w:rPr>
          <w:rStyle w:val="FootnoteReference"/>
        </w:rPr>
        <w:footnoteReference w:id="355"/>
      </w:r>
    </w:p>
    <w:p w14:paraId="5066B2D9" w14:textId="1A6A5FE9" w:rsidR="00243A0E" w:rsidRDefault="00243A0E" w:rsidP="00243A0E">
      <w:pPr>
        <w:pStyle w:val="BodyText"/>
      </w:pPr>
      <w:r>
        <w:t>ACT Greens told the Committee that young people should be empowered to have a voice in decision making:</w:t>
      </w:r>
    </w:p>
    <w:p w14:paraId="7AC5CD14" w14:textId="4848298D" w:rsidR="00C12FAF" w:rsidRDefault="00C12FAF" w:rsidP="00C12FAF">
      <w:pPr>
        <w:pStyle w:val="Quote"/>
      </w:pPr>
      <w:r>
        <w:t>‘</w:t>
      </w:r>
      <w:r w:rsidRPr="00BB6B07">
        <w:t xml:space="preserve">A 16-year-old has a much greater vested interest in the long-term future of this planet than I do, because they are going to be here way after I am not here. </w:t>
      </w:r>
      <w:r>
        <w:t xml:space="preserve"> </w:t>
      </w:r>
      <w:r w:rsidRPr="00BB6B07">
        <w:t>I think they need to have a say.</w:t>
      </w:r>
      <w:r>
        <w:t>’</w:t>
      </w:r>
      <w:r>
        <w:rPr>
          <w:rStyle w:val="FootnoteReference"/>
        </w:rPr>
        <w:footnoteReference w:id="356"/>
      </w:r>
      <w:r>
        <w:t xml:space="preserve"> </w:t>
      </w:r>
    </w:p>
    <w:p w14:paraId="7937C634" w14:textId="77913CC8" w:rsidR="00715A37" w:rsidRDefault="00715A37" w:rsidP="00F66D0D">
      <w:pPr>
        <w:pStyle w:val="BodyText"/>
      </w:pPr>
      <w:r>
        <w:lastRenderedPageBreak/>
        <w:t xml:space="preserve">ACT Greens </w:t>
      </w:r>
      <w:r w:rsidR="00817C42">
        <w:t>highlighted the fact</w:t>
      </w:r>
      <w:r>
        <w:t xml:space="preserve"> that </w:t>
      </w:r>
      <w:r w:rsidR="00243A0E">
        <w:t xml:space="preserve">all </w:t>
      </w:r>
      <w:r>
        <w:t>sentenced detainees at Alexander Maconochie Centre are permitted to vote in Territory elections,</w:t>
      </w:r>
      <w:r w:rsidR="001900CC">
        <w:t xml:space="preserve"> despite some being excluded from voting in Commonwealth elections,</w:t>
      </w:r>
      <w:r>
        <w:t xml:space="preserve"> because s72 Electoral Act establishes them as a special category of voter</w:t>
      </w:r>
      <w:r w:rsidR="00817C42">
        <w:t>, and suggested this might provide a pathway for lowering the voting age</w:t>
      </w:r>
      <w:r>
        <w:t>:</w:t>
      </w:r>
    </w:p>
    <w:p w14:paraId="45412430" w14:textId="7635E44B" w:rsidR="00715A37" w:rsidRDefault="00715A37" w:rsidP="00715A37">
      <w:pPr>
        <w:pStyle w:val="Quote"/>
      </w:pPr>
      <w:r>
        <w:t>‘</w:t>
      </w:r>
      <w:r w:rsidR="00243A0E">
        <w:t>[I</w:t>
      </w:r>
      <w:r w:rsidR="001900CC">
        <w:t>n</w:t>
      </w:r>
      <w:r w:rsidR="00243A0E">
        <w:t>]</w:t>
      </w:r>
      <w:r>
        <w:t xml:space="preserve"> federal elections if someone is sentenced to imprisonment for 3 years, they are not eligible to vote, however this has not been the case for ACT elections since 2008. Therefore, this issue may be more easily resolvable than previously thought.’</w:t>
      </w:r>
      <w:r>
        <w:rPr>
          <w:rStyle w:val="FootnoteReference"/>
        </w:rPr>
        <w:footnoteReference w:id="357"/>
      </w:r>
    </w:p>
    <w:p w14:paraId="054F06BA" w14:textId="0BB6A72B" w:rsidR="00F66D0D" w:rsidRDefault="00F66D0D" w:rsidP="00F66D0D">
      <w:pPr>
        <w:pStyle w:val="BodyText"/>
      </w:pPr>
      <w:r>
        <w:t>Youth Coalition</w:t>
      </w:r>
      <w:r w:rsidR="00C12FAF">
        <w:t xml:space="preserve"> expressed support for lowering the voting </w:t>
      </w:r>
      <w:proofErr w:type="gramStart"/>
      <w:r w:rsidR="00C12FAF">
        <w:t>age, and</w:t>
      </w:r>
      <w:proofErr w:type="gramEnd"/>
      <w:r w:rsidR="00C12FAF">
        <w:t xml:space="preserve"> referred the Committee to their submission to the Assembly Inquiry into the 2016 ACT Election and the Electoral Act</w:t>
      </w:r>
      <w:r w:rsidR="00715A37">
        <w:t>, in which they reported the views of local young people</w:t>
      </w:r>
      <w:r w:rsidR="00C12FAF">
        <w:t>.</w:t>
      </w:r>
    </w:p>
    <w:p w14:paraId="6616B8DE" w14:textId="39A9DB48" w:rsidR="00C12FAF" w:rsidRDefault="00C12FAF" w:rsidP="00C12FAF">
      <w:pPr>
        <w:pStyle w:val="Quote"/>
      </w:pPr>
      <w:r>
        <w:t xml:space="preserve">‘The Youth Coalition maintains our position that young people aged 16 and 17 are capable of voting, and that many are informed, willing and would vote if given the opportunity.  We believe it is a universal and fundamental right of citizens, that young people are capable of making complex decisions, and that many </w:t>
      </w:r>
      <w:proofErr w:type="gramStart"/>
      <w:r>
        <w:t>wish</w:t>
      </w:r>
      <w:proofErr w:type="gramEnd"/>
      <w:r>
        <w:t xml:space="preserve"> to engage in a political system that addresses and responds to their needs.’</w:t>
      </w:r>
      <w:r>
        <w:rPr>
          <w:rStyle w:val="FootnoteReference"/>
        </w:rPr>
        <w:footnoteReference w:id="358"/>
      </w:r>
    </w:p>
    <w:p w14:paraId="45505229" w14:textId="5BBC3B8F" w:rsidR="00C12FAF" w:rsidRDefault="00715A37" w:rsidP="00715A37">
      <w:pPr>
        <w:pStyle w:val="BodyText"/>
      </w:pPr>
      <w:r>
        <w:t xml:space="preserve">Youth Coalition recommended </w:t>
      </w:r>
      <w:r w:rsidR="00C12FAF">
        <w:t>the voting age be lowered to allow young people aged 16 and 17 years of age the option to vote in Territory elections</w:t>
      </w:r>
      <w:r>
        <w:t xml:space="preserve">; that voting not be compulsory for this group; and that ACT Government </w:t>
      </w:r>
      <w:r w:rsidR="00C12FAF">
        <w:t>improve education on civics and citizenship matters for young people, at schools and in other settings.</w:t>
      </w:r>
      <w:r w:rsidR="00E83617">
        <w:rPr>
          <w:rStyle w:val="FootnoteReference"/>
        </w:rPr>
        <w:footnoteReference w:id="359"/>
      </w:r>
    </w:p>
    <w:p w14:paraId="23775053" w14:textId="1E5D8227" w:rsidR="00F66D0D" w:rsidRDefault="00F66D0D" w:rsidP="00F66D0D">
      <w:pPr>
        <w:pStyle w:val="BodyText"/>
      </w:pPr>
      <w:r>
        <w:t>Canberra Progressives</w:t>
      </w:r>
      <w:r w:rsidR="003A3B5E">
        <w:t xml:space="preserve"> expressed support for lowering the voting age to 16.</w:t>
      </w:r>
      <w:r w:rsidR="003A3B5E">
        <w:rPr>
          <w:rStyle w:val="FootnoteReference"/>
        </w:rPr>
        <w:footnoteReference w:id="360"/>
      </w:r>
    </w:p>
    <w:p w14:paraId="2C66C67D" w14:textId="58BB7E21" w:rsidR="005A03C1" w:rsidRDefault="005A03C1" w:rsidP="009814DC">
      <w:pPr>
        <w:pStyle w:val="Heading5"/>
      </w:pPr>
      <w:r>
        <w:t>Arguments against lowering the voting age</w:t>
      </w:r>
    </w:p>
    <w:p w14:paraId="7B0BEDD9" w14:textId="44E96D92" w:rsidR="00F66D0D" w:rsidRDefault="00243A0E" w:rsidP="00F66D0D">
      <w:pPr>
        <w:pStyle w:val="BodyText"/>
      </w:pPr>
      <w:r>
        <w:t xml:space="preserve">The </w:t>
      </w:r>
      <w:r w:rsidR="00F66D0D">
        <w:t>Electoral Commission</w:t>
      </w:r>
      <w:r>
        <w:t xml:space="preserve"> provided a supplementary submission </w:t>
      </w:r>
      <w:r w:rsidR="00817C42">
        <w:t>engaging</w:t>
      </w:r>
      <w:r>
        <w:t xml:space="preserve"> with the term of reference relating to the voting age, in which they recommended retaining the minimum voting age of 18 years.</w:t>
      </w:r>
      <w:r w:rsidR="00F66D0D">
        <w:rPr>
          <w:rStyle w:val="FootnoteReference"/>
        </w:rPr>
        <w:footnoteReference w:id="361"/>
      </w:r>
    </w:p>
    <w:p w14:paraId="1366B80B" w14:textId="5F41DF84" w:rsidR="00F66D0D" w:rsidRDefault="00243A0E" w:rsidP="00F66D0D">
      <w:pPr>
        <w:pStyle w:val="BodyText"/>
      </w:pPr>
      <w:r>
        <w:t xml:space="preserve">In the supplementary submission, the Electoral Commission outlined the </w:t>
      </w:r>
      <w:r w:rsidR="005D24AC">
        <w:t>legislative</w:t>
      </w:r>
      <w:r>
        <w:t xml:space="preserve"> barriers to lowering the voting age, and presented a </w:t>
      </w:r>
      <w:r w:rsidR="005D24AC">
        <w:t xml:space="preserve">series of </w:t>
      </w:r>
      <w:r>
        <w:t xml:space="preserve">arguments against </w:t>
      </w:r>
      <w:r w:rsidR="00817C42">
        <w:t>the proposal</w:t>
      </w:r>
      <w:r>
        <w:t xml:space="preserve">: </w:t>
      </w:r>
      <w:r w:rsidR="00F66D0D">
        <w:t>ACT would be out of line with all other Australian jurisdictions</w:t>
      </w:r>
      <w:r>
        <w:t xml:space="preserve">; </w:t>
      </w:r>
      <w:r w:rsidR="00F66D0D">
        <w:t>impos</w:t>
      </w:r>
      <w:r w:rsidR="005D24AC">
        <w:t>ing</w:t>
      </w:r>
      <w:r w:rsidR="00F66D0D">
        <w:t xml:space="preserve"> a pecuniary penalty on minors for failing to vote</w:t>
      </w:r>
      <w:r w:rsidR="005D24AC">
        <w:t xml:space="preserve"> is inappropriate</w:t>
      </w:r>
      <w:r>
        <w:t xml:space="preserve">; </w:t>
      </w:r>
      <w:r w:rsidR="005D24AC">
        <w:t>there may be</w:t>
      </w:r>
      <w:r w:rsidR="00F66D0D">
        <w:t xml:space="preserve"> confusion as </w:t>
      </w:r>
      <w:r>
        <w:t xml:space="preserve">people aged 16 and 17 years cannot vote in Commonwealth elections; </w:t>
      </w:r>
      <w:r w:rsidR="005D24AC">
        <w:t>p</w:t>
      </w:r>
      <w:r>
        <w:t xml:space="preserve">eople aged 16 and 17 years are not eligible </w:t>
      </w:r>
      <w:r w:rsidR="00F66D0D">
        <w:t>for election to the Assembly</w:t>
      </w:r>
      <w:r>
        <w:t xml:space="preserve">; </w:t>
      </w:r>
      <w:r w:rsidR="005D24AC">
        <w:t>o</w:t>
      </w:r>
      <w:r w:rsidR="00F66D0D">
        <w:t>perational challenges</w:t>
      </w:r>
      <w:r>
        <w:t xml:space="preserve"> for the Electoral Commission; </w:t>
      </w:r>
      <w:r w:rsidR="005D24AC">
        <w:t>r</w:t>
      </w:r>
      <w:r w:rsidR="00F66D0D">
        <w:t xml:space="preserve">esource </w:t>
      </w:r>
      <w:r w:rsidR="00F66D0D">
        <w:lastRenderedPageBreak/>
        <w:t xml:space="preserve">implications of extending and maintaining </w:t>
      </w:r>
      <w:r>
        <w:t xml:space="preserve">a special ACT electoral roll, rather than relying on access to the Commonwealth roll; </w:t>
      </w:r>
      <w:r w:rsidR="005D24AC">
        <w:t>and the l</w:t>
      </w:r>
      <w:r>
        <w:t>imited electoral</w:t>
      </w:r>
      <w:r w:rsidR="00F66D0D">
        <w:t xml:space="preserve"> awareness of young people</w:t>
      </w:r>
      <w:r>
        <w:t>.</w:t>
      </w:r>
      <w:r>
        <w:rPr>
          <w:rStyle w:val="FootnoteReference"/>
        </w:rPr>
        <w:footnoteReference w:id="362"/>
      </w:r>
    </w:p>
    <w:p w14:paraId="43FC5B8D" w14:textId="70F5F688" w:rsidR="00F66D0D" w:rsidRDefault="00F66D0D" w:rsidP="00F66D0D">
      <w:pPr>
        <w:pStyle w:val="BodyText"/>
      </w:pPr>
      <w:r>
        <w:t>Canberra Liberals</w:t>
      </w:r>
      <w:r w:rsidR="000060F8">
        <w:t xml:space="preserve"> in their submission opposed lowering the voting age, </w:t>
      </w:r>
      <w:r w:rsidR="005D24AC">
        <w:t xml:space="preserve">on the basis </w:t>
      </w:r>
      <w:r w:rsidR="000060F8">
        <w:t>that it would not achieve an increase in political participation:</w:t>
      </w:r>
    </w:p>
    <w:p w14:paraId="518A86E7" w14:textId="417B5832" w:rsidR="000060F8" w:rsidRDefault="000060F8" w:rsidP="000060F8">
      <w:pPr>
        <w:pStyle w:val="Quote"/>
      </w:pPr>
      <w:r>
        <w:t>‘The Canberra Liberals have consistently supported the voting age being at the age of 18.  A paper produced by Professor Ian McAllister from the Australian National University in 2012 found that "there is no evidence that lowering the voting age would increase political participation; indeed, the evidence points in the opposite direction".  We strongly agree with this assessment.’</w:t>
      </w:r>
    </w:p>
    <w:p w14:paraId="44A88A7A" w14:textId="214C9B8D" w:rsidR="00F66D0D" w:rsidRDefault="00A903C1" w:rsidP="00A903C1">
      <w:pPr>
        <w:pStyle w:val="BodyText"/>
      </w:pPr>
      <w:r>
        <w:t>During the hearing Canberra Liberals told the Committee that 18 is an appropriate age at which to draw the boundary line:</w:t>
      </w:r>
      <w:r w:rsidR="00715A37">
        <w:t xml:space="preserve"> </w:t>
      </w:r>
      <w:r w:rsidR="00F66D0D">
        <w:t>‘[T]</w:t>
      </w:r>
      <w:r w:rsidR="00F66D0D" w:rsidRPr="004C0FA4">
        <w:t xml:space="preserve">here does need to be an age at which we decide people can vote. </w:t>
      </w:r>
      <w:r w:rsidR="00F66D0D">
        <w:t xml:space="preserve"> </w:t>
      </w:r>
      <w:r w:rsidR="00F66D0D" w:rsidRPr="004C0FA4">
        <w:t xml:space="preserve">Some advocate for that to be 16. </w:t>
      </w:r>
      <w:r w:rsidR="00F66D0D">
        <w:t xml:space="preserve"> </w:t>
      </w:r>
      <w:r w:rsidR="00F66D0D" w:rsidRPr="004C0FA4">
        <w:t>We believe that the balance is right at 18.</w:t>
      </w:r>
      <w:r w:rsidR="00F66D0D">
        <w:t>’</w:t>
      </w:r>
      <w:r w:rsidR="00F66D0D">
        <w:rPr>
          <w:rStyle w:val="FootnoteReference"/>
        </w:rPr>
        <w:footnoteReference w:id="363"/>
      </w:r>
      <w:r w:rsidR="00F66D0D">
        <w:t xml:space="preserve"> </w:t>
      </w:r>
    </w:p>
    <w:p w14:paraId="57AF5A76" w14:textId="77777777" w:rsidR="005D24AC" w:rsidRDefault="00F66D0D" w:rsidP="0048718C">
      <w:pPr>
        <w:pStyle w:val="BodyText"/>
      </w:pPr>
      <w:r>
        <w:t>Liberal Democrats</w:t>
      </w:r>
      <w:r w:rsidR="00E83617">
        <w:t xml:space="preserve"> do not support lowering the voting age.  They told the Committee: there is not strong evidence that reducing the voting age would improve the political maturity of </w:t>
      </w:r>
      <w:proofErr w:type="gramStart"/>
      <w:r w:rsidR="00E83617">
        <w:t xml:space="preserve">16-17 year </w:t>
      </w:r>
      <w:proofErr w:type="spellStart"/>
      <w:r w:rsidR="00E83617">
        <w:t>olds</w:t>
      </w:r>
      <w:proofErr w:type="spellEnd"/>
      <w:proofErr w:type="gramEnd"/>
      <w:r w:rsidR="00E83617">
        <w:t>; lowering the voting age risks criminalising minors; and there is not widespread public support for the idea.</w:t>
      </w:r>
      <w:r w:rsidR="00E83617">
        <w:rPr>
          <w:rStyle w:val="FootnoteReference"/>
        </w:rPr>
        <w:footnoteReference w:id="364"/>
      </w:r>
      <w:r w:rsidR="00E83617">
        <w:t xml:space="preserve">  </w:t>
      </w:r>
    </w:p>
    <w:p w14:paraId="543D0C19" w14:textId="54262D94" w:rsidR="00A903C1" w:rsidRDefault="00E83617" w:rsidP="0048718C">
      <w:pPr>
        <w:pStyle w:val="BodyText"/>
      </w:pPr>
      <w:r>
        <w:t xml:space="preserve">Liberal Democrats cited research claiming that left-leaning citizens are more likely to support lowering the voting </w:t>
      </w:r>
      <w:proofErr w:type="gramStart"/>
      <w:r>
        <w:t>age, and</w:t>
      </w:r>
      <w:proofErr w:type="gramEnd"/>
      <w:r>
        <w:t xml:space="preserve"> suggested that ‘[p]</w:t>
      </w:r>
      <w:proofErr w:type="spellStart"/>
      <w:r w:rsidR="00A903C1">
        <w:t>roposals</w:t>
      </w:r>
      <w:proofErr w:type="spellEnd"/>
      <w:r w:rsidR="00A903C1">
        <w:t xml:space="preserve"> to reduce the voting age may be influenced by political motives rather than concern for the political rights of the young.</w:t>
      </w:r>
      <w:r>
        <w:t>’</w:t>
      </w:r>
      <w:r w:rsidR="00715A37">
        <w:rPr>
          <w:rStyle w:val="FootnoteReference"/>
        </w:rPr>
        <w:footnoteReference w:id="365"/>
      </w:r>
    </w:p>
    <w:p w14:paraId="13A89C78" w14:textId="18E4C02D" w:rsidR="005A03C1" w:rsidRDefault="005A03C1" w:rsidP="005A03C1">
      <w:pPr>
        <w:pStyle w:val="Heading4"/>
      </w:pPr>
      <w:r>
        <w:t>Co</w:t>
      </w:r>
      <w:r w:rsidR="00776B84">
        <w:t>mmittee comment</w:t>
      </w:r>
    </w:p>
    <w:p w14:paraId="4B5CDBD6" w14:textId="50493CDB" w:rsidR="00776B84" w:rsidRDefault="00776B84" w:rsidP="0048718C">
      <w:pPr>
        <w:pStyle w:val="BodyText"/>
      </w:pPr>
      <w:r>
        <w:t xml:space="preserve">The Committee notes the </w:t>
      </w:r>
      <w:r w:rsidR="00117ABC">
        <w:t xml:space="preserve">current </w:t>
      </w:r>
      <w:r>
        <w:t xml:space="preserve">barriers to </w:t>
      </w:r>
      <w:r w:rsidR="00DB6ED1">
        <w:t>lowering</w:t>
      </w:r>
      <w:r>
        <w:t xml:space="preserve"> the voting age, including </w:t>
      </w:r>
      <w:r w:rsidR="00DB6ED1">
        <w:t xml:space="preserve">the </w:t>
      </w:r>
      <w:r>
        <w:t xml:space="preserve">interaction </w:t>
      </w:r>
      <w:r w:rsidR="00DB6ED1">
        <w:t xml:space="preserve">between the Electoral Act and </w:t>
      </w:r>
      <w:r>
        <w:t xml:space="preserve">Commonwealth legislation, and the entrenched provisions of the </w:t>
      </w:r>
      <w:r w:rsidR="00DB6ED1" w:rsidRPr="00DB6ED1">
        <w:rPr>
          <w:i/>
          <w:iCs/>
        </w:rPr>
        <w:t>Proportional Representation (Hare-Clark) Entrenchment Act 1994</w:t>
      </w:r>
      <w:r>
        <w:t xml:space="preserve">.  </w:t>
      </w:r>
    </w:p>
    <w:p w14:paraId="2D304500" w14:textId="1F5C7EF1" w:rsidR="00776B84" w:rsidRDefault="00776B84" w:rsidP="0048718C">
      <w:pPr>
        <w:pStyle w:val="BodyText"/>
      </w:pPr>
      <w:r>
        <w:t xml:space="preserve">While it was suggested to the committee that </w:t>
      </w:r>
      <w:r w:rsidR="00766F14">
        <w:t xml:space="preserve">a </w:t>
      </w:r>
      <w:r>
        <w:t xml:space="preserve">creative legislative </w:t>
      </w:r>
      <w:r w:rsidR="00766F14">
        <w:t>work-around</w:t>
      </w:r>
      <w:r>
        <w:t xml:space="preserve"> might </w:t>
      </w:r>
      <w:r w:rsidR="00DB6ED1">
        <w:t>establish</w:t>
      </w:r>
      <w:r>
        <w:t xml:space="preserve"> people aged 16 and 17 years </w:t>
      </w:r>
      <w:r w:rsidR="00DB6ED1">
        <w:t xml:space="preserve">a special category of </w:t>
      </w:r>
      <w:proofErr w:type="gramStart"/>
      <w:r w:rsidR="00DB6ED1">
        <w:t>voter, and</w:t>
      </w:r>
      <w:proofErr w:type="gramEnd"/>
      <w:r w:rsidR="00DB6ED1">
        <w:t xml:space="preserve"> enable them </w:t>
      </w:r>
      <w:r w:rsidR="006835CB">
        <w:t xml:space="preserve">to choose to vote in </w:t>
      </w:r>
      <w:r w:rsidR="00B0100B">
        <w:t>T</w:t>
      </w:r>
      <w:r w:rsidR="006835CB">
        <w:t>erritory elections on</w:t>
      </w:r>
      <w:r>
        <w:t xml:space="preserve"> a voluntary basis, the Committee is not </w:t>
      </w:r>
      <w:r w:rsidR="006835CB">
        <w:t xml:space="preserve">persuaded that this </w:t>
      </w:r>
      <w:r w:rsidR="00817C42">
        <w:t>is</w:t>
      </w:r>
      <w:r w:rsidR="006835CB">
        <w:t xml:space="preserve"> an appropriate avenue for exploration.  </w:t>
      </w:r>
    </w:p>
    <w:p w14:paraId="28B062BB" w14:textId="0BE93D9F" w:rsidR="00530A37" w:rsidRDefault="00776B84" w:rsidP="0048718C">
      <w:pPr>
        <w:pStyle w:val="BodyText"/>
      </w:pPr>
      <w:r>
        <w:t>Compulsory voting is a</w:t>
      </w:r>
      <w:r w:rsidR="00B0100B">
        <w:t xml:space="preserve">n essential foundation of </w:t>
      </w:r>
      <w:r w:rsidR="006835CB">
        <w:t xml:space="preserve">Australian </w:t>
      </w:r>
      <w:r w:rsidR="00FE2AC5">
        <w:t>elections</w:t>
      </w:r>
      <w:r>
        <w:t xml:space="preserve">.  </w:t>
      </w:r>
      <w:r w:rsidR="00117ABC">
        <w:t>It p</w:t>
      </w:r>
      <w:r>
        <w:t xml:space="preserve">rotects the legitimacy of the democratic process, </w:t>
      </w:r>
      <w:r w:rsidR="00117ABC">
        <w:t>by ensuring</w:t>
      </w:r>
      <w:r>
        <w:t xml:space="preserve"> </w:t>
      </w:r>
      <w:r w:rsidR="00FE2AC5">
        <w:t>that</w:t>
      </w:r>
      <w:r>
        <w:t xml:space="preserve"> universal franchise is implemented in practice.  </w:t>
      </w:r>
      <w:r>
        <w:lastRenderedPageBreak/>
        <w:t xml:space="preserve">The Committee is concerned that allowing people aged 16 and 17 years to vote on a voluntary basis </w:t>
      </w:r>
      <w:r w:rsidR="006835CB">
        <w:t>would</w:t>
      </w:r>
      <w:r>
        <w:t xml:space="preserve"> gradually erode </w:t>
      </w:r>
      <w:r w:rsidR="00FE2AC5">
        <w:t>community</w:t>
      </w:r>
      <w:r w:rsidR="006835CB">
        <w:t xml:space="preserve"> </w:t>
      </w:r>
      <w:r w:rsidR="00FE2AC5">
        <w:t>support for compulsory voting</w:t>
      </w:r>
      <w:r>
        <w:t>.</w:t>
      </w:r>
      <w:r w:rsidR="006835CB">
        <w:t xml:space="preserve">  </w:t>
      </w:r>
    </w:p>
    <w:tbl>
      <w:tblPr>
        <w:tblStyle w:val="TableGrid"/>
        <w:tblW w:w="9209" w:type="dxa"/>
        <w:tblInd w:w="-142" w:type="dxa"/>
        <w:tblLook w:val="04A0" w:firstRow="1" w:lastRow="0" w:firstColumn="1" w:lastColumn="0" w:noHBand="0" w:noVBand="1"/>
      </w:tblPr>
      <w:tblGrid>
        <w:gridCol w:w="9209"/>
      </w:tblGrid>
      <w:tr w:rsidR="002A28EC" w14:paraId="59131057" w14:textId="77777777" w:rsidTr="00246948">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2BC2EEE" w14:textId="7E861962" w:rsidR="002A28EC" w:rsidRDefault="002A28EC" w:rsidP="00246948">
            <w:pPr>
              <w:pStyle w:val="RecommendationHeading"/>
            </w:pPr>
            <w:bookmarkStart w:id="183" w:name="_Toc78382564"/>
            <w:r>
              <w:t xml:space="preserve">Recommendation </w:t>
            </w:r>
            <w:r w:rsidR="00D02D0E">
              <w:rPr>
                <w:noProof/>
              </w:rPr>
              <w:t>4</w:t>
            </w:r>
            <w:r w:rsidR="00327FC7">
              <w:rPr>
                <w:noProof/>
              </w:rPr>
              <w:t>9</w:t>
            </w:r>
            <w:bookmarkEnd w:id="183"/>
          </w:p>
          <w:p w14:paraId="77E64C89" w14:textId="36BC4ABD" w:rsidR="002A28EC" w:rsidRPr="00962807" w:rsidRDefault="002A28EC" w:rsidP="002A28EC">
            <w:pPr>
              <w:pStyle w:val="RecommendationText"/>
            </w:pPr>
            <w:bookmarkStart w:id="184" w:name="_Toc78382565"/>
            <w:r w:rsidRPr="002A28EC">
              <w:t>The Committee recommends that the voting age be retained at age 18 years</w:t>
            </w:r>
            <w:r>
              <w:t>.</w:t>
            </w:r>
            <w:bookmarkEnd w:id="184"/>
          </w:p>
        </w:tc>
      </w:tr>
    </w:tbl>
    <w:p w14:paraId="61528687" w14:textId="35827E76" w:rsidR="003D2BD5" w:rsidRDefault="0048718C" w:rsidP="0048718C">
      <w:pPr>
        <w:pStyle w:val="Heading2"/>
      </w:pPr>
      <w:bookmarkStart w:id="185" w:name="_Toc78535763"/>
      <w:r>
        <w:lastRenderedPageBreak/>
        <w:t>Preparing for future Elections</w:t>
      </w:r>
      <w:bookmarkEnd w:id="185"/>
      <w:r>
        <w:t xml:space="preserve"> </w:t>
      </w:r>
    </w:p>
    <w:p w14:paraId="10C263C1" w14:textId="7F7B61FF" w:rsidR="0048718C" w:rsidRDefault="009C293C" w:rsidP="009814DC">
      <w:pPr>
        <w:pStyle w:val="Heading4"/>
      </w:pPr>
      <w:r>
        <w:t>Electoral Commission</w:t>
      </w:r>
      <w:r w:rsidR="004007BC">
        <w:t xml:space="preserve"> Resources and Facilities</w:t>
      </w:r>
    </w:p>
    <w:p w14:paraId="033D1BDF" w14:textId="3BCDA41B" w:rsidR="00AA3402" w:rsidRDefault="00AA3402" w:rsidP="009814DC">
      <w:pPr>
        <w:pStyle w:val="Heading5"/>
      </w:pPr>
      <w:r>
        <w:t>Funding to implement new Legislative Functions</w:t>
      </w:r>
    </w:p>
    <w:p w14:paraId="4005ACAE" w14:textId="63998314" w:rsidR="004007BC" w:rsidRDefault="004007BC" w:rsidP="004007BC">
      <w:pPr>
        <w:pStyle w:val="BodyText"/>
      </w:pPr>
      <w:r>
        <w:t xml:space="preserve">Participants in the inquiry expressed respect and appreciation for the Electoral Commission.  </w:t>
      </w:r>
    </w:p>
    <w:p w14:paraId="65C1FDE7" w14:textId="63DD1129" w:rsidR="00892BD3" w:rsidRPr="00892BD3" w:rsidRDefault="00892BD3" w:rsidP="00892BD3">
      <w:pPr>
        <w:pStyle w:val="Quote"/>
      </w:pPr>
      <w:r>
        <w:t>‘</w:t>
      </w:r>
      <w:r w:rsidRPr="00892BD3">
        <w:t>The ACT Electoral Commission is a highly professional and high functioning institution that depends on the trust and support of the wider community.</w:t>
      </w:r>
      <w:r w:rsidR="004007BC">
        <w:t xml:space="preserve"> </w:t>
      </w:r>
      <w:r w:rsidRPr="00892BD3">
        <w:t xml:space="preserve"> It is a very small organisation that is called upon to perform difficult, complex, and large activities.</w:t>
      </w:r>
      <w:r>
        <w:t>’</w:t>
      </w:r>
      <w:r w:rsidR="004007BC">
        <w:rPr>
          <w:rStyle w:val="FootnoteReference"/>
        </w:rPr>
        <w:footnoteReference w:id="366"/>
      </w:r>
      <w:r>
        <w:t xml:space="preserve"> </w:t>
      </w:r>
    </w:p>
    <w:p w14:paraId="62428589" w14:textId="5F0145CB" w:rsidR="004007BC" w:rsidRDefault="004007BC" w:rsidP="00AA3402">
      <w:pPr>
        <w:pStyle w:val="BodyText"/>
      </w:pPr>
      <w:r w:rsidRPr="00983EC7">
        <w:t xml:space="preserve">In its report on the 2020 Election, the Electoral Commission </w:t>
      </w:r>
      <w:r>
        <w:t>stated</w:t>
      </w:r>
      <w:r w:rsidR="00A708C0">
        <w:t>:</w:t>
      </w:r>
    </w:p>
    <w:p w14:paraId="5EC7D6B3" w14:textId="7934C202" w:rsidR="004007BC" w:rsidRDefault="004007BC" w:rsidP="004007BC">
      <w:pPr>
        <w:pStyle w:val="Quote"/>
      </w:pPr>
      <w:r>
        <w:t>‘</w:t>
      </w:r>
      <w:r w:rsidRPr="004007BC">
        <w:t>The electoral amendments passed by the Assembly in 2020 have resulted in a clear and urgent need for an increase in the Commission staffing levels and resources to appropriately enact and administer this new legislation.</w:t>
      </w:r>
      <w:r>
        <w:t xml:space="preserve">  </w:t>
      </w:r>
      <w:r w:rsidRPr="004007BC">
        <w:t>The Commission will pursue budget bids for 2021–22 and forward years accordingly</w:t>
      </w:r>
      <w:r>
        <w:t>.’</w:t>
      </w:r>
      <w:r w:rsidR="00A708C0">
        <w:rPr>
          <w:rStyle w:val="FootnoteReference"/>
        </w:rPr>
        <w:footnoteReference w:id="367"/>
      </w:r>
    </w:p>
    <w:p w14:paraId="5DB37573" w14:textId="2B4D4E56" w:rsidR="00A708C0" w:rsidRDefault="00A708C0" w:rsidP="00AA3402">
      <w:pPr>
        <w:pStyle w:val="BodyText"/>
      </w:pPr>
      <w:r>
        <w:t>The Electoral Commissioner elaborated during the hearing, explaining:</w:t>
      </w:r>
    </w:p>
    <w:p w14:paraId="7505FA01" w14:textId="55FF40E9" w:rsidR="00AA3402" w:rsidRDefault="00390FEE" w:rsidP="00A708C0">
      <w:pPr>
        <w:pStyle w:val="Quote"/>
      </w:pPr>
      <w:r>
        <w:t>‘</w:t>
      </w:r>
      <w:r w:rsidRPr="00390FEE">
        <w:t xml:space="preserve">the need for a small staff </w:t>
      </w:r>
      <w:proofErr w:type="gramStart"/>
      <w:r w:rsidRPr="00390FEE">
        <w:t>increase</w:t>
      </w:r>
      <w:proofErr w:type="gramEnd"/>
      <w:r w:rsidRPr="00390FEE">
        <w:t xml:space="preserve">, and an operational funding increase, so as to deliver the new legislation from 1 July. </w:t>
      </w:r>
      <w:r w:rsidR="00A708C0">
        <w:t xml:space="preserve"> </w:t>
      </w:r>
      <w:r w:rsidRPr="00390FEE">
        <w:t>The legislation from 1 July includes truth in political advertising, continuous seven-day reporting, and the ban on donations by property developers</w:t>
      </w:r>
      <w:r w:rsidR="004007BC">
        <w:t xml:space="preserve">… </w:t>
      </w:r>
      <w:r w:rsidRPr="00390FEE">
        <w:t>These are important new legislative initiatives; they will take additional time and resources to deliver and enact properly.</w:t>
      </w:r>
      <w:r>
        <w:t>’</w:t>
      </w:r>
      <w:r w:rsidR="004007BC">
        <w:rPr>
          <w:rStyle w:val="FootnoteReference"/>
        </w:rPr>
        <w:footnoteReference w:id="368"/>
      </w:r>
      <w:r>
        <w:t xml:space="preserve"> </w:t>
      </w:r>
    </w:p>
    <w:tbl>
      <w:tblPr>
        <w:tblStyle w:val="TableGrid"/>
        <w:tblW w:w="9209" w:type="dxa"/>
        <w:tblInd w:w="-142" w:type="dxa"/>
        <w:tblLook w:val="04A0" w:firstRow="1" w:lastRow="0" w:firstColumn="1" w:lastColumn="0" w:noHBand="0" w:noVBand="1"/>
      </w:tblPr>
      <w:tblGrid>
        <w:gridCol w:w="9209"/>
      </w:tblGrid>
      <w:tr w:rsidR="00AA3402" w14:paraId="766F118F" w14:textId="77777777" w:rsidTr="0057678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D0E2B40" w14:textId="4C999C57" w:rsidR="00AA3402" w:rsidRDefault="00AA3402" w:rsidP="0057678B">
            <w:pPr>
              <w:pStyle w:val="RecommendationHeading"/>
            </w:pPr>
            <w:bookmarkStart w:id="186" w:name="_Toc78382566"/>
            <w:r>
              <w:t xml:space="preserve">Recommendation </w:t>
            </w:r>
            <w:r w:rsidR="00327FC7">
              <w:t>50</w:t>
            </w:r>
            <w:bookmarkEnd w:id="186"/>
          </w:p>
          <w:p w14:paraId="3ED11713" w14:textId="19B705B2" w:rsidR="00AA3402" w:rsidRPr="00962807" w:rsidRDefault="00AA3402" w:rsidP="00AA3402">
            <w:pPr>
              <w:pStyle w:val="RecommendationText"/>
            </w:pPr>
            <w:bookmarkStart w:id="187" w:name="_Toc78382567"/>
            <w:r w:rsidRPr="00366A9C">
              <w:t xml:space="preserve">The Committee recommends </w:t>
            </w:r>
            <w:r w:rsidR="00E249ED" w:rsidRPr="00366A9C">
              <w:t xml:space="preserve">that ACT Government consider </w:t>
            </w:r>
            <w:r w:rsidRPr="00366A9C">
              <w:t>increased</w:t>
            </w:r>
            <w:r w:rsidRPr="00AA3402">
              <w:t xml:space="preserve"> staffing resources for the Electoral Commission commensurate with the increase in legislative functions in recent years</w:t>
            </w:r>
            <w:r>
              <w:t>.</w:t>
            </w:r>
            <w:bookmarkEnd w:id="187"/>
          </w:p>
        </w:tc>
      </w:tr>
    </w:tbl>
    <w:p w14:paraId="76495491" w14:textId="2D6B2A28" w:rsidR="00AA3402" w:rsidRDefault="00AA3402" w:rsidP="009814DC">
      <w:pPr>
        <w:pStyle w:val="Heading5"/>
      </w:pPr>
      <w:r>
        <w:t>Permanent Office Accommodation</w:t>
      </w:r>
    </w:p>
    <w:p w14:paraId="1D11782E" w14:textId="7AC70F5D" w:rsidR="00A708C0" w:rsidRDefault="00295DB5" w:rsidP="00984DEB">
      <w:pPr>
        <w:pStyle w:val="BodyText"/>
      </w:pPr>
      <w:r w:rsidRPr="00983EC7">
        <w:t xml:space="preserve">In its report on the 2020 Election, the Electoral Commission </w:t>
      </w:r>
      <w:r>
        <w:t>stated: ‘</w:t>
      </w:r>
      <w:r w:rsidR="00A708C0" w:rsidRPr="00A708C0">
        <w:t>There is an urgent requirement for the provision of funded permanent office accommodation for the Commission to facilitate the planning and delivery of the election.</w:t>
      </w:r>
      <w:r>
        <w:t>’</w:t>
      </w:r>
      <w:r>
        <w:rPr>
          <w:rStyle w:val="FootnoteReference"/>
        </w:rPr>
        <w:footnoteReference w:id="369"/>
      </w:r>
    </w:p>
    <w:p w14:paraId="41A54C82" w14:textId="4FC3C0AD" w:rsidR="00295DB5" w:rsidRDefault="00295DB5" w:rsidP="00984DEB">
      <w:pPr>
        <w:pStyle w:val="BodyText"/>
      </w:pPr>
      <w:r>
        <w:lastRenderedPageBreak/>
        <w:t>During the hearing, the Electoral Commission told the Committee that a budget bid has been submitted to request funding for accommodation, and the Commission has been working with ACT Property Group to identify potential suitable properties, but ‘after 30 June we have no office space to move to’.</w:t>
      </w:r>
      <w:r>
        <w:rPr>
          <w:rStyle w:val="FootnoteReference"/>
        </w:rPr>
        <w:footnoteReference w:id="370"/>
      </w:r>
    </w:p>
    <w:tbl>
      <w:tblPr>
        <w:tblStyle w:val="TableGrid"/>
        <w:tblW w:w="9209" w:type="dxa"/>
        <w:tblInd w:w="-142" w:type="dxa"/>
        <w:tblLook w:val="04A0" w:firstRow="1" w:lastRow="0" w:firstColumn="1" w:lastColumn="0" w:noHBand="0" w:noVBand="1"/>
      </w:tblPr>
      <w:tblGrid>
        <w:gridCol w:w="9209"/>
      </w:tblGrid>
      <w:tr w:rsidR="00AA3402" w14:paraId="26892E77" w14:textId="77777777" w:rsidTr="0057678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9396923" w14:textId="2756B9B0" w:rsidR="00AA3402" w:rsidRDefault="00AA3402" w:rsidP="0057678B">
            <w:pPr>
              <w:pStyle w:val="RecommendationHeading"/>
            </w:pPr>
            <w:bookmarkStart w:id="188" w:name="_Toc78382568"/>
            <w:r>
              <w:t xml:space="preserve">Recommendation </w:t>
            </w:r>
            <w:r w:rsidR="00D12E90">
              <w:t>5</w:t>
            </w:r>
            <w:r w:rsidR="00327FC7">
              <w:t>1</w:t>
            </w:r>
            <w:bookmarkEnd w:id="188"/>
          </w:p>
          <w:p w14:paraId="09FF69C4" w14:textId="53A2F3D1" w:rsidR="00AA3402" w:rsidRPr="00962807" w:rsidRDefault="00AA3402" w:rsidP="0074354A">
            <w:pPr>
              <w:pStyle w:val="RecommendationText"/>
            </w:pPr>
            <w:bookmarkStart w:id="189" w:name="_Toc78382569"/>
            <w:r w:rsidRPr="00AA3402">
              <w:t xml:space="preserve">The Committee recommends </w:t>
            </w:r>
            <w:r w:rsidRPr="00366A9C">
              <w:t xml:space="preserve">that ACT Government </w:t>
            </w:r>
            <w:r w:rsidR="0074354A" w:rsidRPr="00366A9C">
              <w:t>review the accommodation provided to the Electoral Commission to assess suitability for their needs.</w:t>
            </w:r>
            <w:bookmarkEnd w:id="189"/>
            <w:r w:rsidR="0074354A">
              <w:t xml:space="preserve">  </w:t>
            </w:r>
          </w:p>
        </w:tc>
      </w:tr>
    </w:tbl>
    <w:p w14:paraId="0E6C623B" w14:textId="6E22B108" w:rsidR="009C293C" w:rsidRDefault="009C293C" w:rsidP="009814DC">
      <w:pPr>
        <w:pStyle w:val="Heading4"/>
        <w:rPr>
          <w:i/>
          <w:iCs/>
        </w:rPr>
      </w:pPr>
      <w:r>
        <w:t xml:space="preserve">Future amendments to the </w:t>
      </w:r>
      <w:r w:rsidRPr="009C293C">
        <w:rPr>
          <w:i/>
          <w:iCs/>
        </w:rPr>
        <w:t>Electoral Act 1992</w:t>
      </w:r>
    </w:p>
    <w:p w14:paraId="43EE6223" w14:textId="6A036F73" w:rsidR="00D02D0E" w:rsidRPr="00D02D0E" w:rsidRDefault="00D02D0E" w:rsidP="009814DC">
      <w:pPr>
        <w:pStyle w:val="Heading5"/>
      </w:pPr>
      <w:r>
        <w:t>Consultation with Electoral Commission</w:t>
      </w:r>
    </w:p>
    <w:p w14:paraId="719CA8AC" w14:textId="52D07635" w:rsidR="00B21BDC" w:rsidRDefault="00B21BDC" w:rsidP="00390FEE">
      <w:pPr>
        <w:pStyle w:val="BodyText"/>
      </w:pPr>
      <w:r w:rsidRPr="00983EC7">
        <w:t xml:space="preserve">In its report on the 2020 Election, the Electoral Commission </w:t>
      </w:r>
      <w:r>
        <w:t>stated: ‘There is a need for early and proactive engagement of the Commission by MLAs, ministerial advisors and political parties in provision of advice on electoral matters.’</w:t>
      </w:r>
      <w:r>
        <w:rPr>
          <w:rStyle w:val="FootnoteReference"/>
        </w:rPr>
        <w:footnoteReference w:id="371"/>
      </w:r>
      <w:r>
        <w:t xml:space="preserve"> </w:t>
      </w:r>
    </w:p>
    <w:p w14:paraId="28F4EE69" w14:textId="77777777" w:rsidR="00B21BDC" w:rsidRDefault="00B21BDC" w:rsidP="00B21BDC">
      <w:pPr>
        <w:pStyle w:val="BodyText"/>
      </w:pPr>
      <w:r>
        <w:t>The Electoral Commissioner elaborated during the hearing:</w:t>
      </w:r>
    </w:p>
    <w:p w14:paraId="729CD2D1" w14:textId="183373BC" w:rsidR="00390FEE" w:rsidRDefault="00390FEE" w:rsidP="00B21BDC">
      <w:pPr>
        <w:pStyle w:val="Quote"/>
      </w:pPr>
      <w:r>
        <w:t>‘</w:t>
      </w:r>
      <w:r w:rsidRPr="00390FEE">
        <w:t>Unfortunately, there were a number of instances in the period running up to the election 2020 that saw briefs being passed to MLAs, and indeed debates occurring in the Assembly, that I believe, as the Commissioner, may have been better informed had there been some early and proactive engagement with the commission for the appropriate advice.</w:t>
      </w:r>
      <w:r>
        <w:t>’</w:t>
      </w:r>
      <w:r w:rsidR="00B21BDC">
        <w:rPr>
          <w:rStyle w:val="FootnoteReference"/>
        </w:rPr>
        <w:footnoteReference w:id="372"/>
      </w:r>
      <w:r>
        <w:t xml:space="preserve"> </w:t>
      </w:r>
    </w:p>
    <w:p w14:paraId="5451FDA9" w14:textId="723B4064" w:rsidR="00B21BDC" w:rsidRDefault="00B21BDC" w:rsidP="00390FEE">
      <w:pPr>
        <w:pStyle w:val="BodyText"/>
      </w:pPr>
      <w:r>
        <w:t>The Commissioner went on to acknowledge the full authority of the Assembly to consider legislative amendments as it deems appropriate</w:t>
      </w:r>
      <w:r w:rsidR="00F50E33">
        <w:t xml:space="preserve">; as well as </w:t>
      </w:r>
      <w:r>
        <w:t>the fact that some of the 2020 amendments were COVID-19 related, and ‘related to circumstances that none of us had any real control over’.</w:t>
      </w:r>
      <w:r>
        <w:rPr>
          <w:rStyle w:val="FootnoteReference"/>
        </w:rPr>
        <w:footnoteReference w:id="373"/>
      </w:r>
    </w:p>
    <w:tbl>
      <w:tblPr>
        <w:tblStyle w:val="TableGrid"/>
        <w:tblW w:w="9209" w:type="dxa"/>
        <w:tblInd w:w="-142" w:type="dxa"/>
        <w:tblLook w:val="04A0" w:firstRow="1" w:lastRow="0" w:firstColumn="1" w:lastColumn="0" w:noHBand="0" w:noVBand="1"/>
      </w:tblPr>
      <w:tblGrid>
        <w:gridCol w:w="9209"/>
      </w:tblGrid>
      <w:tr w:rsidR="00D02D0E" w14:paraId="678950F1" w14:textId="77777777" w:rsidTr="0057678B">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7ABFB3FE" w14:textId="71187E88" w:rsidR="00D02D0E" w:rsidRDefault="00D02D0E" w:rsidP="0057678B">
            <w:pPr>
              <w:pStyle w:val="RecommendationHeading"/>
            </w:pPr>
            <w:bookmarkStart w:id="190" w:name="_Toc78382570"/>
            <w:r>
              <w:t xml:space="preserve">Recommendation </w:t>
            </w:r>
            <w:r>
              <w:rPr>
                <w:noProof/>
              </w:rPr>
              <w:t>5</w:t>
            </w:r>
            <w:r w:rsidR="00327FC7">
              <w:rPr>
                <w:noProof/>
              </w:rPr>
              <w:t>2</w:t>
            </w:r>
            <w:bookmarkEnd w:id="190"/>
          </w:p>
          <w:p w14:paraId="03802EA0" w14:textId="5BC60246" w:rsidR="00D02D0E" w:rsidRPr="00962807" w:rsidRDefault="00D02D0E" w:rsidP="00D02D0E">
            <w:pPr>
              <w:pStyle w:val="RecommendationText"/>
            </w:pPr>
            <w:bookmarkStart w:id="191" w:name="_Toc78382571"/>
            <w:r w:rsidRPr="00D02D0E">
              <w:t xml:space="preserve">The Committee recommends that </w:t>
            </w:r>
            <w:r w:rsidRPr="00366A9C">
              <w:t xml:space="preserve">ACT Government review their consultative </w:t>
            </w:r>
            <w:proofErr w:type="gramStart"/>
            <w:r w:rsidRPr="00366A9C">
              <w:t>processes, and</w:t>
            </w:r>
            <w:proofErr w:type="gramEnd"/>
            <w:r w:rsidRPr="00D02D0E">
              <w:t xml:space="preserve"> identify opportunities to engage with the Electoral Commission early in the development of </w:t>
            </w:r>
            <w:r w:rsidR="009D3FD0">
              <w:t xml:space="preserve">proposed </w:t>
            </w:r>
            <w:r w:rsidRPr="00D02D0E">
              <w:t>amendments to the Electoral Act 1992</w:t>
            </w:r>
            <w:r>
              <w:t>.</w:t>
            </w:r>
            <w:bookmarkEnd w:id="191"/>
          </w:p>
        </w:tc>
      </w:tr>
    </w:tbl>
    <w:p w14:paraId="3FBCAEE9" w14:textId="3495E5C7" w:rsidR="00D02D0E" w:rsidRDefault="00D02D0E" w:rsidP="009814DC">
      <w:pPr>
        <w:pStyle w:val="Heading5"/>
      </w:pPr>
      <w:r>
        <w:lastRenderedPageBreak/>
        <w:t>Avoiding Amendments during an Election Year</w:t>
      </w:r>
    </w:p>
    <w:p w14:paraId="783525C8" w14:textId="77777777" w:rsidR="005E03B1" w:rsidRDefault="005E03B1" w:rsidP="00D02D0E">
      <w:pPr>
        <w:pStyle w:val="BodyText"/>
      </w:pPr>
      <w:r w:rsidRPr="00983EC7">
        <w:t xml:space="preserve">In its report on the 2020 Election, the Electoral Commission </w:t>
      </w:r>
      <w:r>
        <w:t xml:space="preserve">stated: </w:t>
      </w:r>
    </w:p>
    <w:p w14:paraId="580C26DC" w14:textId="2B816571" w:rsidR="005E03B1" w:rsidRDefault="005E03B1" w:rsidP="005E03B1">
      <w:pPr>
        <w:pStyle w:val="Quote"/>
      </w:pPr>
      <w:r>
        <w:t>‘Introduction of electoral related legislation late in the electoral cycle, such as the</w:t>
      </w:r>
      <w:r w:rsidRPr="005E03B1">
        <w:rPr>
          <w:i/>
        </w:rPr>
        <w:t xml:space="preserve"> Electoral Legislation Amendment Act 2020</w:t>
      </w:r>
      <w:r>
        <w:t xml:space="preserve"> passed by the Assembly on 2 July 2020, provided very little opportunity for the Commission to develop and implement appropriate procedures to enact such key legislation of direct impact in the delivery of the election.’</w:t>
      </w:r>
      <w:r>
        <w:rPr>
          <w:rStyle w:val="FootnoteReference"/>
        </w:rPr>
        <w:footnoteReference w:id="374"/>
      </w:r>
    </w:p>
    <w:p w14:paraId="48FFA111" w14:textId="5CD8F942" w:rsidR="00D02D0E" w:rsidRDefault="005E03B1" w:rsidP="00D02D0E">
      <w:pPr>
        <w:pStyle w:val="BodyText"/>
      </w:pPr>
      <w:r>
        <w:t>The</w:t>
      </w:r>
      <w:r w:rsidR="00D02D0E">
        <w:t xml:space="preserve"> Commission</w:t>
      </w:r>
      <w:r w:rsidR="00D02D0E" w:rsidRPr="00D02D0E">
        <w:t xml:space="preserve"> </w:t>
      </w:r>
      <w:r>
        <w:t>suggested</w:t>
      </w:r>
      <w:r w:rsidR="00D02D0E" w:rsidRPr="00D02D0E">
        <w:t xml:space="preserve"> ACT Government and MLAs avoid proposing amendments to the Electoral Act within 12 months of an election unless there is genuine urgency and necessity.</w:t>
      </w:r>
      <w:r>
        <w:rPr>
          <w:rStyle w:val="FootnoteReference"/>
        </w:rPr>
        <w:footnoteReference w:id="375"/>
      </w:r>
    </w:p>
    <w:p w14:paraId="0ADF3032" w14:textId="06AE29D3" w:rsidR="00F50E33" w:rsidRPr="00C370A2" w:rsidRDefault="00F50E33" w:rsidP="00F50E33">
      <w:pPr>
        <w:pStyle w:val="Heading6"/>
      </w:pPr>
      <w:r w:rsidRPr="00C370A2">
        <w:t>Committee Comment</w:t>
      </w:r>
    </w:p>
    <w:p w14:paraId="6287304F" w14:textId="73DBD000" w:rsidR="00F50E33" w:rsidRPr="00C370A2" w:rsidRDefault="00F50E33" w:rsidP="00D02D0E">
      <w:pPr>
        <w:pStyle w:val="BodyText"/>
      </w:pPr>
      <w:r w:rsidRPr="00C370A2">
        <w:t xml:space="preserve">The Committee notes the desirability of avoiding amendments to the Electoral Act within 12 months of an election, unless necessary to respond to urgent and unexpected circumstances, such as a pandemic. </w:t>
      </w:r>
    </w:p>
    <w:p w14:paraId="1576D51D" w14:textId="4D7F4ACB" w:rsidR="00151F03" w:rsidRDefault="00151F03" w:rsidP="007104A7">
      <w:pPr>
        <w:pStyle w:val="Heading2"/>
      </w:pPr>
      <w:bookmarkStart w:id="192" w:name="_Toc502671595"/>
      <w:bookmarkStart w:id="193" w:name="_Toc502671773"/>
      <w:bookmarkStart w:id="194" w:name="_Toc502671879"/>
      <w:bookmarkStart w:id="195" w:name="_Toc502672811"/>
      <w:bookmarkStart w:id="196" w:name="_Toc78535764"/>
      <w:r>
        <w:lastRenderedPageBreak/>
        <w:t>C</w:t>
      </w:r>
      <w:bookmarkEnd w:id="192"/>
      <w:bookmarkEnd w:id="193"/>
      <w:bookmarkEnd w:id="194"/>
      <w:bookmarkEnd w:id="195"/>
      <w:r w:rsidR="003D2BD5">
        <w:t>onclusion</w:t>
      </w:r>
      <w:bookmarkEnd w:id="196"/>
    </w:p>
    <w:p w14:paraId="00044DE7" w14:textId="33DCF8E3" w:rsidR="00335CD3" w:rsidRDefault="00FE2AC5" w:rsidP="00335CD3">
      <w:pPr>
        <w:pStyle w:val="BodyText"/>
      </w:pPr>
      <w:r>
        <w:t xml:space="preserve">The </w:t>
      </w:r>
      <w:r w:rsidR="009D3FD0">
        <w:t xml:space="preserve">Committee acknowledges the extraordinary efforts by the Electoral Commission to conduct a free, </w:t>
      </w:r>
      <w:proofErr w:type="gramStart"/>
      <w:r w:rsidR="009D3FD0">
        <w:t>fair</w:t>
      </w:r>
      <w:proofErr w:type="gramEnd"/>
      <w:r w:rsidR="009D3FD0">
        <w:t xml:space="preserve"> and safe election in the dramatic and evolving circumstances of a pandemic.  The Committee thanks the staff of the Electoral Commission </w:t>
      </w:r>
      <w:r w:rsidR="009D3FD0" w:rsidRPr="00B73396">
        <w:t xml:space="preserve">(permanent and casual), Access Canberra contact centre staff, </w:t>
      </w:r>
      <w:r w:rsidR="009D3FD0">
        <w:t xml:space="preserve">and the external agencies that supported the Electoral Commission on working groups for contingency planning, </w:t>
      </w:r>
      <w:proofErr w:type="gramStart"/>
      <w:r w:rsidR="009D3FD0">
        <w:t>ICT</w:t>
      </w:r>
      <w:proofErr w:type="gramEnd"/>
      <w:r w:rsidR="009D3FD0">
        <w:t xml:space="preserve"> and </w:t>
      </w:r>
      <w:r w:rsidR="009D3FD0" w:rsidRPr="00B73396">
        <w:t>security.</w:t>
      </w:r>
    </w:p>
    <w:p w14:paraId="34171B10" w14:textId="2DFF1617" w:rsidR="00B44439" w:rsidRDefault="00B44439" w:rsidP="00B44439">
      <w:pPr>
        <w:pStyle w:val="BodyText"/>
      </w:pPr>
      <w:bookmarkStart w:id="197" w:name="_Toc514657293"/>
      <w:bookmarkStart w:id="198" w:name="_Toc514657344"/>
      <w:bookmarkEnd w:id="197"/>
      <w:bookmarkEnd w:id="198"/>
      <w:r>
        <w:t xml:space="preserve">The Committee also thanks the participants in this inquiry for their time and contribution.    </w:t>
      </w:r>
    </w:p>
    <w:p w14:paraId="0ADA7AF3" w14:textId="01ED9B23" w:rsidR="00151F03" w:rsidRDefault="00690194" w:rsidP="00E10D31">
      <w:pPr>
        <w:pStyle w:val="Signature"/>
      </w:pPr>
      <w:r>
        <w:t>Jeremy Hanson MLA</w:t>
      </w:r>
    </w:p>
    <w:p w14:paraId="7AAB85B4" w14:textId="77777777" w:rsidR="00151F03" w:rsidRDefault="00151F03" w:rsidP="00E10D31">
      <w:r>
        <w:t>Chair</w:t>
      </w:r>
    </w:p>
    <w:p w14:paraId="21354AE5" w14:textId="78E86AA7" w:rsidR="00151F03" w:rsidRDefault="00F74B46" w:rsidP="00E10D31">
      <w:r w:rsidRPr="00366A9C">
        <w:t>28 July 2021</w:t>
      </w:r>
    </w:p>
    <w:p w14:paraId="1486FA74" w14:textId="77777777" w:rsidR="004D2594" w:rsidRDefault="004D2594" w:rsidP="00C715C2">
      <w:pPr>
        <w:pStyle w:val="BodyText"/>
        <w:ind w:left="0" w:firstLine="0"/>
        <w:sectPr w:rsidR="004D2594" w:rsidSect="0064133C">
          <w:footerReference w:type="even" r:id="rId23"/>
          <w:footerReference w:type="default" r:id="rId24"/>
          <w:type w:val="oddPage"/>
          <w:pgSz w:w="11907" w:h="16840" w:code="9"/>
          <w:pgMar w:top="1588" w:right="1418" w:bottom="1418" w:left="1418" w:header="720" w:footer="851" w:gutter="0"/>
          <w:pgNumType w:start="1"/>
          <w:cols w:space="720"/>
          <w:docGrid w:linePitch="360"/>
        </w:sectPr>
      </w:pPr>
    </w:p>
    <w:p w14:paraId="1942DDA7" w14:textId="5573861C" w:rsidR="00151F03" w:rsidRDefault="00151F03" w:rsidP="007104A7">
      <w:pPr>
        <w:pStyle w:val="Heading2"/>
        <w:numPr>
          <w:ilvl w:val="0"/>
          <w:numId w:val="0"/>
        </w:numPr>
        <w:ind w:left="567" w:hanging="567"/>
      </w:pPr>
      <w:bookmarkStart w:id="199" w:name="_Toc502671596"/>
      <w:bookmarkStart w:id="200" w:name="_Toc502671774"/>
      <w:bookmarkStart w:id="201" w:name="_Toc502671880"/>
      <w:bookmarkStart w:id="202" w:name="_Toc502672812"/>
      <w:bookmarkStart w:id="203" w:name="_Toc78535765"/>
      <w:r>
        <w:lastRenderedPageBreak/>
        <w:t>Appendix A</w:t>
      </w:r>
      <w:bookmarkEnd w:id="199"/>
      <w:bookmarkEnd w:id="200"/>
      <w:bookmarkEnd w:id="201"/>
      <w:bookmarkEnd w:id="202"/>
      <w:r w:rsidR="009174E4">
        <w:t xml:space="preserve"> </w:t>
      </w:r>
      <w:r w:rsidR="00804F6F">
        <w:t>–</w:t>
      </w:r>
      <w:r w:rsidR="009174E4">
        <w:t xml:space="preserve"> </w:t>
      </w:r>
      <w:r w:rsidR="008B2935">
        <w:t>W</w:t>
      </w:r>
      <w:r w:rsidR="00182DF1">
        <w:t>itnesses</w:t>
      </w:r>
      <w:bookmarkEnd w:id="203"/>
    </w:p>
    <w:p w14:paraId="353E1B46" w14:textId="550378F6" w:rsidR="00151F03" w:rsidRDefault="00690194" w:rsidP="004C30A4">
      <w:pPr>
        <w:pStyle w:val="Heading3"/>
        <w:ind w:hanging="567"/>
      </w:pPr>
      <w:bookmarkStart w:id="204" w:name="_Toc78535766"/>
      <w:r>
        <w:t>19 May 2021</w:t>
      </w:r>
      <w:bookmarkEnd w:id="204"/>
    </w:p>
    <w:p w14:paraId="313C7AD8" w14:textId="1ABC53CE" w:rsidR="00A9309D" w:rsidRDefault="00A9309D" w:rsidP="00A9309D">
      <w:pPr>
        <w:pStyle w:val="ListWitnesses"/>
      </w:pPr>
      <w:r>
        <w:t>Damian Cantwell (Electoral Commissioner)</w:t>
      </w:r>
    </w:p>
    <w:p w14:paraId="205BCEC2" w14:textId="55C8367E" w:rsidR="00A9309D" w:rsidRDefault="00A9309D" w:rsidP="00A9309D">
      <w:pPr>
        <w:pStyle w:val="ListWitnesses"/>
      </w:pPr>
      <w:r>
        <w:t>Ro Spence (Deputy Electoral Commissioner)</w:t>
      </w:r>
    </w:p>
    <w:p w14:paraId="688C6595" w14:textId="6D5932D4" w:rsidR="00A9309D" w:rsidRDefault="00A9309D" w:rsidP="00A9309D">
      <w:pPr>
        <w:pStyle w:val="ListWitnesses"/>
      </w:pPr>
      <w:r>
        <w:t>Emma Campbell (CEO, ACT Council of Social Service)</w:t>
      </w:r>
    </w:p>
    <w:p w14:paraId="7CDF6F0A" w14:textId="4A257082" w:rsidR="00A9309D" w:rsidRDefault="00A9309D" w:rsidP="00A9309D">
      <w:pPr>
        <w:pStyle w:val="ListWitnesses"/>
      </w:pPr>
      <w:r>
        <w:t>Craig Wallace (Head of Policy, ACT Council of Social Service)</w:t>
      </w:r>
    </w:p>
    <w:p w14:paraId="6FB8E224" w14:textId="4D7D6EFF" w:rsidR="00664739" w:rsidRDefault="00664739" w:rsidP="00664739">
      <w:pPr>
        <w:pStyle w:val="ListWitnesses"/>
      </w:pPr>
      <w:r>
        <w:t xml:space="preserve">Sebastian </w:t>
      </w:r>
      <w:proofErr w:type="spellStart"/>
      <w:r>
        <w:t>Mazay</w:t>
      </w:r>
      <w:proofErr w:type="spellEnd"/>
      <w:r>
        <w:t xml:space="preserve"> (</w:t>
      </w:r>
      <w:r w:rsidRPr="00664739">
        <w:t>ANU Law Reform and Social Justice Research Hub</w:t>
      </w:r>
      <w:r>
        <w:t>)</w:t>
      </w:r>
    </w:p>
    <w:p w14:paraId="4C54149D" w14:textId="49FACDF1" w:rsidR="00415891" w:rsidRDefault="00664739" w:rsidP="00664739">
      <w:pPr>
        <w:pStyle w:val="ListWitnesses"/>
      </w:pPr>
      <w:r>
        <w:t xml:space="preserve">Liam </w:t>
      </w:r>
      <w:proofErr w:type="spellStart"/>
      <w:r>
        <w:t>Brodrick</w:t>
      </w:r>
      <w:proofErr w:type="spellEnd"/>
      <w:r>
        <w:t xml:space="preserve"> (</w:t>
      </w:r>
      <w:r w:rsidRPr="00664739">
        <w:t>ANU Law Reform and Social Justice Research Hub</w:t>
      </w:r>
      <w:r>
        <w:t>)</w:t>
      </w:r>
    </w:p>
    <w:p w14:paraId="1CAE05AF" w14:textId="67852001" w:rsidR="00664739" w:rsidRDefault="00664739" w:rsidP="00664739">
      <w:pPr>
        <w:pStyle w:val="ListWitnesses"/>
      </w:pPr>
      <w:r>
        <w:t xml:space="preserve">Peter Tait (Convenor, </w:t>
      </w:r>
      <w:r w:rsidRPr="00664739">
        <w:t>Canberra Alliance for Participatory Democracy</w:t>
      </w:r>
      <w:r>
        <w:t>)</w:t>
      </w:r>
    </w:p>
    <w:p w14:paraId="35BB6E25" w14:textId="0CE465C9" w:rsidR="00664739" w:rsidRDefault="00664739" w:rsidP="00664739">
      <w:pPr>
        <w:pStyle w:val="ListWitnesses"/>
      </w:pPr>
      <w:r>
        <w:t xml:space="preserve">Gilles Rohan (Committee member, </w:t>
      </w:r>
      <w:r w:rsidRPr="00664739">
        <w:t>Canberra Alliance for Participatory Democracy</w:t>
      </w:r>
      <w:r>
        <w:t>)</w:t>
      </w:r>
    </w:p>
    <w:p w14:paraId="1C92720E" w14:textId="620DF47E" w:rsidR="00664739" w:rsidRDefault="00664739" w:rsidP="00664739">
      <w:pPr>
        <w:pStyle w:val="ListWitnesses"/>
      </w:pPr>
      <w:r>
        <w:t>Vanessa Teague</w:t>
      </w:r>
    </w:p>
    <w:p w14:paraId="31217616" w14:textId="276A6F51" w:rsidR="00664739" w:rsidRDefault="00664739" w:rsidP="00664739">
      <w:pPr>
        <w:pStyle w:val="ListWitnesses"/>
      </w:pPr>
      <w:r>
        <w:t>T Wilson-Brown</w:t>
      </w:r>
    </w:p>
    <w:p w14:paraId="50A7A7B9" w14:textId="4194167B" w:rsidR="00C5534C" w:rsidRDefault="00690194" w:rsidP="004C30A4">
      <w:pPr>
        <w:pStyle w:val="Heading3"/>
        <w:ind w:hanging="567"/>
      </w:pPr>
      <w:bookmarkStart w:id="205" w:name="_Toc78535767"/>
      <w:r>
        <w:t>26 May 2021</w:t>
      </w:r>
      <w:bookmarkEnd w:id="205"/>
    </w:p>
    <w:p w14:paraId="20BF0B77" w14:textId="471E3932" w:rsidR="00664739" w:rsidRDefault="00664739" w:rsidP="00664739">
      <w:pPr>
        <w:pStyle w:val="ListWitnesses"/>
      </w:pPr>
      <w:r>
        <w:t xml:space="preserve">Ash van Dijk (Secretary, ACT </w:t>
      </w:r>
      <w:proofErr w:type="spellStart"/>
      <w:r>
        <w:t>Labor</w:t>
      </w:r>
      <w:proofErr w:type="spellEnd"/>
      <w:r>
        <w:t xml:space="preserve">) </w:t>
      </w:r>
    </w:p>
    <w:p w14:paraId="37E0B676" w14:textId="4BDAD905" w:rsidR="00664739" w:rsidRDefault="00664739" w:rsidP="00664739">
      <w:pPr>
        <w:pStyle w:val="ListWitnesses"/>
      </w:pPr>
      <w:r>
        <w:t xml:space="preserve">Jarryd Moore (Organiser, ACT </w:t>
      </w:r>
      <w:proofErr w:type="spellStart"/>
      <w:r>
        <w:t>Labor</w:t>
      </w:r>
      <w:proofErr w:type="spellEnd"/>
      <w:r>
        <w:t>)</w:t>
      </w:r>
    </w:p>
    <w:p w14:paraId="6B2A85CD" w14:textId="7A616E10" w:rsidR="00232818" w:rsidRDefault="00232818" w:rsidP="00232818">
      <w:pPr>
        <w:pStyle w:val="ListWitnesses"/>
      </w:pPr>
      <w:r>
        <w:t xml:space="preserve">Jo Root (Convenor, ACT Greens) </w:t>
      </w:r>
    </w:p>
    <w:p w14:paraId="25C4691D" w14:textId="6DB30EDD" w:rsidR="00664739" w:rsidRDefault="00232818" w:rsidP="00232818">
      <w:pPr>
        <w:pStyle w:val="ListWitnesses"/>
      </w:pPr>
      <w:r>
        <w:t>Fleur Morales (Party Director, ACT Greens)</w:t>
      </w:r>
    </w:p>
    <w:p w14:paraId="2FC21898" w14:textId="63C90396" w:rsidR="00182DF1" w:rsidRDefault="00232818" w:rsidP="004302E6">
      <w:pPr>
        <w:pStyle w:val="ListWitnesses"/>
      </w:pPr>
      <w:r>
        <w:t xml:space="preserve">Josh </w:t>
      </w:r>
      <w:proofErr w:type="spellStart"/>
      <w:r>
        <w:t>Manuatu</w:t>
      </w:r>
      <w:proofErr w:type="spellEnd"/>
      <w:r>
        <w:t xml:space="preserve"> (former Divisional Director, Canberra Liberals)</w:t>
      </w:r>
    </w:p>
    <w:p w14:paraId="06110E25" w14:textId="7C1CBDD4" w:rsidR="00232818" w:rsidRDefault="00232818" w:rsidP="00232818">
      <w:pPr>
        <w:pStyle w:val="ListWitnesses"/>
      </w:pPr>
      <w:r>
        <w:t xml:space="preserve">Stephen </w:t>
      </w:r>
      <w:proofErr w:type="spellStart"/>
      <w:r>
        <w:t>Clively</w:t>
      </w:r>
      <w:proofErr w:type="spellEnd"/>
      <w:r>
        <w:t xml:space="preserve"> (Liberal Democrats)</w:t>
      </w:r>
    </w:p>
    <w:p w14:paraId="44365BAE" w14:textId="39EB558A" w:rsidR="00182DF1" w:rsidRDefault="00232818" w:rsidP="00232818">
      <w:pPr>
        <w:pStyle w:val="ListWitnesses"/>
      </w:pPr>
      <w:r>
        <w:t>Jacob Gower (Liberal Democrats)</w:t>
      </w:r>
    </w:p>
    <w:p w14:paraId="15ACEC25" w14:textId="1A03FAA3" w:rsidR="00232818" w:rsidRDefault="00232818" w:rsidP="00232818">
      <w:pPr>
        <w:pStyle w:val="ListWitnesses"/>
      </w:pPr>
      <w:r>
        <w:t xml:space="preserve">Kerry </w:t>
      </w:r>
      <w:proofErr w:type="spellStart"/>
      <w:r>
        <w:t>Markoulli</w:t>
      </w:r>
      <w:proofErr w:type="spellEnd"/>
      <w:r>
        <w:t xml:space="preserve"> (President, Canberra Progressives) </w:t>
      </w:r>
    </w:p>
    <w:p w14:paraId="143D6DD8" w14:textId="17AEF8AC" w:rsidR="00232818" w:rsidRDefault="00232818" w:rsidP="00232818">
      <w:pPr>
        <w:pStyle w:val="ListWitnesses"/>
      </w:pPr>
      <w:r>
        <w:t>Therese Faulkner (Vice-President, Canberra Progressives)</w:t>
      </w:r>
    </w:p>
    <w:p w14:paraId="3234B313" w14:textId="546B1DBD" w:rsidR="00232818" w:rsidRDefault="00232818" w:rsidP="00232818">
      <w:pPr>
        <w:pStyle w:val="ListWitnesses"/>
      </w:pPr>
      <w:r>
        <w:t>Jennifer McNeill (Deputy Director General, Justice and Community Safety Directorate)</w:t>
      </w:r>
    </w:p>
    <w:p w14:paraId="2E86AF42" w14:textId="173C7447" w:rsidR="00232818" w:rsidRDefault="00232818" w:rsidP="00232818">
      <w:pPr>
        <w:pStyle w:val="ListWitnesses"/>
      </w:pPr>
      <w:r>
        <w:t>Zoe Hutchinson (Branch Manager, Justice and Community Safety Directorate)</w:t>
      </w:r>
    </w:p>
    <w:p w14:paraId="2A40919E" w14:textId="77777777" w:rsidR="0052783F" w:rsidRDefault="0052783F" w:rsidP="0052783F"/>
    <w:p w14:paraId="0A1F301F" w14:textId="77777777" w:rsidR="0061344F" w:rsidRDefault="0061344F" w:rsidP="007104A7">
      <w:pPr>
        <w:pStyle w:val="Heading2"/>
        <w:numPr>
          <w:ilvl w:val="0"/>
          <w:numId w:val="0"/>
        </w:numPr>
        <w:ind w:left="567" w:hanging="567"/>
      </w:pPr>
      <w:bookmarkStart w:id="206" w:name="_Toc78535768"/>
      <w:r>
        <w:lastRenderedPageBreak/>
        <w:t>Appendix B – Submissions</w:t>
      </w:r>
      <w:bookmarkEnd w:id="206"/>
    </w:p>
    <w:tbl>
      <w:tblPr>
        <w:tblStyle w:val="CommitteeTable"/>
        <w:tblW w:w="8931" w:type="dxa"/>
        <w:tblInd w:w="-5" w:type="dxa"/>
        <w:tblLook w:val="04A0" w:firstRow="1" w:lastRow="0" w:firstColumn="1" w:lastColumn="0" w:noHBand="0" w:noVBand="1"/>
      </w:tblPr>
      <w:tblGrid>
        <w:gridCol w:w="1418"/>
        <w:gridCol w:w="5528"/>
        <w:gridCol w:w="1985"/>
      </w:tblGrid>
      <w:tr w:rsidR="00A77A10" w:rsidRPr="00B92315" w14:paraId="63643A34" w14:textId="77777777" w:rsidTr="00232818">
        <w:trPr>
          <w:cnfStyle w:val="100000000000" w:firstRow="1" w:lastRow="0" w:firstColumn="0" w:lastColumn="0" w:oddVBand="0" w:evenVBand="0" w:oddHBand="0" w:evenHBand="0" w:firstRowFirstColumn="0" w:firstRowLastColumn="0" w:lastRowFirstColumn="0" w:lastRowLastColumn="0"/>
        </w:trPr>
        <w:tc>
          <w:tcPr>
            <w:tcW w:w="1418" w:type="dxa"/>
          </w:tcPr>
          <w:p w14:paraId="6985C0F1" w14:textId="77777777" w:rsidR="0061344F" w:rsidRPr="00B92315" w:rsidRDefault="0061344F" w:rsidP="00690194">
            <w:pPr>
              <w:pStyle w:val="TableHeading"/>
              <w:jc w:val="center"/>
              <w:rPr>
                <w:b/>
                <w:szCs w:val="22"/>
              </w:rPr>
            </w:pPr>
            <w:r w:rsidRPr="00B92315">
              <w:rPr>
                <w:b/>
              </w:rPr>
              <w:t>Submission Number</w:t>
            </w:r>
          </w:p>
        </w:tc>
        <w:tc>
          <w:tcPr>
            <w:tcW w:w="5528" w:type="dxa"/>
          </w:tcPr>
          <w:p w14:paraId="4B47D9C8" w14:textId="77777777" w:rsidR="0061344F" w:rsidRPr="00B92315" w:rsidRDefault="0061344F" w:rsidP="00B92315">
            <w:pPr>
              <w:pStyle w:val="TableHeading"/>
              <w:jc w:val="center"/>
              <w:rPr>
                <w:b/>
              </w:rPr>
            </w:pPr>
            <w:r w:rsidRPr="00B92315">
              <w:rPr>
                <w:b/>
              </w:rPr>
              <w:t>Submitter</w:t>
            </w:r>
            <w:bookmarkStart w:id="207" w:name="ColumnTitle_Submissions"/>
            <w:bookmarkEnd w:id="207"/>
          </w:p>
        </w:tc>
        <w:tc>
          <w:tcPr>
            <w:tcW w:w="1985" w:type="dxa"/>
          </w:tcPr>
          <w:p w14:paraId="1E7AADA4" w14:textId="77777777" w:rsidR="0061344F" w:rsidRPr="00B92315" w:rsidRDefault="0061344F" w:rsidP="00232818">
            <w:pPr>
              <w:pStyle w:val="TableHeading"/>
              <w:jc w:val="center"/>
              <w:rPr>
                <w:b/>
              </w:rPr>
            </w:pPr>
            <w:r w:rsidRPr="00B92315">
              <w:rPr>
                <w:b/>
              </w:rPr>
              <w:t>Received</w:t>
            </w:r>
          </w:p>
        </w:tc>
      </w:tr>
      <w:tr w:rsidR="00232818" w14:paraId="6FFDB7E8"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1719BDA0" w14:textId="2E6424FD" w:rsidR="00232818" w:rsidRPr="0061344F" w:rsidRDefault="00232818" w:rsidP="00232818">
            <w:pPr>
              <w:pStyle w:val="TableText"/>
              <w:jc w:val="center"/>
            </w:pPr>
            <w:r>
              <w:t>1</w:t>
            </w:r>
          </w:p>
        </w:tc>
        <w:tc>
          <w:tcPr>
            <w:tcW w:w="5528" w:type="dxa"/>
            <w:vAlign w:val="top"/>
          </w:tcPr>
          <w:p w14:paraId="518C69B5" w14:textId="4B3D258C" w:rsidR="00232818" w:rsidRPr="0061344F" w:rsidRDefault="00232818" w:rsidP="00232818">
            <w:pPr>
              <w:pStyle w:val="TableText"/>
            </w:pPr>
            <w:r w:rsidRPr="00E16EB0">
              <w:t xml:space="preserve">Michael </w:t>
            </w:r>
            <w:proofErr w:type="spellStart"/>
            <w:r w:rsidRPr="00E16EB0">
              <w:t>Beahan</w:t>
            </w:r>
            <w:proofErr w:type="spellEnd"/>
          </w:p>
        </w:tc>
        <w:tc>
          <w:tcPr>
            <w:tcW w:w="1985" w:type="dxa"/>
            <w:vAlign w:val="top"/>
          </w:tcPr>
          <w:p w14:paraId="12C022A4" w14:textId="5BBBDAF0" w:rsidR="00232818" w:rsidRPr="0061344F" w:rsidRDefault="00232818" w:rsidP="00232818">
            <w:pPr>
              <w:pStyle w:val="TableText"/>
              <w:jc w:val="center"/>
            </w:pPr>
            <w:r w:rsidRPr="00CB068B">
              <w:t>3.2.21</w:t>
            </w:r>
          </w:p>
        </w:tc>
      </w:tr>
      <w:tr w:rsidR="00232818" w14:paraId="66DB4E6E" w14:textId="77777777" w:rsidTr="00232818">
        <w:tc>
          <w:tcPr>
            <w:tcW w:w="1418" w:type="dxa"/>
          </w:tcPr>
          <w:p w14:paraId="73852050" w14:textId="3F71CAA5" w:rsidR="00232818" w:rsidRPr="0061344F" w:rsidRDefault="00232818" w:rsidP="00232818">
            <w:pPr>
              <w:pStyle w:val="TableText"/>
              <w:jc w:val="center"/>
            </w:pPr>
            <w:r>
              <w:t>2</w:t>
            </w:r>
          </w:p>
        </w:tc>
        <w:tc>
          <w:tcPr>
            <w:tcW w:w="5528" w:type="dxa"/>
            <w:vAlign w:val="top"/>
          </w:tcPr>
          <w:p w14:paraId="55357F98" w14:textId="03D64C5F" w:rsidR="00232818" w:rsidRPr="0061344F" w:rsidRDefault="00232818" w:rsidP="00232818">
            <w:pPr>
              <w:pStyle w:val="TableText"/>
            </w:pPr>
            <w:r w:rsidRPr="00E16EB0">
              <w:t xml:space="preserve">Malcolm </w:t>
            </w:r>
            <w:proofErr w:type="spellStart"/>
            <w:r w:rsidRPr="00E16EB0">
              <w:t>Mackerras</w:t>
            </w:r>
            <w:proofErr w:type="spellEnd"/>
          </w:p>
        </w:tc>
        <w:tc>
          <w:tcPr>
            <w:tcW w:w="1985" w:type="dxa"/>
            <w:vAlign w:val="top"/>
          </w:tcPr>
          <w:p w14:paraId="006CBEAB" w14:textId="50CB1D53" w:rsidR="00232818" w:rsidRPr="0061344F" w:rsidRDefault="00232818" w:rsidP="00232818">
            <w:pPr>
              <w:pStyle w:val="TableText"/>
              <w:jc w:val="center"/>
            </w:pPr>
            <w:r w:rsidRPr="00CB068B">
              <w:t>9.2.21</w:t>
            </w:r>
          </w:p>
        </w:tc>
      </w:tr>
      <w:tr w:rsidR="00232818" w14:paraId="3E8CF2E6"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065CC787" w14:textId="6C2318B7" w:rsidR="00232818" w:rsidRPr="0061344F" w:rsidRDefault="00232818" w:rsidP="00232818">
            <w:pPr>
              <w:pStyle w:val="TableText"/>
              <w:jc w:val="center"/>
            </w:pPr>
            <w:r>
              <w:t>3</w:t>
            </w:r>
          </w:p>
        </w:tc>
        <w:tc>
          <w:tcPr>
            <w:tcW w:w="5528" w:type="dxa"/>
            <w:vAlign w:val="top"/>
          </w:tcPr>
          <w:p w14:paraId="305F44C2" w14:textId="65941D8C" w:rsidR="00232818" w:rsidRPr="0061344F" w:rsidRDefault="00232818" w:rsidP="00232818">
            <w:pPr>
              <w:pStyle w:val="TableText"/>
            </w:pPr>
            <w:r w:rsidRPr="00E16EB0">
              <w:t xml:space="preserve">Vanessa Teague, Andrew Conway, Thomas Haines, </w:t>
            </w:r>
            <w:r>
              <w:br/>
            </w:r>
            <w:r w:rsidRPr="00E16EB0">
              <w:t>T Wilson-Brown</w:t>
            </w:r>
          </w:p>
        </w:tc>
        <w:tc>
          <w:tcPr>
            <w:tcW w:w="1985" w:type="dxa"/>
            <w:vAlign w:val="top"/>
          </w:tcPr>
          <w:p w14:paraId="51DDA197" w14:textId="1B30E7D3" w:rsidR="00232818" w:rsidRPr="0061344F" w:rsidRDefault="00232818" w:rsidP="00232818">
            <w:pPr>
              <w:pStyle w:val="TableText"/>
              <w:jc w:val="center"/>
            </w:pPr>
            <w:r w:rsidRPr="00CB068B">
              <w:t>22.2.21</w:t>
            </w:r>
          </w:p>
        </w:tc>
      </w:tr>
      <w:tr w:rsidR="00232818" w14:paraId="401D4D67" w14:textId="77777777" w:rsidTr="00232818">
        <w:tc>
          <w:tcPr>
            <w:tcW w:w="1418" w:type="dxa"/>
          </w:tcPr>
          <w:p w14:paraId="404F419D" w14:textId="7E8590EF" w:rsidR="00232818" w:rsidRPr="0061344F" w:rsidRDefault="00232818" w:rsidP="00232818">
            <w:pPr>
              <w:pStyle w:val="TableText"/>
              <w:jc w:val="center"/>
            </w:pPr>
            <w:r>
              <w:t>4</w:t>
            </w:r>
          </w:p>
        </w:tc>
        <w:tc>
          <w:tcPr>
            <w:tcW w:w="5528" w:type="dxa"/>
            <w:vAlign w:val="top"/>
          </w:tcPr>
          <w:p w14:paraId="3B94F8A1" w14:textId="608E3DAF" w:rsidR="00232818" w:rsidRPr="0061344F" w:rsidRDefault="00232818" w:rsidP="00232818">
            <w:pPr>
              <w:pStyle w:val="TableText"/>
            </w:pPr>
            <w:r w:rsidRPr="00E16EB0">
              <w:t>Canberra Alliance for Participatory Democracy (</w:t>
            </w:r>
            <w:proofErr w:type="spellStart"/>
            <w:r w:rsidRPr="00E16EB0">
              <w:t>CaPAD</w:t>
            </w:r>
            <w:proofErr w:type="spellEnd"/>
            <w:r w:rsidRPr="00E16EB0">
              <w:t>)</w:t>
            </w:r>
          </w:p>
        </w:tc>
        <w:tc>
          <w:tcPr>
            <w:tcW w:w="1985" w:type="dxa"/>
            <w:vAlign w:val="top"/>
          </w:tcPr>
          <w:p w14:paraId="5D131519" w14:textId="3E3A47FE" w:rsidR="00232818" w:rsidRPr="0061344F" w:rsidRDefault="00232818" w:rsidP="00232818">
            <w:pPr>
              <w:pStyle w:val="TableText"/>
              <w:jc w:val="center"/>
            </w:pPr>
            <w:r w:rsidRPr="00CB068B">
              <w:t>24.3.21</w:t>
            </w:r>
          </w:p>
        </w:tc>
      </w:tr>
      <w:tr w:rsidR="00232818" w14:paraId="4959484F"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3F2F42C8" w14:textId="2ED150C4" w:rsidR="00232818" w:rsidRPr="0061344F" w:rsidRDefault="00232818" w:rsidP="00232818">
            <w:pPr>
              <w:pStyle w:val="TableText"/>
              <w:jc w:val="center"/>
            </w:pPr>
            <w:r>
              <w:t>5</w:t>
            </w:r>
          </w:p>
        </w:tc>
        <w:tc>
          <w:tcPr>
            <w:tcW w:w="5528" w:type="dxa"/>
            <w:vAlign w:val="top"/>
          </w:tcPr>
          <w:p w14:paraId="1321CEBF" w14:textId="4BE15224" w:rsidR="00232818" w:rsidRPr="0061344F" w:rsidRDefault="00232818" w:rsidP="00232818">
            <w:pPr>
              <w:pStyle w:val="TableText"/>
            </w:pPr>
            <w:r w:rsidRPr="00E16EB0">
              <w:t>Mark Fletcher</w:t>
            </w:r>
          </w:p>
        </w:tc>
        <w:tc>
          <w:tcPr>
            <w:tcW w:w="1985" w:type="dxa"/>
            <w:vAlign w:val="top"/>
          </w:tcPr>
          <w:p w14:paraId="130531EF" w14:textId="5CE8B9E8" w:rsidR="00232818" w:rsidRPr="0061344F" w:rsidRDefault="00232818" w:rsidP="00232818">
            <w:pPr>
              <w:pStyle w:val="TableText"/>
              <w:jc w:val="center"/>
            </w:pPr>
            <w:r w:rsidRPr="00CB068B">
              <w:t>1.4.21</w:t>
            </w:r>
          </w:p>
        </w:tc>
      </w:tr>
      <w:tr w:rsidR="00232818" w14:paraId="5EB0C0BE" w14:textId="77777777" w:rsidTr="00232818">
        <w:tc>
          <w:tcPr>
            <w:tcW w:w="1418" w:type="dxa"/>
          </w:tcPr>
          <w:p w14:paraId="0137D82B" w14:textId="18D597A0" w:rsidR="00232818" w:rsidRPr="0061344F" w:rsidRDefault="00232818" w:rsidP="00232818">
            <w:pPr>
              <w:pStyle w:val="TableText"/>
              <w:jc w:val="center"/>
            </w:pPr>
            <w:r>
              <w:t>6</w:t>
            </w:r>
          </w:p>
        </w:tc>
        <w:tc>
          <w:tcPr>
            <w:tcW w:w="5528" w:type="dxa"/>
            <w:vAlign w:val="top"/>
          </w:tcPr>
          <w:p w14:paraId="566C9873" w14:textId="1E191AAD" w:rsidR="00232818" w:rsidRPr="0061344F" w:rsidRDefault="00232818" w:rsidP="00232818">
            <w:pPr>
              <w:pStyle w:val="TableText"/>
            </w:pPr>
            <w:r w:rsidRPr="00E16EB0">
              <w:t>Kerry Burton</w:t>
            </w:r>
          </w:p>
        </w:tc>
        <w:tc>
          <w:tcPr>
            <w:tcW w:w="1985" w:type="dxa"/>
            <w:vAlign w:val="top"/>
          </w:tcPr>
          <w:p w14:paraId="1F2161C7" w14:textId="6730E2EE" w:rsidR="00232818" w:rsidRPr="0061344F" w:rsidRDefault="00232818" w:rsidP="00232818">
            <w:pPr>
              <w:pStyle w:val="TableText"/>
              <w:jc w:val="center"/>
            </w:pPr>
            <w:r w:rsidRPr="00CB068B">
              <w:t>7.4.21</w:t>
            </w:r>
          </w:p>
        </w:tc>
      </w:tr>
      <w:tr w:rsidR="00232818" w14:paraId="0D29DD92"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3DDF34BB" w14:textId="1321A7CC" w:rsidR="00232818" w:rsidRPr="0061344F" w:rsidRDefault="00232818" w:rsidP="00232818">
            <w:pPr>
              <w:pStyle w:val="TableText"/>
              <w:jc w:val="center"/>
            </w:pPr>
            <w:r>
              <w:t>7</w:t>
            </w:r>
          </w:p>
        </w:tc>
        <w:tc>
          <w:tcPr>
            <w:tcW w:w="5528" w:type="dxa"/>
            <w:vAlign w:val="top"/>
          </w:tcPr>
          <w:p w14:paraId="36F6BF81" w14:textId="44213265" w:rsidR="00232818" w:rsidRPr="0061344F" w:rsidRDefault="00232818" w:rsidP="00232818">
            <w:pPr>
              <w:pStyle w:val="TableText"/>
            </w:pPr>
            <w:r w:rsidRPr="00E16EB0">
              <w:t>John-Paul Romano</w:t>
            </w:r>
          </w:p>
        </w:tc>
        <w:tc>
          <w:tcPr>
            <w:tcW w:w="1985" w:type="dxa"/>
            <w:vAlign w:val="top"/>
          </w:tcPr>
          <w:p w14:paraId="331D7BF9" w14:textId="597EA2A5" w:rsidR="00232818" w:rsidRPr="0061344F" w:rsidRDefault="00232818" w:rsidP="00232818">
            <w:pPr>
              <w:pStyle w:val="TableText"/>
              <w:jc w:val="center"/>
            </w:pPr>
            <w:r w:rsidRPr="00CB068B">
              <w:t>12.4.21</w:t>
            </w:r>
          </w:p>
        </w:tc>
      </w:tr>
      <w:tr w:rsidR="00232818" w14:paraId="1F3C3DC8" w14:textId="77777777" w:rsidTr="00232818">
        <w:tc>
          <w:tcPr>
            <w:tcW w:w="1418" w:type="dxa"/>
          </w:tcPr>
          <w:p w14:paraId="1A25E2EA" w14:textId="41E8DCC0" w:rsidR="00232818" w:rsidRPr="0061344F" w:rsidRDefault="00232818" w:rsidP="00232818">
            <w:pPr>
              <w:pStyle w:val="TableText"/>
              <w:jc w:val="center"/>
            </w:pPr>
            <w:r>
              <w:t>8</w:t>
            </w:r>
          </w:p>
        </w:tc>
        <w:tc>
          <w:tcPr>
            <w:tcW w:w="5528" w:type="dxa"/>
            <w:vAlign w:val="top"/>
          </w:tcPr>
          <w:p w14:paraId="3A7ED950" w14:textId="48971479" w:rsidR="00232818" w:rsidRPr="0061344F" w:rsidRDefault="00232818" w:rsidP="00232818">
            <w:pPr>
              <w:pStyle w:val="TableText"/>
            </w:pPr>
            <w:r w:rsidRPr="00E16EB0">
              <w:t>ACT Electoral Commission</w:t>
            </w:r>
          </w:p>
        </w:tc>
        <w:tc>
          <w:tcPr>
            <w:tcW w:w="1985" w:type="dxa"/>
            <w:vAlign w:val="top"/>
          </w:tcPr>
          <w:p w14:paraId="2F63B5A5" w14:textId="6A327A24" w:rsidR="00232818" w:rsidRPr="0061344F" w:rsidRDefault="00232818" w:rsidP="00232818">
            <w:pPr>
              <w:pStyle w:val="TableText"/>
              <w:jc w:val="center"/>
            </w:pPr>
            <w:r w:rsidRPr="00CB068B">
              <w:t>23.4.21</w:t>
            </w:r>
          </w:p>
        </w:tc>
      </w:tr>
      <w:tr w:rsidR="00232818" w14:paraId="30CFB7B3"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651AD607" w14:textId="261EF9BE" w:rsidR="00232818" w:rsidRPr="0061344F" w:rsidRDefault="00232818" w:rsidP="00232818">
            <w:pPr>
              <w:pStyle w:val="TableText"/>
              <w:jc w:val="center"/>
            </w:pPr>
            <w:r>
              <w:t>9</w:t>
            </w:r>
          </w:p>
        </w:tc>
        <w:tc>
          <w:tcPr>
            <w:tcW w:w="5528" w:type="dxa"/>
            <w:vAlign w:val="top"/>
          </w:tcPr>
          <w:p w14:paraId="5191C979" w14:textId="66F9403E" w:rsidR="00232818" w:rsidRPr="0061344F" w:rsidRDefault="00232818" w:rsidP="00232818">
            <w:pPr>
              <w:pStyle w:val="TableText"/>
            </w:pPr>
            <w:r w:rsidRPr="00E16EB0">
              <w:t>ACT Electoral Commission - supplementary</w:t>
            </w:r>
          </w:p>
        </w:tc>
        <w:tc>
          <w:tcPr>
            <w:tcW w:w="1985" w:type="dxa"/>
            <w:vAlign w:val="top"/>
          </w:tcPr>
          <w:p w14:paraId="60EAF541" w14:textId="2D84ADFE" w:rsidR="00232818" w:rsidRPr="0061344F" w:rsidRDefault="00232818" w:rsidP="00232818">
            <w:pPr>
              <w:pStyle w:val="TableText"/>
              <w:jc w:val="center"/>
            </w:pPr>
            <w:r w:rsidRPr="00CB068B">
              <w:t>30.4.21</w:t>
            </w:r>
          </w:p>
        </w:tc>
      </w:tr>
      <w:tr w:rsidR="00232818" w14:paraId="74A54245" w14:textId="77777777" w:rsidTr="00232818">
        <w:tc>
          <w:tcPr>
            <w:tcW w:w="1418" w:type="dxa"/>
          </w:tcPr>
          <w:p w14:paraId="2BC715E3" w14:textId="39CD715E" w:rsidR="00232818" w:rsidRPr="0061344F" w:rsidRDefault="00232818" w:rsidP="00232818">
            <w:pPr>
              <w:pStyle w:val="TableText"/>
              <w:jc w:val="center"/>
            </w:pPr>
            <w:r>
              <w:t>10</w:t>
            </w:r>
          </w:p>
        </w:tc>
        <w:tc>
          <w:tcPr>
            <w:tcW w:w="5528" w:type="dxa"/>
            <w:vAlign w:val="top"/>
          </w:tcPr>
          <w:p w14:paraId="0F9F605D" w14:textId="03228602" w:rsidR="00232818" w:rsidRPr="0061344F" w:rsidRDefault="00232818" w:rsidP="00232818">
            <w:pPr>
              <w:pStyle w:val="TableText"/>
            </w:pPr>
            <w:r w:rsidRPr="00E16EB0">
              <w:t>Canberra Liberals</w:t>
            </w:r>
          </w:p>
        </w:tc>
        <w:tc>
          <w:tcPr>
            <w:tcW w:w="1985" w:type="dxa"/>
            <w:vAlign w:val="top"/>
          </w:tcPr>
          <w:p w14:paraId="70407A6B" w14:textId="5613A6DD" w:rsidR="00232818" w:rsidRPr="0061344F" w:rsidRDefault="00232818" w:rsidP="00232818">
            <w:pPr>
              <w:pStyle w:val="TableText"/>
              <w:jc w:val="center"/>
            </w:pPr>
            <w:r w:rsidRPr="00CB068B">
              <w:t>23.4.21</w:t>
            </w:r>
          </w:p>
        </w:tc>
      </w:tr>
      <w:tr w:rsidR="00232818" w14:paraId="732857F6"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02EC4463" w14:textId="00ADA208" w:rsidR="00232818" w:rsidRPr="0061344F" w:rsidRDefault="00232818" w:rsidP="00232818">
            <w:pPr>
              <w:pStyle w:val="TableText"/>
              <w:jc w:val="center"/>
            </w:pPr>
            <w:r>
              <w:t>11</w:t>
            </w:r>
          </w:p>
        </w:tc>
        <w:tc>
          <w:tcPr>
            <w:tcW w:w="5528" w:type="dxa"/>
            <w:vAlign w:val="top"/>
          </w:tcPr>
          <w:p w14:paraId="3D082C0F" w14:textId="5E7BBB63" w:rsidR="00232818" w:rsidRPr="0061344F" w:rsidRDefault="00232818" w:rsidP="00232818">
            <w:pPr>
              <w:pStyle w:val="TableText"/>
            </w:pPr>
            <w:r w:rsidRPr="00E16EB0">
              <w:t xml:space="preserve">ACT Government </w:t>
            </w:r>
          </w:p>
        </w:tc>
        <w:tc>
          <w:tcPr>
            <w:tcW w:w="1985" w:type="dxa"/>
            <w:vAlign w:val="top"/>
          </w:tcPr>
          <w:p w14:paraId="7D8F07BA" w14:textId="4AF551F6" w:rsidR="00232818" w:rsidRPr="0061344F" w:rsidRDefault="00232818" w:rsidP="00232818">
            <w:pPr>
              <w:pStyle w:val="TableText"/>
              <w:jc w:val="center"/>
            </w:pPr>
            <w:r w:rsidRPr="00CB068B">
              <w:t>28.4.21</w:t>
            </w:r>
          </w:p>
        </w:tc>
      </w:tr>
      <w:tr w:rsidR="00232818" w14:paraId="219F447E" w14:textId="77777777" w:rsidTr="00232818">
        <w:tc>
          <w:tcPr>
            <w:tcW w:w="1418" w:type="dxa"/>
          </w:tcPr>
          <w:p w14:paraId="6DC3800F" w14:textId="270FBB53" w:rsidR="00232818" w:rsidRPr="0061344F" w:rsidRDefault="00232818" w:rsidP="00232818">
            <w:pPr>
              <w:pStyle w:val="TableText"/>
              <w:jc w:val="center"/>
            </w:pPr>
            <w:r>
              <w:t>12</w:t>
            </w:r>
          </w:p>
        </w:tc>
        <w:tc>
          <w:tcPr>
            <w:tcW w:w="5528" w:type="dxa"/>
            <w:vAlign w:val="top"/>
          </w:tcPr>
          <w:p w14:paraId="0014BDDC" w14:textId="4BD0BBCE" w:rsidR="00232818" w:rsidRPr="0061344F" w:rsidRDefault="00232818" w:rsidP="00232818">
            <w:pPr>
              <w:pStyle w:val="TableText"/>
            </w:pPr>
            <w:r w:rsidRPr="00E16EB0">
              <w:t>Youth Coalition of the ACT</w:t>
            </w:r>
          </w:p>
        </w:tc>
        <w:tc>
          <w:tcPr>
            <w:tcW w:w="1985" w:type="dxa"/>
            <w:vAlign w:val="top"/>
          </w:tcPr>
          <w:p w14:paraId="36C43E85" w14:textId="405636DD" w:rsidR="00232818" w:rsidRPr="0061344F" w:rsidRDefault="00232818" w:rsidP="00232818">
            <w:pPr>
              <w:pStyle w:val="TableText"/>
              <w:jc w:val="center"/>
            </w:pPr>
            <w:r w:rsidRPr="00CB068B">
              <w:t>28.4.21</w:t>
            </w:r>
          </w:p>
        </w:tc>
      </w:tr>
      <w:tr w:rsidR="00232818" w14:paraId="460F7366"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76136485" w14:textId="0F140A8D" w:rsidR="00232818" w:rsidRPr="0061344F" w:rsidRDefault="00232818" w:rsidP="00232818">
            <w:pPr>
              <w:pStyle w:val="TableText"/>
              <w:jc w:val="center"/>
            </w:pPr>
            <w:r>
              <w:t>13</w:t>
            </w:r>
          </w:p>
        </w:tc>
        <w:tc>
          <w:tcPr>
            <w:tcW w:w="5528" w:type="dxa"/>
            <w:vAlign w:val="top"/>
          </w:tcPr>
          <w:p w14:paraId="61043ED8" w14:textId="46958042" w:rsidR="00232818" w:rsidRPr="0061344F" w:rsidRDefault="00232818" w:rsidP="00232818">
            <w:pPr>
              <w:pStyle w:val="TableText"/>
            </w:pPr>
            <w:r w:rsidRPr="00E16EB0">
              <w:t xml:space="preserve">Australian National University Law Reform and </w:t>
            </w:r>
            <w:r>
              <w:br/>
            </w:r>
            <w:r w:rsidRPr="00E16EB0">
              <w:t>Social Justice Research Hub</w:t>
            </w:r>
          </w:p>
        </w:tc>
        <w:tc>
          <w:tcPr>
            <w:tcW w:w="1985" w:type="dxa"/>
            <w:vAlign w:val="top"/>
          </w:tcPr>
          <w:p w14:paraId="7AEBE079" w14:textId="468396B9" w:rsidR="00232818" w:rsidRPr="0061344F" w:rsidRDefault="00232818" w:rsidP="00232818">
            <w:pPr>
              <w:pStyle w:val="TableText"/>
              <w:jc w:val="center"/>
            </w:pPr>
            <w:r w:rsidRPr="00CB068B">
              <w:t>29.4.21</w:t>
            </w:r>
          </w:p>
        </w:tc>
      </w:tr>
      <w:tr w:rsidR="00232818" w14:paraId="2ECEF5E3" w14:textId="77777777" w:rsidTr="00232818">
        <w:tc>
          <w:tcPr>
            <w:tcW w:w="1418" w:type="dxa"/>
          </w:tcPr>
          <w:p w14:paraId="59CAEA31" w14:textId="24C43CF4" w:rsidR="00232818" w:rsidRPr="0061344F" w:rsidRDefault="00232818" w:rsidP="00232818">
            <w:pPr>
              <w:pStyle w:val="TableText"/>
              <w:jc w:val="center"/>
            </w:pPr>
            <w:r>
              <w:t>14</w:t>
            </w:r>
          </w:p>
        </w:tc>
        <w:tc>
          <w:tcPr>
            <w:tcW w:w="5528" w:type="dxa"/>
            <w:vAlign w:val="top"/>
          </w:tcPr>
          <w:p w14:paraId="58874758" w14:textId="1B75DE9A" w:rsidR="00232818" w:rsidRPr="0061344F" w:rsidRDefault="00232818" w:rsidP="00232818">
            <w:pPr>
              <w:pStyle w:val="TableText"/>
            </w:pPr>
            <w:r w:rsidRPr="00E16EB0">
              <w:t>ACTCOSS</w:t>
            </w:r>
          </w:p>
        </w:tc>
        <w:tc>
          <w:tcPr>
            <w:tcW w:w="1985" w:type="dxa"/>
            <w:vAlign w:val="top"/>
          </w:tcPr>
          <w:p w14:paraId="58C8EA3C" w14:textId="413A1A43" w:rsidR="00232818" w:rsidRPr="0061344F" w:rsidRDefault="00232818" w:rsidP="00232818">
            <w:pPr>
              <w:pStyle w:val="TableText"/>
              <w:jc w:val="center"/>
            </w:pPr>
            <w:r w:rsidRPr="00CB068B">
              <w:t>29.4.21</w:t>
            </w:r>
          </w:p>
        </w:tc>
      </w:tr>
      <w:tr w:rsidR="00232818" w14:paraId="2181BBE3"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54BBC321" w14:textId="60E2D315" w:rsidR="00232818" w:rsidRPr="0061344F" w:rsidRDefault="00232818" w:rsidP="00232818">
            <w:pPr>
              <w:pStyle w:val="TableText"/>
              <w:jc w:val="center"/>
            </w:pPr>
            <w:r>
              <w:t>15</w:t>
            </w:r>
          </w:p>
        </w:tc>
        <w:tc>
          <w:tcPr>
            <w:tcW w:w="5528" w:type="dxa"/>
            <w:vAlign w:val="top"/>
          </w:tcPr>
          <w:p w14:paraId="4239B5A2" w14:textId="13E98088" w:rsidR="00232818" w:rsidRPr="0061344F" w:rsidRDefault="00232818" w:rsidP="00232818">
            <w:pPr>
              <w:pStyle w:val="TableText"/>
            </w:pPr>
            <w:r w:rsidRPr="00E16EB0">
              <w:t>Caroline Le Couteur</w:t>
            </w:r>
          </w:p>
        </w:tc>
        <w:tc>
          <w:tcPr>
            <w:tcW w:w="1985" w:type="dxa"/>
            <w:vAlign w:val="top"/>
          </w:tcPr>
          <w:p w14:paraId="3AF9F03A" w14:textId="6D0E5B1F" w:rsidR="00232818" w:rsidRPr="0061344F" w:rsidRDefault="00232818" w:rsidP="00232818">
            <w:pPr>
              <w:pStyle w:val="TableText"/>
              <w:jc w:val="center"/>
            </w:pPr>
            <w:r w:rsidRPr="00CB068B">
              <w:t>29.4.21</w:t>
            </w:r>
          </w:p>
        </w:tc>
      </w:tr>
      <w:tr w:rsidR="00232818" w14:paraId="63CF1D94" w14:textId="77777777" w:rsidTr="00232818">
        <w:tc>
          <w:tcPr>
            <w:tcW w:w="1418" w:type="dxa"/>
          </w:tcPr>
          <w:p w14:paraId="74B61F19" w14:textId="7FC873E8" w:rsidR="00232818" w:rsidRDefault="00232818" w:rsidP="00232818">
            <w:pPr>
              <w:pStyle w:val="TableText"/>
              <w:jc w:val="center"/>
            </w:pPr>
            <w:r>
              <w:t>16</w:t>
            </w:r>
          </w:p>
        </w:tc>
        <w:tc>
          <w:tcPr>
            <w:tcW w:w="5528" w:type="dxa"/>
            <w:vAlign w:val="top"/>
          </w:tcPr>
          <w:p w14:paraId="09D3EAD6" w14:textId="7FF498ED" w:rsidR="00232818" w:rsidRPr="0061344F" w:rsidRDefault="00232818" w:rsidP="00232818">
            <w:pPr>
              <w:pStyle w:val="TableText"/>
            </w:pPr>
            <w:r w:rsidRPr="00E16EB0">
              <w:t>Andrew Donnellan</w:t>
            </w:r>
          </w:p>
        </w:tc>
        <w:tc>
          <w:tcPr>
            <w:tcW w:w="1985" w:type="dxa"/>
            <w:vAlign w:val="top"/>
          </w:tcPr>
          <w:p w14:paraId="21E4DBC0" w14:textId="5ACAABD9" w:rsidR="00232818" w:rsidRPr="0061344F" w:rsidRDefault="00232818" w:rsidP="00232818">
            <w:pPr>
              <w:pStyle w:val="TableText"/>
              <w:jc w:val="center"/>
            </w:pPr>
            <w:r w:rsidRPr="00CB068B">
              <w:t>30.4.21</w:t>
            </w:r>
          </w:p>
        </w:tc>
      </w:tr>
      <w:tr w:rsidR="00232818" w14:paraId="109F7E40"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14214DC8" w14:textId="4FACDC6C" w:rsidR="00232818" w:rsidRDefault="00232818" w:rsidP="00232818">
            <w:pPr>
              <w:pStyle w:val="TableText"/>
              <w:jc w:val="center"/>
            </w:pPr>
            <w:r>
              <w:t>17</w:t>
            </w:r>
          </w:p>
        </w:tc>
        <w:tc>
          <w:tcPr>
            <w:tcW w:w="5528" w:type="dxa"/>
            <w:vAlign w:val="top"/>
          </w:tcPr>
          <w:p w14:paraId="5CB1AEF2" w14:textId="659BACCA" w:rsidR="00232818" w:rsidRPr="0061344F" w:rsidRDefault="00232818" w:rsidP="00232818">
            <w:pPr>
              <w:pStyle w:val="TableText"/>
            </w:pPr>
            <w:r w:rsidRPr="00E16EB0">
              <w:t>Rajeev Gore</w:t>
            </w:r>
          </w:p>
        </w:tc>
        <w:tc>
          <w:tcPr>
            <w:tcW w:w="1985" w:type="dxa"/>
            <w:vAlign w:val="top"/>
          </w:tcPr>
          <w:p w14:paraId="27916A15" w14:textId="2C2F79C7" w:rsidR="00232818" w:rsidRPr="0061344F" w:rsidRDefault="00232818" w:rsidP="00232818">
            <w:pPr>
              <w:pStyle w:val="TableText"/>
              <w:jc w:val="center"/>
            </w:pPr>
            <w:r w:rsidRPr="00CB068B">
              <w:t>30.4.21</w:t>
            </w:r>
          </w:p>
        </w:tc>
      </w:tr>
      <w:tr w:rsidR="00232818" w14:paraId="15CAFE8B" w14:textId="77777777" w:rsidTr="00232818">
        <w:tc>
          <w:tcPr>
            <w:tcW w:w="1418" w:type="dxa"/>
          </w:tcPr>
          <w:p w14:paraId="2A36AB76" w14:textId="568D7BDD" w:rsidR="00232818" w:rsidRDefault="00232818" w:rsidP="00232818">
            <w:pPr>
              <w:pStyle w:val="TableText"/>
              <w:jc w:val="center"/>
            </w:pPr>
            <w:r>
              <w:t>18</w:t>
            </w:r>
          </w:p>
        </w:tc>
        <w:tc>
          <w:tcPr>
            <w:tcW w:w="5528" w:type="dxa"/>
            <w:vAlign w:val="top"/>
          </w:tcPr>
          <w:p w14:paraId="0E5C9BDE" w14:textId="2040A26B" w:rsidR="00232818" w:rsidRPr="0061344F" w:rsidRDefault="00232818" w:rsidP="00232818">
            <w:pPr>
              <w:pStyle w:val="TableText"/>
            </w:pPr>
            <w:r w:rsidRPr="00E16EB0">
              <w:t>Bruce Paine</w:t>
            </w:r>
          </w:p>
        </w:tc>
        <w:tc>
          <w:tcPr>
            <w:tcW w:w="1985" w:type="dxa"/>
            <w:vAlign w:val="top"/>
          </w:tcPr>
          <w:p w14:paraId="11D43A3D" w14:textId="345F87E2" w:rsidR="00232818" w:rsidRPr="0061344F" w:rsidRDefault="00232818" w:rsidP="00232818">
            <w:pPr>
              <w:pStyle w:val="TableText"/>
              <w:jc w:val="center"/>
            </w:pPr>
            <w:r w:rsidRPr="00CB068B">
              <w:t>30.4.21</w:t>
            </w:r>
          </w:p>
        </w:tc>
      </w:tr>
      <w:tr w:rsidR="00232818" w14:paraId="56F9C3EF"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20215894" w14:textId="1BF11552" w:rsidR="00232818" w:rsidRDefault="00232818" w:rsidP="00232818">
            <w:pPr>
              <w:pStyle w:val="TableText"/>
              <w:jc w:val="center"/>
            </w:pPr>
            <w:r>
              <w:t>19</w:t>
            </w:r>
          </w:p>
        </w:tc>
        <w:tc>
          <w:tcPr>
            <w:tcW w:w="5528" w:type="dxa"/>
            <w:vAlign w:val="top"/>
          </w:tcPr>
          <w:p w14:paraId="3A4FE4A2" w14:textId="6AA39EF6" w:rsidR="00232818" w:rsidRPr="0061344F" w:rsidRDefault="00232818" w:rsidP="00232818">
            <w:pPr>
              <w:pStyle w:val="TableText"/>
            </w:pPr>
            <w:r w:rsidRPr="00E16EB0">
              <w:t xml:space="preserve">ACT </w:t>
            </w:r>
            <w:proofErr w:type="spellStart"/>
            <w:r w:rsidRPr="00E16EB0">
              <w:t>Labor</w:t>
            </w:r>
            <w:proofErr w:type="spellEnd"/>
          </w:p>
        </w:tc>
        <w:tc>
          <w:tcPr>
            <w:tcW w:w="1985" w:type="dxa"/>
            <w:vAlign w:val="top"/>
          </w:tcPr>
          <w:p w14:paraId="2602DD8A" w14:textId="4FECB29B" w:rsidR="00232818" w:rsidRPr="0061344F" w:rsidRDefault="00232818" w:rsidP="00232818">
            <w:pPr>
              <w:pStyle w:val="TableText"/>
              <w:jc w:val="center"/>
            </w:pPr>
            <w:r w:rsidRPr="00CB068B">
              <w:t>30.4.21</w:t>
            </w:r>
          </w:p>
        </w:tc>
      </w:tr>
      <w:tr w:rsidR="00232818" w14:paraId="58E82728" w14:textId="77777777" w:rsidTr="00232818">
        <w:tc>
          <w:tcPr>
            <w:tcW w:w="1418" w:type="dxa"/>
          </w:tcPr>
          <w:p w14:paraId="5A3982D7" w14:textId="30BEFA6F" w:rsidR="00232818" w:rsidRDefault="00232818" w:rsidP="00232818">
            <w:pPr>
              <w:pStyle w:val="TableText"/>
              <w:jc w:val="center"/>
            </w:pPr>
            <w:r>
              <w:lastRenderedPageBreak/>
              <w:t>20</w:t>
            </w:r>
          </w:p>
        </w:tc>
        <w:tc>
          <w:tcPr>
            <w:tcW w:w="5528" w:type="dxa"/>
            <w:vAlign w:val="top"/>
          </w:tcPr>
          <w:p w14:paraId="6B5D4C8B" w14:textId="22163722" w:rsidR="00232818" w:rsidRPr="0061344F" w:rsidRDefault="00232818" w:rsidP="00232818">
            <w:pPr>
              <w:pStyle w:val="TableText"/>
            </w:pPr>
            <w:r w:rsidRPr="00E16EB0">
              <w:t>Vanessa Teague, Andrew Conway, Thomas Haines, T Wilson-Brown – supplementary</w:t>
            </w:r>
          </w:p>
        </w:tc>
        <w:tc>
          <w:tcPr>
            <w:tcW w:w="1985" w:type="dxa"/>
            <w:vAlign w:val="top"/>
          </w:tcPr>
          <w:p w14:paraId="754E538C" w14:textId="468CC56A" w:rsidR="00232818" w:rsidRPr="0061344F" w:rsidRDefault="00232818" w:rsidP="00232818">
            <w:pPr>
              <w:pStyle w:val="TableText"/>
              <w:jc w:val="center"/>
            </w:pPr>
            <w:r w:rsidRPr="00CB068B">
              <w:t>30.4.21</w:t>
            </w:r>
          </w:p>
        </w:tc>
      </w:tr>
      <w:tr w:rsidR="00232818" w14:paraId="606DB10B"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7DCCA8ED" w14:textId="09B3AC9D" w:rsidR="00232818" w:rsidRDefault="00232818" w:rsidP="00232818">
            <w:pPr>
              <w:pStyle w:val="TableText"/>
              <w:jc w:val="center"/>
            </w:pPr>
            <w:r>
              <w:t>21</w:t>
            </w:r>
          </w:p>
        </w:tc>
        <w:tc>
          <w:tcPr>
            <w:tcW w:w="5528" w:type="dxa"/>
            <w:vAlign w:val="top"/>
          </w:tcPr>
          <w:p w14:paraId="2F797872" w14:textId="494DDF2E" w:rsidR="00232818" w:rsidRPr="0061344F" w:rsidRDefault="00232818" w:rsidP="00232818">
            <w:pPr>
              <w:pStyle w:val="TableText"/>
            </w:pPr>
            <w:r w:rsidRPr="00E16EB0">
              <w:t>Martin Miller</w:t>
            </w:r>
          </w:p>
        </w:tc>
        <w:tc>
          <w:tcPr>
            <w:tcW w:w="1985" w:type="dxa"/>
            <w:vAlign w:val="top"/>
          </w:tcPr>
          <w:p w14:paraId="620E7A10" w14:textId="217E5CEF" w:rsidR="00232818" w:rsidRPr="0061344F" w:rsidRDefault="00232818" w:rsidP="00232818">
            <w:pPr>
              <w:pStyle w:val="TableText"/>
              <w:jc w:val="center"/>
            </w:pPr>
            <w:r w:rsidRPr="00CB068B">
              <w:t>30.4.21</w:t>
            </w:r>
          </w:p>
        </w:tc>
      </w:tr>
      <w:tr w:rsidR="00232818" w14:paraId="1F9426A9" w14:textId="77777777" w:rsidTr="00232818">
        <w:tc>
          <w:tcPr>
            <w:tcW w:w="1418" w:type="dxa"/>
          </w:tcPr>
          <w:p w14:paraId="04C3F2A6" w14:textId="2C58EBAB" w:rsidR="00232818" w:rsidRDefault="00232818" w:rsidP="00232818">
            <w:pPr>
              <w:pStyle w:val="TableText"/>
              <w:jc w:val="center"/>
            </w:pPr>
            <w:r>
              <w:t>22</w:t>
            </w:r>
          </w:p>
        </w:tc>
        <w:tc>
          <w:tcPr>
            <w:tcW w:w="5528" w:type="dxa"/>
            <w:vAlign w:val="top"/>
          </w:tcPr>
          <w:p w14:paraId="6C408798" w14:textId="4B77BAA8" w:rsidR="00232818" w:rsidRPr="0061344F" w:rsidRDefault="00232818" w:rsidP="00232818">
            <w:pPr>
              <w:pStyle w:val="TableText"/>
            </w:pPr>
            <w:r w:rsidRPr="00E16EB0">
              <w:t>Liberal Democrats</w:t>
            </w:r>
          </w:p>
        </w:tc>
        <w:tc>
          <w:tcPr>
            <w:tcW w:w="1985" w:type="dxa"/>
            <w:vAlign w:val="top"/>
          </w:tcPr>
          <w:p w14:paraId="029EC264" w14:textId="07C0061C" w:rsidR="00232818" w:rsidRPr="0061344F" w:rsidRDefault="00232818" w:rsidP="00232818">
            <w:pPr>
              <w:pStyle w:val="TableText"/>
              <w:jc w:val="center"/>
            </w:pPr>
            <w:r w:rsidRPr="00CB068B">
              <w:t>30.4.21</w:t>
            </w:r>
          </w:p>
        </w:tc>
      </w:tr>
      <w:tr w:rsidR="00232818" w14:paraId="36AE4D16"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2A1CF264" w14:textId="66C76E80" w:rsidR="00232818" w:rsidRDefault="00232818" w:rsidP="00232818">
            <w:pPr>
              <w:pStyle w:val="TableText"/>
              <w:jc w:val="center"/>
            </w:pPr>
            <w:r>
              <w:t>23</w:t>
            </w:r>
          </w:p>
        </w:tc>
        <w:tc>
          <w:tcPr>
            <w:tcW w:w="5528" w:type="dxa"/>
            <w:vAlign w:val="top"/>
          </w:tcPr>
          <w:p w14:paraId="338BB6F4" w14:textId="4B409BCB" w:rsidR="00232818" w:rsidRPr="0061344F" w:rsidRDefault="00232818" w:rsidP="00232818">
            <w:pPr>
              <w:pStyle w:val="TableText"/>
            </w:pPr>
            <w:r w:rsidRPr="00E16EB0">
              <w:t>ACT Greens</w:t>
            </w:r>
          </w:p>
        </w:tc>
        <w:tc>
          <w:tcPr>
            <w:tcW w:w="1985" w:type="dxa"/>
            <w:vAlign w:val="top"/>
          </w:tcPr>
          <w:p w14:paraId="11F67334" w14:textId="6CB70602" w:rsidR="00232818" w:rsidRPr="0061344F" w:rsidRDefault="00232818" w:rsidP="00232818">
            <w:pPr>
              <w:pStyle w:val="TableText"/>
              <w:jc w:val="center"/>
            </w:pPr>
            <w:r w:rsidRPr="00CB068B">
              <w:t>30.4.21</w:t>
            </w:r>
          </w:p>
        </w:tc>
      </w:tr>
      <w:tr w:rsidR="00232818" w14:paraId="577F421B" w14:textId="77777777" w:rsidTr="00232818">
        <w:tc>
          <w:tcPr>
            <w:tcW w:w="1418" w:type="dxa"/>
          </w:tcPr>
          <w:p w14:paraId="14FD5CC0" w14:textId="145E1CA0" w:rsidR="00232818" w:rsidRDefault="00232818" w:rsidP="00232818">
            <w:pPr>
              <w:pStyle w:val="TableText"/>
              <w:jc w:val="center"/>
            </w:pPr>
            <w:r>
              <w:t>24</w:t>
            </w:r>
          </w:p>
        </w:tc>
        <w:tc>
          <w:tcPr>
            <w:tcW w:w="5528" w:type="dxa"/>
            <w:vAlign w:val="top"/>
          </w:tcPr>
          <w:p w14:paraId="56DBEFB7" w14:textId="08A58FA5" w:rsidR="00232818" w:rsidRPr="0061344F" w:rsidRDefault="00232818" w:rsidP="00232818">
            <w:pPr>
              <w:pStyle w:val="TableText"/>
            </w:pPr>
            <w:r w:rsidRPr="00E16EB0">
              <w:t>Canberra Progressives</w:t>
            </w:r>
          </w:p>
        </w:tc>
        <w:tc>
          <w:tcPr>
            <w:tcW w:w="1985" w:type="dxa"/>
            <w:vAlign w:val="top"/>
          </w:tcPr>
          <w:p w14:paraId="4E8821A3" w14:textId="446E7084" w:rsidR="00232818" w:rsidRPr="0061344F" w:rsidRDefault="00232818" w:rsidP="00232818">
            <w:pPr>
              <w:pStyle w:val="TableText"/>
              <w:jc w:val="center"/>
            </w:pPr>
            <w:r w:rsidRPr="00CB068B">
              <w:t>3.5.21</w:t>
            </w:r>
          </w:p>
        </w:tc>
      </w:tr>
      <w:tr w:rsidR="00232818" w14:paraId="6F76A6F6"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336C5073" w14:textId="2D23750B" w:rsidR="00232818" w:rsidRDefault="00232818" w:rsidP="00232818">
            <w:pPr>
              <w:pStyle w:val="TableText"/>
              <w:jc w:val="center"/>
            </w:pPr>
            <w:r>
              <w:t>25</w:t>
            </w:r>
          </w:p>
        </w:tc>
        <w:tc>
          <w:tcPr>
            <w:tcW w:w="5528" w:type="dxa"/>
            <w:vAlign w:val="top"/>
          </w:tcPr>
          <w:p w14:paraId="5D572BC2" w14:textId="528458B3" w:rsidR="00232818" w:rsidRPr="0061344F" w:rsidRDefault="00232818" w:rsidP="00232818">
            <w:pPr>
              <w:pStyle w:val="TableText"/>
            </w:pPr>
            <w:proofErr w:type="spellStart"/>
            <w:r w:rsidRPr="00E16EB0">
              <w:t>Mignonne</w:t>
            </w:r>
            <w:proofErr w:type="spellEnd"/>
            <w:r w:rsidRPr="00E16EB0">
              <w:t xml:space="preserve"> Cullen</w:t>
            </w:r>
          </w:p>
        </w:tc>
        <w:tc>
          <w:tcPr>
            <w:tcW w:w="1985" w:type="dxa"/>
            <w:vAlign w:val="top"/>
          </w:tcPr>
          <w:p w14:paraId="7436A576" w14:textId="5BDF401C" w:rsidR="00232818" w:rsidRPr="0061344F" w:rsidRDefault="00232818" w:rsidP="00232818">
            <w:pPr>
              <w:pStyle w:val="TableText"/>
              <w:jc w:val="center"/>
            </w:pPr>
            <w:r w:rsidRPr="00CB068B">
              <w:t>3.5.21</w:t>
            </w:r>
          </w:p>
        </w:tc>
      </w:tr>
      <w:tr w:rsidR="00232818" w14:paraId="399F4AC7" w14:textId="77777777" w:rsidTr="00232818">
        <w:tc>
          <w:tcPr>
            <w:tcW w:w="1418" w:type="dxa"/>
          </w:tcPr>
          <w:p w14:paraId="4CC68F60" w14:textId="4251E53D" w:rsidR="00232818" w:rsidRDefault="00232818" w:rsidP="00232818">
            <w:pPr>
              <w:pStyle w:val="TableText"/>
              <w:jc w:val="center"/>
            </w:pPr>
            <w:r>
              <w:t>26</w:t>
            </w:r>
          </w:p>
        </w:tc>
        <w:tc>
          <w:tcPr>
            <w:tcW w:w="5528" w:type="dxa"/>
            <w:vAlign w:val="top"/>
          </w:tcPr>
          <w:p w14:paraId="78772F90" w14:textId="3A4BA7DD" w:rsidR="00232818" w:rsidRPr="0061344F" w:rsidRDefault="00232818" w:rsidP="00232818">
            <w:pPr>
              <w:pStyle w:val="TableText"/>
            </w:pPr>
            <w:r w:rsidRPr="00E16EB0">
              <w:t xml:space="preserve">Eric </w:t>
            </w:r>
            <w:proofErr w:type="spellStart"/>
            <w:r w:rsidRPr="00E16EB0">
              <w:t>Jochimsen</w:t>
            </w:r>
            <w:proofErr w:type="spellEnd"/>
          </w:p>
        </w:tc>
        <w:tc>
          <w:tcPr>
            <w:tcW w:w="1985" w:type="dxa"/>
            <w:vAlign w:val="top"/>
          </w:tcPr>
          <w:p w14:paraId="0F68916A" w14:textId="1EAB48F1" w:rsidR="00232818" w:rsidRPr="0061344F" w:rsidRDefault="00232818" w:rsidP="00232818">
            <w:pPr>
              <w:pStyle w:val="TableText"/>
              <w:jc w:val="center"/>
            </w:pPr>
            <w:r w:rsidRPr="00CB068B">
              <w:t>6.5.21</w:t>
            </w:r>
          </w:p>
        </w:tc>
      </w:tr>
      <w:tr w:rsidR="00232818" w14:paraId="5C9E7602"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0699AC6E" w14:textId="35C5D9CB" w:rsidR="00232818" w:rsidRDefault="00232818" w:rsidP="00232818">
            <w:pPr>
              <w:pStyle w:val="TableText"/>
              <w:jc w:val="center"/>
            </w:pPr>
            <w:r>
              <w:t>27</w:t>
            </w:r>
          </w:p>
        </w:tc>
        <w:tc>
          <w:tcPr>
            <w:tcW w:w="5528" w:type="dxa"/>
            <w:vAlign w:val="top"/>
          </w:tcPr>
          <w:p w14:paraId="5078BD1E" w14:textId="0373A527" w:rsidR="00232818" w:rsidRPr="0061344F" w:rsidRDefault="00232818" w:rsidP="00232818">
            <w:pPr>
              <w:pStyle w:val="TableText"/>
            </w:pPr>
            <w:r w:rsidRPr="00E16EB0">
              <w:t xml:space="preserve">Chris </w:t>
            </w:r>
            <w:proofErr w:type="spellStart"/>
            <w:r w:rsidRPr="00E16EB0">
              <w:t>Erett</w:t>
            </w:r>
            <w:proofErr w:type="spellEnd"/>
          </w:p>
        </w:tc>
        <w:tc>
          <w:tcPr>
            <w:tcW w:w="1985" w:type="dxa"/>
            <w:vAlign w:val="top"/>
          </w:tcPr>
          <w:p w14:paraId="42FC1AD7" w14:textId="2C1A0611" w:rsidR="00232818" w:rsidRPr="0061344F" w:rsidRDefault="00232818" w:rsidP="00232818">
            <w:pPr>
              <w:pStyle w:val="TableText"/>
              <w:jc w:val="center"/>
            </w:pPr>
            <w:r w:rsidRPr="00CB068B">
              <w:t>10.5.21</w:t>
            </w:r>
          </w:p>
        </w:tc>
      </w:tr>
      <w:tr w:rsidR="00232818" w14:paraId="18798F0D" w14:textId="77777777" w:rsidTr="00232818">
        <w:tc>
          <w:tcPr>
            <w:tcW w:w="1418" w:type="dxa"/>
          </w:tcPr>
          <w:p w14:paraId="1BAB2FEA" w14:textId="14F1C9D9" w:rsidR="00232818" w:rsidRDefault="00232818" w:rsidP="00232818">
            <w:pPr>
              <w:pStyle w:val="TableText"/>
              <w:jc w:val="center"/>
            </w:pPr>
            <w:r>
              <w:t>28</w:t>
            </w:r>
          </w:p>
        </w:tc>
        <w:tc>
          <w:tcPr>
            <w:tcW w:w="5528" w:type="dxa"/>
            <w:vAlign w:val="top"/>
          </w:tcPr>
          <w:p w14:paraId="1159D8FC" w14:textId="069370CF" w:rsidR="00232818" w:rsidRPr="0061344F" w:rsidRDefault="00232818" w:rsidP="00232818">
            <w:pPr>
              <w:pStyle w:val="TableText"/>
            </w:pPr>
            <w:proofErr w:type="spellStart"/>
            <w:r w:rsidRPr="00E16EB0">
              <w:t>Belco</w:t>
            </w:r>
            <w:proofErr w:type="spellEnd"/>
            <w:r w:rsidRPr="00E16EB0">
              <w:t xml:space="preserve"> Party </w:t>
            </w:r>
          </w:p>
        </w:tc>
        <w:tc>
          <w:tcPr>
            <w:tcW w:w="1985" w:type="dxa"/>
            <w:vAlign w:val="top"/>
          </w:tcPr>
          <w:p w14:paraId="3EE5FF22" w14:textId="7D677CB5" w:rsidR="00232818" w:rsidRPr="0061344F" w:rsidRDefault="00232818" w:rsidP="00232818">
            <w:pPr>
              <w:pStyle w:val="TableText"/>
              <w:jc w:val="center"/>
            </w:pPr>
            <w:r w:rsidRPr="00CB068B">
              <w:t>17.5.21</w:t>
            </w:r>
          </w:p>
        </w:tc>
      </w:tr>
      <w:tr w:rsidR="00B44439" w14:paraId="04E02E3F" w14:textId="77777777" w:rsidTr="00232818">
        <w:trPr>
          <w:cnfStyle w:val="000000100000" w:firstRow="0" w:lastRow="0" w:firstColumn="0" w:lastColumn="0" w:oddVBand="0" w:evenVBand="0" w:oddHBand="1" w:evenHBand="0" w:firstRowFirstColumn="0" w:firstRowLastColumn="0" w:lastRowFirstColumn="0" w:lastRowLastColumn="0"/>
        </w:trPr>
        <w:tc>
          <w:tcPr>
            <w:tcW w:w="1418" w:type="dxa"/>
          </w:tcPr>
          <w:p w14:paraId="16A768BD" w14:textId="3F5F6AA4" w:rsidR="00B44439" w:rsidRDefault="00B44439" w:rsidP="00232818">
            <w:pPr>
              <w:pStyle w:val="TableText"/>
              <w:jc w:val="center"/>
            </w:pPr>
            <w:r>
              <w:t xml:space="preserve">29 </w:t>
            </w:r>
          </w:p>
        </w:tc>
        <w:tc>
          <w:tcPr>
            <w:tcW w:w="5528" w:type="dxa"/>
            <w:vAlign w:val="top"/>
          </w:tcPr>
          <w:p w14:paraId="2F69C96B" w14:textId="476D7B0B" w:rsidR="00B44439" w:rsidRPr="00E16EB0" w:rsidRDefault="00B44439" w:rsidP="00232818">
            <w:pPr>
              <w:pStyle w:val="TableText"/>
            </w:pPr>
            <w:r>
              <w:t>Australia Institute</w:t>
            </w:r>
          </w:p>
        </w:tc>
        <w:tc>
          <w:tcPr>
            <w:tcW w:w="1985" w:type="dxa"/>
            <w:vAlign w:val="top"/>
          </w:tcPr>
          <w:p w14:paraId="0860CE8A" w14:textId="087126E5" w:rsidR="00B44439" w:rsidRPr="00CB068B" w:rsidRDefault="00B44439" w:rsidP="00232818">
            <w:pPr>
              <w:pStyle w:val="TableText"/>
              <w:jc w:val="center"/>
            </w:pPr>
            <w:r>
              <w:t>9.6.21</w:t>
            </w:r>
          </w:p>
        </w:tc>
      </w:tr>
    </w:tbl>
    <w:p w14:paraId="0911ACA4" w14:textId="3AC6D3F8" w:rsidR="00E57CD5" w:rsidRDefault="00E57CD5" w:rsidP="007104A7">
      <w:pPr>
        <w:pStyle w:val="Heading2"/>
        <w:numPr>
          <w:ilvl w:val="0"/>
          <w:numId w:val="0"/>
        </w:numPr>
      </w:pPr>
      <w:bookmarkStart w:id="208" w:name="_Toc502671598"/>
      <w:bookmarkStart w:id="209" w:name="_Toc502671776"/>
      <w:bookmarkStart w:id="210" w:name="_Toc502671882"/>
      <w:bookmarkStart w:id="211" w:name="_Toc502672814"/>
      <w:bookmarkStart w:id="212" w:name="_Toc78535769"/>
      <w:r>
        <w:lastRenderedPageBreak/>
        <w:t xml:space="preserve">Appendix C – Questions </w:t>
      </w:r>
      <w:r w:rsidR="0020415F">
        <w:t>t</w:t>
      </w:r>
      <w:r>
        <w:t>aken on Notice</w:t>
      </w:r>
      <w:bookmarkEnd w:id="212"/>
    </w:p>
    <w:p w14:paraId="0618B366" w14:textId="0EBB3603" w:rsidR="0020415F" w:rsidRDefault="0020415F" w:rsidP="005F3356">
      <w:pPr>
        <w:pStyle w:val="Caption"/>
      </w:pPr>
      <w:r>
        <w:t xml:space="preserve">Questions taken on Notice </w:t>
      </w:r>
      <w:r w:rsidR="00690194">
        <w:t>19 May 2021</w:t>
      </w:r>
    </w:p>
    <w:tbl>
      <w:tblPr>
        <w:tblStyle w:val="CommitteeTable"/>
        <w:tblW w:w="0" w:type="auto"/>
        <w:tblInd w:w="108" w:type="dxa"/>
        <w:tblLook w:val="04A0" w:firstRow="1" w:lastRow="0" w:firstColumn="1" w:lastColumn="0" w:noHBand="0" w:noVBand="1"/>
      </w:tblPr>
      <w:tblGrid>
        <w:gridCol w:w="692"/>
        <w:gridCol w:w="1109"/>
        <w:gridCol w:w="1347"/>
        <w:gridCol w:w="1799"/>
        <w:gridCol w:w="2785"/>
        <w:gridCol w:w="1221"/>
      </w:tblGrid>
      <w:tr w:rsidR="00640E82" w14:paraId="7B5D529F" w14:textId="77777777" w:rsidTr="00232818">
        <w:trPr>
          <w:cnfStyle w:val="100000000000" w:firstRow="1" w:lastRow="0" w:firstColumn="0" w:lastColumn="0" w:oddVBand="0" w:evenVBand="0" w:oddHBand="0" w:evenHBand="0" w:firstRowFirstColumn="0" w:firstRowLastColumn="0" w:lastRowFirstColumn="0" w:lastRowLastColumn="0"/>
        </w:trPr>
        <w:tc>
          <w:tcPr>
            <w:tcW w:w="692" w:type="dxa"/>
          </w:tcPr>
          <w:p w14:paraId="7CA6FCC9"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213" w:name="ColumnTitle_QToN1"/>
            <w:bookmarkEnd w:id="213"/>
            <w:r w:rsidRPr="00640E82">
              <w:rPr>
                <w:rFonts w:ascii="Arial Narrow" w:hAnsi="Arial Narrow"/>
              </w:rPr>
              <w:t>o.</w:t>
            </w:r>
          </w:p>
        </w:tc>
        <w:tc>
          <w:tcPr>
            <w:tcW w:w="1109" w:type="dxa"/>
          </w:tcPr>
          <w:p w14:paraId="2D3C95B8"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347" w:type="dxa"/>
          </w:tcPr>
          <w:p w14:paraId="08488080"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799" w:type="dxa"/>
          </w:tcPr>
          <w:p w14:paraId="60765B01" w14:textId="62F364B2" w:rsidR="00640E82" w:rsidRPr="00640E82" w:rsidRDefault="00232818" w:rsidP="00640E82">
            <w:pPr>
              <w:spacing w:after="80" w:line="288" w:lineRule="auto"/>
              <w:jc w:val="center"/>
              <w:rPr>
                <w:rFonts w:ascii="Arial Narrow" w:hAnsi="Arial Narrow"/>
              </w:rPr>
            </w:pPr>
            <w:r>
              <w:rPr>
                <w:rFonts w:ascii="Arial Narrow" w:hAnsi="Arial Narrow"/>
              </w:rPr>
              <w:t>Witness</w:t>
            </w:r>
          </w:p>
        </w:tc>
        <w:tc>
          <w:tcPr>
            <w:tcW w:w="2785" w:type="dxa"/>
          </w:tcPr>
          <w:p w14:paraId="378E3185"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21" w:type="dxa"/>
          </w:tcPr>
          <w:p w14:paraId="650E9454"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40E82" w14:paraId="01C6F8B2" w14:textId="77777777" w:rsidTr="00232818">
        <w:trPr>
          <w:cnfStyle w:val="000000100000" w:firstRow="0" w:lastRow="0" w:firstColumn="0" w:lastColumn="0" w:oddVBand="0" w:evenVBand="0" w:oddHBand="1" w:evenHBand="0" w:firstRowFirstColumn="0" w:firstRowLastColumn="0" w:lastRowFirstColumn="0" w:lastRowLastColumn="0"/>
        </w:trPr>
        <w:tc>
          <w:tcPr>
            <w:tcW w:w="692" w:type="dxa"/>
          </w:tcPr>
          <w:p w14:paraId="4637A47C" w14:textId="379B6A20" w:rsidR="00640E82" w:rsidRDefault="00232818" w:rsidP="00640E82">
            <w:pPr>
              <w:pStyle w:val="TableText"/>
              <w:jc w:val="center"/>
            </w:pPr>
            <w:r>
              <w:t>1a</w:t>
            </w:r>
          </w:p>
        </w:tc>
        <w:tc>
          <w:tcPr>
            <w:tcW w:w="1109" w:type="dxa"/>
          </w:tcPr>
          <w:p w14:paraId="5FADF34D" w14:textId="5553AC8A" w:rsidR="00640E82" w:rsidRDefault="00232818" w:rsidP="00640E82">
            <w:pPr>
              <w:pStyle w:val="TableText"/>
              <w:jc w:val="center"/>
            </w:pPr>
            <w:r>
              <w:t>19.5.21</w:t>
            </w:r>
          </w:p>
        </w:tc>
        <w:tc>
          <w:tcPr>
            <w:tcW w:w="1347" w:type="dxa"/>
          </w:tcPr>
          <w:p w14:paraId="2F5BAB0A" w14:textId="375A5423" w:rsidR="00640E82" w:rsidRDefault="00232818" w:rsidP="00640E82">
            <w:pPr>
              <w:pStyle w:val="TableText"/>
              <w:jc w:val="center"/>
            </w:pPr>
            <w:r>
              <w:t>Hanson</w:t>
            </w:r>
          </w:p>
        </w:tc>
        <w:tc>
          <w:tcPr>
            <w:tcW w:w="1799" w:type="dxa"/>
          </w:tcPr>
          <w:p w14:paraId="6ABD5ED8" w14:textId="5D043147" w:rsidR="00640E82" w:rsidRDefault="00232818" w:rsidP="00640E82">
            <w:pPr>
              <w:pStyle w:val="TableText"/>
              <w:jc w:val="center"/>
            </w:pPr>
            <w:r>
              <w:t>Vanessa Teague</w:t>
            </w:r>
          </w:p>
        </w:tc>
        <w:tc>
          <w:tcPr>
            <w:tcW w:w="2785" w:type="dxa"/>
          </w:tcPr>
          <w:p w14:paraId="7DEC77DB" w14:textId="77777777" w:rsidR="00640E82" w:rsidRDefault="00640E82" w:rsidP="00640E82">
            <w:pPr>
              <w:pStyle w:val="TableText"/>
            </w:pPr>
          </w:p>
        </w:tc>
        <w:tc>
          <w:tcPr>
            <w:tcW w:w="1221" w:type="dxa"/>
          </w:tcPr>
          <w:p w14:paraId="73BF0245" w14:textId="77777777" w:rsidR="00640E82" w:rsidRDefault="00640E82" w:rsidP="00640E82">
            <w:pPr>
              <w:pStyle w:val="TableText"/>
              <w:jc w:val="center"/>
            </w:pPr>
          </w:p>
        </w:tc>
      </w:tr>
      <w:tr w:rsidR="00640E82" w14:paraId="5F001A8A" w14:textId="77777777" w:rsidTr="00232818">
        <w:tc>
          <w:tcPr>
            <w:tcW w:w="692" w:type="dxa"/>
          </w:tcPr>
          <w:p w14:paraId="493F803B" w14:textId="00F28C3B" w:rsidR="00640E82" w:rsidRDefault="00232818" w:rsidP="00640E82">
            <w:pPr>
              <w:pStyle w:val="TableText"/>
              <w:jc w:val="center"/>
            </w:pPr>
            <w:r>
              <w:t>1b</w:t>
            </w:r>
          </w:p>
        </w:tc>
        <w:tc>
          <w:tcPr>
            <w:tcW w:w="1109" w:type="dxa"/>
          </w:tcPr>
          <w:p w14:paraId="242740CA" w14:textId="1E2CBD44" w:rsidR="00640E82" w:rsidRDefault="00232818" w:rsidP="00640E82">
            <w:pPr>
              <w:pStyle w:val="TableText"/>
              <w:jc w:val="center"/>
            </w:pPr>
            <w:r>
              <w:t>19.5.21</w:t>
            </w:r>
          </w:p>
        </w:tc>
        <w:tc>
          <w:tcPr>
            <w:tcW w:w="1347" w:type="dxa"/>
          </w:tcPr>
          <w:p w14:paraId="10ED3856" w14:textId="6EFEAFE8" w:rsidR="00640E82" w:rsidRDefault="00232818" w:rsidP="00640E82">
            <w:pPr>
              <w:pStyle w:val="TableText"/>
              <w:jc w:val="center"/>
            </w:pPr>
            <w:r>
              <w:t>Hanson</w:t>
            </w:r>
          </w:p>
        </w:tc>
        <w:tc>
          <w:tcPr>
            <w:tcW w:w="1799" w:type="dxa"/>
          </w:tcPr>
          <w:p w14:paraId="7797027F" w14:textId="1D8BD4D8" w:rsidR="00640E82" w:rsidRDefault="00232818" w:rsidP="00640E82">
            <w:pPr>
              <w:pStyle w:val="TableText"/>
              <w:jc w:val="center"/>
            </w:pPr>
            <w:r>
              <w:t>T Wilson-Brown</w:t>
            </w:r>
          </w:p>
        </w:tc>
        <w:tc>
          <w:tcPr>
            <w:tcW w:w="2785" w:type="dxa"/>
          </w:tcPr>
          <w:p w14:paraId="7747B85F" w14:textId="77777777" w:rsidR="00640E82" w:rsidRDefault="00640E82" w:rsidP="00640E82">
            <w:pPr>
              <w:pStyle w:val="TableText"/>
            </w:pPr>
          </w:p>
        </w:tc>
        <w:tc>
          <w:tcPr>
            <w:tcW w:w="1221" w:type="dxa"/>
          </w:tcPr>
          <w:p w14:paraId="157906A1" w14:textId="77777777" w:rsidR="00640E82" w:rsidRDefault="00640E82" w:rsidP="00640E82">
            <w:pPr>
              <w:pStyle w:val="TableText"/>
              <w:jc w:val="center"/>
            </w:pPr>
          </w:p>
        </w:tc>
      </w:tr>
    </w:tbl>
    <w:bookmarkEnd w:id="208"/>
    <w:bookmarkEnd w:id="209"/>
    <w:bookmarkEnd w:id="210"/>
    <w:bookmarkEnd w:id="211"/>
    <w:p w14:paraId="31A5E960" w14:textId="241BD954" w:rsidR="009F2BEB" w:rsidRDefault="009F2BEB" w:rsidP="005F3356">
      <w:pPr>
        <w:pStyle w:val="Caption"/>
      </w:pPr>
      <w:r>
        <w:t xml:space="preserve">Questions taken on Notice </w:t>
      </w:r>
      <w:r w:rsidR="00690194">
        <w:t>26 May 2021</w:t>
      </w:r>
    </w:p>
    <w:tbl>
      <w:tblPr>
        <w:tblStyle w:val="CommitteeTable"/>
        <w:tblW w:w="0" w:type="auto"/>
        <w:tblInd w:w="108" w:type="dxa"/>
        <w:tblLook w:val="04A0" w:firstRow="1" w:lastRow="0" w:firstColumn="1" w:lastColumn="0" w:noHBand="0" w:noVBand="1"/>
      </w:tblPr>
      <w:tblGrid>
        <w:gridCol w:w="689"/>
        <w:gridCol w:w="1107"/>
        <w:gridCol w:w="1352"/>
        <w:gridCol w:w="1818"/>
        <w:gridCol w:w="2769"/>
        <w:gridCol w:w="1218"/>
      </w:tblGrid>
      <w:tr w:rsidR="009F2BEB" w14:paraId="1B9166DB" w14:textId="77777777" w:rsidTr="00232818">
        <w:trPr>
          <w:cnfStyle w:val="100000000000" w:firstRow="1" w:lastRow="0" w:firstColumn="0" w:lastColumn="0" w:oddVBand="0" w:evenVBand="0" w:oddHBand="0" w:evenHBand="0" w:firstRowFirstColumn="0" w:firstRowLastColumn="0" w:lastRowFirstColumn="0" w:lastRowLastColumn="0"/>
        </w:trPr>
        <w:tc>
          <w:tcPr>
            <w:tcW w:w="689" w:type="dxa"/>
          </w:tcPr>
          <w:p w14:paraId="44F6D401"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214" w:name="ColumnTitle_QToN2"/>
            <w:bookmarkEnd w:id="214"/>
            <w:r w:rsidRPr="00640E82">
              <w:rPr>
                <w:rFonts w:ascii="Arial Narrow" w:hAnsi="Arial Narrow"/>
              </w:rPr>
              <w:t>.</w:t>
            </w:r>
          </w:p>
        </w:tc>
        <w:tc>
          <w:tcPr>
            <w:tcW w:w="1107" w:type="dxa"/>
          </w:tcPr>
          <w:p w14:paraId="4C2FF2D2"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352" w:type="dxa"/>
          </w:tcPr>
          <w:p w14:paraId="66832E9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818" w:type="dxa"/>
          </w:tcPr>
          <w:p w14:paraId="519E4711"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69" w:type="dxa"/>
          </w:tcPr>
          <w:p w14:paraId="40194193"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218" w:type="dxa"/>
          </w:tcPr>
          <w:p w14:paraId="23F57B8C"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9F2BEB" w14:paraId="267128B2" w14:textId="77777777" w:rsidTr="00232818">
        <w:trPr>
          <w:cnfStyle w:val="000000100000" w:firstRow="0" w:lastRow="0" w:firstColumn="0" w:lastColumn="0" w:oddVBand="0" w:evenVBand="0" w:oddHBand="1" w:evenHBand="0" w:firstRowFirstColumn="0" w:firstRowLastColumn="0" w:lastRowFirstColumn="0" w:lastRowLastColumn="0"/>
        </w:trPr>
        <w:tc>
          <w:tcPr>
            <w:tcW w:w="689" w:type="dxa"/>
          </w:tcPr>
          <w:p w14:paraId="34238D7E" w14:textId="59463F56" w:rsidR="009F2BEB" w:rsidRDefault="00232818" w:rsidP="00D84FCF">
            <w:pPr>
              <w:pStyle w:val="TableText"/>
              <w:jc w:val="center"/>
            </w:pPr>
            <w:r>
              <w:t>2</w:t>
            </w:r>
          </w:p>
        </w:tc>
        <w:tc>
          <w:tcPr>
            <w:tcW w:w="1107" w:type="dxa"/>
          </w:tcPr>
          <w:p w14:paraId="52F7DB83" w14:textId="671B6CA4" w:rsidR="009F2BEB" w:rsidRDefault="00232818" w:rsidP="00D84FCF">
            <w:pPr>
              <w:pStyle w:val="TableText"/>
              <w:jc w:val="center"/>
            </w:pPr>
            <w:r>
              <w:t>26.5.21</w:t>
            </w:r>
          </w:p>
        </w:tc>
        <w:tc>
          <w:tcPr>
            <w:tcW w:w="1352" w:type="dxa"/>
          </w:tcPr>
          <w:p w14:paraId="09AD0809" w14:textId="7CACCE64" w:rsidR="009F2BEB" w:rsidRDefault="00232818" w:rsidP="00D84FCF">
            <w:pPr>
              <w:pStyle w:val="TableText"/>
              <w:jc w:val="center"/>
            </w:pPr>
            <w:r>
              <w:t>Hanson</w:t>
            </w:r>
          </w:p>
        </w:tc>
        <w:tc>
          <w:tcPr>
            <w:tcW w:w="1818" w:type="dxa"/>
          </w:tcPr>
          <w:p w14:paraId="4E19F3C5" w14:textId="60E48F38" w:rsidR="009F2BEB" w:rsidRDefault="00232818" w:rsidP="00D84FCF">
            <w:pPr>
              <w:pStyle w:val="TableText"/>
              <w:jc w:val="center"/>
            </w:pPr>
            <w:r>
              <w:t>ACT Greens</w:t>
            </w:r>
          </w:p>
        </w:tc>
        <w:tc>
          <w:tcPr>
            <w:tcW w:w="2769" w:type="dxa"/>
          </w:tcPr>
          <w:p w14:paraId="54A9B6BD" w14:textId="77777777" w:rsidR="009F2BEB" w:rsidRDefault="009F2BEB" w:rsidP="00D84FCF">
            <w:pPr>
              <w:pStyle w:val="TableText"/>
            </w:pPr>
          </w:p>
        </w:tc>
        <w:tc>
          <w:tcPr>
            <w:tcW w:w="1218" w:type="dxa"/>
          </w:tcPr>
          <w:p w14:paraId="0DD45943" w14:textId="77777777" w:rsidR="009F2BEB" w:rsidRDefault="009F2BEB" w:rsidP="00D84FCF">
            <w:pPr>
              <w:pStyle w:val="TableText"/>
              <w:jc w:val="center"/>
            </w:pPr>
          </w:p>
        </w:tc>
      </w:tr>
      <w:tr w:rsidR="00232818" w14:paraId="53AFBEEF" w14:textId="77777777" w:rsidTr="00232818">
        <w:tc>
          <w:tcPr>
            <w:tcW w:w="689" w:type="dxa"/>
          </w:tcPr>
          <w:p w14:paraId="5E3307D5" w14:textId="67DF8CC0" w:rsidR="00232818" w:rsidRDefault="00232818" w:rsidP="00232818">
            <w:pPr>
              <w:pStyle w:val="TableText"/>
              <w:jc w:val="center"/>
            </w:pPr>
            <w:r>
              <w:t>3</w:t>
            </w:r>
          </w:p>
        </w:tc>
        <w:tc>
          <w:tcPr>
            <w:tcW w:w="1107" w:type="dxa"/>
            <w:vAlign w:val="top"/>
          </w:tcPr>
          <w:p w14:paraId="66C0680B" w14:textId="056944EA" w:rsidR="00232818" w:rsidRDefault="00232818" w:rsidP="00232818">
            <w:pPr>
              <w:pStyle w:val="TableText"/>
              <w:jc w:val="center"/>
            </w:pPr>
            <w:r w:rsidRPr="006C28A9">
              <w:t>26.5.21</w:t>
            </w:r>
          </w:p>
        </w:tc>
        <w:tc>
          <w:tcPr>
            <w:tcW w:w="1352" w:type="dxa"/>
          </w:tcPr>
          <w:p w14:paraId="7E645CE3" w14:textId="0BE6DDA8" w:rsidR="00232818" w:rsidRDefault="00232818" w:rsidP="00232818">
            <w:pPr>
              <w:pStyle w:val="TableText"/>
              <w:jc w:val="center"/>
            </w:pPr>
            <w:r>
              <w:t>Paterson</w:t>
            </w:r>
          </w:p>
        </w:tc>
        <w:tc>
          <w:tcPr>
            <w:tcW w:w="1818" w:type="dxa"/>
          </w:tcPr>
          <w:p w14:paraId="6B4C6A12" w14:textId="3072BF50" w:rsidR="00232818" w:rsidRDefault="00232818" w:rsidP="00232818">
            <w:pPr>
              <w:pStyle w:val="TableText"/>
              <w:jc w:val="center"/>
            </w:pPr>
            <w:r>
              <w:t xml:space="preserve">Canberra Liberals </w:t>
            </w:r>
          </w:p>
        </w:tc>
        <w:tc>
          <w:tcPr>
            <w:tcW w:w="2769" w:type="dxa"/>
          </w:tcPr>
          <w:p w14:paraId="6D8E2D3F" w14:textId="77777777" w:rsidR="00232818" w:rsidRDefault="00232818" w:rsidP="00232818">
            <w:pPr>
              <w:pStyle w:val="TableText"/>
            </w:pPr>
          </w:p>
        </w:tc>
        <w:tc>
          <w:tcPr>
            <w:tcW w:w="1218" w:type="dxa"/>
          </w:tcPr>
          <w:p w14:paraId="026ABBB5" w14:textId="77777777" w:rsidR="00232818" w:rsidRDefault="00232818" w:rsidP="00232818">
            <w:pPr>
              <w:pStyle w:val="TableText"/>
              <w:jc w:val="center"/>
            </w:pPr>
          </w:p>
        </w:tc>
      </w:tr>
      <w:tr w:rsidR="00232818" w14:paraId="70BBD4E7" w14:textId="77777777" w:rsidTr="00232818">
        <w:trPr>
          <w:cnfStyle w:val="000000100000" w:firstRow="0" w:lastRow="0" w:firstColumn="0" w:lastColumn="0" w:oddVBand="0" w:evenVBand="0" w:oddHBand="1" w:evenHBand="0" w:firstRowFirstColumn="0" w:firstRowLastColumn="0" w:lastRowFirstColumn="0" w:lastRowLastColumn="0"/>
        </w:trPr>
        <w:tc>
          <w:tcPr>
            <w:tcW w:w="689" w:type="dxa"/>
          </w:tcPr>
          <w:p w14:paraId="183CA8CD" w14:textId="23117858" w:rsidR="00232818" w:rsidRDefault="00232818" w:rsidP="00232818">
            <w:pPr>
              <w:pStyle w:val="TableText"/>
              <w:jc w:val="center"/>
            </w:pPr>
            <w:r>
              <w:t>4</w:t>
            </w:r>
          </w:p>
        </w:tc>
        <w:tc>
          <w:tcPr>
            <w:tcW w:w="1107" w:type="dxa"/>
            <w:vAlign w:val="top"/>
          </w:tcPr>
          <w:p w14:paraId="6A248002" w14:textId="328573B0" w:rsidR="00232818" w:rsidRDefault="00232818" w:rsidP="00232818">
            <w:pPr>
              <w:pStyle w:val="TableText"/>
              <w:jc w:val="center"/>
            </w:pPr>
            <w:r w:rsidRPr="006C28A9">
              <w:t>26.5.21</w:t>
            </w:r>
          </w:p>
        </w:tc>
        <w:tc>
          <w:tcPr>
            <w:tcW w:w="1352" w:type="dxa"/>
          </w:tcPr>
          <w:p w14:paraId="154FCE21" w14:textId="004A5EFC" w:rsidR="00232818" w:rsidRDefault="00232818" w:rsidP="00232818">
            <w:pPr>
              <w:pStyle w:val="TableText"/>
              <w:jc w:val="center"/>
            </w:pPr>
            <w:r>
              <w:t>Hanson</w:t>
            </w:r>
          </w:p>
        </w:tc>
        <w:tc>
          <w:tcPr>
            <w:tcW w:w="1818" w:type="dxa"/>
          </w:tcPr>
          <w:p w14:paraId="31A39611" w14:textId="5503BDD9" w:rsidR="00232818" w:rsidRDefault="00232818" w:rsidP="00232818">
            <w:pPr>
              <w:pStyle w:val="TableText"/>
              <w:jc w:val="center"/>
            </w:pPr>
            <w:r>
              <w:t xml:space="preserve">ACT Government </w:t>
            </w:r>
          </w:p>
        </w:tc>
        <w:tc>
          <w:tcPr>
            <w:tcW w:w="2769" w:type="dxa"/>
          </w:tcPr>
          <w:p w14:paraId="6BC0C7FD" w14:textId="77777777" w:rsidR="00232818" w:rsidRDefault="00232818" w:rsidP="00232818">
            <w:pPr>
              <w:pStyle w:val="TableText"/>
            </w:pPr>
          </w:p>
        </w:tc>
        <w:tc>
          <w:tcPr>
            <w:tcW w:w="1218" w:type="dxa"/>
          </w:tcPr>
          <w:p w14:paraId="5DC52F7E" w14:textId="77777777" w:rsidR="00232818" w:rsidRDefault="00232818" w:rsidP="00232818">
            <w:pPr>
              <w:pStyle w:val="TableText"/>
              <w:jc w:val="center"/>
            </w:pPr>
          </w:p>
        </w:tc>
      </w:tr>
      <w:tr w:rsidR="00232818" w14:paraId="16B981CB" w14:textId="77777777" w:rsidTr="00232818">
        <w:tc>
          <w:tcPr>
            <w:tcW w:w="689" w:type="dxa"/>
          </w:tcPr>
          <w:p w14:paraId="70E3A3D7" w14:textId="050C0DC0" w:rsidR="00232818" w:rsidRDefault="00232818" w:rsidP="00232818">
            <w:pPr>
              <w:pStyle w:val="TableText"/>
              <w:jc w:val="center"/>
            </w:pPr>
            <w:r>
              <w:t>5</w:t>
            </w:r>
          </w:p>
        </w:tc>
        <w:tc>
          <w:tcPr>
            <w:tcW w:w="1107" w:type="dxa"/>
            <w:vAlign w:val="top"/>
          </w:tcPr>
          <w:p w14:paraId="68116E1B" w14:textId="44B406FF" w:rsidR="00232818" w:rsidRDefault="00232818" w:rsidP="00232818">
            <w:pPr>
              <w:pStyle w:val="TableText"/>
              <w:jc w:val="center"/>
            </w:pPr>
            <w:r w:rsidRPr="006C28A9">
              <w:t>26.5.21</w:t>
            </w:r>
          </w:p>
        </w:tc>
        <w:tc>
          <w:tcPr>
            <w:tcW w:w="1352" w:type="dxa"/>
          </w:tcPr>
          <w:p w14:paraId="7FB9FD83" w14:textId="6E32A945" w:rsidR="00232818" w:rsidRDefault="00232818" w:rsidP="00232818">
            <w:pPr>
              <w:pStyle w:val="TableText"/>
              <w:jc w:val="center"/>
            </w:pPr>
            <w:r>
              <w:t>Hanson</w:t>
            </w:r>
          </w:p>
        </w:tc>
        <w:tc>
          <w:tcPr>
            <w:tcW w:w="1818" w:type="dxa"/>
          </w:tcPr>
          <w:p w14:paraId="1D3F8686" w14:textId="232B77E5" w:rsidR="00232818" w:rsidRDefault="00232818" w:rsidP="00232818">
            <w:pPr>
              <w:pStyle w:val="TableText"/>
              <w:jc w:val="center"/>
            </w:pPr>
            <w:r>
              <w:t>ACT Government</w:t>
            </w:r>
          </w:p>
        </w:tc>
        <w:tc>
          <w:tcPr>
            <w:tcW w:w="2769" w:type="dxa"/>
          </w:tcPr>
          <w:p w14:paraId="291886F1" w14:textId="77777777" w:rsidR="00232818" w:rsidRDefault="00232818" w:rsidP="00232818">
            <w:pPr>
              <w:pStyle w:val="TableText"/>
            </w:pPr>
          </w:p>
        </w:tc>
        <w:tc>
          <w:tcPr>
            <w:tcW w:w="1218" w:type="dxa"/>
          </w:tcPr>
          <w:p w14:paraId="2CFD913C" w14:textId="77777777" w:rsidR="00232818" w:rsidRDefault="00232818" w:rsidP="00232818">
            <w:pPr>
              <w:pStyle w:val="TableText"/>
              <w:jc w:val="center"/>
            </w:pPr>
          </w:p>
        </w:tc>
      </w:tr>
    </w:tbl>
    <w:p w14:paraId="22220B45" w14:textId="2642725D" w:rsidR="007A5047" w:rsidRDefault="007A5047" w:rsidP="00690194">
      <w:pPr>
        <w:pStyle w:val="Caption"/>
      </w:pPr>
    </w:p>
    <w:p w14:paraId="5E2A18A6" w14:textId="5578175E" w:rsidR="0063028F" w:rsidRDefault="0063028F" w:rsidP="0063028F">
      <w:pPr>
        <w:pStyle w:val="Heading2"/>
        <w:numPr>
          <w:ilvl w:val="0"/>
          <w:numId w:val="0"/>
        </w:numPr>
        <w:rPr>
          <w:bCs w:val="0"/>
        </w:rPr>
      </w:pPr>
      <w:bookmarkStart w:id="215" w:name="_Toc78535770"/>
      <w:r>
        <w:rPr>
          <w:bCs w:val="0"/>
        </w:rPr>
        <w:lastRenderedPageBreak/>
        <w:t>Appendix D – Dissenting Report – Ms</w:t>
      </w:r>
      <w:r w:rsidR="00804F6F">
        <w:rPr>
          <w:bCs w:val="0"/>
        </w:rPr>
        <w:t> </w:t>
      </w:r>
      <w:r>
        <w:rPr>
          <w:bCs w:val="0"/>
        </w:rPr>
        <w:t>Jo</w:t>
      </w:r>
      <w:r w:rsidR="00804F6F">
        <w:rPr>
          <w:bCs w:val="0"/>
        </w:rPr>
        <w:t> </w:t>
      </w:r>
      <w:r>
        <w:rPr>
          <w:bCs w:val="0"/>
        </w:rPr>
        <w:t>Clay MLA</w:t>
      </w:r>
      <w:bookmarkEnd w:id="215"/>
    </w:p>
    <w:p w14:paraId="7F6437CD" w14:textId="77777777" w:rsidR="0063028F" w:rsidRDefault="0063028F" w:rsidP="0063028F">
      <w:pPr>
        <w:spacing w:before="0" w:after="0" w:line="240" w:lineRule="auto"/>
        <w:rPr>
          <w:rFonts w:ascii="Arial" w:hAnsi="Arial" w:cs="Arial"/>
          <w:b/>
          <w:bCs/>
          <w:sz w:val="24"/>
        </w:rPr>
      </w:pPr>
    </w:p>
    <w:p w14:paraId="618946EE" w14:textId="77777777" w:rsidR="0063028F" w:rsidRDefault="0063028F" w:rsidP="0063028F">
      <w:pPr>
        <w:spacing w:before="0" w:after="0" w:line="240" w:lineRule="auto"/>
        <w:rPr>
          <w:rFonts w:ascii="Arial" w:hAnsi="Arial" w:cs="Arial"/>
          <w:b/>
          <w:bCs/>
          <w:sz w:val="24"/>
        </w:rPr>
      </w:pPr>
    </w:p>
    <w:p w14:paraId="6A7E91B7" w14:textId="09A03120" w:rsidR="0063028F" w:rsidRPr="00BD314A" w:rsidRDefault="0063028F" w:rsidP="0063028F">
      <w:pPr>
        <w:spacing w:before="0" w:after="0" w:line="240" w:lineRule="auto"/>
        <w:rPr>
          <w:rFonts w:ascii="Arial" w:hAnsi="Arial" w:cs="Arial"/>
          <w:sz w:val="24"/>
        </w:rPr>
      </w:pPr>
      <w:r w:rsidRPr="00BD314A">
        <w:rPr>
          <w:rFonts w:ascii="Arial" w:hAnsi="Arial" w:cs="Arial"/>
          <w:b/>
          <w:bCs/>
          <w:sz w:val="24"/>
        </w:rPr>
        <w:t>Dissenting report – Ms Jo Clay MLA</w:t>
      </w:r>
    </w:p>
    <w:p w14:paraId="14A8FA4A" w14:textId="77777777" w:rsidR="0063028F" w:rsidRPr="00BD314A" w:rsidRDefault="0063028F" w:rsidP="0063028F">
      <w:pPr>
        <w:spacing w:before="0" w:after="0" w:line="240" w:lineRule="auto"/>
        <w:rPr>
          <w:rFonts w:ascii="Arial" w:hAnsi="Arial" w:cs="Arial"/>
          <w:sz w:val="24"/>
        </w:rPr>
      </w:pPr>
    </w:p>
    <w:p w14:paraId="3196B66F"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Inquiry into 2020 ACT Election and the Electoral Act </w:t>
      </w:r>
    </w:p>
    <w:p w14:paraId="7DE19A16" w14:textId="77777777" w:rsidR="0063028F" w:rsidRPr="00BD314A" w:rsidRDefault="0063028F" w:rsidP="0063028F">
      <w:pPr>
        <w:spacing w:before="0" w:after="0" w:line="240" w:lineRule="auto"/>
        <w:rPr>
          <w:rFonts w:ascii="Arial" w:hAnsi="Arial" w:cs="Arial"/>
          <w:sz w:val="24"/>
        </w:rPr>
      </w:pPr>
    </w:p>
    <w:p w14:paraId="52E12F0F"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Dissenting Comments by Jo Clay MLA</w:t>
      </w:r>
    </w:p>
    <w:p w14:paraId="23D73009" w14:textId="77777777" w:rsidR="0063028F" w:rsidRPr="00BD314A" w:rsidRDefault="0063028F" w:rsidP="0063028F">
      <w:pPr>
        <w:spacing w:before="0" w:after="0" w:line="240" w:lineRule="auto"/>
        <w:rPr>
          <w:rFonts w:ascii="Arial" w:hAnsi="Arial" w:cs="Arial"/>
          <w:sz w:val="24"/>
        </w:rPr>
      </w:pPr>
    </w:p>
    <w:p w14:paraId="115A9E17" w14:textId="77777777" w:rsidR="0063028F" w:rsidRPr="00BD314A" w:rsidRDefault="0063028F" w:rsidP="0063028F">
      <w:pPr>
        <w:spacing w:before="0" w:after="0" w:line="240" w:lineRule="auto"/>
        <w:rPr>
          <w:rFonts w:ascii="Arial" w:hAnsi="Arial" w:cs="Arial"/>
          <w:b/>
          <w:bCs/>
          <w:sz w:val="24"/>
        </w:rPr>
      </w:pPr>
    </w:p>
    <w:p w14:paraId="5C6FA382" w14:textId="77777777" w:rsidR="0063028F" w:rsidRPr="00BD314A" w:rsidRDefault="0063028F" w:rsidP="0063028F">
      <w:pPr>
        <w:spacing w:before="0" w:after="0" w:line="240" w:lineRule="auto"/>
        <w:rPr>
          <w:rFonts w:ascii="Arial" w:hAnsi="Arial" w:cs="Arial"/>
          <w:b/>
          <w:bCs/>
          <w:sz w:val="24"/>
        </w:rPr>
      </w:pPr>
      <w:r w:rsidRPr="00BD314A">
        <w:rPr>
          <w:rFonts w:ascii="Arial" w:hAnsi="Arial" w:cs="Arial"/>
          <w:b/>
          <w:bCs/>
          <w:sz w:val="24"/>
        </w:rPr>
        <w:t>Introduction</w:t>
      </w:r>
    </w:p>
    <w:p w14:paraId="41E0932F" w14:textId="77777777" w:rsidR="0063028F" w:rsidRPr="00BD314A" w:rsidRDefault="0063028F" w:rsidP="0063028F">
      <w:pPr>
        <w:spacing w:before="0" w:after="0" w:line="240" w:lineRule="auto"/>
        <w:rPr>
          <w:rFonts w:ascii="Arial" w:hAnsi="Arial" w:cs="Arial"/>
          <w:sz w:val="24"/>
        </w:rPr>
      </w:pPr>
    </w:p>
    <w:p w14:paraId="5F7B4D8F"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The Committee inquired into the operation of the 2020 ACT election and the Electoral Act and related matters. I disagree with Committee recommendations </w:t>
      </w:r>
      <w:r>
        <w:rPr>
          <w:rFonts w:ascii="Arial" w:hAnsi="Arial" w:cs="Arial"/>
          <w:sz w:val="24"/>
        </w:rPr>
        <w:t xml:space="preserve">38 and 49 and I have provided my reasons below. </w:t>
      </w:r>
      <w:r w:rsidRPr="00BD314A">
        <w:rPr>
          <w:rFonts w:ascii="Arial" w:hAnsi="Arial" w:cs="Arial"/>
          <w:sz w:val="24"/>
        </w:rPr>
        <w:t>I support all other recommendations</w:t>
      </w:r>
      <w:r>
        <w:rPr>
          <w:rFonts w:ascii="Arial" w:hAnsi="Arial" w:cs="Arial"/>
          <w:sz w:val="24"/>
        </w:rPr>
        <w:t xml:space="preserve"> and note my appreciation for the cooperative and constructive work of this Committee.</w:t>
      </w:r>
    </w:p>
    <w:p w14:paraId="185B5ED6" w14:textId="77777777" w:rsidR="0063028F" w:rsidRPr="00BD314A" w:rsidRDefault="0063028F" w:rsidP="0063028F">
      <w:pPr>
        <w:spacing w:before="0" w:after="0" w:line="240" w:lineRule="auto"/>
        <w:rPr>
          <w:rFonts w:ascii="Arial" w:hAnsi="Arial" w:cs="Arial"/>
          <w:sz w:val="24"/>
        </w:rPr>
      </w:pPr>
    </w:p>
    <w:p w14:paraId="04520333" w14:textId="77777777" w:rsidR="0063028F" w:rsidRPr="00BD314A" w:rsidRDefault="0063028F" w:rsidP="0063028F">
      <w:pPr>
        <w:spacing w:before="0" w:after="0" w:line="240" w:lineRule="auto"/>
        <w:rPr>
          <w:rFonts w:ascii="Arial" w:hAnsi="Arial" w:cs="Arial"/>
          <w:sz w:val="24"/>
        </w:rPr>
      </w:pPr>
    </w:p>
    <w:p w14:paraId="59516BA1" w14:textId="77777777" w:rsidR="0063028F" w:rsidRPr="00BD314A" w:rsidRDefault="0063028F" w:rsidP="0063028F">
      <w:pPr>
        <w:spacing w:before="0" w:after="0" w:line="240" w:lineRule="auto"/>
        <w:rPr>
          <w:rFonts w:ascii="Arial" w:hAnsi="Arial" w:cs="Arial"/>
          <w:b/>
          <w:bCs/>
          <w:sz w:val="24"/>
        </w:rPr>
      </w:pPr>
      <w:r w:rsidRPr="00BD314A">
        <w:rPr>
          <w:rFonts w:ascii="Arial" w:hAnsi="Arial" w:cs="Arial"/>
          <w:b/>
          <w:bCs/>
          <w:sz w:val="24"/>
        </w:rPr>
        <w:t xml:space="preserve">Voting age should be lower than 18 years </w:t>
      </w:r>
    </w:p>
    <w:p w14:paraId="239AF0DB"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br/>
        <w:t>Recommendation 49 is that ‘the voting age b</w:t>
      </w:r>
      <w:r>
        <w:rPr>
          <w:rFonts w:ascii="Arial" w:hAnsi="Arial" w:cs="Arial"/>
          <w:sz w:val="24"/>
        </w:rPr>
        <w:t>e</w:t>
      </w:r>
      <w:r w:rsidRPr="00BD314A">
        <w:rPr>
          <w:rFonts w:ascii="Arial" w:hAnsi="Arial" w:cs="Arial"/>
          <w:sz w:val="24"/>
        </w:rPr>
        <w:t xml:space="preserve"> retained at age 18 years.’</w:t>
      </w:r>
    </w:p>
    <w:p w14:paraId="0A16D495" w14:textId="77777777" w:rsidR="0063028F" w:rsidRPr="00BD314A" w:rsidRDefault="0063028F" w:rsidP="0063028F">
      <w:pPr>
        <w:spacing w:before="0" w:after="0" w:line="240" w:lineRule="auto"/>
        <w:rPr>
          <w:rFonts w:ascii="Arial" w:hAnsi="Arial" w:cs="Arial"/>
          <w:sz w:val="24"/>
        </w:rPr>
      </w:pPr>
    </w:p>
    <w:p w14:paraId="28E6157F"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Three organisations supported lowering the voting age (ACT Greens, Youth Coalition and Canberra Progressives). </w:t>
      </w:r>
    </w:p>
    <w:p w14:paraId="1DD379E9" w14:textId="77777777" w:rsidR="0063028F" w:rsidRPr="00BD314A" w:rsidRDefault="0063028F" w:rsidP="0063028F">
      <w:pPr>
        <w:spacing w:before="0" w:after="0" w:line="240" w:lineRule="auto"/>
        <w:rPr>
          <w:rFonts w:ascii="Arial" w:hAnsi="Arial" w:cs="Arial"/>
          <w:sz w:val="24"/>
        </w:rPr>
      </w:pPr>
    </w:p>
    <w:p w14:paraId="54F8B224"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Submissions </w:t>
      </w:r>
      <w:r>
        <w:rPr>
          <w:rFonts w:ascii="Arial" w:hAnsi="Arial" w:cs="Arial"/>
          <w:sz w:val="24"/>
        </w:rPr>
        <w:t xml:space="preserve">in support of lowering the voting age </w:t>
      </w:r>
      <w:r w:rsidRPr="00BD314A">
        <w:rPr>
          <w:rFonts w:ascii="Arial" w:hAnsi="Arial" w:cs="Arial"/>
          <w:sz w:val="24"/>
        </w:rPr>
        <w:t xml:space="preserve">argued that young people aged 16-17 are considered competent to make many complex decisions and take on significant responsibilities, such as working full-time, paying taxes, </w:t>
      </w:r>
      <w:proofErr w:type="gramStart"/>
      <w:r w:rsidRPr="00BD314A">
        <w:rPr>
          <w:rFonts w:ascii="Arial" w:hAnsi="Arial" w:cs="Arial"/>
          <w:sz w:val="24"/>
        </w:rPr>
        <w:t>driving</w:t>
      </w:r>
      <w:proofErr w:type="gramEnd"/>
      <w:r w:rsidRPr="00BD314A">
        <w:rPr>
          <w:rFonts w:ascii="Arial" w:hAnsi="Arial" w:cs="Arial"/>
          <w:sz w:val="24"/>
        </w:rPr>
        <w:t xml:space="preserve"> and signing leases.</w:t>
      </w:r>
    </w:p>
    <w:p w14:paraId="63D6E864" w14:textId="77777777" w:rsidR="0063028F" w:rsidRPr="00BD314A" w:rsidRDefault="0063028F" w:rsidP="0063028F">
      <w:pPr>
        <w:spacing w:before="0" w:after="0" w:line="240" w:lineRule="auto"/>
        <w:rPr>
          <w:rFonts w:ascii="Arial" w:hAnsi="Arial" w:cs="Arial"/>
          <w:sz w:val="24"/>
        </w:rPr>
      </w:pPr>
    </w:p>
    <w:p w14:paraId="469E31F3"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Submissions also argued that young people have a greater stake in their future and the future of the planet. One referred to climate change and noted that ‘no one under 40 years old has even lived in a year with global average temperatures below those of last century’. This is a compelling argument given the political activism we see from SchoolStrike4Climate and the youth climate justice movement. It is particularly significant in this jurisdiction because of the Assembly’s 2019 declaration that we are in a climate emergency. That recognition of the climate emergency should inform all policy and decisions made by this Assembly and its Committees.</w:t>
      </w:r>
    </w:p>
    <w:p w14:paraId="3DEF0727" w14:textId="77777777" w:rsidR="0063028F" w:rsidRPr="00BD314A" w:rsidRDefault="0063028F" w:rsidP="0063028F">
      <w:pPr>
        <w:spacing w:before="0" w:after="0" w:line="240" w:lineRule="auto"/>
        <w:rPr>
          <w:rFonts w:ascii="Arial" w:hAnsi="Arial" w:cs="Arial"/>
          <w:sz w:val="24"/>
        </w:rPr>
      </w:pPr>
    </w:p>
    <w:p w14:paraId="15F22EC6"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The right to vote is fundamentally tied to whether a person </w:t>
      </w:r>
      <w:proofErr w:type="gramStart"/>
      <w:r w:rsidRPr="00BD314A">
        <w:rPr>
          <w:rFonts w:ascii="Arial" w:hAnsi="Arial" w:cs="Arial"/>
          <w:sz w:val="24"/>
        </w:rPr>
        <w:t>is capable of making</w:t>
      </w:r>
      <w:proofErr w:type="gramEnd"/>
      <w:r w:rsidRPr="00BD314A">
        <w:rPr>
          <w:rFonts w:ascii="Arial" w:hAnsi="Arial" w:cs="Arial"/>
          <w:sz w:val="24"/>
        </w:rPr>
        <w:t xml:space="preserve"> significant and long-term decisions and if so, whether they should be empowered to do so. Those who supported lowering the voting age went straight to the heart of that question. Young people of 16 years old </w:t>
      </w:r>
      <w:proofErr w:type="gramStart"/>
      <w:r w:rsidRPr="00BD314A">
        <w:rPr>
          <w:rFonts w:ascii="Arial" w:hAnsi="Arial" w:cs="Arial"/>
          <w:sz w:val="24"/>
        </w:rPr>
        <w:t>are capable of making</w:t>
      </w:r>
      <w:proofErr w:type="gramEnd"/>
      <w:r w:rsidRPr="00BD314A">
        <w:rPr>
          <w:rFonts w:ascii="Arial" w:hAnsi="Arial" w:cs="Arial"/>
          <w:sz w:val="24"/>
        </w:rPr>
        <w:t xml:space="preserve"> this type of decision because we already allow them to </w:t>
      </w:r>
      <w:r>
        <w:rPr>
          <w:rFonts w:ascii="Arial" w:hAnsi="Arial" w:cs="Arial"/>
          <w:sz w:val="24"/>
        </w:rPr>
        <w:t>make significant decisions in other areas</w:t>
      </w:r>
      <w:r w:rsidRPr="00BD314A">
        <w:rPr>
          <w:rFonts w:ascii="Arial" w:hAnsi="Arial" w:cs="Arial"/>
          <w:sz w:val="24"/>
        </w:rPr>
        <w:t xml:space="preserve">. Young people should be empowered to vote because they will be the ones most affected </w:t>
      </w:r>
      <w:r>
        <w:rPr>
          <w:rFonts w:ascii="Arial" w:hAnsi="Arial" w:cs="Arial"/>
          <w:sz w:val="24"/>
        </w:rPr>
        <w:t xml:space="preserve">in their lifetimes </w:t>
      </w:r>
      <w:r w:rsidRPr="00BD314A">
        <w:rPr>
          <w:rFonts w:ascii="Arial" w:hAnsi="Arial" w:cs="Arial"/>
          <w:sz w:val="24"/>
        </w:rPr>
        <w:t>by Government decisions</w:t>
      </w:r>
      <w:r>
        <w:rPr>
          <w:rFonts w:ascii="Arial" w:hAnsi="Arial" w:cs="Arial"/>
          <w:sz w:val="24"/>
        </w:rPr>
        <w:t xml:space="preserve"> made now</w:t>
      </w:r>
      <w:r w:rsidRPr="00BD314A">
        <w:rPr>
          <w:rFonts w:ascii="Arial" w:hAnsi="Arial" w:cs="Arial"/>
          <w:sz w:val="24"/>
        </w:rPr>
        <w:t>.</w:t>
      </w:r>
    </w:p>
    <w:p w14:paraId="06F91FF9" w14:textId="77777777" w:rsidR="0063028F" w:rsidRPr="00BD314A" w:rsidRDefault="0063028F" w:rsidP="0063028F">
      <w:pPr>
        <w:spacing w:before="0" w:after="0" w:line="240" w:lineRule="auto"/>
        <w:rPr>
          <w:rFonts w:ascii="Arial" w:hAnsi="Arial" w:cs="Arial"/>
          <w:sz w:val="24"/>
        </w:rPr>
      </w:pPr>
    </w:p>
    <w:p w14:paraId="1E4C5638"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Three organisations opposed lowering the voting age (Electoral Commission, Canberra Liberals and Liberal Democrats). </w:t>
      </w:r>
    </w:p>
    <w:p w14:paraId="7194761C" w14:textId="77777777" w:rsidR="0063028F" w:rsidRPr="00BD314A" w:rsidRDefault="0063028F" w:rsidP="0063028F">
      <w:pPr>
        <w:spacing w:before="0" w:after="0" w:line="240" w:lineRule="auto"/>
        <w:rPr>
          <w:rFonts w:ascii="Arial" w:hAnsi="Arial" w:cs="Arial"/>
          <w:sz w:val="24"/>
        </w:rPr>
      </w:pPr>
    </w:p>
    <w:p w14:paraId="67841338"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Submissions against lowering the voting age referred to operational challenges surrounding enforcement, </w:t>
      </w:r>
      <w:proofErr w:type="gramStart"/>
      <w:r w:rsidRPr="00BD314A">
        <w:rPr>
          <w:rFonts w:ascii="Arial" w:hAnsi="Arial" w:cs="Arial"/>
          <w:sz w:val="24"/>
        </w:rPr>
        <w:t>education</w:t>
      </w:r>
      <w:proofErr w:type="gramEnd"/>
      <w:r w:rsidRPr="00BD314A">
        <w:rPr>
          <w:rFonts w:ascii="Arial" w:hAnsi="Arial" w:cs="Arial"/>
          <w:sz w:val="24"/>
        </w:rPr>
        <w:t xml:space="preserve"> and resourcing. They also noted legislative challenges in lowering the voting age and referred to a lack of evidence that lowering the age would increase political participation.</w:t>
      </w:r>
    </w:p>
    <w:p w14:paraId="50E23FB5" w14:textId="77777777" w:rsidR="0063028F" w:rsidRPr="00BD314A" w:rsidRDefault="0063028F" w:rsidP="0063028F">
      <w:pPr>
        <w:pStyle w:val="ListParagraph"/>
        <w:spacing w:before="0" w:after="0" w:line="240" w:lineRule="auto"/>
        <w:rPr>
          <w:rFonts w:ascii="Arial" w:hAnsi="Arial" w:cs="Arial"/>
          <w:b/>
          <w:bCs/>
          <w:sz w:val="24"/>
          <w:szCs w:val="24"/>
        </w:rPr>
      </w:pPr>
    </w:p>
    <w:p w14:paraId="12B2DFF8"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None of these arguments address the fundamental question of whether young people </w:t>
      </w:r>
      <w:proofErr w:type="gramStart"/>
      <w:r w:rsidRPr="00BD314A">
        <w:rPr>
          <w:rFonts w:ascii="Arial" w:hAnsi="Arial" w:cs="Arial"/>
          <w:sz w:val="24"/>
        </w:rPr>
        <w:t>are capable of making</w:t>
      </w:r>
      <w:proofErr w:type="gramEnd"/>
      <w:r w:rsidRPr="00BD314A">
        <w:rPr>
          <w:rFonts w:ascii="Arial" w:hAnsi="Arial" w:cs="Arial"/>
          <w:sz w:val="24"/>
        </w:rPr>
        <w:t xml:space="preserve"> significant and long-term decisions and if so, whether they should be empowered to do so. All deal with secondary issues. </w:t>
      </w:r>
    </w:p>
    <w:p w14:paraId="7346DF11" w14:textId="77777777" w:rsidR="0063028F" w:rsidRPr="00BD314A" w:rsidRDefault="0063028F" w:rsidP="0063028F">
      <w:pPr>
        <w:spacing w:before="0" w:after="0" w:line="240" w:lineRule="auto"/>
        <w:rPr>
          <w:rFonts w:ascii="Arial" w:hAnsi="Arial" w:cs="Arial"/>
          <w:sz w:val="24"/>
        </w:rPr>
      </w:pPr>
    </w:p>
    <w:p w14:paraId="00E8954D"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Government establishes the operations needed and provides the resources required to carry out its policy. Government should not make a threshold claim about a lack of resources as an excuse to avoid considering </w:t>
      </w:r>
      <w:r>
        <w:rPr>
          <w:rFonts w:ascii="Arial" w:hAnsi="Arial" w:cs="Arial"/>
          <w:sz w:val="24"/>
        </w:rPr>
        <w:t>the issues</w:t>
      </w:r>
      <w:r w:rsidRPr="00BD314A">
        <w:rPr>
          <w:rFonts w:ascii="Arial" w:hAnsi="Arial" w:cs="Arial"/>
          <w:sz w:val="24"/>
        </w:rPr>
        <w:t>.</w:t>
      </w:r>
    </w:p>
    <w:p w14:paraId="75B463D7" w14:textId="77777777" w:rsidR="0063028F" w:rsidRPr="00BD314A" w:rsidRDefault="0063028F" w:rsidP="0063028F">
      <w:pPr>
        <w:spacing w:before="0" w:after="0" w:line="240" w:lineRule="auto"/>
        <w:rPr>
          <w:rFonts w:ascii="Arial" w:hAnsi="Arial" w:cs="Arial"/>
          <w:sz w:val="24"/>
        </w:rPr>
      </w:pPr>
    </w:p>
    <w:p w14:paraId="24672A24"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The Committee did not explore legislative barriers or seek legal advice. Legislative barrier</w:t>
      </w:r>
      <w:r>
        <w:rPr>
          <w:rFonts w:ascii="Arial" w:hAnsi="Arial" w:cs="Arial"/>
          <w:sz w:val="24"/>
        </w:rPr>
        <w:t>s</w:t>
      </w:r>
      <w:r w:rsidRPr="00BD314A">
        <w:rPr>
          <w:rFonts w:ascii="Arial" w:hAnsi="Arial" w:cs="Arial"/>
          <w:sz w:val="24"/>
        </w:rPr>
        <w:t xml:space="preserve"> cannot therefore be used as a reason to avoid considering </w:t>
      </w:r>
      <w:r>
        <w:rPr>
          <w:rFonts w:ascii="Arial" w:hAnsi="Arial" w:cs="Arial"/>
          <w:sz w:val="24"/>
        </w:rPr>
        <w:t>the issues</w:t>
      </w:r>
      <w:r w:rsidRPr="00BD314A">
        <w:rPr>
          <w:rFonts w:ascii="Arial" w:hAnsi="Arial" w:cs="Arial"/>
          <w:sz w:val="24"/>
        </w:rPr>
        <w:t>.</w:t>
      </w:r>
    </w:p>
    <w:p w14:paraId="24C86FD6" w14:textId="77777777" w:rsidR="0063028F" w:rsidRPr="00BD314A" w:rsidRDefault="0063028F" w:rsidP="0063028F">
      <w:pPr>
        <w:spacing w:before="0" w:after="0" w:line="240" w:lineRule="auto"/>
        <w:rPr>
          <w:rFonts w:ascii="Arial" w:hAnsi="Arial" w:cs="Arial"/>
          <w:sz w:val="24"/>
        </w:rPr>
      </w:pPr>
    </w:p>
    <w:p w14:paraId="38772688"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The right to vote is not tied to whether it will increase or decrease political participation. If it were, those who fail to vote at one election would lose their right at future elections. This is clearly not how the right to vote works.</w:t>
      </w:r>
    </w:p>
    <w:p w14:paraId="4E0DF550" w14:textId="77777777" w:rsidR="0063028F" w:rsidRPr="00BD314A" w:rsidRDefault="0063028F" w:rsidP="0063028F">
      <w:pPr>
        <w:spacing w:before="0" w:after="0" w:line="240" w:lineRule="auto"/>
        <w:rPr>
          <w:rFonts w:ascii="Arial" w:hAnsi="Arial" w:cs="Arial"/>
          <w:sz w:val="24"/>
        </w:rPr>
      </w:pPr>
    </w:p>
    <w:p w14:paraId="0888E9F7"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On this basis, I reject recommendation 49 that the voting age be retained at the age of 18 years. </w:t>
      </w:r>
    </w:p>
    <w:p w14:paraId="07844B6D" w14:textId="77777777" w:rsidR="0063028F" w:rsidRPr="00BD314A" w:rsidRDefault="0063028F" w:rsidP="0063028F">
      <w:pPr>
        <w:spacing w:before="0" w:after="0" w:line="240" w:lineRule="auto"/>
        <w:rPr>
          <w:rFonts w:ascii="Arial" w:hAnsi="Arial" w:cs="Arial"/>
          <w:sz w:val="24"/>
        </w:rPr>
      </w:pPr>
    </w:p>
    <w:p w14:paraId="794E4BE4"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I recommend that the Legislative Assembly </w:t>
      </w:r>
      <w:r>
        <w:rPr>
          <w:rFonts w:ascii="Arial" w:hAnsi="Arial" w:cs="Arial"/>
          <w:sz w:val="24"/>
        </w:rPr>
        <w:t>explore</w:t>
      </w:r>
      <w:r w:rsidRPr="00BD314A">
        <w:rPr>
          <w:rFonts w:ascii="Arial" w:hAnsi="Arial" w:cs="Arial"/>
          <w:sz w:val="24"/>
        </w:rPr>
        <w:t xml:space="preserve"> lowering the voting age to 16 or 17. Young people </w:t>
      </w:r>
      <w:proofErr w:type="gramStart"/>
      <w:r w:rsidRPr="00BD314A">
        <w:rPr>
          <w:rFonts w:ascii="Arial" w:hAnsi="Arial" w:cs="Arial"/>
          <w:sz w:val="24"/>
        </w:rPr>
        <w:t>are capable of making</w:t>
      </w:r>
      <w:proofErr w:type="gramEnd"/>
      <w:r w:rsidRPr="00BD314A">
        <w:rPr>
          <w:rFonts w:ascii="Arial" w:hAnsi="Arial" w:cs="Arial"/>
          <w:sz w:val="24"/>
        </w:rPr>
        <w:t xml:space="preserve"> significant and long-term decisions about their future and should be empowered to do so, particularly given that we are in a climate emergency.</w:t>
      </w:r>
    </w:p>
    <w:p w14:paraId="4BC26BFA" w14:textId="77777777" w:rsidR="0063028F" w:rsidRPr="00BD314A" w:rsidRDefault="0063028F" w:rsidP="0063028F">
      <w:pPr>
        <w:spacing w:before="0" w:after="0" w:line="240" w:lineRule="auto"/>
        <w:rPr>
          <w:rFonts w:ascii="Arial" w:hAnsi="Arial" w:cs="Arial"/>
          <w:sz w:val="24"/>
        </w:rPr>
      </w:pPr>
    </w:p>
    <w:p w14:paraId="7CB5434A" w14:textId="77777777" w:rsidR="0063028F" w:rsidRPr="00BD314A" w:rsidRDefault="0063028F" w:rsidP="0063028F">
      <w:pPr>
        <w:spacing w:before="0" w:after="0" w:line="240" w:lineRule="auto"/>
        <w:rPr>
          <w:rFonts w:ascii="Arial" w:hAnsi="Arial" w:cs="Arial"/>
          <w:sz w:val="24"/>
        </w:rPr>
      </w:pPr>
    </w:p>
    <w:p w14:paraId="50E3562F" w14:textId="77777777" w:rsidR="0063028F" w:rsidRPr="00BD314A" w:rsidRDefault="0063028F" w:rsidP="0063028F">
      <w:pPr>
        <w:spacing w:before="0" w:after="0" w:line="240" w:lineRule="auto"/>
        <w:rPr>
          <w:rFonts w:ascii="Arial" w:hAnsi="Arial" w:cs="Arial"/>
          <w:sz w:val="24"/>
        </w:rPr>
      </w:pPr>
      <w:r w:rsidRPr="00BD314A">
        <w:rPr>
          <w:rFonts w:ascii="Arial" w:hAnsi="Arial" w:cs="Arial"/>
          <w:b/>
          <w:bCs/>
          <w:sz w:val="24"/>
        </w:rPr>
        <w:t xml:space="preserve">If public funding is linked </w:t>
      </w:r>
      <w:r>
        <w:rPr>
          <w:rFonts w:ascii="Arial" w:hAnsi="Arial" w:cs="Arial"/>
          <w:b/>
          <w:bCs/>
          <w:sz w:val="24"/>
        </w:rPr>
        <w:t xml:space="preserve">to </w:t>
      </w:r>
      <w:r w:rsidRPr="00BD314A">
        <w:rPr>
          <w:rFonts w:ascii="Arial" w:hAnsi="Arial" w:cs="Arial"/>
          <w:b/>
          <w:bCs/>
          <w:sz w:val="24"/>
        </w:rPr>
        <w:t xml:space="preserve">expenditure, administrative funding should be capped or linked </w:t>
      </w:r>
      <w:r>
        <w:rPr>
          <w:rFonts w:ascii="Arial" w:hAnsi="Arial" w:cs="Arial"/>
          <w:b/>
          <w:bCs/>
          <w:sz w:val="24"/>
        </w:rPr>
        <w:t xml:space="preserve">to </w:t>
      </w:r>
      <w:r w:rsidRPr="00BD314A">
        <w:rPr>
          <w:rFonts w:ascii="Arial" w:hAnsi="Arial" w:cs="Arial"/>
          <w:b/>
          <w:bCs/>
          <w:sz w:val="24"/>
        </w:rPr>
        <w:t xml:space="preserve">expenditure </w:t>
      </w:r>
    </w:p>
    <w:p w14:paraId="3C6E1CEB" w14:textId="77777777" w:rsidR="0063028F" w:rsidRPr="00BD314A" w:rsidRDefault="0063028F" w:rsidP="0063028F">
      <w:pPr>
        <w:spacing w:before="0" w:after="0" w:line="240" w:lineRule="auto"/>
        <w:rPr>
          <w:rFonts w:ascii="Arial" w:hAnsi="Arial" w:cs="Arial"/>
          <w:sz w:val="24"/>
        </w:rPr>
      </w:pPr>
    </w:p>
    <w:p w14:paraId="67584706"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Recommendation 38 is that ‘the Electoral Act be amended to limit the amount of public funding received by a party or candidate to not exceed the amount of electoral expenditure incurred.’</w:t>
      </w:r>
    </w:p>
    <w:p w14:paraId="40A9A159" w14:textId="77777777" w:rsidR="0063028F" w:rsidRPr="00BD314A" w:rsidRDefault="0063028F" w:rsidP="0063028F">
      <w:pPr>
        <w:spacing w:before="0" w:after="0" w:line="240" w:lineRule="auto"/>
        <w:rPr>
          <w:rFonts w:ascii="Arial" w:hAnsi="Arial" w:cs="Arial"/>
          <w:sz w:val="24"/>
        </w:rPr>
      </w:pPr>
    </w:p>
    <w:p w14:paraId="469FA9F3"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Division 14.3 of the Electoral Act provides public funding for election campaigns, linked to the number of votes received. </w:t>
      </w:r>
    </w:p>
    <w:p w14:paraId="7647A837" w14:textId="77777777" w:rsidR="0063028F" w:rsidRPr="00BD314A" w:rsidRDefault="0063028F" w:rsidP="0063028F">
      <w:pPr>
        <w:spacing w:before="0" w:after="0" w:line="240" w:lineRule="auto"/>
        <w:rPr>
          <w:rFonts w:ascii="Arial" w:hAnsi="Arial" w:cs="Arial"/>
          <w:sz w:val="24"/>
        </w:rPr>
      </w:pPr>
    </w:p>
    <w:p w14:paraId="360D3720"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Division 14.3A provides for administrative funding, linked to the number of sitting Members in the Assembly. </w:t>
      </w:r>
    </w:p>
    <w:p w14:paraId="340884E4" w14:textId="77777777" w:rsidR="0063028F" w:rsidRPr="00BD314A" w:rsidRDefault="0063028F" w:rsidP="0063028F">
      <w:pPr>
        <w:spacing w:before="0" w:after="0" w:line="240" w:lineRule="auto"/>
        <w:rPr>
          <w:rFonts w:ascii="Arial" w:hAnsi="Arial" w:cs="Arial"/>
          <w:sz w:val="24"/>
        </w:rPr>
      </w:pPr>
    </w:p>
    <w:p w14:paraId="45DEF67F"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 xml:space="preserve">These are significant amounts of public funding and the Committee received many submissions about how they should be </w:t>
      </w:r>
      <w:r>
        <w:rPr>
          <w:rFonts w:ascii="Arial" w:hAnsi="Arial" w:cs="Arial"/>
          <w:sz w:val="24"/>
        </w:rPr>
        <w:t>set</w:t>
      </w:r>
      <w:r w:rsidRPr="00BD314A">
        <w:rPr>
          <w:rFonts w:ascii="Arial" w:hAnsi="Arial" w:cs="Arial"/>
          <w:sz w:val="24"/>
        </w:rPr>
        <w:t xml:space="preserve">. Views ranged broadly. Some thought </w:t>
      </w:r>
      <w:r w:rsidRPr="00BD314A">
        <w:rPr>
          <w:rFonts w:ascii="Arial" w:hAnsi="Arial" w:cs="Arial"/>
          <w:sz w:val="24"/>
        </w:rPr>
        <w:lastRenderedPageBreak/>
        <w:t>funding should be abolished altogether. Some thought it should be expanded to include more candidates. Some thought it should be reduced or restructured.</w:t>
      </w:r>
    </w:p>
    <w:p w14:paraId="15A32D8C" w14:textId="77777777" w:rsidR="0063028F" w:rsidRPr="00BD314A" w:rsidRDefault="0063028F" w:rsidP="0063028F">
      <w:pPr>
        <w:spacing w:before="0" w:after="0" w:line="240" w:lineRule="auto"/>
        <w:rPr>
          <w:rFonts w:ascii="Arial" w:hAnsi="Arial" w:cs="Arial"/>
          <w:sz w:val="24"/>
        </w:rPr>
      </w:pPr>
    </w:p>
    <w:p w14:paraId="30170B4F"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The Committee recommends that public funding for election campaign expenditure should be linked directly to campaign expenditure. But the Committee made no recommendations about administrative funding</w:t>
      </w:r>
      <w:r>
        <w:rPr>
          <w:rFonts w:ascii="Arial" w:hAnsi="Arial" w:cs="Arial"/>
          <w:sz w:val="24"/>
        </w:rPr>
        <w:t>, how it should be spent and whether it should be capped or linked to any set function</w:t>
      </w:r>
      <w:r w:rsidRPr="00BD314A">
        <w:rPr>
          <w:rFonts w:ascii="Arial" w:hAnsi="Arial" w:cs="Arial"/>
          <w:sz w:val="24"/>
        </w:rPr>
        <w:t xml:space="preserve">. </w:t>
      </w:r>
    </w:p>
    <w:p w14:paraId="7F19990E" w14:textId="77777777" w:rsidR="0063028F" w:rsidRPr="00BD314A" w:rsidRDefault="0063028F" w:rsidP="0063028F">
      <w:pPr>
        <w:spacing w:before="0" w:after="0" w:line="240" w:lineRule="auto"/>
        <w:rPr>
          <w:rFonts w:ascii="Arial" w:hAnsi="Arial" w:cs="Arial"/>
          <w:sz w:val="24"/>
        </w:rPr>
      </w:pPr>
    </w:p>
    <w:p w14:paraId="1411B99B" w14:textId="3759DD02" w:rsidR="0063028F" w:rsidRDefault="0063028F" w:rsidP="0063028F">
      <w:pPr>
        <w:spacing w:before="0" w:after="0" w:line="240" w:lineRule="auto"/>
        <w:rPr>
          <w:rFonts w:ascii="Arial" w:hAnsi="Arial" w:cs="Arial"/>
          <w:sz w:val="24"/>
        </w:rPr>
      </w:pPr>
      <w:r w:rsidRPr="00BD314A">
        <w:rPr>
          <w:rFonts w:ascii="Arial" w:hAnsi="Arial" w:cs="Arial"/>
          <w:sz w:val="24"/>
        </w:rPr>
        <w:t>I find this inconsistent. Administrative funding is allocated per MLA per year</w:t>
      </w:r>
      <w:r>
        <w:rPr>
          <w:rFonts w:ascii="Arial" w:hAnsi="Arial" w:cs="Arial"/>
          <w:sz w:val="24"/>
        </w:rPr>
        <w:t xml:space="preserve">. The Electoral Act states that it cannot be used on electoral </w:t>
      </w:r>
      <w:proofErr w:type="gramStart"/>
      <w:r>
        <w:rPr>
          <w:rFonts w:ascii="Arial" w:hAnsi="Arial" w:cs="Arial"/>
          <w:sz w:val="24"/>
        </w:rPr>
        <w:t>expenditure</w:t>
      </w:r>
      <w:proofErr w:type="gramEnd"/>
      <w:r>
        <w:rPr>
          <w:rFonts w:ascii="Arial" w:hAnsi="Arial" w:cs="Arial"/>
          <w:sz w:val="24"/>
        </w:rPr>
        <w:t xml:space="preserve"> but the funding is not otherwise capped or linked</w:t>
      </w:r>
      <w:r w:rsidRPr="00BD314A">
        <w:rPr>
          <w:rFonts w:ascii="Arial" w:hAnsi="Arial" w:cs="Arial"/>
          <w:sz w:val="24"/>
        </w:rPr>
        <w:t xml:space="preserve">. </w:t>
      </w:r>
      <w:r>
        <w:rPr>
          <w:rFonts w:ascii="Arial" w:hAnsi="Arial" w:cs="Arial"/>
          <w:sz w:val="24"/>
        </w:rPr>
        <w:t xml:space="preserve">During </w:t>
      </w:r>
      <w:r w:rsidRPr="00BD314A">
        <w:rPr>
          <w:rFonts w:ascii="Arial" w:hAnsi="Arial" w:cs="Arial"/>
          <w:sz w:val="24"/>
        </w:rPr>
        <w:t xml:space="preserve">the 2016-2020 Assembly, ACT </w:t>
      </w:r>
      <w:proofErr w:type="spellStart"/>
      <w:proofErr w:type="gramStart"/>
      <w:r w:rsidRPr="00BD314A">
        <w:rPr>
          <w:rFonts w:ascii="Arial" w:hAnsi="Arial" w:cs="Arial"/>
          <w:sz w:val="24"/>
        </w:rPr>
        <w:t>Labor</w:t>
      </w:r>
      <w:proofErr w:type="spellEnd"/>
      <w:proofErr w:type="gramEnd"/>
      <w:r w:rsidRPr="00BD314A">
        <w:rPr>
          <w:rFonts w:ascii="Arial" w:hAnsi="Arial" w:cs="Arial"/>
          <w:sz w:val="24"/>
        </w:rPr>
        <w:t xml:space="preserve"> and the Canberra Liberals </w:t>
      </w:r>
      <w:r>
        <w:rPr>
          <w:rFonts w:ascii="Arial" w:hAnsi="Arial" w:cs="Arial"/>
          <w:sz w:val="24"/>
        </w:rPr>
        <w:t xml:space="preserve">each </w:t>
      </w:r>
      <w:r w:rsidRPr="00BD314A">
        <w:rPr>
          <w:rFonts w:ascii="Arial" w:hAnsi="Arial" w:cs="Arial"/>
          <w:sz w:val="24"/>
        </w:rPr>
        <w:t xml:space="preserve">received over $1 million in administrative funding. The ACT Greens received </w:t>
      </w:r>
      <w:r>
        <w:rPr>
          <w:rFonts w:ascii="Arial" w:hAnsi="Arial" w:cs="Arial"/>
          <w:sz w:val="24"/>
        </w:rPr>
        <w:t>around $172,000.</w:t>
      </w:r>
    </w:p>
    <w:p w14:paraId="0D8054BF" w14:textId="77777777" w:rsidR="0063028F" w:rsidRPr="00BD314A" w:rsidRDefault="0063028F" w:rsidP="0063028F">
      <w:pPr>
        <w:spacing w:before="0" w:after="0" w:line="240" w:lineRule="auto"/>
        <w:rPr>
          <w:rFonts w:ascii="Arial" w:hAnsi="Arial" w:cs="Arial"/>
          <w:sz w:val="24"/>
        </w:rPr>
      </w:pPr>
    </w:p>
    <w:p w14:paraId="2C273C35" w14:textId="2EB35C9A" w:rsidR="0063028F" w:rsidRDefault="0063028F" w:rsidP="0063028F">
      <w:pPr>
        <w:spacing w:before="0" w:after="0" w:line="240" w:lineRule="auto"/>
        <w:rPr>
          <w:rFonts w:ascii="Arial" w:hAnsi="Arial" w:cs="Arial"/>
          <w:sz w:val="24"/>
        </w:rPr>
      </w:pPr>
      <w:r w:rsidRPr="00BD314A">
        <w:rPr>
          <w:rFonts w:ascii="Arial" w:hAnsi="Arial" w:cs="Arial"/>
          <w:sz w:val="24"/>
        </w:rPr>
        <w:t xml:space="preserve">This is a significant amount of public </w:t>
      </w:r>
      <w:r>
        <w:rPr>
          <w:rFonts w:ascii="Arial" w:hAnsi="Arial" w:cs="Arial"/>
          <w:sz w:val="24"/>
        </w:rPr>
        <w:t>money</w:t>
      </w:r>
      <w:r w:rsidRPr="00BD314A">
        <w:rPr>
          <w:rFonts w:ascii="Arial" w:hAnsi="Arial" w:cs="Arial"/>
          <w:sz w:val="24"/>
        </w:rPr>
        <w:t>. Many of the bookkeeping systems that need to be set up for one MLA can be efficiently expanded to cover multiple MLAs. Most businesses and government organisations understand economies of scale. A system which covers more people becomes cheaper to operate per person. On this basis, there is surely room to reduce administrative funding either to an absolute cap (such as capping it to a maximum of 5 MLAs) or by linking it directly with administrative expenditure.</w:t>
      </w:r>
    </w:p>
    <w:p w14:paraId="31F459B6" w14:textId="77777777" w:rsidR="0063028F" w:rsidRPr="00BD314A" w:rsidRDefault="0063028F" w:rsidP="0063028F">
      <w:pPr>
        <w:spacing w:before="0" w:after="0" w:line="240" w:lineRule="auto"/>
        <w:rPr>
          <w:rFonts w:ascii="Arial" w:hAnsi="Arial" w:cs="Arial"/>
          <w:sz w:val="24"/>
        </w:rPr>
      </w:pPr>
    </w:p>
    <w:p w14:paraId="6D9B083C" w14:textId="77777777" w:rsidR="0063028F" w:rsidRDefault="0063028F" w:rsidP="0063028F">
      <w:pPr>
        <w:spacing w:before="0" w:after="0" w:line="240" w:lineRule="auto"/>
        <w:rPr>
          <w:rFonts w:ascii="Arial" w:hAnsi="Arial" w:cs="Arial"/>
          <w:sz w:val="24"/>
        </w:rPr>
      </w:pPr>
      <w:r w:rsidRPr="00BD314A">
        <w:rPr>
          <w:rFonts w:ascii="Arial" w:hAnsi="Arial" w:cs="Arial"/>
          <w:sz w:val="24"/>
        </w:rPr>
        <w:t>I recommend that if the Government links public funding with expenditure, it should also cap administrative funding or link administrative funding with expenditure.</w:t>
      </w:r>
    </w:p>
    <w:p w14:paraId="2DA50AAF" w14:textId="77777777" w:rsidR="0063028F" w:rsidRPr="00BD314A" w:rsidRDefault="0063028F" w:rsidP="0063028F">
      <w:pPr>
        <w:spacing w:before="0" w:after="0" w:line="240" w:lineRule="auto"/>
        <w:rPr>
          <w:rFonts w:ascii="Arial" w:hAnsi="Arial" w:cs="Arial"/>
          <w:sz w:val="24"/>
        </w:rPr>
      </w:pPr>
      <w:r>
        <w:rPr>
          <w:rFonts w:ascii="Arial" w:hAnsi="Arial" w:cs="Arial"/>
          <w:sz w:val="24"/>
        </w:rPr>
        <w:t>In conclusion, I think the Inquiry missed these opportunities for further thoughtful reform and so I have lodged my dissenting view.</w:t>
      </w:r>
    </w:p>
    <w:p w14:paraId="2F97AF1F" w14:textId="747E0381" w:rsidR="0063028F" w:rsidRDefault="0063028F" w:rsidP="0063028F">
      <w:pPr>
        <w:spacing w:before="0" w:after="0" w:line="240" w:lineRule="auto"/>
        <w:rPr>
          <w:rFonts w:ascii="Arial" w:hAnsi="Arial" w:cs="Arial"/>
          <w:sz w:val="24"/>
        </w:rPr>
      </w:pPr>
    </w:p>
    <w:p w14:paraId="21596B65" w14:textId="597564A0" w:rsidR="0063028F" w:rsidRDefault="0063028F" w:rsidP="0063028F">
      <w:pPr>
        <w:spacing w:before="0" w:after="0" w:line="240" w:lineRule="auto"/>
        <w:rPr>
          <w:rFonts w:ascii="Arial" w:hAnsi="Arial" w:cs="Arial"/>
          <w:sz w:val="24"/>
        </w:rPr>
      </w:pPr>
    </w:p>
    <w:p w14:paraId="07A22CD7" w14:textId="77777777" w:rsidR="0063028F" w:rsidRPr="00BD314A" w:rsidRDefault="0063028F" w:rsidP="0063028F">
      <w:pPr>
        <w:spacing w:before="0" w:after="0" w:line="240" w:lineRule="auto"/>
        <w:rPr>
          <w:rFonts w:ascii="Arial" w:hAnsi="Arial" w:cs="Arial"/>
          <w:sz w:val="24"/>
        </w:rPr>
      </w:pPr>
    </w:p>
    <w:p w14:paraId="333245A4"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Jo Clay MLA</w:t>
      </w:r>
    </w:p>
    <w:p w14:paraId="2AA6653E" w14:textId="77777777" w:rsidR="0063028F" w:rsidRPr="00BD314A" w:rsidRDefault="0063028F" w:rsidP="0063028F">
      <w:pPr>
        <w:spacing w:before="0" w:after="0" w:line="240" w:lineRule="auto"/>
        <w:rPr>
          <w:rFonts w:ascii="Arial" w:hAnsi="Arial" w:cs="Arial"/>
          <w:sz w:val="24"/>
        </w:rPr>
      </w:pPr>
      <w:r w:rsidRPr="00BD314A">
        <w:rPr>
          <w:rFonts w:ascii="Arial" w:hAnsi="Arial" w:cs="Arial"/>
          <w:sz w:val="24"/>
        </w:rPr>
        <w:t>29 July 2021</w:t>
      </w:r>
    </w:p>
    <w:p w14:paraId="1422F14E" w14:textId="77777777" w:rsidR="0063028F" w:rsidRPr="0063028F" w:rsidRDefault="0063028F" w:rsidP="0063028F">
      <w:pPr>
        <w:pStyle w:val="BodyText"/>
        <w:numPr>
          <w:ilvl w:val="0"/>
          <w:numId w:val="0"/>
        </w:numPr>
        <w:ind w:left="567" w:hanging="567"/>
      </w:pPr>
    </w:p>
    <w:sectPr w:rsidR="0063028F" w:rsidRPr="0063028F" w:rsidSect="004D2594">
      <w:footerReference w:type="even" r:id="rId25"/>
      <w:footerReference w:type="default" r:id="rId26"/>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F209E8" w14:textId="77777777" w:rsidR="003768CC" w:rsidRDefault="003768CC">
      <w:r>
        <w:separator/>
      </w:r>
    </w:p>
    <w:p w14:paraId="7972F9F8" w14:textId="77777777" w:rsidR="003768CC" w:rsidRDefault="003768CC"/>
    <w:p w14:paraId="4AECA67D" w14:textId="77777777" w:rsidR="003768CC" w:rsidRDefault="003768CC"/>
    <w:p w14:paraId="73BBEBF0" w14:textId="77777777" w:rsidR="003768CC" w:rsidRDefault="003768CC"/>
    <w:p w14:paraId="0B5750EC" w14:textId="77777777" w:rsidR="003768CC" w:rsidRDefault="003768CC"/>
  </w:endnote>
  <w:endnote w:type="continuationSeparator" w:id="0">
    <w:p w14:paraId="2EBCC31D" w14:textId="77777777" w:rsidR="003768CC" w:rsidRDefault="003768CC">
      <w:r>
        <w:continuationSeparator/>
      </w:r>
    </w:p>
    <w:p w14:paraId="1A960089" w14:textId="77777777" w:rsidR="003768CC" w:rsidRDefault="003768CC"/>
    <w:p w14:paraId="079F48D0" w14:textId="77777777" w:rsidR="003768CC" w:rsidRDefault="003768CC"/>
    <w:p w14:paraId="04B8FA28" w14:textId="77777777" w:rsidR="003768CC" w:rsidRDefault="003768CC"/>
    <w:p w14:paraId="4761728C" w14:textId="77777777" w:rsidR="003768CC" w:rsidRDefault="003768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67AC9E75-84AB-428E-A60F-27093A16C10D}"/>
    <w:embedBold r:id="rId2" w:fontKey="{C01E4C77-3080-4EBF-91C7-EC5828F3E30D}"/>
    <w:embedItalic r:id="rId3" w:fontKey="{2C317CD9-AE1E-471F-9B6E-2F4BEA12D2B5}"/>
  </w:font>
  <w:font w:name="Calibri">
    <w:panose1 w:val="020F0502020204030204"/>
    <w:charset w:val="00"/>
    <w:family w:val="swiss"/>
    <w:pitch w:val="variable"/>
    <w:sig w:usb0="E0002AFF" w:usb1="4000ACFF" w:usb2="00000001" w:usb3="00000000" w:csb0="000001FF" w:csb1="00000000"/>
    <w:embedRegular r:id="rId4" w:fontKey="{EBD05705-AB4F-4504-B5AD-94DECB709497}"/>
    <w:embedBold r:id="rId5" w:fontKey="{41CDD9B3-2637-4A33-A4F3-2E4C39346B8E}"/>
    <w:embedItalic r:id="rId6" w:fontKey="{440F9856-CBB6-4C73-9F18-4CB3AE1F69A0}"/>
    <w:embedBoldItalic r:id="rId7" w:fontKey="{52F5B073-E2F1-49CD-9E8B-0AB40755DA85}"/>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5002EFF" w:usb1="C000E47F" w:usb2="0000002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A00002EF" w:usb1="4000004B" w:usb2="00000000" w:usb3="00000000" w:csb0="0000019F" w:csb1="00000000"/>
    <w:embedRegular r:id="rId8" w:subsetted="1" w:fontKey="{52B566FD-7D5F-4318-A348-24EACF5D59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04DD4" w14:textId="77777777" w:rsidR="003768CC" w:rsidRDefault="003768CC"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5CED4" w14:textId="77777777" w:rsidR="003768CC" w:rsidRDefault="003768CC">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5238A" w14:textId="77777777" w:rsidR="003768CC" w:rsidRDefault="003768CC">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7BA55" w14:textId="77777777" w:rsidR="003768CC" w:rsidRDefault="003768CC">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62AF7" w14:textId="77777777" w:rsidR="002A2E7F" w:rsidRDefault="002A2E7F">
    <w:pPr>
      <w:pStyle w:val="Footer"/>
    </w:pPr>
    <w:r>
      <w:fldChar w:fldCharType="begin"/>
    </w:r>
    <w:r>
      <w:instrText xml:space="preserve"> PAGE   \* MERGEFORMAT </w:instrText>
    </w:r>
    <w:r>
      <w:fldChar w:fldCharType="separate"/>
    </w:r>
    <w:r>
      <w:rPr>
        <w:noProof/>
      </w:rPr>
      <w:t>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07D39F" w14:textId="77777777" w:rsidR="002A2E7F" w:rsidRDefault="002A2E7F">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84CF5" w14:textId="4445D27F" w:rsidR="003768CC" w:rsidRPr="004D2594" w:rsidRDefault="002A2E7F" w:rsidP="004D2594">
    <w:pPr>
      <w:pStyle w:val="Footer"/>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3638BF" w14:textId="4561CBAC" w:rsidR="003768CC" w:rsidRDefault="002A2E7F">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1729C4" w14:textId="77777777" w:rsidR="003768CC" w:rsidRDefault="003768CC">
      <w:r>
        <w:separator/>
      </w:r>
    </w:p>
  </w:footnote>
  <w:footnote w:type="continuationSeparator" w:id="0">
    <w:p w14:paraId="40F186FF" w14:textId="77777777" w:rsidR="003768CC" w:rsidRDefault="003768CC">
      <w:r>
        <w:continuationSeparator/>
      </w:r>
    </w:p>
    <w:p w14:paraId="0CD4BA82" w14:textId="77777777" w:rsidR="003768CC" w:rsidRDefault="003768CC"/>
    <w:p w14:paraId="5803C6D8" w14:textId="77777777" w:rsidR="003768CC" w:rsidRDefault="003768CC"/>
    <w:p w14:paraId="23F04076" w14:textId="77777777" w:rsidR="003768CC" w:rsidRDefault="003768CC"/>
    <w:p w14:paraId="52E5A93C" w14:textId="77777777" w:rsidR="003768CC" w:rsidRDefault="003768CC"/>
  </w:footnote>
  <w:footnote w:id="1">
    <w:p w14:paraId="1547204B" w14:textId="651B6831" w:rsidR="003768CC" w:rsidRDefault="003768CC">
      <w:pPr>
        <w:pStyle w:val="FootnoteText"/>
      </w:pPr>
      <w:r>
        <w:rPr>
          <w:rStyle w:val="FootnoteReference"/>
        </w:rPr>
        <w:footnoteRef/>
      </w:r>
      <w:r>
        <w:t xml:space="preserve"> </w:t>
      </w:r>
      <w:r w:rsidRPr="0048152D">
        <w:t xml:space="preserve">ACT Legislative Assembly, </w:t>
      </w:r>
      <w:hyperlink r:id="rId1" w:history="1">
        <w:r w:rsidRPr="00FF7F7E">
          <w:rPr>
            <w:rStyle w:val="Hyperlink"/>
            <w:i/>
            <w:iCs/>
          </w:rPr>
          <w:t>Minutes of Proceedings</w:t>
        </w:r>
        <w:r w:rsidRPr="00FF7F7E">
          <w:rPr>
            <w:rStyle w:val="Hyperlink"/>
          </w:rPr>
          <w:t>, No. 2</w:t>
        </w:r>
      </w:hyperlink>
      <w:r w:rsidRPr="0048152D">
        <w:t xml:space="preserve">, </w:t>
      </w:r>
      <w:r>
        <w:t>2</w:t>
      </w:r>
      <w:r w:rsidRPr="0048152D">
        <w:t xml:space="preserve"> December 20</w:t>
      </w:r>
      <w:r>
        <w:t>20</w:t>
      </w:r>
      <w:r w:rsidRPr="0048152D">
        <w:t xml:space="preserve">, </w:t>
      </w:r>
      <w:r w:rsidRPr="00FB0F11">
        <w:t>pp. 17-21.</w:t>
      </w:r>
    </w:p>
  </w:footnote>
  <w:footnote w:id="2">
    <w:p w14:paraId="0268057C" w14:textId="007534A8" w:rsidR="003768CC" w:rsidRDefault="003768CC">
      <w:pPr>
        <w:pStyle w:val="FootnoteText"/>
      </w:pPr>
      <w:r>
        <w:rPr>
          <w:rStyle w:val="FootnoteReference"/>
        </w:rPr>
        <w:footnoteRef/>
      </w:r>
      <w:r>
        <w:t xml:space="preserve"> </w:t>
      </w:r>
      <w:r w:rsidRPr="0048152D">
        <w:t xml:space="preserve">ACT Legislative Assembly, </w:t>
      </w:r>
      <w:hyperlink r:id="rId2" w:history="1">
        <w:r w:rsidRPr="00FF7F7E">
          <w:rPr>
            <w:rStyle w:val="Hyperlink"/>
            <w:i/>
            <w:iCs/>
          </w:rPr>
          <w:t>Minutes of Proceedings</w:t>
        </w:r>
        <w:r w:rsidRPr="00FF7F7E">
          <w:rPr>
            <w:rStyle w:val="Hyperlink"/>
          </w:rPr>
          <w:t>, No. 2</w:t>
        </w:r>
      </w:hyperlink>
      <w:r w:rsidRPr="0048152D">
        <w:t xml:space="preserve">, </w:t>
      </w:r>
      <w:r>
        <w:t>2</w:t>
      </w:r>
      <w:r w:rsidRPr="0048152D">
        <w:t xml:space="preserve"> December 20</w:t>
      </w:r>
      <w:r>
        <w:t>20</w:t>
      </w:r>
      <w:r w:rsidRPr="0048152D">
        <w:t xml:space="preserve">, </w:t>
      </w:r>
      <w:r w:rsidRPr="00FB0F11">
        <w:t>pp. 17-21.</w:t>
      </w:r>
    </w:p>
  </w:footnote>
  <w:footnote w:id="3">
    <w:p w14:paraId="12040AA9" w14:textId="0BB0811B" w:rsidR="003768CC" w:rsidRDefault="003768CC">
      <w:pPr>
        <w:pStyle w:val="FootnoteText"/>
      </w:pPr>
      <w:r>
        <w:rPr>
          <w:rStyle w:val="FootnoteReference"/>
        </w:rPr>
        <w:footnoteRef/>
      </w:r>
      <w:r>
        <w:t xml:space="preserve"> </w:t>
      </w:r>
      <w:r w:rsidRPr="0048152D">
        <w:t xml:space="preserve">ACT Legislative Assembly, </w:t>
      </w:r>
      <w:hyperlink r:id="rId3" w:history="1">
        <w:r w:rsidRPr="00FF7F7E">
          <w:rPr>
            <w:rStyle w:val="Hyperlink"/>
            <w:i/>
            <w:iCs/>
          </w:rPr>
          <w:t>Minutes of Proceedings</w:t>
        </w:r>
        <w:r w:rsidRPr="00FF7F7E">
          <w:rPr>
            <w:rStyle w:val="Hyperlink"/>
          </w:rPr>
          <w:t>, No. 2</w:t>
        </w:r>
      </w:hyperlink>
      <w:r w:rsidRPr="0048152D">
        <w:t xml:space="preserve">, </w:t>
      </w:r>
      <w:r>
        <w:t>2</w:t>
      </w:r>
      <w:r w:rsidRPr="0048152D">
        <w:t xml:space="preserve"> December 20</w:t>
      </w:r>
      <w:r>
        <w:t>20</w:t>
      </w:r>
      <w:r w:rsidRPr="0048152D">
        <w:t xml:space="preserve">, </w:t>
      </w:r>
      <w:r w:rsidRPr="00FB0F11">
        <w:t>pp. 17-21.</w:t>
      </w:r>
    </w:p>
  </w:footnote>
  <w:footnote w:id="4">
    <w:p w14:paraId="4F05F7BE" w14:textId="19378238" w:rsidR="003768CC" w:rsidRDefault="003768CC">
      <w:pPr>
        <w:pStyle w:val="FootnoteText"/>
      </w:pPr>
      <w:r>
        <w:rPr>
          <w:rStyle w:val="FootnoteReference"/>
        </w:rPr>
        <w:footnoteRef/>
      </w:r>
      <w:r>
        <w:t xml:space="preserve"> </w:t>
      </w:r>
      <w:r w:rsidRPr="0048152D">
        <w:t xml:space="preserve">ACT Legislative Assembly, </w:t>
      </w:r>
      <w:hyperlink r:id="rId4" w:history="1">
        <w:r w:rsidRPr="00FF7F7E">
          <w:rPr>
            <w:rStyle w:val="Hyperlink"/>
            <w:i/>
            <w:iCs/>
          </w:rPr>
          <w:t>Minutes of Proceedings</w:t>
        </w:r>
        <w:r w:rsidRPr="00FF7F7E">
          <w:rPr>
            <w:rStyle w:val="Hyperlink"/>
          </w:rPr>
          <w:t>, No. 2</w:t>
        </w:r>
      </w:hyperlink>
      <w:r w:rsidRPr="0048152D">
        <w:t xml:space="preserve">, </w:t>
      </w:r>
      <w:r>
        <w:t>2</w:t>
      </w:r>
      <w:r w:rsidRPr="0048152D">
        <w:t xml:space="preserve"> December 20</w:t>
      </w:r>
      <w:r>
        <w:t>20</w:t>
      </w:r>
      <w:r w:rsidRPr="0048152D">
        <w:t xml:space="preserve">, </w:t>
      </w:r>
      <w:r w:rsidRPr="00FB0F11">
        <w:t>pp. 26</w:t>
      </w:r>
      <w:r w:rsidRPr="0048152D">
        <w:t>.</w:t>
      </w:r>
    </w:p>
  </w:footnote>
  <w:footnote w:id="5">
    <w:p w14:paraId="4FFEF26C" w14:textId="02BADD9D" w:rsidR="003768CC" w:rsidRDefault="003768CC">
      <w:pPr>
        <w:pStyle w:val="FootnoteText"/>
      </w:pPr>
      <w:r>
        <w:rPr>
          <w:rStyle w:val="FootnoteReference"/>
        </w:rPr>
        <w:footnoteRef/>
      </w:r>
      <w:r>
        <w:t xml:space="preserve"> </w:t>
      </w:r>
      <w:hyperlink r:id="rId5" w:anchor="tab1695217-2id" w:history="1">
        <w:r w:rsidRPr="00E36677">
          <w:rPr>
            <w:rStyle w:val="Hyperlink"/>
          </w:rPr>
          <w:t>https://www.parliament.act.gov.au/parliamentary-business/in-committees/committees/jcs/inquiry-into-2020-act-election-and-the-electoral-act#tab1695217-2id</w:t>
        </w:r>
      </w:hyperlink>
      <w:r>
        <w:t xml:space="preserve"> </w:t>
      </w:r>
    </w:p>
  </w:footnote>
  <w:footnote w:id="6">
    <w:p w14:paraId="557D62DB" w14:textId="7CB6D6A2" w:rsidR="003768CC" w:rsidRDefault="003768CC">
      <w:pPr>
        <w:pStyle w:val="FootnoteText"/>
      </w:pPr>
      <w:r>
        <w:rPr>
          <w:rStyle w:val="FootnoteReference"/>
        </w:rPr>
        <w:footnoteRef/>
      </w:r>
      <w:r>
        <w:t xml:space="preserve"> </w:t>
      </w:r>
      <w:hyperlink r:id="rId6" w:history="1">
        <w:r w:rsidRPr="00E36677">
          <w:rPr>
            <w:rStyle w:val="Hyperlink"/>
          </w:rPr>
          <w:t>http://www.hansard.act.gov.au/hansard/2021/comms/jacs03a.pdf</w:t>
        </w:r>
      </w:hyperlink>
      <w:r>
        <w:t xml:space="preserve"> </w:t>
      </w:r>
    </w:p>
  </w:footnote>
  <w:footnote w:id="7">
    <w:p w14:paraId="09C5E751" w14:textId="3B496070" w:rsidR="003768CC" w:rsidRDefault="003768CC">
      <w:pPr>
        <w:pStyle w:val="FootnoteText"/>
      </w:pPr>
      <w:r>
        <w:rPr>
          <w:rStyle w:val="FootnoteReference"/>
        </w:rPr>
        <w:footnoteRef/>
      </w:r>
      <w:r>
        <w:t xml:space="preserve"> </w:t>
      </w:r>
      <w:hyperlink r:id="rId7" w:history="1">
        <w:r w:rsidRPr="00E36677">
          <w:rPr>
            <w:rStyle w:val="Hyperlink"/>
          </w:rPr>
          <w:t>http://www.hansard.act.gov.au/hansard/2021/comms/jacs04a.pdf</w:t>
        </w:r>
      </w:hyperlink>
      <w:r>
        <w:t xml:space="preserve"> </w:t>
      </w:r>
    </w:p>
  </w:footnote>
  <w:footnote w:id="8">
    <w:p w14:paraId="23602D03" w14:textId="6987B56F" w:rsidR="003768CC" w:rsidRDefault="003768CC">
      <w:pPr>
        <w:pStyle w:val="FootnoteText"/>
      </w:pPr>
      <w:r>
        <w:rPr>
          <w:rStyle w:val="FootnoteReference"/>
        </w:rPr>
        <w:footnoteRef/>
      </w:r>
      <w:r>
        <w:t xml:space="preserve"> </w:t>
      </w:r>
      <w:hyperlink r:id="rId8" w:history="1">
        <w:r w:rsidRPr="00E36677">
          <w:rPr>
            <w:rStyle w:val="Hyperlink"/>
          </w:rPr>
          <w:t>http://aod.dpa.act.gov.au/C28250</w:t>
        </w:r>
      </w:hyperlink>
      <w:r>
        <w:t xml:space="preserve"> </w:t>
      </w:r>
    </w:p>
  </w:footnote>
  <w:footnote w:id="9">
    <w:p w14:paraId="347F665E" w14:textId="44022E6D" w:rsidR="003768CC" w:rsidRDefault="003768CC">
      <w:pPr>
        <w:pStyle w:val="FootnoteText"/>
      </w:pPr>
      <w:r>
        <w:rPr>
          <w:rStyle w:val="FootnoteReference"/>
        </w:rPr>
        <w:footnoteRef/>
      </w:r>
      <w:r>
        <w:t xml:space="preserve"> </w:t>
      </w:r>
      <w:hyperlink r:id="rId9" w:history="1">
        <w:r w:rsidRPr="00E36677">
          <w:rPr>
            <w:rStyle w:val="Hyperlink"/>
          </w:rPr>
          <w:t>http://aod.dpa.act.gov.au/C28538</w:t>
        </w:r>
      </w:hyperlink>
      <w:r>
        <w:t xml:space="preserve"> </w:t>
      </w:r>
    </w:p>
  </w:footnote>
  <w:footnote w:id="10">
    <w:p w14:paraId="5304B846" w14:textId="7A82D652" w:rsidR="003768CC" w:rsidRDefault="003768CC">
      <w:pPr>
        <w:pStyle w:val="FootnoteText"/>
      </w:pPr>
      <w:r>
        <w:rPr>
          <w:rStyle w:val="FootnoteReference"/>
        </w:rPr>
        <w:footnoteRef/>
      </w:r>
      <w:r>
        <w:t xml:space="preserve"> </w:t>
      </w:r>
      <w:hyperlink r:id="rId10" w:anchor="tab1695217-8id" w:history="1">
        <w:r w:rsidRPr="00E36677">
          <w:rPr>
            <w:rStyle w:val="Hyperlink"/>
          </w:rPr>
          <w:t>https://www.parliament.act.gov.au/parliamentary-business/in-committees/committees/jcs/inquiry-into-2020-act-election-and-the-electoral-act#tab1695217-8id</w:t>
        </w:r>
      </w:hyperlink>
      <w:r>
        <w:t xml:space="preserve"> </w:t>
      </w:r>
    </w:p>
  </w:footnote>
  <w:footnote w:id="11">
    <w:p w14:paraId="64395D6E" w14:textId="55EE17A2" w:rsidR="003768CC" w:rsidRDefault="003768CC">
      <w:pPr>
        <w:pStyle w:val="FootnoteText"/>
      </w:pPr>
      <w:r>
        <w:rPr>
          <w:rStyle w:val="FootnoteReference"/>
        </w:rPr>
        <w:footnoteRef/>
      </w:r>
      <w:r>
        <w:t xml:space="preserve"> Section 100, </w:t>
      </w:r>
      <w:r w:rsidRPr="00B505D7">
        <w:rPr>
          <w:i/>
          <w:iCs/>
        </w:rPr>
        <w:t>Electoral Act 1992</w:t>
      </w:r>
      <w:r>
        <w:rPr>
          <w:i/>
          <w:iCs/>
        </w:rPr>
        <w:t>.</w:t>
      </w:r>
    </w:p>
  </w:footnote>
  <w:footnote w:id="12">
    <w:p w14:paraId="606F898F" w14:textId="1D63E604" w:rsidR="003768CC" w:rsidRDefault="003768CC">
      <w:pPr>
        <w:pStyle w:val="FootnoteText"/>
      </w:pPr>
      <w:r>
        <w:rPr>
          <w:rStyle w:val="FootnoteReference"/>
        </w:rPr>
        <w:footnoteRef/>
      </w:r>
      <w:r>
        <w:t xml:space="preserve"> Submission 8, ACT Electoral Commission, pp. 6 and 21.</w:t>
      </w:r>
    </w:p>
  </w:footnote>
  <w:footnote w:id="13">
    <w:p w14:paraId="07BBB3A2" w14:textId="6EDA2D49" w:rsidR="003768CC" w:rsidRDefault="003768CC" w:rsidP="005F7D4B">
      <w:pPr>
        <w:pStyle w:val="FootnoteText"/>
      </w:pPr>
      <w:r>
        <w:rPr>
          <w:rStyle w:val="FootnoteReference"/>
        </w:rPr>
        <w:footnoteRef/>
      </w:r>
      <w:r>
        <w:t xml:space="preserve"> Submission 8, ACT Electoral Commission, p. 16.</w:t>
      </w:r>
    </w:p>
  </w:footnote>
  <w:footnote w:id="14">
    <w:p w14:paraId="1E06F0EA" w14:textId="12B87E75" w:rsidR="003768CC" w:rsidRDefault="003768CC">
      <w:pPr>
        <w:pStyle w:val="FootnoteText"/>
      </w:pPr>
      <w:r>
        <w:rPr>
          <w:rStyle w:val="FootnoteReference"/>
        </w:rPr>
        <w:footnoteRef/>
      </w:r>
      <w:r>
        <w:t xml:space="preserve"> Submission 8, ACT Electoral Commission, p. 44.</w:t>
      </w:r>
    </w:p>
  </w:footnote>
  <w:footnote w:id="15">
    <w:p w14:paraId="0C1D5DE8" w14:textId="24863FC4" w:rsidR="003768CC" w:rsidRDefault="003768CC">
      <w:pPr>
        <w:pStyle w:val="FootnoteText"/>
      </w:pPr>
      <w:r>
        <w:rPr>
          <w:rStyle w:val="FootnoteReference"/>
        </w:rPr>
        <w:footnoteRef/>
      </w:r>
      <w:r>
        <w:t xml:space="preserve"> Submission 8, ACT Electoral Commission, pp. 61-62.</w:t>
      </w:r>
    </w:p>
  </w:footnote>
  <w:footnote w:id="16">
    <w:p w14:paraId="0B6268F2" w14:textId="44B1BFFC" w:rsidR="003768CC" w:rsidRDefault="003768CC">
      <w:pPr>
        <w:pStyle w:val="FootnoteText"/>
      </w:pPr>
      <w:r>
        <w:rPr>
          <w:rStyle w:val="FootnoteReference"/>
        </w:rPr>
        <w:footnoteRef/>
      </w:r>
      <w:r>
        <w:t xml:space="preserve"> Submission 8, ACT Electoral Commission, p. 33.</w:t>
      </w:r>
    </w:p>
  </w:footnote>
  <w:footnote w:id="17">
    <w:p w14:paraId="58D73432" w14:textId="526901B6" w:rsidR="003768CC" w:rsidRDefault="003768CC">
      <w:pPr>
        <w:pStyle w:val="FootnoteText"/>
      </w:pPr>
      <w:r>
        <w:rPr>
          <w:rStyle w:val="FootnoteReference"/>
        </w:rPr>
        <w:footnoteRef/>
      </w:r>
      <w:r>
        <w:t xml:space="preserve"> Submission 8, ACT Electoral Commission, p. 34.</w:t>
      </w:r>
    </w:p>
  </w:footnote>
  <w:footnote w:id="18">
    <w:p w14:paraId="7F03D4B2" w14:textId="0837ED1B" w:rsidR="003768CC" w:rsidRDefault="003768CC">
      <w:pPr>
        <w:pStyle w:val="FootnoteText"/>
      </w:pPr>
      <w:r>
        <w:rPr>
          <w:rStyle w:val="FootnoteReference"/>
        </w:rPr>
        <w:footnoteRef/>
      </w:r>
      <w:r>
        <w:t xml:space="preserve"> Submission 8, ACT Electoral Commission, p. 34.</w:t>
      </w:r>
    </w:p>
  </w:footnote>
  <w:footnote w:id="19">
    <w:p w14:paraId="016E6DA4" w14:textId="56B51D55" w:rsidR="003768CC" w:rsidRDefault="003768CC">
      <w:pPr>
        <w:pStyle w:val="FootnoteText"/>
      </w:pPr>
      <w:r>
        <w:rPr>
          <w:rStyle w:val="FootnoteReference"/>
        </w:rPr>
        <w:footnoteRef/>
      </w:r>
      <w:r>
        <w:t xml:space="preserve"> Submission 8, ACT Electoral Commission, p. 74.</w:t>
      </w:r>
    </w:p>
  </w:footnote>
  <w:footnote w:id="20">
    <w:p w14:paraId="527F6C5A" w14:textId="18C3F80E" w:rsidR="003768CC" w:rsidRDefault="003768CC">
      <w:pPr>
        <w:pStyle w:val="FootnoteText"/>
      </w:pPr>
      <w:r>
        <w:rPr>
          <w:rStyle w:val="FootnoteReference"/>
        </w:rPr>
        <w:footnoteRef/>
      </w:r>
      <w:r>
        <w:t xml:space="preserve"> Submission 8, ACT Electoral Commission, p. 40.</w:t>
      </w:r>
    </w:p>
  </w:footnote>
  <w:footnote w:id="21">
    <w:p w14:paraId="614791EE" w14:textId="2C93E853" w:rsidR="003768CC" w:rsidRDefault="003768CC">
      <w:pPr>
        <w:pStyle w:val="FootnoteText"/>
      </w:pPr>
      <w:r>
        <w:rPr>
          <w:rStyle w:val="FootnoteReference"/>
        </w:rPr>
        <w:footnoteRef/>
      </w:r>
      <w:r>
        <w:t xml:space="preserve"> Submission 8, ACT Electoral Commission, p. 40.</w:t>
      </w:r>
    </w:p>
  </w:footnote>
  <w:footnote w:id="22">
    <w:p w14:paraId="6BA58701" w14:textId="4856E04D" w:rsidR="003768CC" w:rsidRDefault="003768CC">
      <w:pPr>
        <w:pStyle w:val="FootnoteText"/>
      </w:pPr>
      <w:r>
        <w:rPr>
          <w:rStyle w:val="FootnoteReference"/>
        </w:rPr>
        <w:footnoteRef/>
      </w:r>
      <w:r>
        <w:t xml:space="preserve"> Submission 8, ACT Electoral Commission, p. 50.</w:t>
      </w:r>
    </w:p>
  </w:footnote>
  <w:footnote w:id="23">
    <w:p w14:paraId="50ABEA67" w14:textId="6AD55A61" w:rsidR="003768CC" w:rsidRDefault="003768CC">
      <w:pPr>
        <w:pStyle w:val="FootnoteText"/>
      </w:pPr>
      <w:r>
        <w:rPr>
          <w:rStyle w:val="FootnoteReference"/>
        </w:rPr>
        <w:footnoteRef/>
      </w:r>
      <w:r>
        <w:t xml:space="preserve"> Submission 8, ACT Electoral Commission, p. 53.</w:t>
      </w:r>
    </w:p>
  </w:footnote>
  <w:footnote w:id="24">
    <w:p w14:paraId="61AFB49D" w14:textId="33F626A9" w:rsidR="003768CC" w:rsidRDefault="003768CC">
      <w:pPr>
        <w:pStyle w:val="FootnoteText"/>
      </w:pPr>
      <w:r>
        <w:rPr>
          <w:rStyle w:val="FootnoteReference"/>
        </w:rPr>
        <w:footnoteRef/>
      </w:r>
      <w:r>
        <w:t xml:space="preserve"> Submission 8, ACT Electoral Commission, p. 53.</w:t>
      </w:r>
    </w:p>
  </w:footnote>
  <w:footnote w:id="25">
    <w:p w14:paraId="4EA63200" w14:textId="2D0AD74A" w:rsidR="003768CC" w:rsidRDefault="003768CC">
      <w:pPr>
        <w:pStyle w:val="FootnoteText"/>
      </w:pPr>
      <w:r>
        <w:rPr>
          <w:rStyle w:val="FootnoteReference"/>
        </w:rPr>
        <w:footnoteRef/>
      </w:r>
      <w:r>
        <w:t xml:space="preserve"> Submission 8, ACT Electoral Commission, p. 52.</w:t>
      </w:r>
    </w:p>
  </w:footnote>
  <w:footnote w:id="26">
    <w:p w14:paraId="71C9A09F" w14:textId="54FA073B" w:rsidR="003768CC" w:rsidRDefault="003768CC">
      <w:pPr>
        <w:pStyle w:val="FootnoteText"/>
      </w:pPr>
      <w:r>
        <w:rPr>
          <w:rStyle w:val="FootnoteReference"/>
        </w:rPr>
        <w:footnoteRef/>
      </w:r>
      <w:r>
        <w:t xml:space="preserve"> Submission 8, ACT Electoral Commission, p. 13; Submission 11, ACT Government.</w:t>
      </w:r>
    </w:p>
  </w:footnote>
  <w:footnote w:id="27">
    <w:p w14:paraId="117F03D7" w14:textId="1FB12AC8" w:rsidR="003768CC" w:rsidRDefault="003768CC">
      <w:pPr>
        <w:pStyle w:val="FootnoteText"/>
      </w:pPr>
      <w:r>
        <w:rPr>
          <w:rStyle w:val="FootnoteReference"/>
        </w:rPr>
        <w:footnoteRef/>
      </w:r>
      <w:r>
        <w:t xml:space="preserve"> </w:t>
      </w:r>
      <w:r w:rsidRPr="00690DCF">
        <w:t>Public Health (Emergency) Declaration 2020 (No 1)</w:t>
      </w:r>
      <w:r>
        <w:t xml:space="preserve">, </w:t>
      </w:r>
      <w:hyperlink r:id="rId11" w:history="1">
        <w:r w:rsidRPr="00312212">
          <w:rPr>
            <w:rStyle w:val="Hyperlink"/>
          </w:rPr>
          <w:t>https://legislation.act.gov.au/ni/2020-153/</w:t>
        </w:r>
      </w:hyperlink>
      <w:r>
        <w:t>.</w:t>
      </w:r>
    </w:p>
  </w:footnote>
  <w:footnote w:id="28">
    <w:p w14:paraId="42778B98" w14:textId="44701E08" w:rsidR="003768CC" w:rsidRDefault="003768CC">
      <w:pPr>
        <w:pStyle w:val="FootnoteText"/>
      </w:pPr>
      <w:r>
        <w:rPr>
          <w:rStyle w:val="FootnoteReference"/>
        </w:rPr>
        <w:footnoteRef/>
      </w:r>
      <w:r>
        <w:t xml:space="preserve"> ACT Government, Public Health Directions, </w:t>
      </w:r>
      <w:hyperlink r:id="rId12" w:anchor=":~:text=ACT%20Public%20Health%20Directions%20%20%20%20Name,%20%20NI2021-265%20%203%20more%20rows%20" w:history="1">
        <w:r w:rsidRPr="00312212">
          <w:rPr>
            <w:rStyle w:val="Hyperlink"/>
          </w:rPr>
          <w:t>https://www.covid19.act.gov.au/act-status-and-response/act-public-health-directions#:~:text=ACT%20Public%20Health%20Directions%20%20%20%20Name,%20%20NI2021-265%20%203%20more%20rows%20</w:t>
        </w:r>
      </w:hyperlink>
      <w:r>
        <w:t>.</w:t>
      </w:r>
    </w:p>
  </w:footnote>
  <w:footnote w:id="29">
    <w:p w14:paraId="2DC36F56" w14:textId="675D1280" w:rsidR="003768CC" w:rsidRDefault="003768CC">
      <w:pPr>
        <w:pStyle w:val="FootnoteText"/>
      </w:pPr>
      <w:r>
        <w:rPr>
          <w:rStyle w:val="FootnoteReference"/>
        </w:rPr>
        <w:footnoteRef/>
      </w:r>
      <w:r>
        <w:t xml:space="preserve"> Submission 8, ACT Electoral Commission, p. 10.</w:t>
      </w:r>
    </w:p>
  </w:footnote>
  <w:footnote w:id="30">
    <w:p w14:paraId="68325504" w14:textId="7C7E1068" w:rsidR="003768CC" w:rsidRDefault="003768CC">
      <w:pPr>
        <w:pStyle w:val="FootnoteText"/>
      </w:pPr>
      <w:r>
        <w:rPr>
          <w:rStyle w:val="FootnoteReference"/>
        </w:rPr>
        <w:footnoteRef/>
      </w:r>
      <w:r>
        <w:t xml:space="preserve"> Submission 8, ACT Electoral Commission, p. 10.</w:t>
      </w:r>
    </w:p>
  </w:footnote>
  <w:footnote w:id="31">
    <w:p w14:paraId="153D1C66" w14:textId="26DA8FDB" w:rsidR="003768CC" w:rsidRDefault="003768CC">
      <w:pPr>
        <w:pStyle w:val="FootnoteText"/>
      </w:pPr>
      <w:r>
        <w:rPr>
          <w:rStyle w:val="FootnoteReference"/>
        </w:rPr>
        <w:footnoteRef/>
      </w:r>
      <w:r>
        <w:t xml:space="preserve"> Submission 8, ACT Electoral Commission, p. 11.</w:t>
      </w:r>
    </w:p>
  </w:footnote>
  <w:footnote w:id="32">
    <w:p w14:paraId="1894068A" w14:textId="0EAAFF79" w:rsidR="003768CC" w:rsidRDefault="003768CC" w:rsidP="00BD0A2B">
      <w:pPr>
        <w:pStyle w:val="FootnoteText"/>
      </w:pPr>
      <w:r>
        <w:rPr>
          <w:rStyle w:val="FootnoteReference"/>
        </w:rPr>
        <w:footnoteRef/>
      </w:r>
      <w:r>
        <w:t xml:space="preserve"> Submission 8, ACT Electoral Commission, p. 12.</w:t>
      </w:r>
    </w:p>
  </w:footnote>
  <w:footnote w:id="33">
    <w:p w14:paraId="7B935D9B" w14:textId="4D51F474" w:rsidR="003768CC" w:rsidRPr="00217020" w:rsidRDefault="003768CC" w:rsidP="00217020">
      <w:pPr>
        <w:pStyle w:val="FootnoteText"/>
        <w:rPr>
          <w:i/>
          <w:iCs/>
        </w:rPr>
      </w:pPr>
      <w:r>
        <w:rPr>
          <w:rStyle w:val="FootnoteReference"/>
        </w:rPr>
        <w:footnoteRef/>
      </w:r>
      <w:r>
        <w:t xml:space="preserve"> ACT Electoral Commission (May 2020) </w:t>
      </w:r>
      <w:r w:rsidRPr="00217020">
        <w:rPr>
          <w:i/>
          <w:iCs/>
        </w:rPr>
        <w:t xml:space="preserve">Impact of the COVID-19 Pandemic on the 2020 ACT Legislative Assembly </w:t>
      </w:r>
    </w:p>
    <w:p w14:paraId="5C19C5C1" w14:textId="34B9A84D" w:rsidR="003768CC" w:rsidRDefault="003768CC" w:rsidP="00217020">
      <w:pPr>
        <w:pStyle w:val="FootnoteText"/>
      </w:pPr>
      <w:r w:rsidRPr="00217020">
        <w:rPr>
          <w:i/>
          <w:iCs/>
        </w:rPr>
        <w:t>Election: A special report by the ACT Electoral Commission</w:t>
      </w:r>
      <w:r>
        <w:t>.</w:t>
      </w:r>
    </w:p>
  </w:footnote>
  <w:footnote w:id="34">
    <w:p w14:paraId="224A4C87" w14:textId="3DEDE8BC" w:rsidR="003768CC" w:rsidRDefault="003768CC">
      <w:pPr>
        <w:pStyle w:val="FootnoteText"/>
      </w:pPr>
      <w:r>
        <w:rPr>
          <w:rStyle w:val="FootnoteReference"/>
        </w:rPr>
        <w:footnoteRef/>
      </w:r>
      <w:r>
        <w:t xml:space="preserve"> Submission 8, ACT Electoral Commission, p. 61.</w:t>
      </w:r>
    </w:p>
  </w:footnote>
  <w:footnote w:id="35">
    <w:p w14:paraId="33D534EB" w14:textId="1221BA63" w:rsidR="003768CC" w:rsidRDefault="003768CC">
      <w:pPr>
        <w:pStyle w:val="FootnoteText"/>
      </w:pPr>
      <w:r>
        <w:rPr>
          <w:rStyle w:val="FootnoteReference"/>
        </w:rPr>
        <w:footnoteRef/>
      </w:r>
      <w:r>
        <w:t xml:space="preserve"> Submission 8, ACT Electoral Commission, p. 63.</w:t>
      </w:r>
    </w:p>
  </w:footnote>
  <w:footnote w:id="36">
    <w:p w14:paraId="37075B0B" w14:textId="6969F3FA" w:rsidR="003768CC" w:rsidRDefault="003768CC">
      <w:pPr>
        <w:pStyle w:val="FootnoteText"/>
      </w:pPr>
      <w:r>
        <w:rPr>
          <w:rStyle w:val="FootnoteReference"/>
        </w:rPr>
        <w:footnoteRef/>
      </w:r>
      <w:r>
        <w:t xml:space="preserve"> </w:t>
      </w:r>
      <w:r w:rsidRPr="00217020">
        <w:rPr>
          <w:i/>
          <w:iCs/>
        </w:rPr>
        <w:t>COVID-19 Emergency Response Legislation Amendment Act 2020 (No 2)</w:t>
      </w:r>
      <w:r>
        <w:t xml:space="preserve">, </w:t>
      </w:r>
      <w:hyperlink r:id="rId13" w:history="1">
        <w:r w:rsidRPr="00312212">
          <w:rPr>
            <w:rStyle w:val="Hyperlink"/>
          </w:rPr>
          <w:t>https://www.legislation.act.gov.au/a/2020-27/</w:t>
        </w:r>
      </w:hyperlink>
      <w:r>
        <w:t xml:space="preserve"> </w:t>
      </w:r>
    </w:p>
  </w:footnote>
  <w:footnote w:id="37">
    <w:p w14:paraId="34E3D3BA" w14:textId="4B8A7E9F" w:rsidR="003768CC" w:rsidRDefault="003768CC" w:rsidP="00D5106D">
      <w:pPr>
        <w:pStyle w:val="FootnoteText"/>
        <w:tabs>
          <w:tab w:val="left" w:pos="864"/>
        </w:tabs>
      </w:pPr>
      <w:r>
        <w:rPr>
          <w:rStyle w:val="FootnoteReference"/>
        </w:rPr>
        <w:footnoteRef/>
      </w:r>
      <w:r>
        <w:t xml:space="preserve"> </w:t>
      </w:r>
      <w:r>
        <w:tab/>
        <w:t>Submission 8, ACT Electoral Commission, p. 12.</w:t>
      </w:r>
    </w:p>
  </w:footnote>
  <w:footnote w:id="38">
    <w:p w14:paraId="6DB2F3D9" w14:textId="7EF6D86B" w:rsidR="003768CC" w:rsidRDefault="003768CC">
      <w:pPr>
        <w:pStyle w:val="FootnoteText"/>
      </w:pPr>
      <w:r>
        <w:rPr>
          <w:rStyle w:val="FootnoteReference"/>
        </w:rPr>
        <w:footnoteRef/>
      </w:r>
      <w:r>
        <w:t xml:space="preserve"> Submission 8, ACT Electoral Commission, p. 77.</w:t>
      </w:r>
    </w:p>
  </w:footnote>
  <w:footnote w:id="39">
    <w:p w14:paraId="2BDF6593" w14:textId="6E8D3D65" w:rsidR="003768CC" w:rsidRDefault="003768CC">
      <w:pPr>
        <w:pStyle w:val="FootnoteText"/>
      </w:pPr>
      <w:r>
        <w:rPr>
          <w:rStyle w:val="FootnoteReference"/>
        </w:rPr>
        <w:footnoteRef/>
      </w:r>
      <w:r>
        <w:t xml:space="preserve"> Elections ACT, </w:t>
      </w:r>
      <w:r w:rsidRPr="00217020">
        <w:t>Report on the ACT Legislative Assembly Election 2016</w:t>
      </w:r>
      <w:r>
        <w:t xml:space="preserve">, p. 77. </w:t>
      </w:r>
    </w:p>
  </w:footnote>
  <w:footnote w:id="40">
    <w:p w14:paraId="00641521" w14:textId="293C5984" w:rsidR="003768CC" w:rsidRDefault="003768CC">
      <w:pPr>
        <w:pStyle w:val="FootnoteText"/>
      </w:pPr>
      <w:r>
        <w:rPr>
          <w:rStyle w:val="FootnoteReference"/>
        </w:rPr>
        <w:footnoteRef/>
      </w:r>
      <w:r>
        <w:t xml:space="preserve"> Submission 8, ACT Electoral Commission, pp. 29-30, 45.</w:t>
      </w:r>
    </w:p>
  </w:footnote>
  <w:footnote w:id="41">
    <w:p w14:paraId="7CAB7B40" w14:textId="32374E97" w:rsidR="003768CC" w:rsidRDefault="003768CC">
      <w:pPr>
        <w:pStyle w:val="FootnoteText"/>
      </w:pPr>
      <w:r>
        <w:rPr>
          <w:rStyle w:val="FootnoteReference"/>
        </w:rPr>
        <w:footnoteRef/>
      </w:r>
      <w:r>
        <w:t xml:space="preserve"> Submission 1, Michael </w:t>
      </w:r>
      <w:proofErr w:type="spellStart"/>
      <w:r>
        <w:t>Beahan</w:t>
      </w:r>
      <w:proofErr w:type="spellEnd"/>
      <w:r>
        <w:t>.</w:t>
      </w:r>
    </w:p>
  </w:footnote>
  <w:footnote w:id="42">
    <w:p w14:paraId="7D576D76" w14:textId="767590C8" w:rsidR="003768CC" w:rsidRDefault="003768CC">
      <w:pPr>
        <w:pStyle w:val="FootnoteText"/>
      </w:pPr>
      <w:r>
        <w:rPr>
          <w:rStyle w:val="FootnoteReference"/>
        </w:rPr>
        <w:footnoteRef/>
      </w:r>
      <w:r>
        <w:t xml:space="preserve"> Submission 10, Canberra Liberals. </w:t>
      </w:r>
    </w:p>
  </w:footnote>
  <w:footnote w:id="43">
    <w:p w14:paraId="667E6727" w14:textId="647DA5C5" w:rsidR="003768CC" w:rsidRDefault="003768CC">
      <w:pPr>
        <w:pStyle w:val="FootnoteText"/>
      </w:pPr>
      <w:r>
        <w:rPr>
          <w:rStyle w:val="FootnoteReference"/>
        </w:rPr>
        <w:footnoteRef/>
      </w:r>
      <w:r>
        <w:t xml:space="preserve"> Submission 16, Andrew Donnellan.</w:t>
      </w:r>
    </w:p>
  </w:footnote>
  <w:footnote w:id="44">
    <w:p w14:paraId="40203FDC" w14:textId="086642C9" w:rsidR="003768CC" w:rsidRDefault="003768CC">
      <w:pPr>
        <w:pStyle w:val="FootnoteText"/>
      </w:pPr>
      <w:r>
        <w:rPr>
          <w:rStyle w:val="FootnoteReference"/>
        </w:rPr>
        <w:footnoteRef/>
      </w:r>
      <w:r>
        <w:t xml:space="preserve"> Submission 24, Canberra Progressives.</w:t>
      </w:r>
    </w:p>
  </w:footnote>
  <w:footnote w:id="45">
    <w:p w14:paraId="2B86F126" w14:textId="3AB09F71" w:rsidR="003768CC" w:rsidRDefault="003768CC">
      <w:pPr>
        <w:pStyle w:val="FootnoteText"/>
      </w:pPr>
      <w:r>
        <w:rPr>
          <w:rStyle w:val="FootnoteReference"/>
        </w:rPr>
        <w:footnoteRef/>
      </w:r>
      <w:r>
        <w:t xml:space="preserve"> For example, Submission 11, ACT Government.</w:t>
      </w:r>
    </w:p>
  </w:footnote>
  <w:footnote w:id="46">
    <w:p w14:paraId="632A3C12" w14:textId="6DC0098B" w:rsidR="003768CC" w:rsidRDefault="003768CC">
      <w:pPr>
        <w:pStyle w:val="FootnoteText"/>
      </w:pPr>
      <w:r>
        <w:rPr>
          <w:rStyle w:val="FootnoteReference"/>
        </w:rPr>
        <w:footnoteRef/>
      </w:r>
      <w:r>
        <w:t xml:space="preserve"> Section 136B </w:t>
      </w:r>
      <w:r w:rsidRPr="00217020">
        <w:rPr>
          <w:i/>
          <w:iCs/>
        </w:rPr>
        <w:t>Electoral Act 1992</w:t>
      </w:r>
      <w:r>
        <w:t>.</w:t>
      </w:r>
    </w:p>
  </w:footnote>
  <w:footnote w:id="47">
    <w:p w14:paraId="7A590BDD" w14:textId="2E8572BF" w:rsidR="003768CC" w:rsidRDefault="003768CC">
      <w:pPr>
        <w:pStyle w:val="FootnoteText"/>
      </w:pPr>
      <w:r>
        <w:rPr>
          <w:rStyle w:val="FootnoteReference"/>
        </w:rPr>
        <w:footnoteRef/>
      </w:r>
      <w:r>
        <w:t xml:space="preserve"> </w:t>
      </w:r>
      <w:r w:rsidRPr="00217020">
        <w:rPr>
          <w:i/>
          <w:iCs/>
        </w:rPr>
        <w:t>COVID-19 Emergency Response Legislation Amendment Act 2020 (No 2)</w:t>
      </w:r>
      <w:r>
        <w:t xml:space="preserve">, </w:t>
      </w:r>
      <w:hyperlink r:id="rId14" w:history="1">
        <w:r w:rsidRPr="00312212">
          <w:rPr>
            <w:rStyle w:val="Hyperlink"/>
          </w:rPr>
          <w:t>https://www.legislation.act.gov.au/a/2020-27/</w:t>
        </w:r>
      </w:hyperlink>
    </w:p>
  </w:footnote>
  <w:footnote w:id="48">
    <w:p w14:paraId="54DD5645" w14:textId="530FC63D" w:rsidR="003768CC" w:rsidRDefault="003768CC">
      <w:pPr>
        <w:pStyle w:val="FootnoteText"/>
      </w:pPr>
      <w:r>
        <w:rPr>
          <w:rStyle w:val="FootnoteReference"/>
        </w:rPr>
        <w:footnoteRef/>
      </w:r>
      <w:r>
        <w:t xml:space="preserve"> Explanatory Statement to COVID Emergency Response Legislation Amendment Bill 2020 (No 2), </w:t>
      </w:r>
      <w:hyperlink r:id="rId15" w:history="1">
        <w:r w:rsidRPr="00312212">
          <w:rPr>
            <w:rStyle w:val="Hyperlink"/>
          </w:rPr>
          <w:t>https://www.legislation.act.gov.au/View/es/db_62513/20200618-74283/PDF/db_62513.PDF</w:t>
        </w:r>
      </w:hyperlink>
      <w:r>
        <w:t xml:space="preserve"> </w:t>
      </w:r>
    </w:p>
  </w:footnote>
  <w:footnote w:id="49">
    <w:p w14:paraId="23504A29" w14:textId="6CA94B8F" w:rsidR="003768CC" w:rsidRDefault="003768CC">
      <w:pPr>
        <w:pStyle w:val="FootnoteText"/>
      </w:pPr>
      <w:r>
        <w:rPr>
          <w:rStyle w:val="FootnoteReference"/>
        </w:rPr>
        <w:footnoteRef/>
      </w:r>
      <w:r>
        <w:t xml:space="preserve"> Submission 8, ACT Electoral Commission, p. 34.</w:t>
      </w:r>
    </w:p>
  </w:footnote>
  <w:footnote w:id="50">
    <w:p w14:paraId="4B0E611C" w14:textId="2680C09F" w:rsidR="003768CC" w:rsidRDefault="003768CC" w:rsidP="001871AB">
      <w:pPr>
        <w:pStyle w:val="FootnoteText"/>
      </w:pPr>
      <w:r>
        <w:rPr>
          <w:rStyle w:val="FootnoteReference"/>
        </w:rPr>
        <w:footnoteRef/>
      </w:r>
      <w:r>
        <w:t xml:space="preserve"> Submission 8, ACT Electoral Commission, p. 33.</w:t>
      </w:r>
    </w:p>
  </w:footnote>
  <w:footnote w:id="51">
    <w:p w14:paraId="01B051A2" w14:textId="130C2201" w:rsidR="003768CC" w:rsidRDefault="003768CC" w:rsidP="001871AB">
      <w:pPr>
        <w:pStyle w:val="FootnoteText"/>
      </w:pPr>
      <w:r>
        <w:rPr>
          <w:rStyle w:val="FootnoteReference"/>
        </w:rPr>
        <w:footnoteRef/>
      </w:r>
      <w:r>
        <w:t xml:space="preserve"> Submission 8, ACT Electoral Commission, p. 34.</w:t>
      </w:r>
    </w:p>
  </w:footnote>
  <w:footnote w:id="52">
    <w:p w14:paraId="03317D59" w14:textId="4A4E0CFE" w:rsidR="003768CC" w:rsidRDefault="003768CC">
      <w:pPr>
        <w:pStyle w:val="FootnoteText"/>
      </w:pPr>
      <w:r>
        <w:rPr>
          <w:rStyle w:val="FootnoteReference"/>
        </w:rPr>
        <w:footnoteRef/>
      </w:r>
      <w:r>
        <w:t xml:space="preserve"> </w:t>
      </w:r>
      <w:hyperlink r:id="rId16" w:history="1">
        <w:r w:rsidRPr="00E36677">
          <w:rPr>
            <w:rStyle w:val="Hyperlink"/>
          </w:rPr>
          <w:t>https://www.parliament.act.gov.au/__data/assets/pdf_file/0004/1754491/Submission-008-ACT-Electoral-Commission.pdf</w:t>
        </w:r>
      </w:hyperlink>
      <w:r>
        <w:t xml:space="preserve"> </w:t>
      </w:r>
    </w:p>
  </w:footnote>
  <w:footnote w:id="53">
    <w:p w14:paraId="39809F65" w14:textId="2C6103D4" w:rsidR="003768CC" w:rsidRDefault="003768CC">
      <w:pPr>
        <w:pStyle w:val="FootnoteText"/>
      </w:pPr>
      <w:r>
        <w:rPr>
          <w:rStyle w:val="FootnoteReference"/>
        </w:rPr>
        <w:footnoteRef/>
      </w:r>
      <w:r>
        <w:t xml:space="preserve"> Submission 8, ACT Electoral Commission, p. 47.</w:t>
      </w:r>
    </w:p>
  </w:footnote>
  <w:footnote w:id="54">
    <w:p w14:paraId="282AE180" w14:textId="196239E7" w:rsidR="003768CC" w:rsidRDefault="003768CC">
      <w:pPr>
        <w:pStyle w:val="FootnoteText"/>
      </w:pPr>
      <w:r>
        <w:rPr>
          <w:rStyle w:val="FootnoteReference"/>
        </w:rPr>
        <w:footnoteRef/>
      </w:r>
      <w:r>
        <w:t xml:space="preserve"> Submission 8, ACT Electoral Commission, p. 48.</w:t>
      </w:r>
    </w:p>
  </w:footnote>
  <w:footnote w:id="55">
    <w:p w14:paraId="3F37E7B5" w14:textId="40AFA70E" w:rsidR="003768CC" w:rsidRDefault="003768CC">
      <w:pPr>
        <w:pStyle w:val="FootnoteText"/>
      </w:pPr>
      <w:r>
        <w:rPr>
          <w:rStyle w:val="FootnoteReference"/>
        </w:rPr>
        <w:footnoteRef/>
      </w:r>
      <w:r>
        <w:t xml:space="preserve"> Proof Transcript of Evidence, 26 May 2021</w:t>
      </w:r>
      <w:r w:rsidRPr="00100D47">
        <w:t>, p. 76</w:t>
      </w:r>
      <w:r>
        <w:t>.</w:t>
      </w:r>
    </w:p>
  </w:footnote>
  <w:footnote w:id="56">
    <w:p w14:paraId="2034F12F" w14:textId="6949A1B3" w:rsidR="003768CC" w:rsidRDefault="003768CC">
      <w:pPr>
        <w:pStyle w:val="FootnoteText"/>
      </w:pPr>
      <w:r>
        <w:rPr>
          <w:rStyle w:val="FootnoteReference"/>
        </w:rPr>
        <w:footnoteRef/>
      </w:r>
      <w:r>
        <w:t xml:space="preserve"> Submission 10, Canberra Liberals. </w:t>
      </w:r>
    </w:p>
  </w:footnote>
  <w:footnote w:id="57">
    <w:p w14:paraId="6B1C270D" w14:textId="2276E08D" w:rsidR="003768CC" w:rsidRDefault="003768CC">
      <w:pPr>
        <w:pStyle w:val="FootnoteText"/>
      </w:pPr>
      <w:r>
        <w:rPr>
          <w:rStyle w:val="FootnoteReference"/>
        </w:rPr>
        <w:footnoteRef/>
      </w:r>
      <w:r>
        <w:t xml:space="preserve"> Submission 15, Caroline Le Couteur.</w:t>
      </w:r>
    </w:p>
  </w:footnote>
  <w:footnote w:id="58">
    <w:p w14:paraId="63F8B4D8" w14:textId="5504DAE3" w:rsidR="003768CC" w:rsidRDefault="003768CC" w:rsidP="009B44C0">
      <w:pPr>
        <w:pStyle w:val="FootnoteText"/>
      </w:pPr>
      <w:r>
        <w:rPr>
          <w:rStyle w:val="FootnoteReference"/>
        </w:rPr>
        <w:footnoteRef/>
      </w:r>
      <w:r>
        <w:t xml:space="preserve"> Submission 10, Canberra Liberals.</w:t>
      </w:r>
    </w:p>
  </w:footnote>
  <w:footnote w:id="59">
    <w:p w14:paraId="573E9DA8" w14:textId="06C98B64" w:rsidR="003768CC" w:rsidRDefault="003768CC" w:rsidP="009B44C0">
      <w:pPr>
        <w:pStyle w:val="FootnoteText"/>
      </w:pPr>
      <w:r>
        <w:rPr>
          <w:rStyle w:val="FootnoteReference"/>
        </w:rPr>
        <w:footnoteRef/>
      </w:r>
      <w:r>
        <w:t xml:space="preserve"> Submission 24, </w:t>
      </w:r>
      <w:r w:rsidRPr="00F32111">
        <w:t>Canberra Progressives</w:t>
      </w:r>
      <w:r>
        <w:t>,</w:t>
      </w:r>
      <w:r w:rsidRPr="00F32111">
        <w:t xml:space="preserve"> p. 3</w:t>
      </w:r>
      <w:r>
        <w:t>.</w:t>
      </w:r>
    </w:p>
  </w:footnote>
  <w:footnote w:id="60">
    <w:p w14:paraId="7403DD9A" w14:textId="1CEA70F5" w:rsidR="003768CC" w:rsidRDefault="003768CC">
      <w:pPr>
        <w:pStyle w:val="FootnoteText"/>
      </w:pPr>
      <w:r>
        <w:rPr>
          <w:rStyle w:val="FootnoteReference"/>
        </w:rPr>
        <w:footnoteRef/>
      </w:r>
      <w:r>
        <w:t xml:space="preserve"> Submission 15, Caroline Le Couteur.</w:t>
      </w:r>
    </w:p>
  </w:footnote>
  <w:footnote w:id="61">
    <w:p w14:paraId="5113EC5A" w14:textId="2396D488" w:rsidR="003768CC" w:rsidRDefault="003768CC">
      <w:pPr>
        <w:pStyle w:val="FootnoteText"/>
      </w:pPr>
      <w:r>
        <w:rPr>
          <w:rStyle w:val="FootnoteReference"/>
        </w:rPr>
        <w:footnoteRef/>
      </w:r>
      <w:r>
        <w:t xml:space="preserve"> Proof Transcript of Evidence, 26 May 2021</w:t>
      </w:r>
      <w:r w:rsidRPr="00100D47">
        <w:t xml:space="preserve">, </w:t>
      </w:r>
      <w:r>
        <w:t>p. 76.</w:t>
      </w:r>
    </w:p>
  </w:footnote>
  <w:footnote w:id="62">
    <w:p w14:paraId="3F23514C" w14:textId="041E77CA" w:rsidR="003768CC" w:rsidRDefault="003768CC">
      <w:pPr>
        <w:pStyle w:val="FootnoteText"/>
      </w:pPr>
      <w:r>
        <w:rPr>
          <w:rStyle w:val="FootnoteReference"/>
        </w:rPr>
        <w:footnoteRef/>
      </w:r>
      <w:r>
        <w:t xml:space="preserve"> Submission 28, </w:t>
      </w:r>
      <w:proofErr w:type="spellStart"/>
      <w:r>
        <w:t>Belco</w:t>
      </w:r>
      <w:proofErr w:type="spellEnd"/>
      <w:r>
        <w:t xml:space="preserve"> Party. </w:t>
      </w:r>
    </w:p>
  </w:footnote>
  <w:footnote w:id="63">
    <w:p w14:paraId="53B55790" w14:textId="7F2F7E25" w:rsidR="003768CC" w:rsidRDefault="003768CC">
      <w:pPr>
        <w:pStyle w:val="FootnoteText"/>
      </w:pPr>
      <w:r>
        <w:rPr>
          <w:rStyle w:val="FootnoteReference"/>
        </w:rPr>
        <w:footnoteRef/>
      </w:r>
      <w:r>
        <w:t xml:space="preserve"> Submission 8, ACT Electoral Commission, p. 48.</w:t>
      </w:r>
    </w:p>
  </w:footnote>
  <w:footnote w:id="64">
    <w:p w14:paraId="17242586" w14:textId="686B7B42" w:rsidR="003768CC" w:rsidRDefault="003768CC" w:rsidP="0033475A">
      <w:pPr>
        <w:pStyle w:val="FootnoteText"/>
      </w:pPr>
      <w:r>
        <w:rPr>
          <w:rStyle w:val="FootnoteReference"/>
        </w:rPr>
        <w:footnoteRef/>
      </w:r>
      <w:r>
        <w:t xml:space="preserve"> ACT Auditor General Report No. 2 of 2017, 2016 ACT Election, recommendation 3, </w:t>
      </w:r>
      <w:hyperlink r:id="rId17" w:history="1">
        <w:r w:rsidRPr="00312212">
          <w:rPr>
            <w:rStyle w:val="Hyperlink"/>
          </w:rPr>
          <w:t>https://www.audit.act.gov.au/__data/assets/pdf_file/0015/1180005/Report-No-2-of-2017-2016-ACT-Election.pdf</w:t>
        </w:r>
      </w:hyperlink>
      <w:r>
        <w:t xml:space="preserve"> </w:t>
      </w:r>
    </w:p>
  </w:footnote>
  <w:footnote w:id="65">
    <w:p w14:paraId="60C04D16" w14:textId="02033916" w:rsidR="003768CC" w:rsidRDefault="003768CC" w:rsidP="0033475A">
      <w:pPr>
        <w:pStyle w:val="FootnoteText"/>
      </w:pPr>
      <w:r>
        <w:rPr>
          <w:rStyle w:val="FootnoteReference"/>
        </w:rPr>
        <w:footnoteRef/>
      </w:r>
      <w:r>
        <w:t xml:space="preserve"> Legislative Assembly Select Committee on the 2016 Election and Electoral Act, recommendation 21, </w:t>
      </w:r>
      <w:hyperlink r:id="rId18" w:history="1">
        <w:r w:rsidRPr="00312212">
          <w:rPr>
            <w:rStyle w:val="Hyperlink"/>
          </w:rPr>
          <w:t>https://www.parliament.act.gov.au/__data/assets/pdf_file/0020/1133336/Select-Committee-on-the-2016-ACT-Election-and-Electoral-Act-Report.pdf</w:t>
        </w:r>
      </w:hyperlink>
      <w:r>
        <w:t xml:space="preserve">. </w:t>
      </w:r>
    </w:p>
  </w:footnote>
  <w:footnote w:id="66">
    <w:p w14:paraId="4C5A22CD" w14:textId="5ACB2438" w:rsidR="003768CC" w:rsidRDefault="003768CC" w:rsidP="0033475A">
      <w:pPr>
        <w:pStyle w:val="FootnoteText"/>
      </w:pPr>
      <w:r>
        <w:rPr>
          <w:rStyle w:val="FootnoteReference"/>
        </w:rPr>
        <w:footnoteRef/>
      </w:r>
      <w:r>
        <w:t xml:space="preserve"> Submission 8, ACT Electoral Commission.</w:t>
      </w:r>
    </w:p>
  </w:footnote>
  <w:footnote w:id="67">
    <w:p w14:paraId="699834DD" w14:textId="138C1F83" w:rsidR="003768CC" w:rsidRDefault="003768CC">
      <w:pPr>
        <w:pStyle w:val="FootnoteText"/>
      </w:pPr>
      <w:r>
        <w:rPr>
          <w:rStyle w:val="FootnoteReference"/>
        </w:rPr>
        <w:footnoteRef/>
      </w:r>
      <w:r>
        <w:t xml:space="preserve"> Submission 8, ACT Electoral Commission, p. 64.</w:t>
      </w:r>
    </w:p>
  </w:footnote>
  <w:footnote w:id="68">
    <w:p w14:paraId="728F6498" w14:textId="53ED5700" w:rsidR="003768CC" w:rsidRDefault="003768CC">
      <w:pPr>
        <w:pStyle w:val="FootnoteText"/>
      </w:pPr>
      <w:r>
        <w:rPr>
          <w:rStyle w:val="FootnoteReference"/>
        </w:rPr>
        <w:footnoteRef/>
      </w:r>
      <w:r>
        <w:t xml:space="preserve"> Submission 8, ACT Electoral Commission, p. 74.</w:t>
      </w:r>
    </w:p>
  </w:footnote>
  <w:footnote w:id="69">
    <w:p w14:paraId="11A14124" w14:textId="765ED6D7" w:rsidR="003768CC" w:rsidRDefault="003768CC" w:rsidP="000E02C3">
      <w:pPr>
        <w:pStyle w:val="FootnoteText"/>
      </w:pPr>
      <w:r>
        <w:rPr>
          <w:rStyle w:val="FootnoteReference"/>
        </w:rPr>
        <w:footnoteRef/>
      </w:r>
      <w:r>
        <w:t xml:space="preserve"> Proof Transcript of Evidence, 19 May 2021</w:t>
      </w:r>
      <w:r w:rsidRPr="00100D47">
        <w:t xml:space="preserve">, </w:t>
      </w:r>
      <w:r>
        <w:t>p. 6.</w:t>
      </w:r>
    </w:p>
  </w:footnote>
  <w:footnote w:id="70">
    <w:p w14:paraId="0424D7B4" w14:textId="6F6C7812" w:rsidR="003768CC" w:rsidRDefault="003768CC" w:rsidP="00827F91">
      <w:pPr>
        <w:pStyle w:val="FootnoteText"/>
      </w:pPr>
      <w:r>
        <w:rPr>
          <w:rStyle w:val="FootnoteReference"/>
        </w:rPr>
        <w:footnoteRef/>
      </w:r>
      <w:r>
        <w:t xml:space="preserve"> ACT Auditor General Report No. 2 of 2017, 2016 ACT Election, recommendation 4, </w:t>
      </w:r>
      <w:hyperlink r:id="rId19" w:history="1">
        <w:r w:rsidRPr="00312212">
          <w:rPr>
            <w:rStyle w:val="Hyperlink"/>
          </w:rPr>
          <w:t>https://www.audit.act.gov.au/__data/assets/pdf_file/0015/1180005/Report-No-2-of-2017-2016-ACT-Election.pdf</w:t>
        </w:r>
      </w:hyperlink>
    </w:p>
  </w:footnote>
  <w:footnote w:id="71">
    <w:p w14:paraId="693EA5F5" w14:textId="2469E986" w:rsidR="003768CC" w:rsidRDefault="003768CC">
      <w:pPr>
        <w:pStyle w:val="FootnoteText"/>
      </w:pPr>
      <w:r>
        <w:rPr>
          <w:rStyle w:val="FootnoteReference"/>
        </w:rPr>
        <w:footnoteRef/>
      </w:r>
      <w:r>
        <w:t xml:space="preserve"> Submission 3, </w:t>
      </w:r>
      <w:r w:rsidRPr="004C6467">
        <w:t>Vanessa Teague, Andrew Conway, Thomas Haines, T Wilson-Brown</w:t>
      </w:r>
      <w:r>
        <w:t xml:space="preserve">. </w:t>
      </w:r>
    </w:p>
  </w:footnote>
  <w:footnote w:id="72">
    <w:p w14:paraId="05DF043F" w14:textId="7A661BF3" w:rsidR="003768CC" w:rsidRDefault="003768CC">
      <w:pPr>
        <w:pStyle w:val="FootnoteText"/>
      </w:pPr>
      <w:r>
        <w:rPr>
          <w:rStyle w:val="FootnoteReference"/>
        </w:rPr>
        <w:footnoteRef/>
      </w:r>
      <w:r>
        <w:t xml:space="preserve"> Submission 8, ACT Electoral Commission, pp. 37-38.</w:t>
      </w:r>
    </w:p>
  </w:footnote>
  <w:footnote w:id="73">
    <w:p w14:paraId="01B2FA60" w14:textId="4CEC0AB6" w:rsidR="003768CC" w:rsidRDefault="003768CC">
      <w:pPr>
        <w:pStyle w:val="FootnoteText"/>
      </w:pPr>
      <w:r>
        <w:rPr>
          <w:rStyle w:val="FootnoteReference"/>
        </w:rPr>
        <w:footnoteRef/>
      </w:r>
      <w:r>
        <w:t xml:space="preserve"> Submission 8, ACT Electoral Commission, p. 58.</w:t>
      </w:r>
    </w:p>
  </w:footnote>
  <w:footnote w:id="74">
    <w:p w14:paraId="0A959354" w14:textId="0D11D924" w:rsidR="003768CC" w:rsidRDefault="003768CC">
      <w:pPr>
        <w:pStyle w:val="FootnoteText"/>
      </w:pPr>
      <w:r>
        <w:rPr>
          <w:rStyle w:val="FootnoteReference"/>
        </w:rPr>
        <w:footnoteRef/>
      </w:r>
      <w:r>
        <w:t xml:space="preserve"> Submission 16, Andrew Donnellan.</w:t>
      </w:r>
    </w:p>
  </w:footnote>
  <w:footnote w:id="75">
    <w:p w14:paraId="2256AB1B" w14:textId="005857C2" w:rsidR="003768CC" w:rsidRDefault="003768CC">
      <w:pPr>
        <w:pStyle w:val="FootnoteText"/>
      </w:pPr>
      <w:r>
        <w:rPr>
          <w:rStyle w:val="FootnoteReference"/>
        </w:rPr>
        <w:footnoteRef/>
      </w:r>
      <w:r>
        <w:t xml:space="preserve"> Electoral Commission, additional information submitted after hearing, available at </w:t>
      </w:r>
      <w:hyperlink r:id="rId20" w:anchor="tab1695217-7id" w:history="1">
        <w:r w:rsidRPr="00312212">
          <w:rPr>
            <w:rStyle w:val="Hyperlink"/>
          </w:rPr>
          <w:t>https://www.parliament.act.gov.au/parliamentary-business/in-committees/committees/jcs/inquiry-into-2020-act-election-and-the-electoral-act#tab1695217-7id</w:t>
        </w:r>
      </w:hyperlink>
      <w:r>
        <w:t xml:space="preserve">. </w:t>
      </w:r>
    </w:p>
  </w:footnote>
  <w:footnote w:id="76">
    <w:p w14:paraId="18E5BB57" w14:textId="1147259D" w:rsidR="003768CC" w:rsidRDefault="003768CC">
      <w:pPr>
        <w:pStyle w:val="FootnoteText"/>
      </w:pPr>
      <w:r>
        <w:rPr>
          <w:rStyle w:val="FootnoteReference"/>
        </w:rPr>
        <w:footnoteRef/>
      </w:r>
      <w:r>
        <w:t xml:space="preserve"> Electoral Commission, additional information submitted after hearing, available at </w:t>
      </w:r>
      <w:hyperlink r:id="rId21" w:anchor="tab1695217-7id" w:history="1">
        <w:r w:rsidRPr="00312212">
          <w:rPr>
            <w:rStyle w:val="Hyperlink"/>
          </w:rPr>
          <w:t>https://www.parliament.act.gov.au/parliamentary-business/in-committees/committees/jcs/inquiry-into-2020-act-election-and-the-electoral-act#tab1695217-7id</w:t>
        </w:r>
      </w:hyperlink>
      <w:r>
        <w:t>.</w:t>
      </w:r>
    </w:p>
  </w:footnote>
  <w:footnote w:id="77">
    <w:p w14:paraId="124D504E" w14:textId="64318DCD" w:rsidR="003768CC" w:rsidRDefault="003768CC">
      <w:pPr>
        <w:pStyle w:val="FootnoteText"/>
      </w:pPr>
      <w:r>
        <w:rPr>
          <w:rStyle w:val="FootnoteReference"/>
        </w:rPr>
        <w:footnoteRef/>
      </w:r>
      <w:r>
        <w:t xml:space="preserve"> Submission 20, </w:t>
      </w:r>
      <w:r w:rsidRPr="004C6467">
        <w:t>Vanessa Teague, Andrew Conway, Thomas Haines, T Wilson-Brown</w:t>
      </w:r>
      <w:r>
        <w:t>, pp. 5-6.</w:t>
      </w:r>
    </w:p>
  </w:footnote>
  <w:footnote w:id="78">
    <w:p w14:paraId="77C6917D" w14:textId="7E153F7F" w:rsidR="003768CC" w:rsidRDefault="003768CC">
      <w:pPr>
        <w:pStyle w:val="FootnoteText"/>
      </w:pPr>
      <w:r>
        <w:rPr>
          <w:rStyle w:val="FootnoteReference"/>
        </w:rPr>
        <w:footnoteRef/>
      </w:r>
      <w:r>
        <w:t xml:space="preserve"> Submission 20, </w:t>
      </w:r>
      <w:r w:rsidRPr="004C6467">
        <w:t>Vanessa Teague, Andrew Conway, Thomas Haines, T Wilson-Brown</w:t>
      </w:r>
      <w:r>
        <w:t>, p. 3.</w:t>
      </w:r>
    </w:p>
  </w:footnote>
  <w:footnote w:id="79">
    <w:p w14:paraId="65EEA075" w14:textId="50C85E92" w:rsidR="003768CC" w:rsidRDefault="003768CC">
      <w:pPr>
        <w:pStyle w:val="FootnoteText"/>
      </w:pPr>
      <w:r>
        <w:rPr>
          <w:rStyle w:val="FootnoteReference"/>
        </w:rPr>
        <w:footnoteRef/>
      </w:r>
      <w:r>
        <w:t xml:space="preserve"> Proof Transcript of Evidence, 19 May 2021</w:t>
      </w:r>
      <w:r w:rsidRPr="00100D47">
        <w:t xml:space="preserve">, </w:t>
      </w:r>
      <w:r>
        <w:t>p. 37.</w:t>
      </w:r>
    </w:p>
  </w:footnote>
  <w:footnote w:id="80">
    <w:p w14:paraId="695CA114" w14:textId="2DE1DF8F" w:rsidR="003768CC" w:rsidRDefault="003768CC">
      <w:pPr>
        <w:pStyle w:val="FootnoteText"/>
      </w:pPr>
      <w:r>
        <w:rPr>
          <w:rStyle w:val="FootnoteReference"/>
        </w:rPr>
        <w:footnoteRef/>
      </w:r>
      <w:r>
        <w:t xml:space="preserve"> Submission 23, ACT Greens, p. 11.</w:t>
      </w:r>
    </w:p>
  </w:footnote>
  <w:footnote w:id="81">
    <w:p w14:paraId="5FD1EE92" w14:textId="7ED5B55F" w:rsidR="003768CC" w:rsidRDefault="003768CC" w:rsidP="00D858A6">
      <w:pPr>
        <w:pStyle w:val="FootnoteText"/>
      </w:pPr>
      <w:r>
        <w:rPr>
          <w:rStyle w:val="FootnoteReference"/>
        </w:rPr>
        <w:footnoteRef/>
      </w:r>
      <w:r>
        <w:t xml:space="preserve"> Submission 17, Rajeev Gore.</w:t>
      </w:r>
    </w:p>
  </w:footnote>
  <w:footnote w:id="82">
    <w:p w14:paraId="13BA53A6" w14:textId="5CA83306" w:rsidR="003768CC" w:rsidRDefault="003768CC" w:rsidP="00D858A6">
      <w:pPr>
        <w:pStyle w:val="FootnoteText"/>
      </w:pPr>
      <w:r>
        <w:rPr>
          <w:rStyle w:val="FootnoteReference"/>
        </w:rPr>
        <w:footnoteRef/>
      </w:r>
      <w:r>
        <w:t xml:space="preserve"> Submission 3, </w:t>
      </w:r>
      <w:r w:rsidRPr="004C6467">
        <w:t>Vanessa Teague, Andrew Conway, Thomas Haines, T Wilson-Brown</w:t>
      </w:r>
      <w:r>
        <w:t>.</w:t>
      </w:r>
    </w:p>
  </w:footnote>
  <w:footnote w:id="83">
    <w:p w14:paraId="0C1173A2" w14:textId="6AE89D1E" w:rsidR="003768CC" w:rsidRDefault="003768CC">
      <w:pPr>
        <w:pStyle w:val="FootnoteText"/>
      </w:pPr>
      <w:r>
        <w:rPr>
          <w:rStyle w:val="FootnoteReference"/>
        </w:rPr>
        <w:footnoteRef/>
      </w:r>
      <w:r>
        <w:t xml:space="preserve"> COVID Emergency Response Legislation Amendment Act (No 2).</w:t>
      </w:r>
    </w:p>
  </w:footnote>
  <w:footnote w:id="84">
    <w:p w14:paraId="7B713982" w14:textId="05584F7E" w:rsidR="003768CC" w:rsidRDefault="003768CC">
      <w:pPr>
        <w:pStyle w:val="FootnoteText"/>
      </w:pPr>
      <w:r>
        <w:rPr>
          <w:rStyle w:val="FootnoteReference"/>
        </w:rPr>
        <w:footnoteRef/>
      </w:r>
      <w:r>
        <w:t xml:space="preserve"> Explanatory Statement to COVID Emergency Response Legislation Amendment Act (No 2), </w:t>
      </w:r>
      <w:hyperlink r:id="rId22" w:history="1">
        <w:r w:rsidRPr="00312212">
          <w:rPr>
            <w:rStyle w:val="Hyperlink"/>
          </w:rPr>
          <w:t>https://www.legislation.act.gov.au/View/es/db_62513/20200618-74283/PDF/db_62513.PDF</w:t>
        </w:r>
      </w:hyperlink>
      <w:r>
        <w:t xml:space="preserve"> </w:t>
      </w:r>
    </w:p>
  </w:footnote>
  <w:footnote w:id="85">
    <w:p w14:paraId="0EAB1D41" w14:textId="7BCFD96C" w:rsidR="003768CC" w:rsidRDefault="003768CC">
      <w:pPr>
        <w:pStyle w:val="FootnoteText"/>
      </w:pPr>
      <w:r>
        <w:rPr>
          <w:rStyle w:val="FootnoteReference"/>
        </w:rPr>
        <w:footnoteRef/>
      </w:r>
      <w:r>
        <w:t xml:space="preserve"> Submission 8, ACT Electoral Commission, p. 42.</w:t>
      </w:r>
    </w:p>
  </w:footnote>
  <w:footnote w:id="86">
    <w:p w14:paraId="7AE277AA" w14:textId="5D160544" w:rsidR="003768CC" w:rsidRDefault="003768CC">
      <w:pPr>
        <w:pStyle w:val="FootnoteText"/>
      </w:pPr>
      <w:r>
        <w:rPr>
          <w:rStyle w:val="FootnoteReference"/>
        </w:rPr>
        <w:footnoteRef/>
      </w:r>
      <w:r>
        <w:t xml:space="preserve"> Submission 8, ACT Electoral Commission, p. 43.</w:t>
      </w:r>
    </w:p>
  </w:footnote>
  <w:footnote w:id="87">
    <w:p w14:paraId="09875898" w14:textId="38EFBF48" w:rsidR="003768CC" w:rsidRDefault="003768CC">
      <w:pPr>
        <w:pStyle w:val="FootnoteText"/>
      </w:pPr>
      <w:r>
        <w:rPr>
          <w:rStyle w:val="FootnoteReference"/>
        </w:rPr>
        <w:footnoteRef/>
      </w:r>
      <w:r>
        <w:t xml:space="preserve"> Submission 8, ACT Electoral Commission, p. 43.</w:t>
      </w:r>
    </w:p>
  </w:footnote>
  <w:footnote w:id="88">
    <w:p w14:paraId="2319B3E3" w14:textId="16D3B265" w:rsidR="003768CC" w:rsidRDefault="003768CC">
      <w:pPr>
        <w:pStyle w:val="FootnoteText"/>
      </w:pPr>
      <w:r>
        <w:rPr>
          <w:rStyle w:val="FootnoteReference"/>
        </w:rPr>
        <w:footnoteRef/>
      </w:r>
      <w:r>
        <w:t xml:space="preserve"> Submission 8, ACT Electoral Commission</w:t>
      </w:r>
      <w:r w:rsidRPr="004C6467">
        <w:t xml:space="preserve">, recommendation 11; Submission 11, ACT Government; Submission 19, ACT </w:t>
      </w:r>
      <w:proofErr w:type="spellStart"/>
      <w:r w:rsidRPr="004C6467">
        <w:t>Labor</w:t>
      </w:r>
      <w:proofErr w:type="spellEnd"/>
      <w:r w:rsidRPr="004C6467">
        <w:t>, Submission 23 ACT Greens.</w:t>
      </w:r>
    </w:p>
  </w:footnote>
  <w:footnote w:id="89">
    <w:p w14:paraId="5A86179E" w14:textId="77777777" w:rsidR="003768CC" w:rsidRDefault="003768CC" w:rsidP="007C36F5">
      <w:pPr>
        <w:pStyle w:val="FootnoteText"/>
      </w:pPr>
      <w:r>
        <w:rPr>
          <w:rStyle w:val="FootnoteReference"/>
        </w:rPr>
        <w:footnoteRef/>
      </w:r>
      <w:r>
        <w:t xml:space="preserve"> Submission 8, ACT Electoral Commission, p. 81.</w:t>
      </w:r>
    </w:p>
  </w:footnote>
  <w:footnote w:id="90">
    <w:p w14:paraId="6544E9F4" w14:textId="77777777" w:rsidR="003768CC" w:rsidRDefault="003768CC" w:rsidP="007C36F5">
      <w:pPr>
        <w:pStyle w:val="FootnoteText"/>
        <w:tabs>
          <w:tab w:val="left" w:pos="2112"/>
        </w:tabs>
      </w:pPr>
      <w:r>
        <w:rPr>
          <w:rStyle w:val="FootnoteReference"/>
        </w:rPr>
        <w:footnoteRef/>
      </w:r>
      <w:r>
        <w:t xml:space="preserve"> Proof Transcript of Evidence, 19 May 2021</w:t>
      </w:r>
      <w:r w:rsidRPr="00100D47">
        <w:t xml:space="preserve">, </w:t>
      </w:r>
      <w:r>
        <w:t>p. 4.</w:t>
      </w:r>
    </w:p>
  </w:footnote>
  <w:footnote w:id="91">
    <w:p w14:paraId="6AE5C028" w14:textId="194C79CC" w:rsidR="003768CC" w:rsidRDefault="003768CC" w:rsidP="00827F91">
      <w:pPr>
        <w:pStyle w:val="FootnoteText"/>
      </w:pPr>
      <w:r>
        <w:rPr>
          <w:rStyle w:val="FootnoteReference"/>
        </w:rPr>
        <w:footnoteRef/>
      </w:r>
      <w:r>
        <w:t xml:space="preserve"> Submission 3, </w:t>
      </w:r>
      <w:r w:rsidRPr="00641E43">
        <w:t>Vanessa Teague, Andrew Conway, Thomas Haines, T Wilson-Brown</w:t>
      </w:r>
      <w:r>
        <w:t>.</w:t>
      </w:r>
    </w:p>
  </w:footnote>
  <w:footnote w:id="92">
    <w:p w14:paraId="4F1BBC6C" w14:textId="404ECB4F" w:rsidR="003768CC" w:rsidRDefault="003768CC">
      <w:pPr>
        <w:pStyle w:val="FootnoteText"/>
      </w:pPr>
      <w:r>
        <w:rPr>
          <w:rStyle w:val="FootnoteReference"/>
        </w:rPr>
        <w:footnoteRef/>
      </w:r>
      <w:r>
        <w:t xml:space="preserve"> Submission 20, p. 3.</w:t>
      </w:r>
    </w:p>
  </w:footnote>
  <w:footnote w:id="93">
    <w:p w14:paraId="6D4912E9" w14:textId="470BE981" w:rsidR="003768CC" w:rsidRDefault="003768CC">
      <w:pPr>
        <w:pStyle w:val="FootnoteText"/>
      </w:pPr>
      <w:r>
        <w:rPr>
          <w:rStyle w:val="FootnoteReference"/>
        </w:rPr>
        <w:footnoteRef/>
      </w:r>
      <w:r>
        <w:t xml:space="preserve"> Submission 20, p. 4.</w:t>
      </w:r>
    </w:p>
  </w:footnote>
  <w:footnote w:id="94">
    <w:p w14:paraId="2FBA6A13" w14:textId="4C0A1A53" w:rsidR="003768CC" w:rsidRDefault="003768CC">
      <w:pPr>
        <w:pStyle w:val="FootnoteText"/>
      </w:pPr>
      <w:r>
        <w:rPr>
          <w:rStyle w:val="FootnoteReference"/>
        </w:rPr>
        <w:footnoteRef/>
      </w:r>
      <w:r>
        <w:t xml:space="preserve"> Submission 23, ACT Greens. </w:t>
      </w:r>
    </w:p>
  </w:footnote>
  <w:footnote w:id="95">
    <w:p w14:paraId="5ED653CB" w14:textId="52223141" w:rsidR="003768CC" w:rsidRDefault="003768CC" w:rsidP="00B52235">
      <w:pPr>
        <w:pStyle w:val="FootnoteText"/>
      </w:pPr>
      <w:r>
        <w:rPr>
          <w:rStyle w:val="FootnoteReference"/>
        </w:rPr>
        <w:footnoteRef/>
      </w:r>
      <w:r>
        <w:t xml:space="preserve"> Proof Transcript of Evidence, 19 May 2021</w:t>
      </w:r>
      <w:r w:rsidRPr="00100D47">
        <w:t xml:space="preserve">, </w:t>
      </w:r>
      <w:r>
        <w:t>p. 7.</w:t>
      </w:r>
    </w:p>
  </w:footnote>
  <w:footnote w:id="96">
    <w:p w14:paraId="355567BA" w14:textId="02ED19F3" w:rsidR="003768CC" w:rsidRDefault="003768CC">
      <w:pPr>
        <w:pStyle w:val="FootnoteText"/>
      </w:pPr>
      <w:r>
        <w:rPr>
          <w:rStyle w:val="FootnoteReference"/>
        </w:rPr>
        <w:footnoteRef/>
      </w:r>
      <w:r>
        <w:t xml:space="preserve"> Proof Transcript of Evidence, 19 May 2021</w:t>
      </w:r>
      <w:r w:rsidRPr="00100D47">
        <w:t xml:space="preserve">, </w:t>
      </w:r>
      <w:r>
        <w:t>pp. 6-7.</w:t>
      </w:r>
    </w:p>
  </w:footnote>
  <w:footnote w:id="97">
    <w:p w14:paraId="51D20763" w14:textId="3088D871" w:rsidR="003768CC" w:rsidRDefault="003768CC">
      <w:pPr>
        <w:pStyle w:val="FootnoteText"/>
      </w:pPr>
      <w:r>
        <w:rPr>
          <w:rStyle w:val="FootnoteReference"/>
        </w:rPr>
        <w:footnoteRef/>
      </w:r>
      <w:r>
        <w:t xml:space="preserve"> Submission 19, ACT </w:t>
      </w:r>
      <w:proofErr w:type="spellStart"/>
      <w:r>
        <w:t>Labor</w:t>
      </w:r>
      <w:proofErr w:type="spellEnd"/>
      <w:r>
        <w:t>.</w:t>
      </w:r>
    </w:p>
  </w:footnote>
  <w:footnote w:id="98">
    <w:p w14:paraId="3EBF93F6" w14:textId="38497E98" w:rsidR="003768CC" w:rsidRDefault="003768CC">
      <w:pPr>
        <w:pStyle w:val="FootnoteText"/>
      </w:pPr>
      <w:r>
        <w:rPr>
          <w:rStyle w:val="FootnoteReference"/>
        </w:rPr>
        <w:footnoteRef/>
      </w:r>
      <w:r>
        <w:t xml:space="preserve"> Submission 16, Andrew Donnellan, p. 3.</w:t>
      </w:r>
    </w:p>
  </w:footnote>
  <w:footnote w:id="99">
    <w:p w14:paraId="54225AB3" w14:textId="248C927C" w:rsidR="003768CC" w:rsidRDefault="003768CC">
      <w:pPr>
        <w:pStyle w:val="FootnoteText"/>
      </w:pPr>
      <w:r>
        <w:rPr>
          <w:rStyle w:val="FootnoteReference"/>
        </w:rPr>
        <w:footnoteRef/>
      </w:r>
      <w:r>
        <w:t xml:space="preserve"> Proof Transcript of Evidence, 19 May 2021</w:t>
      </w:r>
      <w:r w:rsidRPr="00100D47">
        <w:t xml:space="preserve">, </w:t>
      </w:r>
      <w:r>
        <w:t>p. 38; see also Proof Transcript of Evidence, 19 May 2021</w:t>
      </w:r>
      <w:r w:rsidRPr="00100D47">
        <w:t xml:space="preserve">, </w:t>
      </w:r>
      <w:r w:rsidRPr="009234E2">
        <w:t>p. 34</w:t>
      </w:r>
      <w:r>
        <w:t>.</w:t>
      </w:r>
    </w:p>
  </w:footnote>
  <w:footnote w:id="100">
    <w:p w14:paraId="6AC9FBA9" w14:textId="22B8BF0E" w:rsidR="003768CC" w:rsidRDefault="003768CC">
      <w:pPr>
        <w:pStyle w:val="FootnoteText"/>
      </w:pPr>
      <w:r>
        <w:rPr>
          <w:rStyle w:val="FootnoteReference"/>
        </w:rPr>
        <w:footnoteRef/>
      </w:r>
      <w:r>
        <w:t xml:space="preserve"> Proof Transcript of Evidence, 19 May 2021</w:t>
      </w:r>
      <w:r w:rsidRPr="00100D47">
        <w:t xml:space="preserve">, </w:t>
      </w:r>
      <w:r>
        <w:t>p. 38.</w:t>
      </w:r>
    </w:p>
  </w:footnote>
  <w:footnote w:id="101">
    <w:p w14:paraId="60AE3322" w14:textId="7A65A50E" w:rsidR="003768CC" w:rsidRDefault="003768CC">
      <w:pPr>
        <w:pStyle w:val="FootnoteText"/>
      </w:pPr>
      <w:r>
        <w:rPr>
          <w:rStyle w:val="FootnoteReference"/>
        </w:rPr>
        <w:footnoteRef/>
      </w:r>
      <w:r>
        <w:t xml:space="preserve"> Electoral Commission, additional information submitted after hearing, available at </w:t>
      </w:r>
      <w:hyperlink r:id="rId23" w:anchor="tab1695217-7id" w:history="1">
        <w:r w:rsidRPr="00312212">
          <w:rPr>
            <w:rStyle w:val="Hyperlink"/>
          </w:rPr>
          <w:t>https://www.parliament.act.gov.au/parliamentary-business/in-committees/committees/jcs/inquiry-into-2020-act-election-and-the-electoral-act#tab1695217-7id</w:t>
        </w:r>
      </w:hyperlink>
      <w:r>
        <w:t>.</w:t>
      </w:r>
    </w:p>
  </w:footnote>
  <w:footnote w:id="102">
    <w:p w14:paraId="74A5C824" w14:textId="1755AFCC" w:rsidR="003768CC" w:rsidRDefault="003768CC">
      <w:pPr>
        <w:pStyle w:val="FootnoteText"/>
      </w:pPr>
      <w:r>
        <w:rPr>
          <w:rStyle w:val="FootnoteReference"/>
        </w:rPr>
        <w:footnoteRef/>
      </w:r>
      <w:r>
        <w:t xml:space="preserve"> T Wilson-Brown, answer to Question Taken on Notice. </w:t>
      </w:r>
    </w:p>
  </w:footnote>
  <w:footnote w:id="103">
    <w:p w14:paraId="19AFE8C7" w14:textId="5585A69E" w:rsidR="003768CC" w:rsidRDefault="003768CC">
      <w:pPr>
        <w:pStyle w:val="FootnoteText"/>
      </w:pPr>
      <w:r>
        <w:rPr>
          <w:rStyle w:val="FootnoteReference"/>
        </w:rPr>
        <w:footnoteRef/>
      </w:r>
      <w:r>
        <w:t xml:space="preserve"> Proof Transcript of Evidence, 19 May 2021</w:t>
      </w:r>
      <w:r w:rsidRPr="00100D47">
        <w:t xml:space="preserve">, </w:t>
      </w:r>
      <w:r>
        <w:t>p. 37.</w:t>
      </w:r>
    </w:p>
  </w:footnote>
  <w:footnote w:id="104">
    <w:p w14:paraId="0EA1A4AC" w14:textId="3830F83F" w:rsidR="003768CC" w:rsidRDefault="003768CC">
      <w:pPr>
        <w:pStyle w:val="FootnoteText"/>
      </w:pPr>
      <w:r>
        <w:rPr>
          <w:rStyle w:val="FootnoteReference"/>
        </w:rPr>
        <w:footnoteRef/>
      </w:r>
      <w:r>
        <w:t xml:space="preserve"> Vanessa Teague answer to Question Taken on Notice.</w:t>
      </w:r>
    </w:p>
  </w:footnote>
  <w:footnote w:id="105">
    <w:p w14:paraId="16503610" w14:textId="094513F7" w:rsidR="003768CC" w:rsidRDefault="003768CC">
      <w:pPr>
        <w:pStyle w:val="FootnoteText"/>
      </w:pPr>
      <w:r>
        <w:rPr>
          <w:rStyle w:val="FootnoteReference"/>
        </w:rPr>
        <w:footnoteRef/>
      </w:r>
      <w:r>
        <w:t xml:space="preserve"> T Wilson-Brown answer to Question Taken on Notice.</w:t>
      </w:r>
    </w:p>
  </w:footnote>
  <w:footnote w:id="106">
    <w:p w14:paraId="2B3D1103" w14:textId="26EF8E61" w:rsidR="003768CC" w:rsidRDefault="003768CC">
      <w:pPr>
        <w:pStyle w:val="FootnoteText"/>
      </w:pPr>
      <w:r>
        <w:rPr>
          <w:rStyle w:val="FootnoteReference"/>
        </w:rPr>
        <w:footnoteRef/>
      </w:r>
      <w:r>
        <w:t xml:space="preserve"> Proof Transcript of Evidence, 19 May 2021</w:t>
      </w:r>
      <w:r w:rsidRPr="00100D47">
        <w:t xml:space="preserve">, </w:t>
      </w:r>
      <w:r>
        <w:t>p. 8.</w:t>
      </w:r>
    </w:p>
  </w:footnote>
  <w:footnote w:id="107">
    <w:p w14:paraId="5C5EE46A" w14:textId="0E1728B7" w:rsidR="003768CC" w:rsidRDefault="003768CC">
      <w:pPr>
        <w:pStyle w:val="FootnoteText"/>
      </w:pPr>
      <w:r>
        <w:rPr>
          <w:rStyle w:val="FootnoteReference"/>
        </w:rPr>
        <w:footnoteRef/>
      </w:r>
      <w:r>
        <w:t xml:space="preserve"> Submission 8, ACT Electoral Commission, recommendation 3, p. 24.</w:t>
      </w:r>
    </w:p>
  </w:footnote>
  <w:footnote w:id="108">
    <w:p w14:paraId="1F989CE6" w14:textId="19AB3D17" w:rsidR="003768CC" w:rsidRDefault="003768CC">
      <w:pPr>
        <w:pStyle w:val="FootnoteText"/>
      </w:pPr>
      <w:r>
        <w:rPr>
          <w:rStyle w:val="FootnoteReference"/>
        </w:rPr>
        <w:footnoteRef/>
      </w:r>
      <w:r>
        <w:t xml:space="preserve"> Proof Transcript of Evidence, 19 May 2021</w:t>
      </w:r>
      <w:r w:rsidRPr="00100D47">
        <w:t xml:space="preserve">, </w:t>
      </w:r>
      <w:r>
        <w:t>p. 8.</w:t>
      </w:r>
    </w:p>
  </w:footnote>
  <w:footnote w:id="109">
    <w:p w14:paraId="25063FBC" w14:textId="5A3FCB7B" w:rsidR="003768CC" w:rsidRDefault="003768CC">
      <w:pPr>
        <w:pStyle w:val="FootnoteText"/>
      </w:pPr>
      <w:r>
        <w:rPr>
          <w:rStyle w:val="FootnoteReference"/>
        </w:rPr>
        <w:footnoteRef/>
      </w:r>
      <w:r>
        <w:t xml:space="preserve"> Section 93(2)(d) </w:t>
      </w:r>
      <w:r w:rsidRPr="00440A62">
        <w:rPr>
          <w:i/>
          <w:iCs/>
        </w:rPr>
        <w:t>Electoral Act 1992</w:t>
      </w:r>
      <w:r>
        <w:rPr>
          <w:i/>
          <w:iCs/>
        </w:rPr>
        <w:t>.</w:t>
      </w:r>
    </w:p>
  </w:footnote>
  <w:footnote w:id="110">
    <w:p w14:paraId="12B2D6D4" w14:textId="51C9A78C" w:rsidR="003768CC" w:rsidRDefault="003768CC">
      <w:pPr>
        <w:pStyle w:val="FootnoteText"/>
      </w:pPr>
      <w:r>
        <w:rPr>
          <w:rStyle w:val="FootnoteReference"/>
        </w:rPr>
        <w:footnoteRef/>
      </w:r>
      <w:r>
        <w:t xml:space="preserve"> Submission 19, ACT </w:t>
      </w:r>
      <w:proofErr w:type="spellStart"/>
      <w:r>
        <w:t>Labor</w:t>
      </w:r>
      <w:proofErr w:type="spellEnd"/>
      <w:r>
        <w:t>, p. 4.</w:t>
      </w:r>
    </w:p>
  </w:footnote>
  <w:footnote w:id="111">
    <w:p w14:paraId="0F2D0BF0" w14:textId="6F66D3EE" w:rsidR="003768CC" w:rsidRDefault="003768CC">
      <w:pPr>
        <w:pStyle w:val="FootnoteText"/>
      </w:pPr>
      <w:r>
        <w:rPr>
          <w:rStyle w:val="FootnoteReference"/>
        </w:rPr>
        <w:footnoteRef/>
      </w:r>
      <w:r>
        <w:t xml:space="preserve"> Proof Transcript of Evidence, 26 May 2021</w:t>
      </w:r>
      <w:r w:rsidRPr="00100D47">
        <w:t xml:space="preserve">, </w:t>
      </w:r>
      <w:r>
        <w:t>p. 62.</w:t>
      </w:r>
    </w:p>
  </w:footnote>
  <w:footnote w:id="112">
    <w:p w14:paraId="241A7BBA" w14:textId="5EF48C40" w:rsidR="003768CC" w:rsidRDefault="003768CC">
      <w:pPr>
        <w:pStyle w:val="FootnoteText"/>
      </w:pPr>
      <w:r>
        <w:rPr>
          <w:rStyle w:val="FootnoteReference"/>
        </w:rPr>
        <w:footnoteRef/>
      </w:r>
      <w:r>
        <w:t xml:space="preserve"> </w:t>
      </w:r>
      <w:proofErr w:type="spellStart"/>
      <w:r w:rsidRPr="00795D29">
        <w:t>Woollard</w:t>
      </w:r>
      <w:proofErr w:type="spellEnd"/>
      <w:r w:rsidRPr="00795D29">
        <w:t xml:space="preserve"> and Australian Electoral Commission and Liberal Party of Australia (WA Division) Inc</w:t>
      </w:r>
      <w:r>
        <w:t xml:space="preserve"> </w:t>
      </w:r>
      <w:r w:rsidRPr="00641E43">
        <w:t>[2001] AATA 166 (6 March 2001)</w:t>
      </w:r>
      <w:r>
        <w:t xml:space="preserve">, </w:t>
      </w:r>
      <w:hyperlink r:id="rId24" w:history="1">
        <w:r w:rsidRPr="00312212">
          <w:rPr>
            <w:rStyle w:val="Hyperlink"/>
          </w:rPr>
          <w:t>http://www8.austlii.edu.au/cgi-bin/viewdoc/au/cases/cth/AATA/2001/166.html?context=1;query=woollard;mask_path=au/cases/cth/AATA</w:t>
        </w:r>
      </w:hyperlink>
      <w:r>
        <w:t xml:space="preserve">, cited in AEC notice of party registration decision relating to The New Liberals, </w:t>
      </w:r>
      <w:hyperlink r:id="rId25" w:history="1">
        <w:r w:rsidRPr="00312212">
          <w:rPr>
            <w:rStyle w:val="Hyperlink"/>
          </w:rPr>
          <w:t>https://www.aec.gov.au/Parties_and_Representatives/Party_Registration/Registration_Decisions/2021/the-new-liberals-statement-of-reasons.pdf</w:t>
        </w:r>
      </w:hyperlink>
      <w:r>
        <w:rPr>
          <w:rStyle w:val="Hyperlink"/>
        </w:rPr>
        <w:t xml:space="preserve"> </w:t>
      </w:r>
    </w:p>
  </w:footnote>
  <w:footnote w:id="113">
    <w:p w14:paraId="1C5B3FA7" w14:textId="20EEB308" w:rsidR="003768CC" w:rsidRDefault="003768CC">
      <w:pPr>
        <w:pStyle w:val="FootnoteText"/>
      </w:pPr>
      <w:r>
        <w:rPr>
          <w:rStyle w:val="FootnoteReference"/>
        </w:rPr>
        <w:footnoteRef/>
      </w:r>
      <w:r>
        <w:t xml:space="preserve"> Section </w:t>
      </w:r>
      <w:r w:rsidRPr="00641E43">
        <w:t>62</w:t>
      </w:r>
      <w:proofErr w:type="gramStart"/>
      <w:r w:rsidRPr="00641E43">
        <w:t>J(</w:t>
      </w:r>
      <w:proofErr w:type="gramEnd"/>
      <w:r w:rsidRPr="00641E43">
        <w:t xml:space="preserve">2) </w:t>
      </w:r>
      <w:r w:rsidRPr="00641E43">
        <w:rPr>
          <w:i/>
          <w:iCs/>
        </w:rPr>
        <w:t>Electoral Act 1907</w:t>
      </w:r>
      <w:r w:rsidRPr="00641E43">
        <w:t xml:space="preserve"> (WA) </w:t>
      </w:r>
    </w:p>
  </w:footnote>
  <w:footnote w:id="114">
    <w:p w14:paraId="42913CA9" w14:textId="72A608E2" w:rsidR="003768CC" w:rsidRDefault="003768CC" w:rsidP="00795D29">
      <w:pPr>
        <w:pStyle w:val="FootnoteText"/>
      </w:pPr>
      <w:r>
        <w:rPr>
          <w:rStyle w:val="FootnoteReference"/>
        </w:rPr>
        <w:footnoteRef/>
      </w:r>
      <w:r>
        <w:t xml:space="preserve"> For example: Section 129(1)(d) </w:t>
      </w:r>
      <w:r w:rsidRPr="00641E43">
        <w:rPr>
          <w:i/>
          <w:iCs/>
        </w:rPr>
        <w:t>Commonwealth Electoral Act 1918</w:t>
      </w:r>
      <w:r>
        <w:t xml:space="preserve">, Section 64 </w:t>
      </w:r>
      <w:r w:rsidRPr="00641E43">
        <w:rPr>
          <w:i/>
          <w:iCs/>
        </w:rPr>
        <w:t>Electoral Act 2017</w:t>
      </w:r>
      <w:r>
        <w:t xml:space="preserve"> (NSW), </w:t>
      </w:r>
      <w:r w:rsidRPr="00641E43">
        <w:rPr>
          <w:i/>
          <w:iCs/>
        </w:rPr>
        <w:t>Section 47 Electoral Act 2002</w:t>
      </w:r>
      <w:r>
        <w:t xml:space="preserve"> (Vic).</w:t>
      </w:r>
    </w:p>
  </w:footnote>
  <w:footnote w:id="115">
    <w:p w14:paraId="5EA8D4A1" w14:textId="492AEB30" w:rsidR="003768CC" w:rsidRDefault="003768CC">
      <w:pPr>
        <w:pStyle w:val="FootnoteText"/>
      </w:pPr>
      <w:r>
        <w:rPr>
          <w:rStyle w:val="FootnoteReference"/>
        </w:rPr>
        <w:footnoteRef/>
      </w:r>
      <w:r>
        <w:t xml:space="preserve"> Submission 8, ACT Electoral Commission, recommendation 4, p. 25.</w:t>
      </w:r>
    </w:p>
  </w:footnote>
  <w:footnote w:id="116">
    <w:p w14:paraId="087E4721" w14:textId="425F09AA" w:rsidR="003768CC" w:rsidRDefault="003768CC">
      <w:pPr>
        <w:pStyle w:val="FootnoteText"/>
      </w:pPr>
      <w:r>
        <w:rPr>
          <w:rStyle w:val="FootnoteReference"/>
        </w:rPr>
        <w:footnoteRef/>
      </w:r>
      <w:r>
        <w:t xml:space="preserve"> Submission 8, ACT Electoral Commission, p. 25.</w:t>
      </w:r>
    </w:p>
  </w:footnote>
  <w:footnote w:id="117">
    <w:p w14:paraId="4D848819" w14:textId="61F35E5C" w:rsidR="003768CC" w:rsidRDefault="003768CC">
      <w:pPr>
        <w:pStyle w:val="FootnoteText"/>
      </w:pPr>
      <w:r>
        <w:rPr>
          <w:rStyle w:val="FootnoteReference"/>
        </w:rPr>
        <w:footnoteRef/>
      </w:r>
      <w:r>
        <w:t xml:space="preserve"> Submission 8, ACT Electoral Commission, recommendation 5, p. 26.</w:t>
      </w:r>
    </w:p>
  </w:footnote>
  <w:footnote w:id="118">
    <w:p w14:paraId="1E81DAA7" w14:textId="6F85C5F6" w:rsidR="003768CC" w:rsidRDefault="003768CC">
      <w:pPr>
        <w:pStyle w:val="FootnoteText"/>
      </w:pPr>
      <w:r>
        <w:rPr>
          <w:rStyle w:val="FootnoteReference"/>
        </w:rPr>
        <w:footnoteRef/>
      </w:r>
      <w:r>
        <w:t xml:space="preserve"> Submission 8, ACT Electoral Commission, p. 26.</w:t>
      </w:r>
    </w:p>
  </w:footnote>
  <w:footnote w:id="119">
    <w:p w14:paraId="46D09B40" w14:textId="04F34E2A" w:rsidR="003768CC" w:rsidRDefault="003768CC">
      <w:pPr>
        <w:pStyle w:val="FootnoteText"/>
      </w:pPr>
      <w:r>
        <w:rPr>
          <w:rStyle w:val="FootnoteReference"/>
        </w:rPr>
        <w:footnoteRef/>
      </w:r>
      <w:r>
        <w:t xml:space="preserve"> Submission 8, ACT Electoral Commission, p. 26.</w:t>
      </w:r>
    </w:p>
  </w:footnote>
  <w:footnote w:id="120">
    <w:p w14:paraId="34879B94" w14:textId="69C2719D" w:rsidR="003768CC" w:rsidRDefault="003768CC">
      <w:pPr>
        <w:pStyle w:val="FootnoteText"/>
      </w:pPr>
      <w:r>
        <w:rPr>
          <w:rStyle w:val="FootnoteReference"/>
        </w:rPr>
        <w:footnoteRef/>
      </w:r>
      <w:r>
        <w:t xml:space="preserve"> Submission 8, ACT Electoral Commission, p. 44.</w:t>
      </w:r>
    </w:p>
  </w:footnote>
  <w:footnote w:id="121">
    <w:p w14:paraId="22207365" w14:textId="29113D29" w:rsidR="003768CC" w:rsidRDefault="003768CC">
      <w:pPr>
        <w:pStyle w:val="FootnoteText"/>
      </w:pPr>
      <w:r>
        <w:rPr>
          <w:rStyle w:val="FootnoteReference"/>
        </w:rPr>
        <w:footnoteRef/>
      </w:r>
      <w:r>
        <w:t xml:space="preserve"> Submission 8, ACT Electoral Commission, p. 43.</w:t>
      </w:r>
    </w:p>
  </w:footnote>
  <w:footnote w:id="122">
    <w:p w14:paraId="2FE22C65" w14:textId="75EB8625" w:rsidR="003768CC" w:rsidRDefault="003768CC">
      <w:pPr>
        <w:pStyle w:val="FootnoteText"/>
      </w:pPr>
      <w:r>
        <w:rPr>
          <w:rStyle w:val="FootnoteReference"/>
        </w:rPr>
        <w:footnoteRef/>
      </w:r>
      <w:r>
        <w:t xml:space="preserve"> Submission 23, ACT Greens, p. 15; Submission 10, Canberra Liberals, p. 2.</w:t>
      </w:r>
    </w:p>
  </w:footnote>
  <w:footnote w:id="123">
    <w:p w14:paraId="2EE47BDF" w14:textId="3C03924C" w:rsidR="003768CC" w:rsidRDefault="003768CC">
      <w:pPr>
        <w:pStyle w:val="FootnoteText"/>
      </w:pPr>
      <w:r>
        <w:rPr>
          <w:rStyle w:val="FootnoteReference"/>
        </w:rPr>
        <w:footnoteRef/>
      </w:r>
      <w:r>
        <w:t xml:space="preserve"> Submission 6, Kerry Burton. </w:t>
      </w:r>
    </w:p>
  </w:footnote>
  <w:footnote w:id="124">
    <w:p w14:paraId="74B7FD05" w14:textId="017705F3" w:rsidR="003768CC" w:rsidRDefault="003768CC">
      <w:pPr>
        <w:pStyle w:val="FootnoteText"/>
      </w:pPr>
      <w:r>
        <w:rPr>
          <w:rStyle w:val="FootnoteReference"/>
        </w:rPr>
        <w:footnoteRef/>
      </w:r>
      <w:r>
        <w:t xml:space="preserve"> Section 80 </w:t>
      </w:r>
      <w:r w:rsidRPr="004C761E">
        <w:rPr>
          <w:i/>
          <w:iCs/>
        </w:rPr>
        <w:t>Electoral Act 1992</w:t>
      </w:r>
      <w:r>
        <w:t xml:space="preserve">, historical version applying </w:t>
      </w:r>
      <w:proofErr w:type="gramStart"/>
      <w:r>
        <w:t>at</w:t>
      </w:r>
      <w:proofErr w:type="gramEnd"/>
      <w:r>
        <w:t xml:space="preserve"> October 2016.</w:t>
      </w:r>
    </w:p>
  </w:footnote>
  <w:footnote w:id="125">
    <w:p w14:paraId="33B9FA54" w14:textId="369F04BB" w:rsidR="003768CC" w:rsidRDefault="003768CC">
      <w:pPr>
        <w:pStyle w:val="FootnoteText"/>
      </w:pPr>
      <w:r>
        <w:rPr>
          <w:rStyle w:val="FootnoteReference"/>
        </w:rPr>
        <w:footnoteRef/>
      </w:r>
      <w:r>
        <w:t xml:space="preserve"> </w:t>
      </w:r>
      <w:r w:rsidRPr="00E60985">
        <w:rPr>
          <w:i/>
          <w:iCs/>
        </w:rPr>
        <w:t>Electoral Legislation Amendment Act 2020</w:t>
      </w:r>
      <w:r>
        <w:rPr>
          <w:i/>
          <w:iCs/>
        </w:rPr>
        <w:t>.</w:t>
      </w:r>
    </w:p>
  </w:footnote>
  <w:footnote w:id="126">
    <w:p w14:paraId="24563C7B" w14:textId="3B583F93" w:rsidR="003768CC" w:rsidRDefault="003768CC" w:rsidP="00DB144C">
      <w:pPr>
        <w:pStyle w:val="FootnoteText"/>
      </w:pPr>
      <w:r>
        <w:rPr>
          <w:rStyle w:val="FootnoteReference"/>
        </w:rPr>
        <w:footnoteRef/>
      </w:r>
      <w:r>
        <w:t xml:space="preserve"> Submission 8, ACT Electoral Commission, p. 16.</w:t>
      </w:r>
    </w:p>
  </w:footnote>
  <w:footnote w:id="127">
    <w:p w14:paraId="5E3B513D" w14:textId="1833D587" w:rsidR="003768CC" w:rsidRDefault="003768CC" w:rsidP="001D53AF">
      <w:pPr>
        <w:pStyle w:val="FootnoteText"/>
        <w:tabs>
          <w:tab w:val="center" w:pos="4535"/>
        </w:tabs>
      </w:pPr>
      <w:r>
        <w:rPr>
          <w:rStyle w:val="FootnoteReference"/>
        </w:rPr>
        <w:footnoteRef/>
      </w:r>
      <w:r>
        <w:t xml:space="preserve"> Submission 8, ACT Electoral Commission, p. 16.</w:t>
      </w:r>
    </w:p>
  </w:footnote>
  <w:footnote w:id="128">
    <w:p w14:paraId="72DCD545" w14:textId="52A2376E" w:rsidR="003768CC" w:rsidRDefault="003768CC">
      <w:pPr>
        <w:pStyle w:val="FootnoteText"/>
      </w:pPr>
      <w:r>
        <w:rPr>
          <w:rStyle w:val="FootnoteReference"/>
        </w:rPr>
        <w:footnoteRef/>
      </w:r>
      <w:r>
        <w:t xml:space="preserve"> Submission 23, ACT Greens, p. 8.</w:t>
      </w:r>
    </w:p>
  </w:footnote>
  <w:footnote w:id="129">
    <w:p w14:paraId="55B4A45C" w14:textId="4251644D" w:rsidR="003768CC" w:rsidRDefault="003768CC">
      <w:pPr>
        <w:pStyle w:val="FootnoteText"/>
      </w:pPr>
      <w:r>
        <w:rPr>
          <w:rStyle w:val="FootnoteReference"/>
        </w:rPr>
        <w:footnoteRef/>
      </w:r>
      <w:r>
        <w:t xml:space="preserve"> Submission 23, ACT Greens. </w:t>
      </w:r>
    </w:p>
  </w:footnote>
  <w:footnote w:id="130">
    <w:p w14:paraId="16F22A91" w14:textId="4A589899" w:rsidR="003768CC" w:rsidRDefault="003768CC">
      <w:pPr>
        <w:pStyle w:val="FootnoteText"/>
      </w:pPr>
      <w:r>
        <w:rPr>
          <w:rStyle w:val="FootnoteReference"/>
        </w:rPr>
        <w:footnoteRef/>
      </w:r>
      <w:r>
        <w:t xml:space="preserve"> </w:t>
      </w:r>
      <w:r w:rsidRPr="004C761E">
        <w:t>Explanatory Statement</w:t>
      </w:r>
      <w:r>
        <w:t xml:space="preserve"> to the Electoral Legislation Amendment Bill 2020, </w:t>
      </w:r>
      <w:hyperlink r:id="rId26" w:history="1">
        <w:r w:rsidRPr="00312212">
          <w:rPr>
            <w:rStyle w:val="Hyperlink"/>
          </w:rPr>
          <w:t>https://www.legislation.act.gov.au/View/es/db_61042/20190926-72278/PDF/db_61042.PDF</w:t>
        </w:r>
      </w:hyperlink>
      <w:r>
        <w:t xml:space="preserve">. </w:t>
      </w:r>
    </w:p>
  </w:footnote>
  <w:footnote w:id="131">
    <w:p w14:paraId="7FC48499" w14:textId="330FCDE6" w:rsidR="003768CC" w:rsidRDefault="003768CC">
      <w:pPr>
        <w:pStyle w:val="FootnoteText"/>
      </w:pPr>
      <w:r>
        <w:rPr>
          <w:rStyle w:val="FootnoteReference"/>
        </w:rPr>
        <w:footnoteRef/>
      </w:r>
      <w:r>
        <w:t xml:space="preserve"> Submission 8, ACT Electoral Commission, recommendation 9, p. 38.</w:t>
      </w:r>
    </w:p>
  </w:footnote>
  <w:footnote w:id="132">
    <w:p w14:paraId="35C50298" w14:textId="59151CF1" w:rsidR="003768CC" w:rsidRDefault="003768CC">
      <w:pPr>
        <w:pStyle w:val="FootnoteText"/>
      </w:pPr>
      <w:r>
        <w:rPr>
          <w:rStyle w:val="FootnoteReference"/>
        </w:rPr>
        <w:footnoteRef/>
      </w:r>
      <w:r>
        <w:t xml:space="preserve"> Submission 8, ACT Electoral Commission, p. 39.</w:t>
      </w:r>
    </w:p>
  </w:footnote>
  <w:footnote w:id="133">
    <w:p w14:paraId="51F2F22A" w14:textId="51801EB6" w:rsidR="003768CC" w:rsidRDefault="003768CC">
      <w:pPr>
        <w:pStyle w:val="FootnoteText"/>
      </w:pPr>
      <w:r>
        <w:rPr>
          <w:rStyle w:val="FootnoteReference"/>
        </w:rPr>
        <w:footnoteRef/>
      </w:r>
      <w:r>
        <w:t xml:space="preserve"> ACT Electoral Commission,</w:t>
      </w:r>
      <w:r w:rsidRPr="004C761E">
        <w:t xml:space="preserve"> Report on the ACT Legislative Assembly Election 2016</w:t>
      </w:r>
      <w:r>
        <w:t>, pp. 56-57.</w:t>
      </w:r>
    </w:p>
  </w:footnote>
  <w:footnote w:id="134">
    <w:p w14:paraId="50D94078" w14:textId="6EE4DAA0" w:rsidR="003768CC" w:rsidRDefault="003768CC">
      <w:pPr>
        <w:pStyle w:val="FootnoteText"/>
      </w:pPr>
      <w:r>
        <w:rPr>
          <w:rStyle w:val="FootnoteReference"/>
        </w:rPr>
        <w:footnoteRef/>
      </w:r>
      <w:r>
        <w:t xml:space="preserve"> Section 1</w:t>
      </w:r>
      <w:proofErr w:type="gramStart"/>
      <w:r>
        <w:t>A(</w:t>
      </w:r>
      <w:proofErr w:type="gramEnd"/>
      <w:r>
        <w:t xml:space="preserve">2) of Schedule 4 to the </w:t>
      </w:r>
      <w:r w:rsidRPr="007449FD">
        <w:rPr>
          <w:i/>
          <w:iCs/>
        </w:rPr>
        <w:t>Electoral Act 1992</w:t>
      </w:r>
      <w:r>
        <w:t xml:space="preserve">, as amended by </w:t>
      </w:r>
      <w:r w:rsidRPr="007449FD">
        <w:rPr>
          <w:i/>
          <w:iCs/>
        </w:rPr>
        <w:t>Electoral Legislation Amendment Act</w:t>
      </w:r>
      <w:r>
        <w:rPr>
          <w:i/>
          <w:iCs/>
        </w:rPr>
        <w:t xml:space="preserve"> 2020.</w:t>
      </w:r>
    </w:p>
  </w:footnote>
  <w:footnote w:id="135">
    <w:p w14:paraId="5CFD8959" w14:textId="1F528D1D" w:rsidR="003768CC" w:rsidRDefault="003768CC">
      <w:pPr>
        <w:pStyle w:val="FootnoteText"/>
      </w:pPr>
      <w:r>
        <w:rPr>
          <w:rStyle w:val="FootnoteReference"/>
        </w:rPr>
        <w:footnoteRef/>
      </w:r>
      <w:r>
        <w:t xml:space="preserve"> Submission 8, ACT Electoral Commission, recommendation 19, p. 60.  </w:t>
      </w:r>
      <w:r w:rsidRPr="007449FD">
        <w:t>The Electoral Act currently contains this definition: ‘surplus, in relation to a successful candidate, means the candidate’s total votes less the quota, if the resulting number of votes is 1 or greater.’</w:t>
      </w:r>
    </w:p>
  </w:footnote>
  <w:footnote w:id="136">
    <w:p w14:paraId="23646A69" w14:textId="1D78E5A9" w:rsidR="003768CC" w:rsidRDefault="003768CC">
      <w:pPr>
        <w:pStyle w:val="FootnoteText"/>
      </w:pPr>
      <w:r>
        <w:rPr>
          <w:rStyle w:val="FootnoteReference"/>
        </w:rPr>
        <w:footnoteRef/>
      </w:r>
      <w:r>
        <w:t xml:space="preserve"> Submission 8, ACT Electoral Commission, recommendation 19, p. 60.</w:t>
      </w:r>
    </w:p>
  </w:footnote>
  <w:footnote w:id="137">
    <w:p w14:paraId="27C91304" w14:textId="024080A1" w:rsidR="003768CC" w:rsidRDefault="003768CC">
      <w:pPr>
        <w:pStyle w:val="FootnoteText"/>
      </w:pPr>
      <w:r>
        <w:rPr>
          <w:rStyle w:val="FootnoteReference"/>
        </w:rPr>
        <w:footnoteRef/>
      </w:r>
      <w:r>
        <w:t xml:space="preserve"> Submission 8, ACT Electoral Commission, p. 36.</w:t>
      </w:r>
    </w:p>
  </w:footnote>
  <w:footnote w:id="138">
    <w:p w14:paraId="059A8EC1" w14:textId="25334AEA" w:rsidR="003768CC" w:rsidRDefault="003768CC">
      <w:pPr>
        <w:pStyle w:val="FootnoteText"/>
      </w:pPr>
      <w:r>
        <w:rPr>
          <w:rStyle w:val="FootnoteReference"/>
        </w:rPr>
        <w:footnoteRef/>
      </w:r>
      <w:r>
        <w:t xml:space="preserve"> ACT Electoral Commission,</w:t>
      </w:r>
      <w:r w:rsidRPr="004C761E">
        <w:t xml:space="preserve"> Report on the ACT Legislative Assembly Election 2016</w:t>
      </w:r>
      <w:r>
        <w:t>, p. 35.</w:t>
      </w:r>
    </w:p>
  </w:footnote>
  <w:footnote w:id="139">
    <w:p w14:paraId="091B7A91" w14:textId="05A36F8A" w:rsidR="003768CC" w:rsidRDefault="003768CC">
      <w:pPr>
        <w:pStyle w:val="FootnoteText"/>
      </w:pPr>
      <w:r>
        <w:rPr>
          <w:rStyle w:val="FootnoteReference"/>
        </w:rPr>
        <w:footnoteRef/>
      </w:r>
      <w:r>
        <w:t xml:space="preserve"> Submission 8, ACT Electoral Commission, p. 36.</w:t>
      </w:r>
    </w:p>
  </w:footnote>
  <w:footnote w:id="140">
    <w:p w14:paraId="0E9E4C07" w14:textId="6CF3CAB9" w:rsidR="003768CC" w:rsidRDefault="003768CC">
      <w:pPr>
        <w:pStyle w:val="FootnoteText"/>
      </w:pPr>
      <w:r>
        <w:rPr>
          <w:rStyle w:val="FootnoteReference"/>
        </w:rPr>
        <w:footnoteRef/>
      </w:r>
      <w:r>
        <w:t xml:space="preserve"> Submission 8, ACT Electoral Commission, p. 36.</w:t>
      </w:r>
    </w:p>
  </w:footnote>
  <w:footnote w:id="141">
    <w:p w14:paraId="673428FF" w14:textId="6B8EBC4C" w:rsidR="003768CC" w:rsidRDefault="003768CC">
      <w:pPr>
        <w:pStyle w:val="FootnoteText"/>
      </w:pPr>
      <w:r>
        <w:rPr>
          <w:rStyle w:val="FootnoteReference"/>
        </w:rPr>
        <w:footnoteRef/>
      </w:r>
      <w:r>
        <w:t xml:space="preserve"> Submission 8, ACT Electoral Commission, p. 37.</w:t>
      </w:r>
    </w:p>
  </w:footnote>
  <w:footnote w:id="142">
    <w:p w14:paraId="43CDF14B" w14:textId="4D06ED62" w:rsidR="003768CC" w:rsidRDefault="003768CC">
      <w:pPr>
        <w:pStyle w:val="FootnoteText"/>
      </w:pPr>
      <w:r>
        <w:rPr>
          <w:rStyle w:val="FootnoteReference"/>
        </w:rPr>
        <w:footnoteRef/>
      </w:r>
      <w:r>
        <w:t xml:space="preserve"> Submission 24, Canberra Progressives.</w:t>
      </w:r>
    </w:p>
  </w:footnote>
  <w:footnote w:id="143">
    <w:p w14:paraId="1F900ED4" w14:textId="796DC64F" w:rsidR="003768CC" w:rsidRDefault="003768CC">
      <w:pPr>
        <w:pStyle w:val="FootnoteText"/>
      </w:pPr>
      <w:r>
        <w:rPr>
          <w:rStyle w:val="FootnoteReference"/>
        </w:rPr>
        <w:footnoteRef/>
      </w:r>
      <w:r>
        <w:t xml:space="preserve"> Submission 25, </w:t>
      </w:r>
      <w:proofErr w:type="spellStart"/>
      <w:r>
        <w:t>Mignonne</w:t>
      </w:r>
      <w:proofErr w:type="spellEnd"/>
      <w:r>
        <w:t xml:space="preserve"> Cullen.</w:t>
      </w:r>
    </w:p>
  </w:footnote>
  <w:footnote w:id="144">
    <w:p w14:paraId="7494B7EE" w14:textId="026500D0" w:rsidR="003768CC" w:rsidRDefault="003768CC">
      <w:pPr>
        <w:pStyle w:val="FootnoteText"/>
      </w:pPr>
      <w:r>
        <w:rPr>
          <w:rStyle w:val="FootnoteReference"/>
        </w:rPr>
        <w:footnoteRef/>
      </w:r>
      <w:r>
        <w:t xml:space="preserve"> Submission 8, ACT Electoral Commission, p. 53.</w:t>
      </w:r>
    </w:p>
  </w:footnote>
  <w:footnote w:id="145">
    <w:p w14:paraId="1D9F4917" w14:textId="75566F8C" w:rsidR="003768CC" w:rsidRDefault="003768CC">
      <w:pPr>
        <w:pStyle w:val="FootnoteText"/>
      </w:pPr>
      <w:r>
        <w:rPr>
          <w:rStyle w:val="FootnoteReference"/>
        </w:rPr>
        <w:footnoteRef/>
      </w:r>
      <w:r>
        <w:t xml:space="preserve"> Submission 8, ACT Electoral Commission, p.53.</w:t>
      </w:r>
    </w:p>
  </w:footnote>
  <w:footnote w:id="146">
    <w:p w14:paraId="3FD26750" w14:textId="7EE46486" w:rsidR="003768CC" w:rsidRDefault="003768CC">
      <w:pPr>
        <w:pStyle w:val="FootnoteText"/>
      </w:pPr>
      <w:r>
        <w:rPr>
          <w:rStyle w:val="FootnoteReference"/>
        </w:rPr>
        <w:footnoteRef/>
      </w:r>
      <w:r>
        <w:t xml:space="preserve"> Submission 28, </w:t>
      </w:r>
      <w:proofErr w:type="spellStart"/>
      <w:r>
        <w:t>Belco</w:t>
      </w:r>
      <w:proofErr w:type="spellEnd"/>
      <w:r>
        <w:t xml:space="preserve"> Party. </w:t>
      </w:r>
    </w:p>
  </w:footnote>
  <w:footnote w:id="147">
    <w:p w14:paraId="66D5269F" w14:textId="0649D9A2" w:rsidR="003768CC" w:rsidRDefault="003768CC">
      <w:pPr>
        <w:pStyle w:val="FootnoteText"/>
      </w:pPr>
      <w:r>
        <w:rPr>
          <w:rStyle w:val="FootnoteReference"/>
        </w:rPr>
        <w:footnoteRef/>
      </w:r>
      <w:r>
        <w:t xml:space="preserve"> Submission 15, Caroline Le Couteur; Submission 23, ACT Greens, p. 10.</w:t>
      </w:r>
    </w:p>
  </w:footnote>
  <w:footnote w:id="148">
    <w:p w14:paraId="0DD96852" w14:textId="13F6D7D3" w:rsidR="003768CC" w:rsidRDefault="003768CC">
      <w:pPr>
        <w:pStyle w:val="FootnoteText"/>
      </w:pPr>
      <w:r>
        <w:rPr>
          <w:rStyle w:val="FootnoteReference"/>
        </w:rPr>
        <w:footnoteRef/>
      </w:r>
      <w:r>
        <w:t xml:space="preserve"> Submission 22, Liberal Democrats, p. 18.</w:t>
      </w:r>
    </w:p>
  </w:footnote>
  <w:footnote w:id="149">
    <w:p w14:paraId="602EFE8F" w14:textId="167CAB74" w:rsidR="003768CC" w:rsidRDefault="003768CC">
      <w:pPr>
        <w:pStyle w:val="FootnoteText"/>
      </w:pPr>
      <w:r>
        <w:rPr>
          <w:rStyle w:val="FootnoteReference"/>
        </w:rPr>
        <w:footnoteRef/>
      </w:r>
      <w:r>
        <w:t xml:space="preserve"> Submission 10, Canberra Liberals, p. 2.</w:t>
      </w:r>
    </w:p>
  </w:footnote>
  <w:footnote w:id="150">
    <w:p w14:paraId="39AE4BAF" w14:textId="6B7028E6" w:rsidR="003768CC" w:rsidRDefault="003768CC">
      <w:pPr>
        <w:pStyle w:val="FootnoteText"/>
      </w:pPr>
      <w:r>
        <w:rPr>
          <w:rStyle w:val="FootnoteReference"/>
        </w:rPr>
        <w:footnoteRef/>
      </w:r>
      <w:r>
        <w:t xml:space="preserve"> Proof Transcript of Evidence, 26 May 2021</w:t>
      </w:r>
      <w:r w:rsidRPr="00100D47">
        <w:t xml:space="preserve">, </w:t>
      </w:r>
      <w:r>
        <w:t>p. 81.</w:t>
      </w:r>
    </w:p>
  </w:footnote>
  <w:footnote w:id="151">
    <w:p w14:paraId="445FF0B0" w14:textId="19244BD9" w:rsidR="003768CC" w:rsidRDefault="003768CC">
      <w:pPr>
        <w:pStyle w:val="FootnoteText"/>
      </w:pPr>
      <w:r>
        <w:rPr>
          <w:rStyle w:val="FootnoteReference"/>
        </w:rPr>
        <w:footnoteRef/>
      </w:r>
      <w:r>
        <w:t xml:space="preserve"> Submission 16, Andrew Donnellan.</w:t>
      </w:r>
    </w:p>
  </w:footnote>
  <w:footnote w:id="152">
    <w:p w14:paraId="3773F4D3" w14:textId="24C28BE4" w:rsidR="003768CC" w:rsidRDefault="003768CC">
      <w:pPr>
        <w:pStyle w:val="FootnoteText"/>
      </w:pPr>
      <w:r>
        <w:rPr>
          <w:rStyle w:val="FootnoteReference"/>
        </w:rPr>
        <w:footnoteRef/>
      </w:r>
      <w:r>
        <w:t xml:space="preserve"> Section 177 </w:t>
      </w:r>
      <w:r w:rsidRPr="004C761E">
        <w:rPr>
          <w:i/>
          <w:iCs/>
        </w:rPr>
        <w:t>Electoral Act 2004</w:t>
      </w:r>
      <w:r w:rsidRPr="004C761E">
        <w:t xml:space="preserve"> (Tas)</w:t>
      </w:r>
      <w:r>
        <w:t xml:space="preserve">; Tasmania Electoral Commission, </w:t>
      </w:r>
      <w:r w:rsidRPr="004C761E">
        <w:rPr>
          <w:i/>
          <w:iCs/>
        </w:rPr>
        <w:t>Candidate Handbook: House of Assembly Elections</w:t>
      </w:r>
      <w:r>
        <w:t>.</w:t>
      </w:r>
    </w:p>
  </w:footnote>
  <w:footnote w:id="153">
    <w:p w14:paraId="6EB7D52B" w14:textId="76E28B2E" w:rsidR="003768CC" w:rsidRDefault="003768CC">
      <w:pPr>
        <w:pStyle w:val="FootnoteText"/>
      </w:pPr>
      <w:r>
        <w:rPr>
          <w:rStyle w:val="FootnoteReference"/>
        </w:rPr>
        <w:footnoteRef/>
      </w:r>
      <w:r>
        <w:t xml:space="preserve"> Section 198 </w:t>
      </w:r>
      <w:r w:rsidRPr="004C761E">
        <w:rPr>
          <w:i/>
          <w:iCs/>
        </w:rPr>
        <w:t>Electoral Act 2004</w:t>
      </w:r>
      <w:r w:rsidRPr="004C761E">
        <w:t xml:space="preserve"> (Tas)</w:t>
      </w:r>
      <w:r>
        <w:t xml:space="preserve">; Tasmania Electoral Commission, </w:t>
      </w:r>
      <w:r w:rsidRPr="004C761E">
        <w:rPr>
          <w:i/>
          <w:iCs/>
        </w:rPr>
        <w:t>Candidate Handbook: House of Assembly Elections</w:t>
      </w:r>
      <w:r>
        <w:t>.</w:t>
      </w:r>
    </w:p>
  </w:footnote>
  <w:footnote w:id="154">
    <w:p w14:paraId="68CA3850" w14:textId="38BACBDD" w:rsidR="003768CC" w:rsidRDefault="003768CC" w:rsidP="0087184B">
      <w:pPr>
        <w:pStyle w:val="FootnoteText"/>
      </w:pPr>
      <w:r>
        <w:rPr>
          <w:rStyle w:val="FootnoteReference"/>
        </w:rPr>
        <w:footnoteRef/>
      </w:r>
      <w:r>
        <w:t xml:space="preserve"> Submission 19, ACT </w:t>
      </w:r>
      <w:proofErr w:type="spellStart"/>
      <w:r>
        <w:t>Labor</w:t>
      </w:r>
      <w:proofErr w:type="spellEnd"/>
      <w:r>
        <w:t>, p. 5.</w:t>
      </w:r>
    </w:p>
  </w:footnote>
  <w:footnote w:id="155">
    <w:p w14:paraId="30DF33FF" w14:textId="1F5A01C8" w:rsidR="003768CC" w:rsidRDefault="003768CC" w:rsidP="0087184B">
      <w:pPr>
        <w:pStyle w:val="FootnoteText"/>
      </w:pPr>
      <w:r>
        <w:rPr>
          <w:rStyle w:val="FootnoteReference"/>
        </w:rPr>
        <w:footnoteRef/>
      </w:r>
      <w:r>
        <w:t xml:space="preserve"> Submission 19, ACT </w:t>
      </w:r>
      <w:proofErr w:type="spellStart"/>
      <w:r>
        <w:t>Labor</w:t>
      </w:r>
      <w:proofErr w:type="spellEnd"/>
      <w:r>
        <w:t>, p. 5.</w:t>
      </w:r>
    </w:p>
  </w:footnote>
  <w:footnote w:id="156">
    <w:p w14:paraId="73DC6DF8" w14:textId="3F3D6183" w:rsidR="003768CC" w:rsidRDefault="003768CC">
      <w:pPr>
        <w:pStyle w:val="FootnoteText"/>
      </w:pPr>
      <w:r>
        <w:rPr>
          <w:rStyle w:val="FootnoteReference"/>
        </w:rPr>
        <w:footnoteRef/>
      </w:r>
      <w:r>
        <w:t xml:space="preserve"> Established under the </w:t>
      </w:r>
      <w:proofErr w:type="spellStart"/>
      <w:r>
        <w:t>the</w:t>
      </w:r>
      <w:proofErr w:type="spellEnd"/>
      <w:r>
        <w:t xml:space="preserve"> </w:t>
      </w:r>
      <w:r w:rsidRPr="00842F2E">
        <w:rPr>
          <w:i/>
          <w:iCs/>
        </w:rPr>
        <w:t>Public Unleased Land Act 2013</w:t>
      </w:r>
      <w:r>
        <w:t xml:space="preserve">, available at </w:t>
      </w:r>
      <w:hyperlink r:id="rId27" w:history="1">
        <w:r w:rsidRPr="00312212">
          <w:rPr>
            <w:rStyle w:val="Hyperlink"/>
          </w:rPr>
          <w:t>https://www.elections.act.gov.au/__data/assets/pdf_file/0009/835839/Code_of_Practice_-_Movable_Signs.pdf</w:t>
        </w:r>
      </w:hyperlink>
      <w:r>
        <w:t xml:space="preserve">. </w:t>
      </w:r>
    </w:p>
  </w:footnote>
  <w:footnote w:id="157">
    <w:p w14:paraId="594DF8C0" w14:textId="2109B9AA" w:rsidR="003768CC" w:rsidRDefault="003768CC">
      <w:pPr>
        <w:pStyle w:val="FootnoteText"/>
      </w:pPr>
      <w:r>
        <w:rPr>
          <w:rStyle w:val="FootnoteReference"/>
        </w:rPr>
        <w:footnoteRef/>
      </w:r>
      <w:r>
        <w:t xml:space="preserve"> </w:t>
      </w:r>
      <w:r w:rsidRPr="004C761E">
        <w:t>Public Unleased Land (Movable Signs) Code of Practice 2019</w:t>
      </w:r>
      <w:r>
        <w:t>.</w:t>
      </w:r>
    </w:p>
  </w:footnote>
  <w:footnote w:id="158">
    <w:p w14:paraId="63BF2F84" w14:textId="469FD945" w:rsidR="003768CC" w:rsidRDefault="003768CC">
      <w:pPr>
        <w:pStyle w:val="FootnoteText"/>
      </w:pPr>
      <w:r>
        <w:rPr>
          <w:rStyle w:val="FootnoteReference"/>
        </w:rPr>
        <w:footnoteRef/>
      </w:r>
      <w:r>
        <w:t xml:space="preserve"> Submission 8, ACT Electoral Commission, p. 53.</w:t>
      </w:r>
    </w:p>
  </w:footnote>
  <w:footnote w:id="159">
    <w:p w14:paraId="0BA0D664" w14:textId="2D1F04B2" w:rsidR="003768CC" w:rsidRDefault="003768CC">
      <w:pPr>
        <w:pStyle w:val="FootnoteText"/>
      </w:pPr>
      <w:r>
        <w:rPr>
          <w:rStyle w:val="FootnoteReference"/>
        </w:rPr>
        <w:footnoteRef/>
      </w:r>
      <w:r>
        <w:t xml:space="preserve"> Submission 10, Canberra Liberals, p. 2.</w:t>
      </w:r>
    </w:p>
  </w:footnote>
  <w:footnote w:id="160">
    <w:p w14:paraId="70B028B0" w14:textId="02D6D16D" w:rsidR="003768CC" w:rsidRDefault="003768CC">
      <w:pPr>
        <w:pStyle w:val="FootnoteText"/>
      </w:pPr>
      <w:r>
        <w:rPr>
          <w:rStyle w:val="FootnoteReference"/>
        </w:rPr>
        <w:footnoteRef/>
      </w:r>
      <w:r>
        <w:t xml:space="preserve"> Submission 28, </w:t>
      </w:r>
      <w:proofErr w:type="spellStart"/>
      <w:r>
        <w:t>Belco</w:t>
      </w:r>
      <w:proofErr w:type="spellEnd"/>
      <w:r>
        <w:t xml:space="preserve"> Party.</w:t>
      </w:r>
    </w:p>
  </w:footnote>
  <w:footnote w:id="161">
    <w:p w14:paraId="15175566" w14:textId="3A7B4324" w:rsidR="003768CC" w:rsidRDefault="003768CC">
      <w:pPr>
        <w:pStyle w:val="FootnoteText"/>
      </w:pPr>
      <w:r>
        <w:rPr>
          <w:rStyle w:val="FootnoteReference"/>
        </w:rPr>
        <w:footnoteRef/>
      </w:r>
      <w:r>
        <w:t xml:space="preserve"> Submission 22, Liberal Democrats, p. 8.</w:t>
      </w:r>
    </w:p>
  </w:footnote>
  <w:footnote w:id="162">
    <w:p w14:paraId="59D23A2F" w14:textId="6BAA5115" w:rsidR="003768CC" w:rsidRDefault="003768CC" w:rsidP="00D23AA2">
      <w:pPr>
        <w:pStyle w:val="FootnoteText"/>
      </w:pPr>
      <w:r>
        <w:rPr>
          <w:rStyle w:val="FootnoteReference"/>
        </w:rPr>
        <w:footnoteRef/>
      </w:r>
      <w:r>
        <w:t xml:space="preserve"> </w:t>
      </w:r>
      <w:r w:rsidRPr="004C761E">
        <w:t>Parliamentary &amp; Governing Agreement for the 10th Legislative Assembly</w:t>
      </w:r>
      <w:r>
        <w:t xml:space="preserve">, p. 13, available at </w:t>
      </w:r>
      <w:hyperlink r:id="rId28" w:history="1">
        <w:r w:rsidRPr="00312212">
          <w:rPr>
            <w:rStyle w:val="Hyperlink"/>
          </w:rPr>
          <w:t>https://www.cmtedd.act.gov.au/__data/assets/pdf_file/0003/1654077/Parliamentary-Agreement-for-the-10th-Legislative-Assembly.pdf</w:t>
        </w:r>
      </w:hyperlink>
      <w:r>
        <w:t xml:space="preserve">. </w:t>
      </w:r>
    </w:p>
  </w:footnote>
  <w:footnote w:id="163">
    <w:p w14:paraId="7C0D7BBC" w14:textId="77985D55" w:rsidR="003768CC" w:rsidRDefault="003768CC">
      <w:pPr>
        <w:pStyle w:val="FootnoteText"/>
      </w:pPr>
      <w:r>
        <w:rPr>
          <w:rStyle w:val="FootnoteReference"/>
        </w:rPr>
        <w:footnoteRef/>
      </w:r>
      <w:r>
        <w:t xml:space="preserve"> Submission 23, ACT Greens.</w:t>
      </w:r>
    </w:p>
  </w:footnote>
  <w:footnote w:id="164">
    <w:p w14:paraId="37FD430E" w14:textId="5FD912C2" w:rsidR="003768CC" w:rsidRDefault="003768CC">
      <w:pPr>
        <w:pStyle w:val="FootnoteText"/>
      </w:pPr>
      <w:r>
        <w:rPr>
          <w:rStyle w:val="FootnoteReference"/>
        </w:rPr>
        <w:footnoteRef/>
      </w:r>
      <w:r>
        <w:t xml:space="preserve"> Submission 18, Bruce Paine.</w:t>
      </w:r>
    </w:p>
  </w:footnote>
  <w:footnote w:id="165">
    <w:p w14:paraId="2C5D1CE5" w14:textId="0C89AAFE" w:rsidR="003768CC" w:rsidRDefault="003768CC">
      <w:pPr>
        <w:pStyle w:val="FootnoteText"/>
      </w:pPr>
      <w:r>
        <w:rPr>
          <w:rStyle w:val="FootnoteReference"/>
        </w:rPr>
        <w:footnoteRef/>
      </w:r>
      <w:r>
        <w:t xml:space="preserve"> Submission 21, Martin Miller.</w:t>
      </w:r>
    </w:p>
  </w:footnote>
  <w:footnote w:id="166">
    <w:p w14:paraId="2CED839C" w14:textId="5DE68E65" w:rsidR="003768CC" w:rsidRDefault="003768CC">
      <w:pPr>
        <w:pStyle w:val="FootnoteText"/>
      </w:pPr>
      <w:r>
        <w:rPr>
          <w:rStyle w:val="FootnoteReference"/>
        </w:rPr>
        <w:footnoteRef/>
      </w:r>
      <w:r>
        <w:t xml:space="preserve"> Submission 19, ACT </w:t>
      </w:r>
      <w:proofErr w:type="spellStart"/>
      <w:r>
        <w:t>Labor</w:t>
      </w:r>
      <w:proofErr w:type="spellEnd"/>
      <w:r>
        <w:t>.</w:t>
      </w:r>
    </w:p>
  </w:footnote>
  <w:footnote w:id="167">
    <w:p w14:paraId="688D6C83" w14:textId="14F8DBCB" w:rsidR="003768CC" w:rsidRDefault="003768CC">
      <w:pPr>
        <w:pStyle w:val="FootnoteText"/>
      </w:pPr>
      <w:r>
        <w:rPr>
          <w:rStyle w:val="FootnoteReference"/>
        </w:rPr>
        <w:footnoteRef/>
      </w:r>
      <w:r>
        <w:t xml:space="preserve"> Submission 24, Canberra Progressives. </w:t>
      </w:r>
    </w:p>
  </w:footnote>
  <w:footnote w:id="168">
    <w:p w14:paraId="45A21358" w14:textId="23F8A516" w:rsidR="003768CC" w:rsidRDefault="003768CC" w:rsidP="00B34ACD">
      <w:pPr>
        <w:pStyle w:val="FootnoteText"/>
      </w:pPr>
      <w:r>
        <w:rPr>
          <w:rStyle w:val="FootnoteReference"/>
        </w:rPr>
        <w:footnoteRef/>
      </w:r>
      <w:r>
        <w:t xml:space="preserve"> Proof Transcript of Evidence, 26 May 2021</w:t>
      </w:r>
      <w:r w:rsidRPr="00100D47">
        <w:t xml:space="preserve">, </w:t>
      </w:r>
      <w:r>
        <w:t>pp. 84-85.</w:t>
      </w:r>
    </w:p>
  </w:footnote>
  <w:footnote w:id="169">
    <w:p w14:paraId="4E292EFA" w14:textId="6C8FD3BA" w:rsidR="003768CC" w:rsidRDefault="003768CC" w:rsidP="00B5779B">
      <w:pPr>
        <w:pStyle w:val="FootnoteText"/>
      </w:pPr>
      <w:r>
        <w:rPr>
          <w:rStyle w:val="FootnoteReference"/>
        </w:rPr>
        <w:footnoteRef/>
      </w:r>
      <w:r>
        <w:t xml:space="preserve"> Submission 24, Canberra Progressives, p. 4</w:t>
      </w:r>
    </w:p>
  </w:footnote>
  <w:footnote w:id="170">
    <w:p w14:paraId="3D7CBBEF" w14:textId="1DC8521C" w:rsidR="003768CC" w:rsidRDefault="003768CC">
      <w:pPr>
        <w:pStyle w:val="FootnoteText"/>
      </w:pPr>
      <w:r>
        <w:rPr>
          <w:rStyle w:val="FootnoteReference"/>
        </w:rPr>
        <w:footnoteRef/>
      </w:r>
      <w:r>
        <w:t xml:space="preserve"> Submission 8, ACT Electoral Commission, p. 54.</w:t>
      </w:r>
    </w:p>
  </w:footnote>
  <w:footnote w:id="171">
    <w:p w14:paraId="3CFCCC65" w14:textId="0D170F22" w:rsidR="003768CC" w:rsidRDefault="003768CC">
      <w:pPr>
        <w:pStyle w:val="FootnoteText"/>
      </w:pPr>
      <w:r>
        <w:rPr>
          <w:rStyle w:val="FootnoteReference"/>
        </w:rPr>
        <w:footnoteRef/>
      </w:r>
      <w:r>
        <w:t xml:space="preserve"> Submission 11m ACT Government, p. 18.</w:t>
      </w:r>
    </w:p>
  </w:footnote>
  <w:footnote w:id="172">
    <w:p w14:paraId="4AF93124" w14:textId="5A602E12" w:rsidR="003768CC" w:rsidRDefault="003768CC">
      <w:pPr>
        <w:pStyle w:val="FootnoteText"/>
      </w:pPr>
      <w:r>
        <w:rPr>
          <w:rStyle w:val="FootnoteReference"/>
        </w:rPr>
        <w:footnoteRef/>
      </w:r>
      <w:r>
        <w:t xml:space="preserve"> ACT Government, Answer to Question Taken on Notice.</w:t>
      </w:r>
    </w:p>
  </w:footnote>
  <w:footnote w:id="173">
    <w:p w14:paraId="3868F6B5" w14:textId="1FF7CD50" w:rsidR="003768CC" w:rsidRDefault="003768CC">
      <w:pPr>
        <w:pStyle w:val="FootnoteText"/>
      </w:pPr>
      <w:r>
        <w:rPr>
          <w:rStyle w:val="FootnoteReference"/>
        </w:rPr>
        <w:footnoteRef/>
      </w:r>
      <w:r>
        <w:t xml:space="preserve"> ACT Government, Answer to Question Taken on Notice.</w:t>
      </w:r>
    </w:p>
  </w:footnote>
  <w:footnote w:id="174">
    <w:p w14:paraId="72077A4F" w14:textId="07888DA6" w:rsidR="003768CC" w:rsidRDefault="003768CC">
      <w:pPr>
        <w:pStyle w:val="FootnoteText"/>
      </w:pPr>
      <w:r>
        <w:rPr>
          <w:rStyle w:val="FootnoteReference"/>
        </w:rPr>
        <w:footnoteRef/>
      </w:r>
      <w:r>
        <w:t xml:space="preserve"> </w:t>
      </w:r>
      <w:r w:rsidRPr="004C761E">
        <w:t>Supplementary Explanatory Statement</w:t>
      </w:r>
      <w:r>
        <w:t xml:space="preserve"> to the amendments moved by Caroline Le Couteur MLA, available at </w:t>
      </w:r>
      <w:hyperlink r:id="rId29" w:history="1">
        <w:r w:rsidRPr="00312212">
          <w:rPr>
            <w:rStyle w:val="Hyperlink"/>
          </w:rPr>
          <w:t>https://www.legislation.act.gov.au/View/es/db_61042/20200702-74572/PDF/db_61042.PDF</w:t>
        </w:r>
      </w:hyperlink>
      <w:r>
        <w:t xml:space="preserve">. </w:t>
      </w:r>
    </w:p>
  </w:footnote>
  <w:footnote w:id="175">
    <w:p w14:paraId="13CDEB1C" w14:textId="4F63CA6B" w:rsidR="003768CC" w:rsidRDefault="003768CC">
      <w:pPr>
        <w:pStyle w:val="FootnoteText"/>
      </w:pPr>
      <w:r>
        <w:rPr>
          <w:rStyle w:val="FootnoteReference"/>
        </w:rPr>
        <w:footnoteRef/>
      </w:r>
      <w:r>
        <w:t xml:space="preserve"> Submission 8, ACT Electoral Commission, p. 31.</w:t>
      </w:r>
    </w:p>
  </w:footnote>
  <w:footnote w:id="176">
    <w:p w14:paraId="6761873F" w14:textId="3C9D6BE5" w:rsidR="003768CC" w:rsidRDefault="003768CC">
      <w:pPr>
        <w:pStyle w:val="FootnoteText"/>
      </w:pPr>
      <w:r>
        <w:rPr>
          <w:rStyle w:val="FootnoteReference"/>
        </w:rPr>
        <w:footnoteRef/>
      </w:r>
      <w:r>
        <w:t xml:space="preserve"> Electoral Commission, additional information submitted after hearing, available at </w:t>
      </w:r>
      <w:hyperlink r:id="rId30" w:anchor="tab1695217-7id" w:history="1">
        <w:r w:rsidRPr="00312212">
          <w:rPr>
            <w:rStyle w:val="Hyperlink"/>
          </w:rPr>
          <w:t>https://www.parliament.act.gov.au/parliamentary-business/in-committees/committees/jcs/inquiry-into-2020-act-election-and-the-electoral-act#tab1695217-7id</w:t>
        </w:r>
      </w:hyperlink>
      <w:r>
        <w:t>.</w:t>
      </w:r>
    </w:p>
  </w:footnote>
  <w:footnote w:id="177">
    <w:p w14:paraId="6D8B74CE" w14:textId="11B9F656" w:rsidR="003768CC" w:rsidRDefault="003768CC">
      <w:pPr>
        <w:pStyle w:val="FootnoteText"/>
      </w:pPr>
      <w:r>
        <w:rPr>
          <w:rStyle w:val="FootnoteReference"/>
        </w:rPr>
        <w:footnoteRef/>
      </w:r>
      <w:r>
        <w:t xml:space="preserve"> Submission 8, ACT Electoral Commission, p. 31.</w:t>
      </w:r>
    </w:p>
  </w:footnote>
  <w:footnote w:id="178">
    <w:p w14:paraId="009DA8A0" w14:textId="41EC7B76" w:rsidR="003768CC" w:rsidRDefault="003768CC">
      <w:pPr>
        <w:pStyle w:val="FootnoteText"/>
      </w:pPr>
      <w:r>
        <w:rPr>
          <w:rStyle w:val="FootnoteReference"/>
        </w:rPr>
        <w:footnoteRef/>
      </w:r>
      <w:r>
        <w:t xml:space="preserve"> Submission 5, Mark Fletcher.</w:t>
      </w:r>
    </w:p>
  </w:footnote>
  <w:footnote w:id="179">
    <w:p w14:paraId="61A43C25" w14:textId="14233932" w:rsidR="003768CC" w:rsidRDefault="003768CC">
      <w:pPr>
        <w:pStyle w:val="FootnoteText"/>
      </w:pPr>
      <w:r>
        <w:rPr>
          <w:rStyle w:val="FootnoteReference"/>
        </w:rPr>
        <w:footnoteRef/>
      </w:r>
      <w:r>
        <w:t xml:space="preserve"> Submission 5, Mark Fletcher; Submission 23, ACT Greens. </w:t>
      </w:r>
    </w:p>
  </w:footnote>
  <w:footnote w:id="180">
    <w:p w14:paraId="6D82244B" w14:textId="5B34B9B5" w:rsidR="003768CC" w:rsidRDefault="003768CC">
      <w:pPr>
        <w:pStyle w:val="FootnoteText"/>
      </w:pPr>
      <w:r>
        <w:rPr>
          <w:rStyle w:val="FootnoteReference"/>
        </w:rPr>
        <w:footnoteRef/>
      </w:r>
      <w:r>
        <w:t xml:space="preserve"> Submission 4, Canberra Alliance for Participatory Democracy. </w:t>
      </w:r>
    </w:p>
  </w:footnote>
  <w:footnote w:id="181">
    <w:p w14:paraId="6E5DAF7D" w14:textId="5EF82EAD" w:rsidR="003768CC" w:rsidRDefault="003768CC">
      <w:pPr>
        <w:pStyle w:val="FootnoteText"/>
      </w:pPr>
      <w:r>
        <w:rPr>
          <w:rStyle w:val="FootnoteReference"/>
        </w:rPr>
        <w:footnoteRef/>
      </w:r>
      <w:r>
        <w:t xml:space="preserve"> </w:t>
      </w:r>
      <w:r w:rsidRPr="004C761E">
        <w:t>Submission 15</w:t>
      </w:r>
      <w:r>
        <w:t xml:space="preserve">, Caroline Le Couteur. </w:t>
      </w:r>
    </w:p>
  </w:footnote>
  <w:footnote w:id="182">
    <w:p w14:paraId="188BD6A1" w14:textId="1B8D39B5" w:rsidR="003768CC" w:rsidRDefault="003768CC">
      <w:pPr>
        <w:pStyle w:val="FootnoteText"/>
      </w:pPr>
      <w:r>
        <w:rPr>
          <w:rStyle w:val="FootnoteReference"/>
        </w:rPr>
        <w:footnoteRef/>
      </w:r>
      <w:r>
        <w:t xml:space="preserve"> Proof Transcript of Evidence, 26 May 2021</w:t>
      </w:r>
      <w:r w:rsidRPr="00100D47">
        <w:t xml:space="preserve">, </w:t>
      </w:r>
      <w:r>
        <w:t>p. 90.</w:t>
      </w:r>
    </w:p>
  </w:footnote>
  <w:footnote w:id="183">
    <w:p w14:paraId="08AFFB73" w14:textId="4A5011A3" w:rsidR="003768CC" w:rsidRDefault="003768CC">
      <w:pPr>
        <w:pStyle w:val="FootnoteText"/>
      </w:pPr>
      <w:r>
        <w:rPr>
          <w:rStyle w:val="FootnoteReference"/>
        </w:rPr>
        <w:footnoteRef/>
      </w:r>
      <w:r>
        <w:t xml:space="preserve"> Submission 3, </w:t>
      </w:r>
      <w:r w:rsidRPr="004C761E">
        <w:t>Vanessa Teague, Andrew Conway, Thomas Haines, T Wilson-Brown</w:t>
      </w:r>
      <w:r>
        <w:t>, p. 2.</w:t>
      </w:r>
    </w:p>
  </w:footnote>
  <w:footnote w:id="184">
    <w:p w14:paraId="45942BE7" w14:textId="361D7933" w:rsidR="003768CC" w:rsidRDefault="003768CC">
      <w:pPr>
        <w:pStyle w:val="FootnoteText"/>
      </w:pPr>
      <w:r>
        <w:rPr>
          <w:rStyle w:val="FootnoteReference"/>
        </w:rPr>
        <w:footnoteRef/>
      </w:r>
      <w:r>
        <w:t xml:space="preserve"> Submission 24, Canberra Progressives, p. 4.</w:t>
      </w:r>
    </w:p>
  </w:footnote>
  <w:footnote w:id="185">
    <w:p w14:paraId="10690929" w14:textId="1EC16873" w:rsidR="003768CC" w:rsidRDefault="003768CC">
      <w:pPr>
        <w:pStyle w:val="FootnoteText"/>
      </w:pPr>
      <w:r>
        <w:rPr>
          <w:rStyle w:val="FootnoteReference"/>
        </w:rPr>
        <w:footnoteRef/>
      </w:r>
      <w:r>
        <w:t xml:space="preserve"> Submission 23, ACT Greens.</w:t>
      </w:r>
    </w:p>
  </w:footnote>
  <w:footnote w:id="186">
    <w:p w14:paraId="346CB6D2" w14:textId="0FA50A4A" w:rsidR="003768CC" w:rsidRDefault="003768CC">
      <w:pPr>
        <w:pStyle w:val="FootnoteText"/>
      </w:pPr>
      <w:r>
        <w:rPr>
          <w:rStyle w:val="FootnoteReference"/>
        </w:rPr>
        <w:footnoteRef/>
      </w:r>
      <w:r>
        <w:t xml:space="preserve"> Proof Transcript of Evidence, 26 May 2021</w:t>
      </w:r>
      <w:r w:rsidRPr="00100D47">
        <w:t xml:space="preserve">, </w:t>
      </w:r>
      <w:r>
        <w:t>p. 56.</w:t>
      </w:r>
    </w:p>
  </w:footnote>
  <w:footnote w:id="187">
    <w:p w14:paraId="577AAC7D" w14:textId="64FF561C" w:rsidR="003768CC" w:rsidRDefault="003768CC">
      <w:pPr>
        <w:pStyle w:val="FootnoteText"/>
      </w:pPr>
      <w:r>
        <w:rPr>
          <w:rStyle w:val="FootnoteReference"/>
        </w:rPr>
        <w:footnoteRef/>
      </w:r>
      <w:r>
        <w:t xml:space="preserve"> Submission 24, Canberra Progressives; Submission 28, </w:t>
      </w:r>
      <w:proofErr w:type="spellStart"/>
      <w:r>
        <w:t>Belco</w:t>
      </w:r>
      <w:proofErr w:type="spellEnd"/>
      <w:r>
        <w:t xml:space="preserve"> Party. </w:t>
      </w:r>
    </w:p>
  </w:footnote>
  <w:footnote w:id="188">
    <w:p w14:paraId="52A8C973" w14:textId="26319C6C" w:rsidR="003768CC" w:rsidRDefault="003768CC">
      <w:pPr>
        <w:pStyle w:val="FootnoteText"/>
      </w:pPr>
      <w:r>
        <w:rPr>
          <w:rStyle w:val="FootnoteReference"/>
        </w:rPr>
        <w:footnoteRef/>
      </w:r>
      <w:r>
        <w:t xml:space="preserve"> Submission 23, ACT Greens. </w:t>
      </w:r>
    </w:p>
  </w:footnote>
  <w:footnote w:id="189">
    <w:p w14:paraId="41FAC161" w14:textId="43BB324E" w:rsidR="003768CC" w:rsidRDefault="003768CC">
      <w:pPr>
        <w:pStyle w:val="FootnoteText"/>
      </w:pPr>
      <w:r>
        <w:rPr>
          <w:rStyle w:val="FootnoteReference"/>
        </w:rPr>
        <w:footnoteRef/>
      </w:r>
      <w:r>
        <w:t xml:space="preserve"> Submission 23, ACT Greens. </w:t>
      </w:r>
    </w:p>
  </w:footnote>
  <w:footnote w:id="190">
    <w:p w14:paraId="1F4EFCB9" w14:textId="269D4BF7" w:rsidR="003768CC" w:rsidRDefault="003768CC">
      <w:pPr>
        <w:pStyle w:val="FootnoteText"/>
      </w:pPr>
      <w:r>
        <w:rPr>
          <w:rStyle w:val="FootnoteReference"/>
        </w:rPr>
        <w:footnoteRef/>
      </w:r>
      <w:r>
        <w:t xml:space="preserve"> Submission 24, Canberra Progressives; Submission 28, </w:t>
      </w:r>
      <w:proofErr w:type="spellStart"/>
      <w:r>
        <w:t>Belco</w:t>
      </w:r>
      <w:proofErr w:type="spellEnd"/>
      <w:r>
        <w:t xml:space="preserve"> Party.</w:t>
      </w:r>
    </w:p>
  </w:footnote>
  <w:footnote w:id="191">
    <w:p w14:paraId="2748675F" w14:textId="600F2962" w:rsidR="003768CC" w:rsidRDefault="003768CC">
      <w:pPr>
        <w:pStyle w:val="FootnoteText"/>
      </w:pPr>
      <w:r>
        <w:rPr>
          <w:rStyle w:val="FootnoteReference"/>
        </w:rPr>
        <w:footnoteRef/>
      </w:r>
      <w:r>
        <w:t xml:space="preserve"> Submission 24, Canberra Progressives. </w:t>
      </w:r>
    </w:p>
  </w:footnote>
  <w:footnote w:id="192">
    <w:p w14:paraId="4B6653B1" w14:textId="10A26B63" w:rsidR="003768CC" w:rsidRDefault="003768CC">
      <w:pPr>
        <w:pStyle w:val="FootnoteText"/>
      </w:pPr>
      <w:r>
        <w:rPr>
          <w:rStyle w:val="FootnoteReference"/>
        </w:rPr>
        <w:footnoteRef/>
      </w:r>
      <w:r>
        <w:t xml:space="preserve"> Submission 8, ACT Electoral Commission, recommendation 7, p. 31.</w:t>
      </w:r>
    </w:p>
  </w:footnote>
  <w:footnote w:id="193">
    <w:p w14:paraId="10C86E65" w14:textId="26A7AD29" w:rsidR="003768CC" w:rsidRDefault="003768CC">
      <w:pPr>
        <w:pStyle w:val="FootnoteText"/>
      </w:pPr>
      <w:r w:rsidRPr="00B16189">
        <w:rPr>
          <w:rStyle w:val="FootnoteReference"/>
        </w:rPr>
        <w:footnoteRef/>
      </w:r>
      <w:r w:rsidRPr="00B16189">
        <w:t xml:space="preserve"> Submission 23, ACT Greens; Submission 18, Bruce Paine; </w:t>
      </w:r>
      <w:proofErr w:type="spellStart"/>
      <w:r w:rsidRPr="00B16189">
        <w:t>Submisison</w:t>
      </w:r>
      <w:proofErr w:type="spellEnd"/>
      <w:r w:rsidRPr="00B16189">
        <w:t xml:space="preserve"> 19, ACT </w:t>
      </w:r>
      <w:proofErr w:type="spellStart"/>
      <w:r w:rsidRPr="00B16189">
        <w:t>Labor</w:t>
      </w:r>
      <w:proofErr w:type="spellEnd"/>
      <w:r w:rsidRPr="00B16189">
        <w:t>.</w:t>
      </w:r>
      <w:r>
        <w:t xml:space="preserve"> </w:t>
      </w:r>
    </w:p>
  </w:footnote>
  <w:footnote w:id="194">
    <w:p w14:paraId="2D0B9F46" w14:textId="5374A249" w:rsidR="003768CC" w:rsidRDefault="003768CC">
      <w:pPr>
        <w:pStyle w:val="FootnoteText"/>
      </w:pPr>
      <w:r>
        <w:rPr>
          <w:rStyle w:val="FootnoteReference"/>
        </w:rPr>
        <w:footnoteRef/>
      </w:r>
      <w:r>
        <w:t xml:space="preserve"> Submission 8, ACT Electoral Commission, p. 52.</w:t>
      </w:r>
    </w:p>
  </w:footnote>
  <w:footnote w:id="195">
    <w:p w14:paraId="78BD8EA2" w14:textId="1E0D918B" w:rsidR="003768CC" w:rsidRDefault="003768CC">
      <w:pPr>
        <w:pStyle w:val="FootnoteText"/>
      </w:pPr>
      <w:r>
        <w:rPr>
          <w:rStyle w:val="FootnoteReference"/>
        </w:rPr>
        <w:footnoteRef/>
      </w:r>
      <w:r>
        <w:t xml:space="preserve"> Submission 8, ACT Electoral Commission, recommendation 17, p. 51.</w:t>
      </w:r>
    </w:p>
  </w:footnote>
  <w:footnote w:id="196">
    <w:p w14:paraId="589A59BA" w14:textId="6D30CC52" w:rsidR="003768CC" w:rsidRDefault="003768CC">
      <w:pPr>
        <w:pStyle w:val="FootnoteText"/>
      </w:pPr>
      <w:r>
        <w:rPr>
          <w:rStyle w:val="FootnoteReference"/>
        </w:rPr>
        <w:footnoteRef/>
      </w:r>
      <w:r>
        <w:t xml:space="preserve"> Submission 19, ACT </w:t>
      </w:r>
      <w:proofErr w:type="spellStart"/>
      <w:r>
        <w:t>Labor</w:t>
      </w:r>
      <w:proofErr w:type="spellEnd"/>
      <w:r>
        <w:t>, p. 8.</w:t>
      </w:r>
    </w:p>
  </w:footnote>
  <w:footnote w:id="197">
    <w:p w14:paraId="35B49AC2" w14:textId="5C071536" w:rsidR="003768CC" w:rsidRDefault="003768CC">
      <w:pPr>
        <w:pStyle w:val="FootnoteText"/>
      </w:pPr>
      <w:r>
        <w:rPr>
          <w:rStyle w:val="FootnoteReference"/>
        </w:rPr>
        <w:footnoteRef/>
      </w:r>
      <w:r>
        <w:t xml:space="preserve"> Submission 19, ACT </w:t>
      </w:r>
      <w:proofErr w:type="spellStart"/>
      <w:r>
        <w:t>Labor</w:t>
      </w:r>
      <w:proofErr w:type="spellEnd"/>
      <w:r>
        <w:t>.</w:t>
      </w:r>
    </w:p>
  </w:footnote>
  <w:footnote w:id="198">
    <w:p w14:paraId="5066AAD1" w14:textId="492F95B7" w:rsidR="003768CC" w:rsidRDefault="003768CC">
      <w:pPr>
        <w:pStyle w:val="FootnoteText"/>
      </w:pPr>
      <w:r>
        <w:rPr>
          <w:rStyle w:val="FootnoteReference"/>
        </w:rPr>
        <w:footnoteRef/>
      </w:r>
      <w:r>
        <w:t xml:space="preserve"> Section 9 Commonwealth Electoral (Authorisation of Voter Communication) Determination 2018, </w:t>
      </w:r>
      <w:hyperlink r:id="rId31" w:history="1">
        <w:r w:rsidRPr="00312212">
          <w:rPr>
            <w:rStyle w:val="Hyperlink"/>
          </w:rPr>
          <w:t>https://www.legislation.gov.au/Details/F2018L00139</w:t>
        </w:r>
      </w:hyperlink>
      <w:r>
        <w:t xml:space="preserve">.  </w:t>
      </w:r>
    </w:p>
  </w:footnote>
  <w:footnote w:id="199">
    <w:p w14:paraId="58BC24C6" w14:textId="0C597E8C" w:rsidR="003768CC" w:rsidRDefault="003768CC">
      <w:pPr>
        <w:pStyle w:val="FootnoteText"/>
      </w:pPr>
      <w:r>
        <w:rPr>
          <w:rStyle w:val="FootnoteReference"/>
        </w:rPr>
        <w:footnoteRef/>
      </w:r>
      <w:r>
        <w:t xml:space="preserve"> Submission 8, ACT Electoral Commission, recommendation 15, p. 51.</w:t>
      </w:r>
    </w:p>
  </w:footnote>
  <w:footnote w:id="200">
    <w:p w14:paraId="5E02ABCE" w14:textId="67DA35A1" w:rsidR="003768CC" w:rsidRDefault="003768CC">
      <w:pPr>
        <w:pStyle w:val="FootnoteText"/>
      </w:pPr>
      <w:r>
        <w:rPr>
          <w:rStyle w:val="FootnoteReference"/>
        </w:rPr>
        <w:footnoteRef/>
      </w:r>
      <w:r>
        <w:t xml:space="preserve"> Section 9 Commonwealth Electoral (Authorisation of Voter Communication) Determination 2018, </w:t>
      </w:r>
      <w:hyperlink r:id="rId32" w:history="1">
        <w:r w:rsidRPr="00312212">
          <w:rPr>
            <w:rStyle w:val="Hyperlink"/>
          </w:rPr>
          <w:t>https://www.legislation.gov.au/Details/F2018L00139</w:t>
        </w:r>
      </w:hyperlink>
      <w:r>
        <w:t xml:space="preserve">.  </w:t>
      </w:r>
    </w:p>
  </w:footnote>
  <w:footnote w:id="201">
    <w:p w14:paraId="220C657C" w14:textId="76DA4D07" w:rsidR="003768CC" w:rsidRDefault="003768CC">
      <w:pPr>
        <w:pStyle w:val="FootnoteText"/>
      </w:pPr>
      <w:r>
        <w:rPr>
          <w:rStyle w:val="FootnoteReference"/>
        </w:rPr>
        <w:footnoteRef/>
      </w:r>
      <w:r>
        <w:t xml:space="preserve"> Submission 8, ACT Electoral Commission, recommendation 16, p. 51. </w:t>
      </w:r>
    </w:p>
  </w:footnote>
  <w:footnote w:id="202">
    <w:p w14:paraId="1B2D04D6" w14:textId="5568D970" w:rsidR="003768CC" w:rsidRDefault="003768CC">
      <w:pPr>
        <w:pStyle w:val="FootnoteText"/>
      </w:pPr>
      <w:r>
        <w:rPr>
          <w:rStyle w:val="FootnoteReference"/>
        </w:rPr>
        <w:footnoteRef/>
      </w:r>
      <w:r>
        <w:t xml:space="preserve"> Submission 8, ACT Electoral Commission, p. 51.</w:t>
      </w:r>
    </w:p>
  </w:footnote>
  <w:footnote w:id="203">
    <w:p w14:paraId="396ADDDE" w14:textId="135EACD5" w:rsidR="003768CC" w:rsidRDefault="003768CC">
      <w:pPr>
        <w:pStyle w:val="FootnoteText"/>
      </w:pPr>
      <w:r>
        <w:rPr>
          <w:rStyle w:val="FootnoteReference"/>
        </w:rPr>
        <w:footnoteRef/>
      </w:r>
      <w:r>
        <w:t xml:space="preserve"> Submission 5, Mark Fletcher; Submission 14, ACTCOSS.</w:t>
      </w:r>
    </w:p>
  </w:footnote>
  <w:footnote w:id="204">
    <w:p w14:paraId="5A32E9E6" w14:textId="04537F57" w:rsidR="003768CC" w:rsidRDefault="003768CC">
      <w:pPr>
        <w:pStyle w:val="FootnoteText"/>
      </w:pPr>
      <w:r>
        <w:rPr>
          <w:rStyle w:val="FootnoteReference"/>
        </w:rPr>
        <w:footnoteRef/>
      </w:r>
      <w:r>
        <w:t xml:space="preserve"> Submission 14, ACTCOSS, pp. 2-3.</w:t>
      </w:r>
    </w:p>
  </w:footnote>
  <w:footnote w:id="205">
    <w:p w14:paraId="4577C24D" w14:textId="62FF2928" w:rsidR="003768CC" w:rsidRDefault="003768CC">
      <w:pPr>
        <w:pStyle w:val="FootnoteText"/>
      </w:pPr>
      <w:r>
        <w:rPr>
          <w:rStyle w:val="FootnoteReference"/>
        </w:rPr>
        <w:footnoteRef/>
      </w:r>
      <w:r>
        <w:t xml:space="preserve"> Proof Transcript of Evidence, 19 May 2021</w:t>
      </w:r>
      <w:r w:rsidRPr="00100D47">
        <w:t xml:space="preserve">, </w:t>
      </w:r>
      <w:r>
        <w:t>p. 19.</w:t>
      </w:r>
    </w:p>
  </w:footnote>
  <w:footnote w:id="206">
    <w:p w14:paraId="5B59F6FA" w14:textId="42FD5169" w:rsidR="003768CC" w:rsidRDefault="003768CC">
      <w:pPr>
        <w:pStyle w:val="FootnoteText"/>
      </w:pPr>
      <w:r>
        <w:rPr>
          <w:rStyle w:val="FootnoteReference"/>
        </w:rPr>
        <w:footnoteRef/>
      </w:r>
      <w:r>
        <w:t xml:space="preserve"> Submission 14, ACTCOSS, p. 3.</w:t>
      </w:r>
    </w:p>
  </w:footnote>
  <w:footnote w:id="207">
    <w:p w14:paraId="194E0AA8" w14:textId="0F2244D7" w:rsidR="003768CC" w:rsidRDefault="003768CC">
      <w:pPr>
        <w:pStyle w:val="FootnoteText"/>
      </w:pPr>
      <w:r>
        <w:rPr>
          <w:rStyle w:val="FootnoteReference"/>
        </w:rPr>
        <w:footnoteRef/>
      </w:r>
      <w:r>
        <w:t xml:space="preserve"> Submission 14, ACTCOSS, p. 3.</w:t>
      </w:r>
    </w:p>
  </w:footnote>
  <w:footnote w:id="208">
    <w:p w14:paraId="1ECAC5D6" w14:textId="33D7C0B4" w:rsidR="003768CC" w:rsidRDefault="003768CC">
      <w:pPr>
        <w:pStyle w:val="FootnoteText"/>
      </w:pPr>
      <w:r>
        <w:rPr>
          <w:rStyle w:val="FootnoteReference"/>
        </w:rPr>
        <w:footnoteRef/>
      </w:r>
      <w:r>
        <w:t xml:space="preserve"> Proof Transcript of Evidence, 19 May 2021</w:t>
      </w:r>
      <w:r w:rsidRPr="00100D47">
        <w:t xml:space="preserve">, </w:t>
      </w:r>
      <w:r>
        <w:t>p. 19.</w:t>
      </w:r>
    </w:p>
  </w:footnote>
  <w:footnote w:id="209">
    <w:p w14:paraId="41B5BDA0" w14:textId="096A444F" w:rsidR="003768CC" w:rsidRDefault="003768CC" w:rsidP="00DC20D8">
      <w:pPr>
        <w:pStyle w:val="FootnoteText"/>
      </w:pPr>
      <w:r>
        <w:rPr>
          <w:rStyle w:val="FootnoteReference"/>
        </w:rPr>
        <w:footnoteRef/>
      </w:r>
      <w:r>
        <w:t xml:space="preserve"> Submission 14, ACTCOSS, p. 2. </w:t>
      </w:r>
    </w:p>
  </w:footnote>
  <w:footnote w:id="210">
    <w:p w14:paraId="1BFCA9C8" w14:textId="424A85D8" w:rsidR="003768CC" w:rsidRDefault="003768CC">
      <w:pPr>
        <w:pStyle w:val="FootnoteText"/>
      </w:pPr>
      <w:r>
        <w:rPr>
          <w:rStyle w:val="FootnoteReference"/>
        </w:rPr>
        <w:footnoteRef/>
      </w:r>
      <w:r>
        <w:t xml:space="preserve"> Proof Transcript of Evidence, 19 May 2021</w:t>
      </w:r>
      <w:r w:rsidRPr="00100D47">
        <w:t xml:space="preserve">, </w:t>
      </w:r>
      <w:r>
        <w:t>p. 15.</w:t>
      </w:r>
    </w:p>
  </w:footnote>
  <w:footnote w:id="211">
    <w:p w14:paraId="0F4E3D8F" w14:textId="5E396304" w:rsidR="003768CC" w:rsidRDefault="003768CC">
      <w:pPr>
        <w:pStyle w:val="FootnoteText"/>
      </w:pPr>
      <w:r>
        <w:rPr>
          <w:rStyle w:val="FootnoteReference"/>
        </w:rPr>
        <w:footnoteRef/>
      </w:r>
      <w:r>
        <w:t xml:space="preserve"> Submission 5, Mark Fletcher. </w:t>
      </w:r>
    </w:p>
  </w:footnote>
  <w:footnote w:id="212">
    <w:p w14:paraId="2AC47FF6" w14:textId="7EAAA824" w:rsidR="003768CC" w:rsidRDefault="003768CC">
      <w:pPr>
        <w:pStyle w:val="FootnoteText"/>
      </w:pPr>
      <w:r>
        <w:rPr>
          <w:rStyle w:val="FootnoteReference"/>
        </w:rPr>
        <w:footnoteRef/>
      </w:r>
      <w:r>
        <w:t xml:space="preserve"> Submission 10, Canberra Liberals.</w:t>
      </w:r>
    </w:p>
  </w:footnote>
  <w:footnote w:id="213">
    <w:p w14:paraId="7F6ABBED" w14:textId="11228396" w:rsidR="003768CC" w:rsidRDefault="003768CC">
      <w:pPr>
        <w:pStyle w:val="FootnoteText"/>
      </w:pPr>
      <w:r>
        <w:rPr>
          <w:rStyle w:val="FootnoteReference"/>
        </w:rPr>
        <w:footnoteRef/>
      </w:r>
      <w:r>
        <w:t xml:space="preserve"> Submission 22, Liberal Democrats.</w:t>
      </w:r>
    </w:p>
  </w:footnote>
  <w:footnote w:id="214">
    <w:p w14:paraId="36099F24" w14:textId="4BBBE15D" w:rsidR="003768CC" w:rsidRDefault="003768CC">
      <w:pPr>
        <w:pStyle w:val="FootnoteText"/>
      </w:pPr>
      <w:r>
        <w:rPr>
          <w:rStyle w:val="FootnoteReference"/>
        </w:rPr>
        <w:footnoteRef/>
      </w:r>
      <w:r>
        <w:t xml:space="preserve"> Proof Transcript of Evidence, 26 May 2021</w:t>
      </w:r>
      <w:r w:rsidRPr="00100D47">
        <w:t xml:space="preserve">, </w:t>
      </w:r>
      <w:r>
        <w:t>p. 73.</w:t>
      </w:r>
    </w:p>
  </w:footnote>
  <w:footnote w:id="215">
    <w:p w14:paraId="112363BD" w14:textId="7C204D6A" w:rsidR="003768CC" w:rsidRDefault="003768CC">
      <w:pPr>
        <w:pStyle w:val="FootnoteText"/>
      </w:pPr>
      <w:r>
        <w:rPr>
          <w:rStyle w:val="FootnoteReference"/>
        </w:rPr>
        <w:footnoteRef/>
      </w:r>
      <w:r>
        <w:t xml:space="preserve"> Submission 22, Liberal Democrats, p. 18.</w:t>
      </w:r>
    </w:p>
  </w:footnote>
  <w:footnote w:id="216">
    <w:p w14:paraId="46DA19E1" w14:textId="2D181B7F" w:rsidR="003768CC" w:rsidRDefault="003768CC" w:rsidP="005F4E33">
      <w:pPr>
        <w:pStyle w:val="FootnoteText"/>
      </w:pPr>
      <w:r>
        <w:rPr>
          <w:rStyle w:val="FootnoteReference"/>
        </w:rPr>
        <w:footnoteRef/>
      </w:r>
      <w:r>
        <w:t xml:space="preserve"> Submission 5, Mark Fletcher.</w:t>
      </w:r>
    </w:p>
  </w:footnote>
  <w:footnote w:id="217">
    <w:p w14:paraId="381F99C4" w14:textId="606F3BDA" w:rsidR="003768CC" w:rsidRDefault="003768CC" w:rsidP="005F4E33">
      <w:pPr>
        <w:pStyle w:val="FootnoteText"/>
      </w:pPr>
      <w:r>
        <w:rPr>
          <w:rStyle w:val="FootnoteReference"/>
        </w:rPr>
        <w:footnoteRef/>
      </w:r>
      <w:r>
        <w:t xml:space="preserve"> Submission 5, Mark Fletcher, p. 4.</w:t>
      </w:r>
    </w:p>
  </w:footnote>
  <w:footnote w:id="218">
    <w:p w14:paraId="4C72ABB4" w14:textId="7FDAB4ED" w:rsidR="003768CC" w:rsidRDefault="003768CC">
      <w:pPr>
        <w:pStyle w:val="FootnoteText"/>
      </w:pPr>
      <w:r>
        <w:rPr>
          <w:rStyle w:val="FootnoteReference"/>
        </w:rPr>
        <w:footnoteRef/>
      </w:r>
      <w:r>
        <w:t xml:space="preserve"> Submission 8, ACT Electoral Commission, recommendation 18, p. 54.</w:t>
      </w:r>
    </w:p>
  </w:footnote>
  <w:footnote w:id="219">
    <w:p w14:paraId="46F1BC68" w14:textId="7B66902F" w:rsidR="003768CC" w:rsidRDefault="003768CC">
      <w:pPr>
        <w:pStyle w:val="FootnoteText"/>
      </w:pPr>
      <w:r>
        <w:rPr>
          <w:rStyle w:val="FootnoteReference"/>
        </w:rPr>
        <w:footnoteRef/>
      </w:r>
      <w:r>
        <w:t xml:space="preserve"> Submission 8, ACT Electoral Commission, p. 54.</w:t>
      </w:r>
    </w:p>
  </w:footnote>
  <w:footnote w:id="220">
    <w:p w14:paraId="338F4BA6" w14:textId="582F7F2B" w:rsidR="003768CC" w:rsidRDefault="003768CC">
      <w:pPr>
        <w:pStyle w:val="FootnoteText"/>
      </w:pPr>
      <w:r>
        <w:rPr>
          <w:rStyle w:val="FootnoteReference"/>
        </w:rPr>
        <w:footnoteRef/>
      </w:r>
      <w:r>
        <w:t xml:space="preserve"> Submission 8, ACT Electoral Commission, p. 54.</w:t>
      </w:r>
    </w:p>
  </w:footnote>
  <w:footnote w:id="221">
    <w:p w14:paraId="30052025" w14:textId="76F06147" w:rsidR="003768CC" w:rsidRDefault="003768CC">
      <w:pPr>
        <w:pStyle w:val="FootnoteText"/>
      </w:pPr>
      <w:r>
        <w:rPr>
          <w:rStyle w:val="FootnoteReference"/>
        </w:rPr>
        <w:footnoteRef/>
      </w:r>
      <w:r>
        <w:t xml:space="preserve"> Submission 8, ACT Electoral Commission, p. 55.</w:t>
      </w:r>
    </w:p>
  </w:footnote>
  <w:footnote w:id="222">
    <w:p w14:paraId="22F86078" w14:textId="4A1DBCD1" w:rsidR="003768CC" w:rsidRDefault="003768CC">
      <w:pPr>
        <w:pStyle w:val="FootnoteText"/>
      </w:pPr>
      <w:r>
        <w:rPr>
          <w:rStyle w:val="FootnoteReference"/>
        </w:rPr>
        <w:footnoteRef/>
      </w:r>
      <w:r>
        <w:t xml:space="preserve"> Proof Transcript of Evidence, 19 May 2021</w:t>
      </w:r>
      <w:r w:rsidRPr="00100D47">
        <w:t xml:space="preserve">, </w:t>
      </w:r>
      <w:r>
        <w:t>p. 13.</w:t>
      </w:r>
    </w:p>
  </w:footnote>
  <w:footnote w:id="223">
    <w:p w14:paraId="3CF46846" w14:textId="6D58E773" w:rsidR="003768CC" w:rsidRDefault="003768CC">
      <w:pPr>
        <w:pStyle w:val="FootnoteText"/>
      </w:pPr>
      <w:r>
        <w:rPr>
          <w:rStyle w:val="FootnoteReference"/>
        </w:rPr>
        <w:footnoteRef/>
      </w:r>
      <w:r>
        <w:t xml:space="preserve"> Submission 23, ACT Greens, p. 3.</w:t>
      </w:r>
    </w:p>
  </w:footnote>
  <w:footnote w:id="224">
    <w:p w14:paraId="6106AE60" w14:textId="6AD5EF00" w:rsidR="003768CC" w:rsidRDefault="003768CC">
      <w:pPr>
        <w:pStyle w:val="FootnoteText"/>
      </w:pPr>
      <w:r>
        <w:rPr>
          <w:rStyle w:val="FootnoteReference"/>
        </w:rPr>
        <w:footnoteRef/>
      </w:r>
      <w:r>
        <w:t xml:space="preserve"> Submission 13, </w:t>
      </w:r>
      <w:r w:rsidRPr="005309F6">
        <w:t>Australian National University Law Reform and Social Justice Research Hub</w:t>
      </w:r>
      <w:r>
        <w:t>.</w:t>
      </w:r>
    </w:p>
  </w:footnote>
  <w:footnote w:id="225">
    <w:p w14:paraId="7EEAD50B" w14:textId="09760D1C" w:rsidR="003768CC" w:rsidRDefault="003768CC">
      <w:pPr>
        <w:pStyle w:val="FootnoteText"/>
      </w:pPr>
      <w:r>
        <w:rPr>
          <w:rStyle w:val="FootnoteReference"/>
        </w:rPr>
        <w:footnoteRef/>
      </w:r>
      <w:r>
        <w:t xml:space="preserve"> Proof Transcript of Evidence, 19 May 2021</w:t>
      </w:r>
      <w:r w:rsidRPr="00100D47">
        <w:t xml:space="preserve">, </w:t>
      </w:r>
      <w:r w:rsidRPr="0005586B">
        <w:t>p. 22</w:t>
      </w:r>
      <w:r>
        <w:t>.</w:t>
      </w:r>
    </w:p>
  </w:footnote>
  <w:footnote w:id="226">
    <w:p w14:paraId="7A47070B" w14:textId="4B7301CE" w:rsidR="003768CC" w:rsidRDefault="003768CC">
      <w:pPr>
        <w:pStyle w:val="FootnoteText"/>
      </w:pPr>
      <w:r>
        <w:rPr>
          <w:rStyle w:val="FootnoteReference"/>
        </w:rPr>
        <w:footnoteRef/>
      </w:r>
      <w:r>
        <w:t xml:space="preserve"> Submission 13, </w:t>
      </w:r>
      <w:r w:rsidRPr="005309F6">
        <w:t>Australian National University Law Reform and Social Justice Research Hub</w:t>
      </w:r>
      <w:r>
        <w:t>.</w:t>
      </w:r>
    </w:p>
  </w:footnote>
  <w:footnote w:id="227">
    <w:p w14:paraId="5E4566F0" w14:textId="7F4A1F29" w:rsidR="003768CC" w:rsidRDefault="003768CC" w:rsidP="0005586B">
      <w:pPr>
        <w:pStyle w:val="FootnoteText"/>
      </w:pPr>
      <w:r>
        <w:rPr>
          <w:rStyle w:val="FootnoteReference"/>
        </w:rPr>
        <w:footnoteRef/>
      </w:r>
      <w:r>
        <w:t xml:space="preserve"> Submission 13, </w:t>
      </w:r>
      <w:r w:rsidRPr="005309F6">
        <w:t>Australian National University Law Reform and Social Justice Research Hub</w:t>
      </w:r>
      <w:r>
        <w:t>.</w:t>
      </w:r>
    </w:p>
  </w:footnote>
  <w:footnote w:id="228">
    <w:p w14:paraId="63B07E57" w14:textId="6FC03B67" w:rsidR="003768CC" w:rsidRDefault="003768CC">
      <w:pPr>
        <w:pStyle w:val="FootnoteText"/>
      </w:pPr>
      <w:r>
        <w:rPr>
          <w:rStyle w:val="FootnoteReference"/>
        </w:rPr>
        <w:footnoteRef/>
      </w:r>
      <w:r>
        <w:t xml:space="preserve"> Submission 13, </w:t>
      </w:r>
      <w:r w:rsidRPr="005309F6">
        <w:t>Australian National University Law Reform and Social Justice Research Hub</w:t>
      </w:r>
      <w:r>
        <w:t>.</w:t>
      </w:r>
    </w:p>
  </w:footnote>
  <w:footnote w:id="229">
    <w:p w14:paraId="735D08E8" w14:textId="35FE92C3" w:rsidR="003768CC" w:rsidRDefault="003768CC">
      <w:pPr>
        <w:pStyle w:val="FootnoteText"/>
      </w:pPr>
      <w:r>
        <w:rPr>
          <w:rStyle w:val="FootnoteReference"/>
        </w:rPr>
        <w:footnoteRef/>
      </w:r>
      <w:r>
        <w:t xml:space="preserve"> Submission 29m Australia Institute.</w:t>
      </w:r>
    </w:p>
  </w:footnote>
  <w:footnote w:id="230">
    <w:p w14:paraId="12CB86CC" w14:textId="2767ABF8" w:rsidR="003768CC" w:rsidRDefault="003768CC">
      <w:pPr>
        <w:pStyle w:val="FootnoteText"/>
      </w:pPr>
      <w:r>
        <w:rPr>
          <w:rStyle w:val="FootnoteReference"/>
        </w:rPr>
        <w:footnoteRef/>
      </w:r>
      <w:r>
        <w:t xml:space="preserve"> Submission 8, ACT Electoral Commission, p</w:t>
      </w:r>
      <w:r w:rsidRPr="00136411">
        <w:t>. 25</w:t>
      </w:r>
      <w:r>
        <w:t>.</w:t>
      </w:r>
    </w:p>
  </w:footnote>
  <w:footnote w:id="231">
    <w:p w14:paraId="6EC0F21A" w14:textId="5EF5521A" w:rsidR="003768CC" w:rsidRDefault="003768CC">
      <w:pPr>
        <w:pStyle w:val="FootnoteText"/>
      </w:pPr>
      <w:r>
        <w:rPr>
          <w:rStyle w:val="FootnoteReference"/>
        </w:rPr>
        <w:footnoteRef/>
      </w:r>
      <w:r>
        <w:t xml:space="preserve"> Submission 21, Martin Miller; Submission 18, Bruce Paine.</w:t>
      </w:r>
    </w:p>
  </w:footnote>
  <w:footnote w:id="232">
    <w:p w14:paraId="65E7237B" w14:textId="3C4A2FB6" w:rsidR="003768CC" w:rsidRDefault="003768CC">
      <w:pPr>
        <w:pStyle w:val="FootnoteText"/>
      </w:pPr>
      <w:r>
        <w:rPr>
          <w:rStyle w:val="FootnoteReference"/>
        </w:rPr>
        <w:footnoteRef/>
      </w:r>
      <w:r>
        <w:t xml:space="preserve"> Proof Transcript of Evidence, 26 May 2021</w:t>
      </w:r>
      <w:r w:rsidRPr="00100D47">
        <w:t xml:space="preserve">, </w:t>
      </w:r>
      <w:r>
        <w:t>p. 83.</w:t>
      </w:r>
    </w:p>
  </w:footnote>
  <w:footnote w:id="233">
    <w:p w14:paraId="5EF77BFE" w14:textId="2B8F8B85" w:rsidR="003768CC" w:rsidRDefault="003768CC">
      <w:pPr>
        <w:pStyle w:val="FootnoteText"/>
      </w:pPr>
      <w:r>
        <w:rPr>
          <w:rStyle w:val="FootnoteReference"/>
        </w:rPr>
        <w:footnoteRef/>
      </w:r>
      <w:r>
        <w:t xml:space="preserve"> Exhibit tabled by Bruce Paine on 26 May 2021, available at  </w:t>
      </w:r>
      <w:hyperlink r:id="rId33" w:history="1">
        <w:r w:rsidRPr="00E36677">
          <w:rPr>
            <w:rStyle w:val="Hyperlink"/>
          </w:rPr>
          <w:t>https://www.parliament.act.gov.au/__data/assets/pdf_file/0005/1775840/210526-Bruce-Paine-Scanned-version.pdf</w:t>
        </w:r>
      </w:hyperlink>
      <w:r>
        <w:t xml:space="preserve"> </w:t>
      </w:r>
    </w:p>
  </w:footnote>
  <w:footnote w:id="234">
    <w:p w14:paraId="53581400" w14:textId="5428C5AF" w:rsidR="003768CC" w:rsidRDefault="003768CC">
      <w:pPr>
        <w:pStyle w:val="FootnoteText"/>
      </w:pPr>
      <w:r>
        <w:rPr>
          <w:rStyle w:val="FootnoteReference"/>
        </w:rPr>
        <w:footnoteRef/>
      </w:r>
      <w:r>
        <w:t xml:space="preserve"> Proof Transcript of Evidence, 26 May 2021</w:t>
      </w:r>
      <w:r w:rsidRPr="00100D47">
        <w:t xml:space="preserve">, </w:t>
      </w:r>
      <w:r>
        <w:t>p. 83.</w:t>
      </w:r>
    </w:p>
  </w:footnote>
  <w:footnote w:id="235">
    <w:p w14:paraId="0272707A" w14:textId="76F08329" w:rsidR="003768CC" w:rsidRDefault="003768CC">
      <w:pPr>
        <w:pStyle w:val="FootnoteText"/>
      </w:pPr>
      <w:r>
        <w:rPr>
          <w:rStyle w:val="FootnoteReference"/>
        </w:rPr>
        <w:footnoteRef/>
      </w:r>
      <w:r>
        <w:t xml:space="preserve"> Proof Transcript of Evidence, 26 May 2021</w:t>
      </w:r>
      <w:r w:rsidRPr="00100D47">
        <w:t xml:space="preserve">, </w:t>
      </w:r>
      <w:r>
        <w:t>p. 84.</w:t>
      </w:r>
    </w:p>
  </w:footnote>
  <w:footnote w:id="236">
    <w:p w14:paraId="47DADB20" w14:textId="5C142770" w:rsidR="003768CC" w:rsidRDefault="003768CC">
      <w:pPr>
        <w:pStyle w:val="FootnoteText"/>
      </w:pPr>
      <w:r>
        <w:rPr>
          <w:rStyle w:val="FootnoteReference"/>
        </w:rPr>
        <w:footnoteRef/>
      </w:r>
      <w:r>
        <w:t xml:space="preserve"> Submission 21, Martin Miller.</w:t>
      </w:r>
    </w:p>
  </w:footnote>
  <w:footnote w:id="237">
    <w:p w14:paraId="54BB3181" w14:textId="1D5B6FB6" w:rsidR="003768CC" w:rsidRDefault="003768CC">
      <w:pPr>
        <w:pStyle w:val="FootnoteText"/>
      </w:pPr>
      <w:r>
        <w:rPr>
          <w:rStyle w:val="FootnoteReference"/>
        </w:rPr>
        <w:footnoteRef/>
      </w:r>
      <w:r>
        <w:t xml:space="preserve"> Bruce Paine, supplementary submission.</w:t>
      </w:r>
    </w:p>
  </w:footnote>
  <w:footnote w:id="238">
    <w:p w14:paraId="53D0B094" w14:textId="380982AB" w:rsidR="003768CC" w:rsidRDefault="003768CC">
      <w:pPr>
        <w:pStyle w:val="FootnoteText"/>
      </w:pPr>
      <w:r>
        <w:rPr>
          <w:rStyle w:val="FootnoteReference"/>
        </w:rPr>
        <w:footnoteRef/>
      </w:r>
      <w:r>
        <w:t xml:space="preserve"> Submission 18, Bruce Paine.</w:t>
      </w:r>
    </w:p>
  </w:footnote>
  <w:footnote w:id="239">
    <w:p w14:paraId="2F801AC3" w14:textId="5D7E785A" w:rsidR="003768CC" w:rsidRDefault="003768CC">
      <w:pPr>
        <w:pStyle w:val="FootnoteText"/>
      </w:pPr>
      <w:r>
        <w:rPr>
          <w:rStyle w:val="FootnoteReference"/>
        </w:rPr>
        <w:footnoteRef/>
      </w:r>
      <w:r>
        <w:t xml:space="preserve"> Submission 23, ACT Greens, p. 23.</w:t>
      </w:r>
    </w:p>
  </w:footnote>
  <w:footnote w:id="240">
    <w:p w14:paraId="2BE64E2C" w14:textId="78B00A6F" w:rsidR="003768CC" w:rsidRDefault="003768CC">
      <w:pPr>
        <w:pStyle w:val="FootnoteText"/>
      </w:pPr>
      <w:r>
        <w:rPr>
          <w:rStyle w:val="FootnoteReference"/>
        </w:rPr>
        <w:footnoteRef/>
      </w:r>
      <w:r>
        <w:t xml:space="preserve"> Submission 15, Caroline Le Couteur; Submission 25, </w:t>
      </w:r>
      <w:proofErr w:type="spellStart"/>
      <w:r>
        <w:t>Mignonne</w:t>
      </w:r>
      <w:proofErr w:type="spellEnd"/>
      <w:r>
        <w:t xml:space="preserve"> Cullen.</w:t>
      </w:r>
    </w:p>
  </w:footnote>
  <w:footnote w:id="241">
    <w:p w14:paraId="4E2BB684" w14:textId="14FAD48F" w:rsidR="003768CC" w:rsidRDefault="003768CC">
      <w:pPr>
        <w:pStyle w:val="FootnoteText"/>
      </w:pPr>
      <w:r>
        <w:rPr>
          <w:rStyle w:val="FootnoteReference"/>
        </w:rPr>
        <w:footnoteRef/>
      </w:r>
      <w:r>
        <w:t xml:space="preserve"> Submission 21, Martin Miller.</w:t>
      </w:r>
    </w:p>
  </w:footnote>
  <w:footnote w:id="242">
    <w:p w14:paraId="08294139" w14:textId="7D3FCD4B" w:rsidR="003768CC" w:rsidRDefault="003768CC">
      <w:pPr>
        <w:pStyle w:val="FootnoteText"/>
      </w:pPr>
      <w:r>
        <w:rPr>
          <w:rStyle w:val="FootnoteReference"/>
        </w:rPr>
        <w:footnoteRef/>
      </w:r>
      <w:r>
        <w:t xml:space="preserve"> Submission 21, Martin Miller.</w:t>
      </w:r>
    </w:p>
  </w:footnote>
  <w:footnote w:id="243">
    <w:p w14:paraId="145632CF" w14:textId="1CB02288" w:rsidR="003768CC" w:rsidRDefault="003768CC">
      <w:pPr>
        <w:pStyle w:val="FootnoteText"/>
      </w:pPr>
      <w:r>
        <w:rPr>
          <w:rStyle w:val="FootnoteReference"/>
        </w:rPr>
        <w:footnoteRef/>
      </w:r>
      <w:r>
        <w:t xml:space="preserve"> Submission 18, Bruce Paine.</w:t>
      </w:r>
    </w:p>
  </w:footnote>
  <w:footnote w:id="244">
    <w:p w14:paraId="5E03A7DB" w14:textId="4AA27D45" w:rsidR="003768CC" w:rsidRDefault="003768CC">
      <w:pPr>
        <w:pStyle w:val="FootnoteText"/>
      </w:pPr>
      <w:r>
        <w:rPr>
          <w:rStyle w:val="FootnoteReference"/>
        </w:rPr>
        <w:footnoteRef/>
      </w:r>
      <w:r>
        <w:t xml:space="preserve"> Submission 18, Bruce Paine.</w:t>
      </w:r>
    </w:p>
  </w:footnote>
  <w:footnote w:id="245">
    <w:p w14:paraId="13B3ABA2" w14:textId="60DF1AF7" w:rsidR="003768CC" w:rsidRDefault="003768CC">
      <w:pPr>
        <w:pStyle w:val="FootnoteText"/>
      </w:pPr>
      <w:r>
        <w:rPr>
          <w:rStyle w:val="FootnoteReference"/>
        </w:rPr>
        <w:footnoteRef/>
      </w:r>
      <w:r>
        <w:t xml:space="preserve"> Bruce Paine, supplementary submission.</w:t>
      </w:r>
    </w:p>
  </w:footnote>
  <w:footnote w:id="246">
    <w:p w14:paraId="04139263" w14:textId="1062D7BA" w:rsidR="003768CC" w:rsidRDefault="003768CC">
      <w:pPr>
        <w:pStyle w:val="FootnoteText"/>
      </w:pPr>
      <w:r>
        <w:rPr>
          <w:rStyle w:val="FootnoteReference"/>
        </w:rPr>
        <w:footnoteRef/>
      </w:r>
      <w:r>
        <w:t xml:space="preserve"> Submission 24, Canberra Progressives.</w:t>
      </w:r>
    </w:p>
  </w:footnote>
  <w:footnote w:id="247">
    <w:p w14:paraId="74A7EE24" w14:textId="39AB6FE4" w:rsidR="003768CC" w:rsidRDefault="003768CC">
      <w:pPr>
        <w:pStyle w:val="FootnoteText"/>
      </w:pPr>
      <w:r>
        <w:rPr>
          <w:rStyle w:val="FootnoteReference"/>
        </w:rPr>
        <w:footnoteRef/>
      </w:r>
      <w:r>
        <w:t xml:space="preserve"> </w:t>
      </w:r>
      <w:r w:rsidRPr="00A3518B">
        <w:t>E</w:t>
      </w:r>
      <w:r>
        <w:t xml:space="preserve">xplanatory Statement </w:t>
      </w:r>
      <w:r w:rsidRPr="00A3518B">
        <w:t>to 2015 amendments</w:t>
      </w:r>
      <w:r>
        <w:t xml:space="preserve"> to the </w:t>
      </w:r>
      <w:r w:rsidRPr="00B16189">
        <w:rPr>
          <w:i/>
          <w:iCs/>
        </w:rPr>
        <w:t>Electoral Act 1992</w:t>
      </w:r>
      <w:r>
        <w:t>, cited in Electoral Commission submission, p. 66.</w:t>
      </w:r>
    </w:p>
  </w:footnote>
  <w:footnote w:id="248">
    <w:p w14:paraId="58EA440D" w14:textId="431E4CA4" w:rsidR="003768CC" w:rsidRDefault="003768CC">
      <w:pPr>
        <w:pStyle w:val="FootnoteText"/>
      </w:pPr>
      <w:r>
        <w:rPr>
          <w:rStyle w:val="FootnoteReference"/>
        </w:rPr>
        <w:footnoteRef/>
      </w:r>
      <w:r>
        <w:t xml:space="preserve"> Submission 7, John Paul Romano; Submission 22, Liberal Democrats. </w:t>
      </w:r>
    </w:p>
  </w:footnote>
  <w:footnote w:id="249">
    <w:p w14:paraId="4B74D4A4" w14:textId="5B56B7EC" w:rsidR="003768CC" w:rsidRDefault="003768CC">
      <w:pPr>
        <w:pStyle w:val="FootnoteText"/>
      </w:pPr>
      <w:r>
        <w:rPr>
          <w:rStyle w:val="FootnoteReference"/>
        </w:rPr>
        <w:footnoteRef/>
      </w:r>
      <w:r>
        <w:t xml:space="preserve"> Submission 8, ACT Electoral Commission; Submission 23, ACT Greens. </w:t>
      </w:r>
    </w:p>
  </w:footnote>
  <w:footnote w:id="250">
    <w:p w14:paraId="42936627" w14:textId="2266F7AD" w:rsidR="003768CC" w:rsidRDefault="003768CC">
      <w:pPr>
        <w:pStyle w:val="FootnoteText"/>
      </w:pPr>
      <w:r>
        <w:rPr>
          <w:rStyle w:val="FootnoteReference"/>
        </w:rPr>
        <w:footnoteRef/>
      </w:r>
      <w:r>
        <w:t xml:space="preserve"> Submission 23, ACT Greens; Submission 15, Caroline Le Couteur. </w:t>
      </w:r>
    </w:p>
  </w:footnote>
  <w:footnote w:id="251">
    <w:p w14:paraId="73F44DD4" w14:textId="0AA3E7DE" w:rsidR="003768CC" w:rsidRDefault="003768CC">
      <w:pPr>
        <w:pStyle w:val="FootnoteText"/>
      </w:pPr>
      <w:r>
        <w:rPr>
          <w:rStyle w:val="FootnoteReference"/>
        </w:rPr>
        <w:footnoteRef/>
      </w:r>
      <w:r>
        <w:t xml:space="preserve"> Submission 19, ACT </w:t>
      </w:r>
      <w:proofErr w:type="spellStart"/>
      <w:r>
        <w:t>Labor</w:t>
      </w:r>
      <w:proofErr w:type="spellEnd"/>
      <w:r>
        <w:t xml:space="preserve">. </w:t>
      </w:r>
    </w:p>
  </w:footnote>
  <w:footnote w:id="252">
    <w:p w14:paraId="2BA37DC0" w14:textId="0198EEA0" w:rsidR="003768CC" w:rsidRDefault="003768CC">
      <w:pPr>
        <w:pStyle w:val="FootnoteText"/>
      </w:pPr>
      <w:r>
        <w:rPr>
          <w:rStyle w:val="FootnoteReference"/>
        </w:rPr>
        <w:footnoteRef/>
      </w:r>
      <w:r>
        <w:t xml:space="preserve"> Submission 10, Canberra Liberals. </w:t>
      </w:r>
    </w:p>
  </w:footnote>
  <w:footnote w:id="253">
    <w:p w14:paraId="7EB9FEF8" w14:textId="3E08F509" w:rsidR="003768CC" w:rsidRDefault="003768CC">
      <w:pPr>
        <w:pStyle w:val="FootnoteText"/>
      </w:pPr>
      <w:r>
        <w:rPr>
          <w:rStyle w:val="FootnoteReference"/>
        </w:rPr>
        <w:footnoteRef/>
      </w:r>
      <w:r>
        <w:t xml:space="preserve"> </w:t>
      </w:r>
      <w:r w:rsidRPr="00A90E95">
        <w:rPr>
          <w:i/>
          <w:iCs/>
        </w:rPr>
        <w:t>Electoral Amendment Act 2020</w:t>
      </w:r>
      <w:r>
        <w:t>.</w:t>
      </w:r>
    </w:p>
  </w:footnote>
  <w:footnote w:id="254">
    <w:p w14:paraId="4FB78D8A" w14:textId="51C11FAE" w:rsidR="003768CC" w:rsidRDefault="003768CC">
      <w:pPr>
        <w:pStyle w:val="FootnoteText"/>
      </w:pPr>
      <w:r>
        <w:rPr>
          <w:rStyle w:val="FootnoteReference"/>
        </w:rPr>
        <w:footnoteRef/>
      </w:r>
      <w:r>
        <w:t xml:space="preserve"> Submission 10, Canberra Liberals, p. 3.</w:t>
      </w:r>
    </w:p>
  </w:footnote>
  <w:footnote w:id="255">
    <w:p w14:paraId="187002D7" w14:textId="6E21AF14" w:rsidR="003768CC" w:rsidRDefault="003768CC">
      <w:pPr>
        <w:pStyle w:val="FootnoteText"/>
      </w:pPr>
      <w:r>
        <w:rPr>
          <w:rStyle w:val="FootnoteReference"/>
        </w:rPr>
        <w:footnoteRef/>
      </w:r>
      <w:r>
        <w:t xml:space="preserve"> Proof Transcript of Evidence, 26 May 2021</w:t>
      </w:r>
      <w:r w:rsidRPr="00100D47">
        <w:t xml:space="preserve">, </w:t>
      </w:r>
      <w:r>
        <w:t>p. 67.</w:t>
      </w:r>
    </w:p>
  </w:footnote>
  <w:footnote w:id="256">
    <w:p w14:paraId="7545BC25" w14:textId="2B8B18B6" w:rsidR="003768CC" w:rsidRDefault="003768CC">
      <w:pPr>
        <w:pStyle w:val="FootnoteText"/>
      </w:pPr>
      <w:r>
        <w:rPr>
          <w:rStyle w:val="FootnoteReference"/>
        </w:rPr>
        <w:footnoteRef/>
      </w:r>
      <w:r>
        <w:t xml:space="preserve"> Proof Transcript of Evidence, 26 May 2021</w:t>
      </w:r>
      <w:r w:rsidRPr="00100D47">
        <w:t xml:space="preserve">, </w:t>
      </w:r>
      <w:r>
        <w:t>pp. 67-68.</w:t>
      </w:r>
    </w:p>
  </w:footnote>
  <w:footnote w:id="257">
    <w:p w14:paraId="29AFB275" w14:textId="0F97868E" w:rsidR="003768CC" w:rsidRDefault="003768CC" w:rsidP="0033525B">
      <w:pPr>
        <w:pStyle w:val="FootnoteText"/>
      </w:pPr>
      <w:r>
        <w:rPr>
          <w:rStyle w:val="FootnoteReference"/>
        </w:rPr>
        <w:footnoteRef/>
      </w:r>
      <w:r>
        <w:t xml:space="preserve"> Proof Transcript of Evidence, 26 May 2021</w:t>
      </w:r>
      <w:r w:rsidRPr="00100D47">
        <w:t xml:space="preserve">, </w:t>
      </w:r>
      <w:r>
        <w:t>p. 68.</w:t>
      </w:r>
    </w:p>
  </w:footnote>
  <w:footnote w:id="258">
    <w:p w14:paraId="4970538A" w14:textId="6DD66F11" w:rsidR="003768CC" w:rsidRDefault="003768CC">
      <w:pPr>
        <w:pStyle w:val="FootnoteText"/>
      </w:pPr>
      <w:r>
        <w:rPr>
          <w:rStyle w:val="FootnoteReference"/>
        </w:rPr>
        <w:footnoteRef/>
      </w:r>
      <w:r>
        <w:t xml:space="preserve"> Legislative Assembly </w:t>
      </w:r>
      <w:r w:rsidRPr="00F36049">
        <w:t>Select Committee on Amendments to the Electoral Act 1992</w:t>
      </w:r>
      <w:r>
        <w:t xml:space="preserve">, recommendation 5, p. 39. </w:t>
      </w:r>
    </w:p>
  </w:footnote>
  <w:footnote w:id="259">
    <w:p w14:paraId="6A5A2880" w14:textId="72207C71" w:rsidR="003768CC" w:rsidRDefault="003768CC">
      <w:pPr>
        <w:pStyle w:val="FootnoteText"/>
      </w:pPr>
      <w:r>
        <w:rPr>
          <w:rStyle w:val="FootnoteReference"/>
        </w:rPr>
        <w:footnoteRef/>
      </w:r>
      <w:r>
        <w:t xml:space="preserve"> Legislative Assembly </w:t>
      </w:r>
      <w:r w:rsidRPr="002310C2">
        <w:rPr>
          <w:i/>
          <w:iCs/>
        </w:rPr>
        <w:t>Transcript of Proceedings</w:t>
      </w:r>
      <w:r>
        <w:t xml:space="preserve">, 27 November 2014, p. 4155. </w:t>
      </w:r>
    </w:p>
  </w:footnote>
  <w:footnote w:id="260">
    <w:p w14:paraId="069F6BE3" w14:textId="6A66A3C3" w:rsidR="003768CC" w:rsidRDefault="003768CC">
      <w:pPr>
        <w:pStyle w:val="FootnoteText"/>
      </w:pPr>
      <w:r>
        <w:rPr>
          <w:rStyle w:val="FootnoteReference"/>
        </w:rPr>
        <w:footnoteRef/>
      </w:r>
      <w:r>
        <w:t xml:space="preserve"> Submission 8, ACT Electoral Commission, p. 67.</w:t>
      </w:r>
    </w:p>
  </w:footnote>
  <w:footnote w:id="261">
    <w:p w14:paraId="7E05CB8B" w14:textId="1AB85CFA" w:rsidR="003768CC" w:rsidRDefault="003768CC">
      <w:pPr>
        <w:pStyle w:val="FootnoteText"/>
      </w:pPr>
      <w:r>
        <w:rPr>
          <w:rStyle w:val="FootnoteReference"/>
        </w:rPr>
        <w:footnoteRef/>
      </w:r>
      <w:r>
        <w:t xml:space="preserve"> Submission 8, ACT Electoral Commission, p. 67.</w:t>
      </w:r>
    </w:p>
  </w:footnote>
  <w:footnote w:id="262">
    <w:p w14:paraId="6D08FCFD" w14:textId="18D72CBD" w:rsidR="003768CC" w:rsidRDefault="003768CC">
      <w:pPr>
        <w:pStyle w:val="FootnoteText"/>
      </w:pPr>
      <w:r>
        <w:rPr>
          <w:rStyle w:val="FootnoteReference"/>
        </w:rPr>
        <w:footnoteRef/>
      </w:r>
      <w:r>
        <w:t xml:space="preserve"> Submission 8, ACT Electoral Commission, p. 67.</w:t>
      </w:r>
    </w:p>
  </w:footnote>
  <w:footnote w:id="263">
    <w:p w14:paraId="4F4C551E" w14:textId="0E9C4804" w:rsidR="003768CC" w:rsidRDefault="003768CC">
      <w:pPr>
        <w:pStyle w:val="FootnoteText"/>
      </w:pPr>
      <w:r>
        <w:rPr>
          <w:rStyle w:val="FootnoteReference"/>
        </w:rPr>
        <w:footnoteRef/>
      </w:r>
      <w:r>
        <w:t xml:space="preserve"> Submission 23, ACT Greens, p. 17. </w:t>
      </w:r>
    </w:p>
  </w:footnote>
  <w:footnote w:id="264">
    <w:p w14:paraId="1FB55D32" w14:textId="39DD7A86" w:rsidR="003768CC" w:rsidRDefault="003768CC">
      <w:pPr>
        <w:pStyle w:val="FootnoteText"/>
      </w:pPr>
      <w:r>
        <w:rPr>
          <w:rStyle w:val="FootnoteReference"/>
        </w:rPr>
        <w:footnoteRef/>
      </w:r>
      <w:r>
        <w:t xml:space="preserve"> Submission 23, ACT Greens, p. 17.</w:t>
      </w:r>
    </w:p>
  </w:footnote>
  <w:footnote w:id="265">
    <w:p w14:paraId="4E4A211E" w14:textId="2E247C08" w:rsidR="003768CC" w:rsidRDefault="003768CC">
      <w:pPr>
        <w:pStyle w:val="FootnoteText"/>
      </w:pPr>
      <w:r>
        <w:rPr>
          <w:rStyle w:val="FootnoteReference"/>
        </w:rPr>
        <w:footnoteRef/>
      </w:r>
      <w:r>
        <w:t xml:space="preserve"> Submission 19, ACT </w:t>
      </w:r>
      <w:proofErr w:type="spellStart"/>
      <w:r>
        <w:t>Labor</w:t>
      </w:r>
      <w:proofErr w:type="spellEnd"/>
      <w:r>
        <w:t>, p. 9.</w:t>
      </w:r>
    </w:p>
  </w:footnote>
  <w:footnote w:id="266">
    <w:p w14:paraId="1B56D5EC" w14:textId="720614A7" w:rsidR="003768CC" w:rsidRDefault="003768CC">
      <w:pPr>
        <w:pStyle w:val="FootnoteText"/>
      </w:pPr>
      <w:r>
        <w:rPr>
          <w:rStyle w:val="FootnoteReference"/>
        </w:rPr>
        <w:footnoteRef/>
      </w:r>
      <w:r>
        <w:t xml:space="preserve"> Submission 19, ACT </w:t>
      </w:r>
      <w:proofErr w:type="spellStart"/>
      <w:r>
        <w:t>Labor</w:t>
      </w:r>
      <w:proofErr w:type="spellEnd"/>
      <w:r>
        <w:t>, p. 9.</w:t>
      </w:r>
    </w:p>
  </w:footnote>
  <w:footnote w:id="267">
    <w:p w14:paraId="0CB493CB" w14:textId="4C4EAE0A" w:rsidR="003768CC" w:rsidRDefault="003768CC" w:rsidP="00D83600">
      <w:pPr>
        <w:pStyle w:val="FootnoteText"/>
      </w:pPr>
      <w:r>
        <w:rPr>
          <w:rStyle w:val="FootnoteReference"/>
        </w:rPr>
        <w:footnoteRef/>
      </w:r>
      <w:r>
        <w:t xml:space="preserve"> </w:t>
      </w:r>
      <w:r w:rsidRPr="00931EC9">
        <w:rPr>
          <w:i/>
          <w:iCs/>
        </w:rPr>
        <w:t>Second interim report on the inquiry into the conduct of the 2016 federal election: Foreign Donations</w:t>
      </w:r>
      <w:r>
        <w:t>, Recommendation 3,</w:t>
      </w:r>
      <w:hyperlink r:id="rId34" w:history="1">
        <w:r w:rsidRPr="00312212">
          <w:rPr>
            <w:rStyle w:val="Hyperlink"/>
          </w:rPr>
          <w:t>https://parlinfo.aph.gov.au/parlInfo/download/committees/reportjnt/024053/toc_pdf/Secondinterimreportontheinquiryintotheconductofthe2016federalelectionForeignDonations.pdf;fileType=application%2Fpdf</w:t>
        </w:r>
      </w:hyperlink>
      <w:r>
        <w:t xml:space="preserve"> </w:t>
      </w:r>
    </w:p>
  </w:footnote>
  <w:footnote w:id="268">
    <w:p w14:paraId="0C7233F7" w14:textId="58787240" w:rsidR="003768CC" w:rsidRDefault="003768CC">
      <w:pPr>
        <w:pStyle w:val="FootnoteText"/>
      </w:pPr>
      <w:r>
        <w:rPr>
          <w:rStyle w:val="FootnoteReference"/>
        </w:rPr>
        <w:footnoteRef/>
      </w:r>
      <w:r>
        <w:t xml:space="preserve"> Senate Select Committee into the Political Influence of Donations, Recommendation 8 </w:t>
      </w:r>
      <w:hyperlink r:id="rId35" w:history="1">
        <w:r w:rsidRPr="00E36677">
          <w:rPr>
            <w:rStyle w:val="Hyperlink"/>
          </w:rPr>
          <w:t>https://parlinfo.aph.gov.au/parlInfo/download/committees/reportsen/024147/toc_pdf/PoliticalInfluenceofDonations.pdf;fileType=application%2Fpdf</w:t>
        </w:r>
      </w:hyperlink>
      <w:r>
        <w:t xml:space="preserve"> </w:t>
      </w:r>
    </w:p>
  </w:footnote>
  <w:footnote w:id="269">
    <w:p w14:paraId="6382B00E" w14:textId="67B2F247" w:rsidR="003768CC" w:rsidRDefault="003768CC">
      <w:pPr>
        <w:pStyle w:val="FootnoteText"/>
      </w:pPr>
      <w:r>
        <w:rPr>
          <w:rStyle w:val="FootnoteReference"/>
        </w:rPr>
        <w:footnoteRef/>
      </w:r>
      <w:r>
        <w:t xml:space="preserve"> </w:t>
      </w:r>
      <w:r w:rsidRPr="00D83600">
        <w:rPr>
          <w:i/>
          <w:iCs/>
        </w:rPr>
        <w:t>Electoral Legislation Amendment (Electoral Funding and Disclosure Reform) Act 2018</w:t>
      </w:r>
      <w:r>
        <w:rPr>
          <w:i/>
          <w:iCs/>
        </w:rPr>
        <w:t xml:space="preserve"> </w:t>
      </w:r>
      <w:hyperlink r:id="rId36" w:history="1">
        <w:r w:rsidRPr="00E36677">
          <w:rPr>
            <w:rStyle w:val="Hyperlink"/>
            <w:i/>
            <w:iCs/>
          </w:rPr>
          <w:t>https://www.legislation.gov.au/Details/C2018A00147</w:t>
        </w:r>
      </w:hyperlink>
      <w:r>
        <w:rPr>
          <w:i/>
          <w:iCs/>
        </w:rPr>
        <w:t xml:space="preserve"> </w:t>
      </w:r>
    </w:p>
  </w:footnote>
  <w:footnote w:id="270">
    <w:p w14:paraId="041653E2" w14:textId="01063CD8" w:rsidR="003768CC" w:rsidRDefault="003768CC">
      <w:pPr>
        <w:pStyle w:val="FootnoteText"/>
      </w:pPr>
      <w:r>
        <w:rPr>
          <w:rStyle w:val="FootnoteReference"/>
        </w:rPr>
        <w:footnoteRef/>
      </w:r>
      <w:r>
        <w:t xml:space="preserve"> Section 46 </w:t>
      </w:r>
      <w:r w:rsidRPr="00931EC9">
        <w:rPr>
          <w:i/>
          <w:iCs/>
        </w:rPr>
        <w:t>Electoral Funding Act 2018</w:t>
      </w:r>
      <w:r>
        <w:t xml:space="preserve"> (NSW), </w:t>
      </w:r>
      <w:hyperlink r:id="rId37" w:anchor="sec.46" w:history="1">
        <w:r w:rsidRPr="00E36677">
          <w:rPr>
            <w:rStyle w:val="Hyperlink"/>
          </w:rPr>
          <w:t>https://legislation.nsw.gov.au/view/html/inforce/current/act-2018-020#sec.46</w:t>
        </w:r>
      </w:hyperlink>
    </w:p>
  </w:footnote>
  <w:footnote w:id="271">
    <w:p w14:paraId="08544C00" w14:textId="3E61FC35" w:rsidR="003768CC" w:rsidRDefault="003768CC">
      <w:pPr>
        <w:pStyle w:val="FootnoteText"/>
      </w:pPr>
      <w:r>
        <w:rPr>
          <w:rStyle w:val="FootnoteReference"/>
        </w:rPr>
        <w:footnoteRef/>
      </w:r>
      <w:r>
        <w:t xml:space="preserve"> Section 217A </w:t>
      </w:r>
      <w:r w:rsidRPr="00931EC9">
        <w:rPr>
          <w:i/>
          <w:iCs/>
        </w:rPr>
        <w:t>Electoral Act 2002</w:t>
      </w:r>
      <w:r>
        <w:t xml:space="preserve"> (Vic) </w:t>
      </w:r>
      <w:hyperlink r:id="rId38" w:history="1">
        <w:r w:rsidRPr="00E36677">
          <w:rPr>
            <w:rStyle w:val="Hyperlink"/>
          </w:rPr>
          <w:t>https://content.legislation.vic.gov.au/sites/default/files/2020-04/02-23aa062%20authorised.pdf</w:t>
        </w:r>
      </w:hyperlink>
      <w:r>
        <w:t xml:space="preserve"> </w:t>
      </w:r>
    </w:p>
  </w:footnote>
  <w:footnote w:id="272">
    <w:p w14:paraId="7AE87362" w14:textId="0CC77EE2" w:rsidR="003768CC" w:rsidRDefault="003768CC">
      <w:pPr>
        <w:pStyle w:val="FootnoteText"/>
      </w:pPr>
      <w:r>
        <w:rPr>
          <w:rStyle w:val="FootnoteReference"/>
        </w:rPr>
        <w:footnoteRef/>
      </w:r>
      <w:r>
        <w:t xml:space="preserve"> </w:t>
      </w:r>
      <w:r w:rsidRPr="00D83600">
        <w:t xml:space="preserve">Section 270 </w:t>
      </w:r>
      <w:r w:rsidRPr="00A24915">
        <w:rPr>
          <w:i/>
          <w:iCs/>
        </w:rPr>
        <w:t>Electoral Act 1992</w:t>
      </w:r>
      <w:r w:rsidRPr="00D83600">
        <w:t xml:space="preserve"> (</w:t>
      </w:r>
      <w:r>
        <w:t>Qld</w:t>
      </w:r>
      <w:r w:rsidRPr="00D83600">
        <w:t>)</w:t>
      </w:r>
      <w:r>
        <w:t xml:space="preserve">, </w:t>
      </w:r>
      <w:hyperlink r:id="rId39" w:anchor="sec.270" w:history="1">
        <w:r w:rsidRPr="00E36677">
          <w:rPr>
            <w:rStyle w:val="Hyperlink"/>
          </w:rPr>
          <w:t>https://www.legislation.qld.gov.au/view/html/inforce/current/act-1992-028#sec.270</w:t>
        </w:r>
      </w:hyperlink>
    </w:p>
  </w:footnote>
  <w:footnote w:id="273">
    <w:p w14:paraId="510E33E7" w14:textId="14A98953" w:rsidR="003768CC" w:rsidRDefault="003768CC">
      <w:pPr>
        <w:pStyle w:val="FootnoteText"/>
      </w:pPr>
      <w:r>
        <w:rPr>
          <w:rStyle w:val="FootnoteReference"/>
        </w:rPr>
        <w:footnoteRef/>
      </w:r>
      <w:r>
        <w:t xml:space="preserve"> Submission 23, ACT Greens, p. 19. </w:t>
      </w:r>
    </w:p>
  </w:footnote>
  <w:footnote w:id="274">
    <w:p w14:paraId="2CAA8B40" w14:textId="6F33AD16" w:rsidR="003768CC" w:rsidRDefault="003768CC">
      <w:pPr>
        <w:pStyle w:val="FootnoteText"/>
      </w:pPr>
      <w:r>
        <w:rPr>
          <w:rStyle w:val="FootnoteReference"/>
        </w:rPr>
        <w:footnoteRef/>
      </w:r>
      <w:r>
        <w:t xml:space="preserve"> Submission 15, </w:t>
      </w:r>
      <w:proofErr w:type="spellStart"/>
      <w:r>
        <w:t>caroline</w:t>
      </w:r>
      <w:proofErr w:type="spellEnd"/>
      <w:r>
        <w:t xml:space="preserve"> Le Couteur.</w:t>
      </w:r>
    </w:p>
  </w:footnote>
  <w:footnote w:id="275">
    <w:p w14:paraId="39BDAE14" w14:textId="10F62F4A" w:rsidR="003768CC" w:rsidRDefault="003768CC">
      <w:pPr>
        <w:pStyle w:val="FootnoteText"/>
      </w:pPr>
      <w:r>
        <w:rPr>
          <w:rStyle w:val="FootnoteReference"/>
        </w:rPr>
        <w:footnoteRef/>
      </w:r>
      <w:r>
        <w:t xml:space="preserve"> Submission 23, ACT Greens, p. 19.</w:t>
      </w:r>
    </w:p>
  </w:footnote>
  <w:footnote w:id="276">
    <w:p w14:paraId="2747BD79" w14:textId="5771694D" w:rsidR="003768CC" w:rsidRDefault="003768CC">
      <w:pPr>
        <w:pStyle w:val="FootnoteText"/>
      </w:pPr>
      <w:r>
        <w:rPr>
          <w:rStyle w:val="FootnoteReference"/>
        </w:rPr>
        <w:footnoteRef/>
      </w:r>
      <w:r>
        <w:t xml:space="preserve"> Submission 22, Liberal Democrats. </w:t>
      </w:r>
    </w:p>
  </w:footnote>
  <w:footnote w:id="277">
    <w:p w14:paraId="3642D081" w14:textId="774250AC" w:rsidR="003768CC" w:rsidRDefault="003768CC">
      <w:pPr>
        <w:pStyle w:val="FootnoteText"/>
      </w:pPr>
      <w:r>
        <w:rPr>
          <w:rStyle w:val="FootnoteReference"/>
        </w:rPr>
        <w:footnoteRef/>
      </w:r>
      <w:r>
        <w:t xml:space="preserve"> Submission 8, ACT Electoral Commission, p. 65.</w:t>
      </w:r>
    </w:p>
  </w:footnote>
  <w:footnote w:id="278">
    <w:p w14:paraId="3B1F46C6" w14:textId="16A0D263" w:rsidR="003768CC" w:rsidRDefault="003768CC" w:rsidP="00853FE8">
      <w:pPr>
        <w:pStyle w:val="FootnoteText"/>
      </w:pPr>
      <w:r>
        <w:rPr>
          <w:rStyle w:val="FootnoteReference"/>
        </w:rPr>
        <w:footnoteRef/>
      </w:r>
      <w:r>
        <w:t xml:space="preserve"> Submission 22, Liberal Democrats, p. 11; Proof Transcript of Evidence, 26 May 2021</w:t>
      </w:r>
      <w:r w:rsidRPr="00100D47">
        <w:t xml:space="preserve">, </w:t>
      </w:r>
      <w:r>
        <w:t>p. 72.</w:t>
      </w:r>
    </w:p>
  </w:footnote>
  <w:footnote w:id="279">
    <w:p w14:paraId="3AE67191" w14:textId="37C39896" w:rsidR="003768CC" w:rsidRDefault="003768CC">
      <w:pPr>
        <w:pStyle w:val="FootnoteText"/>
      </w:pPr>
      <w:r>
        <w:rPr>
          <w:rStyle w:val="FootnoteReference"/>
        </w:rPr>
        <w:footnoteRef/>
      </w:r>
      <w:r>
        <w:t xml:space="preserve"> Submission 22, Liberal Democrats, p. 11.</w:t>
      </w:r>
    </w:p>
  </w:footnote>
  <w:footnote w:id="280">
    <w:p w14:paraId="639B7955" w14:textId="28126E8E" w:rsidR="003768CC" w:rsidRDefault="003768CC">
      <w:pPr>
        <w:pStyle w:val="FootnoteText"/>
      </w:pPr>
      <w:r>
        <w:rPr>
          <w:rStyle w:val="FootnoteReference"/>
        </w:rPr>
        <w:footnoteRef/>
      </w:r>
      <w:r>
        <w:t xml:space="preserve"> Submission 22, Liberal Democrats, p. 11.</w:t>
      </w:r>
    </w:p>
  </w:footnote>
  <w:footnote w:id="281">
    <w:p w14:paraId="4F0B5432" w14:textId="2C98BC17" w:rsidR="003768CC" w:rsidRDefault="003768CC">
      <w:pPr>
        <w:pStyle w:val="FootnoteText"/>
      </w:pPr>
      <w:r>
        <w:rPr>
          <w:rStyle w:val="FootnoteReference"/>
        </w:rPr>
        <w:footnoteRef/>
      </w:r>
      <w:r>
        <w:t xml:space="preserve"> Submission 15, Caroline Le Couteur; Submission 25, </w:t>
      </w:r>
      <w:proofErr w:type="spellStart"/>
      <w:r>
        <w:t>Mignonne</w:t>
      </w:r>
      <w:proofErr w:type="spellEnd"/>
      <w:r>
        <w:t xml:space="preserve"> Cullen; Submission 22, Liberal Democrats, p. 11.</w:t>
      </w:r>
    </w:p>
  </w:footnote>
  <w:footnote w:id="282">
    <w:p w14:paraId="6012EDD2" w14:textId="51D82F9F" w:rsidR="003768CC" w:rsidRDefault="003768CC">
      <w:pPr>
        <w:pStyle w:val="FootnoteText"/>
      </w:pPr>
      <w:r>
        <w:rPr>
          <w:rStyle w:val="FootnoteReference"/>
        </w:rPr>
        <w:footnoteRef/>
      </w:r>
      <w:r>
        <w:t xml:space="preserve"> Submission 24, Canberra Progressives. </w:t>
      </w:r>
    </w:p>
  </w:footnote>
  <w:footnote w:id="283">
    <w:p w14:paraId="101651CC" w14:textId="505BF6EC" w:rsidR="003768CC" w:rsidRDefault="003768CC">
      <w:pPr>
        <w:pStyle w:val="FootnoteText"/>
      </w:pPr>
      <w:r>
        <w:rPr>
          <w:rStyle w:val="FootnoteReference"/>
        </w:rPr>
        <w:footnoteRef/>
      </w:r>
      <w:r>
        <w:t xml:space="preserve"> Submission 8, ACT Electoral Commission, Table 33, p. 67.</w:t>
      </w:r>
    </w:p>
  </w:footnote>
  <w:footnote w:id="284">
    <w:p w14:paraId="618F13D5" w14:textId="48B3524A" w:rsidR="003768CC" w:rsidRDefault="003768CC">
      <w:pPr>
        <w:pStyle w:val="FootnoteText"/>
      </w:pPr>
      <w:r>
        <w:rPr>
          <w:rStyle w:val="FootnoteReference"/>
        </w:rPr>
        <w:footnoteRef/>
      </w:r>
      <w:r>
        <w:t xml:space="preserve"> Submission 8, ACT Electoral Commission, recommendation 22, p. 66.</w:t>
      </w:r>
    </w:p>
  </w:footnote>
  <w:footnote w:id="285">
    <w:p w14:paraId="26082274" w14:textId="5FB7E570" w:rsidR="003768CC" w:rsidRDefault="003768CC">
      <w:pPr>
        <w:pStyle w:val="FootnoteText"/>
      </w:pPr>
      <w:r>
        <w:rPr>
          <w:rStyle w:val="FootnoteReference"/>
        </w:rPr>
        <w:footnoteRef/>
      </w:r>
      <w:r>
        <w:t xml:space="preserve"> Submission 22, Liberal Democrats, p. 11.</w:t>
      </w:r>
    </w:p>
  </w:footnote>
  <w:footnote w:id="286">
    <w:p w14:paraId="02C8DCBD" w14:textId="5ECF6D29" w:rsidR="003768CC" w:rsidRDefault="003768CC">
      <w:pPr>
        <w:pStyle w:val="FootnoteText"/>
      </w:pPr>
      <w:r>
        <w:rPr>
          <w:rStyle w:val="FootnoteReference"/>
        </w:rPr>
        <w:footnoteRef/>
      </w:r>
      <w:r>
        <w:t xml:space="preserve"> Submission 23, ACT Greens.</w:t>
      </w:r>
    </w:p>
  </w:footnote>
  <w:footnote w:id="287">
    <w:p w14:paraId="0E4CBC08" w14:textId="57E30D0B" w:rsidR="003768CC" w:rsidRDefault="003768CC">
      <w:pPr>
        <w:pStyle w:val="FootnoteText"/>
      </w:pPr>
      <w:r>
        <w:rPr>
          <w:rStyle w:val="FootnoteReference"/>
        </w:rPr>
        <w:footnoteRef/>
      </w:r>
      <w:r>
        <w:t xml:space="preserve"> Submission 23, ACT Greens, p. 23.</w:t>
      </w:r>
    </w:p>
  </w:footnote>
  <w:footnote w:id="288">
    <w:p w14:paraId="641E90A6" w14:textId="5A3ED41C" w:rsidR="003768CC" w:rsidRDefault="003768CC">
      <w:pPr>
        <w:pStyle w:val="FootnoteText"/>
      </w:pPr>
      <w:r>
        <w:rPr>
          <w:rStyle w:val="FootnoteReference"/>
        </w:rPr>
        <w:footnoteRef/>
      </w:r>
      <w:r>
        <w:t xml:space="preserve"> ACT Greens, Answer to Question Taken on Notice.</w:t>
      </w:r>
    </w:p>
  </w:footnote>
  <w:footnote w:id="289">
    <w:p w14:paraId="336D32D5" w14:textId="66370050" w:rsidR="003768CC" w:rsidRDefault="003768CC">
      <w:pPr>
        <w:pStyle w:val="FootnoteText"/>
      </w:pPr>
      <w:r>
        <w:rPr>
          <w:rStyle w:val="FootnoteReference"/>
        </w:rPr>
        <w:footnoteRef/>
      </w:r>
      <w:r>
        <w:t xml:space="preserve"> Proof Transcript of Evidence, 26 May 2021</w:t>
      </w:r>
      <w:r w:rsidRPr="00100D47">
        <w:t xml:space="preserve">, </w:t>
      </w:r>
      <w:r>
        <w:t>p. 65.</w:t>
      </w:r>
    </w:p>
  </w:footnote>
  <w:footnote w:id="290">
    <w:p w14:paraId="69681532" w14:textId="6466EAB7" w:rsidR="003768CC" w:rsidRDefault="003768CC">
      <w:pPr>
        <w:pStyle w:val="FootnoteText"/>
      </w:pPr>
      <w:r>
        <w:rPr>
          <w:rStyle w:val="FootnoteReference"/>
        </w:rPr>
        <w:footnoteRef/>
      </w:r>
      <w:r>
        <w:t xml:space="preserve"> Submission 8, ACT Electoral Commission, p. 67.</w:t>
      </w:r>
    </w:p>
  </w:footnote>
  <w:footnote w:id="291">
    <w:p w14:paraId="7A83F17F" w14:textId="50BDAA94" w:rsidR="003768CC" w:rsidRDefault="003768CC">
      <w:pPr>
        <w:pStyle w:val="FootnoteText"/>
      </w:pPr>
      <w:r>
        <w:rPr>
          <w:rStyle w:val="FootnoteReference"/>
        </w:rPr>
        <w:footnoteRef/>
      </w:r>
      <w:r>
        <w:t xml:space="preserve"> Submission 19, ACT </w:t>
      </w:r>
      <w:proofErr w:type="spellStart"/>
      <w:r>
        <w:t>Labor</w:t>
      </w:r>
      <w:proofErr w:type="spellEnd"/>
      <w:r>
        <w:t>, p. 2.</w:t>
      </w:r>
    </w:p>
  </w:footnote>
  <w:footnote w:id="292">
    <w:p w14:paraId="1D70D02D" w14:textId="17C07D43" w:rsidR="003768CC" w:rsidRDefault="003768CC">
      <w:pPr>
        <w:pStyle w:val="FootnoteText"/>
      </w:pPr>
      <w:r>
        <w:rPr>
          <w:rStyle w:val="FootnoteReference"/>
        </w:rPr>
        <w:footnoteRef/>
      </w:r>
      <w:r>
        <w:t xml:space="preserve"> Submission 23, ACT Greens, p. 21.</w:t>
      </w:r>
    </w:p>
  </w:footnote>
  <w:footnote w:id="293">
    <w:p w14:paraId="63B22D61" w14:textId="11BDE5A0" w:rsidR="003768CC" w:rsidRDefault="003768CC" w:rsidP="001C0FC1">
      <w:pPr>
        <w:pStyle w:val="FootnoteText"/>
      </w:pPr>
      <w:r>
        <w:rPr>
          <w:rStyle w:val="FootnoteReference"/>
        </w:rPr>
        <w:footnoteRef/>
      </w:r>
      <w:r>
        <w:t xml:space="preserve"> Submission 8, ACT Electoral Commission, p. 67.</w:t>
      </w:r>
    </w:p>
  </w:footnote>
  <w:footnote w:id="294">
    <w:p w14:paraId="03C1D29D" w14:textId="59155E96" w:rsidR="003768CC" w:rsidRDefault="003768CC">
      <w:pPr>
        <w:pStyle w:val="FootnoteText"/>
      </w:pPr>
      <w:r>
        <w:rPr>
          <w:rStyle w:val="FootnoteReference"/>
        </w:rPr>
        <w:footnoteRef/>
      </w:r>
      <w:r>
        <w:t xml:space="preserve"> Submission 19, p. 2; Proof Transcript of Evidence, 26 May 2021</w:t>
      </w:r>
      <w:r w:rsidRPr="00100D47">
        <w:t xml:space="preserve">, </w:t>
      </w:r>
      <w:r>
        <w:t>p. 43.</w:t>
      </w:r>
    </w:p>
  </w:footnote>
  <w:footnote w:id="295">
    <w:p w14:paraId="29A76FF7" w14:textId="424FC50D" w:rsidR="003768CC" w:rsidRDefault="003768CC">
      <w:pPr>
        <w:pStyle w:val="FootnoteText"/>
      </w:pPr>
      <w:r>
        <w:rPr>
          <w:rStyle w:val="FootnoteReference"/>
        </w:rPr>
        <w:footnoteRef/>
      </w:r>
      <w:r>
        <w:t xml:space="preserve"> Submission 22, Liberal Democrats, Table 3, p. 11. </w:t>
      </w:r>
    </w:p>
  </w:footnote>
  <w:footnote w:id="296">
    <w:p w14:paraId="01015D6E" w14:textId="42206723" w:rsidR="003768CC" w:rsidRDefault="003768CC">
      <w:pPr>
        <w:pStyle w:val="FootnoteText"/>
      </w:pPr>
      <w:r>
        <w:rPr>
          <w:rStyle w:val="FootnoteReference"/>
        </w:rPr>
        <w:footnoteRef/>
      </w:r>
      <w:r>
        <w:t xml:space="preserve"> Submission 22, Liberal Democrats, p. 3.</w:t>
      </w:r>
    </w:p>
  </w:footnote>
  <w:footnote w:id="297">
    <w:p w14:paraId="7C90CF5B" w14:textId="623CB983" w:rsidR="003768CC" w:rsidRDefault="003768CC">
      <w:pPr>
        <w:pStyle w:val="FootnoteText"/>
      </w:pPr>
      <w:r>
        <w:rPr>
          <w:rStyle w:val="FootnoteReference"/>
        </w:rPr>
        <w:footnoteRef/>
      </w:r>
      <w:r>
        <w:t xml:space="preserve"> Submission 8, ACT Electoral Commission, p. 65.</w:t>
      </w:r>
    </w:p>
  </w:footnote>
  <w:footnote w:id="298">
    <w:p w14:paraId="764B984E" w14:textId="1849AB1A" w:rsidR="003768CC" w:rsidRDefault="003768CC">
      <w:pPr>
        <w:pStyle w:val="FootnoteText"/>
      </w:pPr>
      <w:r>
        <w:rPr>
          <w:rStyle w:val="FootnoteReference"/>
        </w:rPr>
        <w:footnoteRef/>
      </w:r>
      <w:r>
        <w:t xml:space="preserve"> Submission 8, ACT Electoral Commission, p. 65.</w:t>
      </w:r>
    </w:p>
  </w:footnote>
  <w:footnote w:id="299">
    <w:p w14:paraId="3C889DB9" w14:textId="69F55F38" w:rsidR="003768CC" w:rsidRDefault="003768CC">
      <w:pPr>
        <w:pStyle w:val="FootnoteText"/>
      </w:pPr>
      <w:r>
        <w:rPr>
          <w:rStyle w:val="FootnoteReference"/>
        </w:rPr>
        <w:footnoteRef/>
      </w:r>
      <w:r>
        <w:t xml:space="preserve"> Submission 7, John Paul Romano; Submission 22, Liberal Democrats. </w:t>
      </w:r>
    </w:p>
  </w:footnote>
  <w:footnote w:id="300">
    <w:p w14:paraId="07BA286C" w14:textId="62E3CD5D" w:rsidR="003768CC" w:rsidRDefault="003768CC">
      <w:pPr>
        <w:pStyle w:val="FootnoteText"/>
      </w:pPr>
      <w:r>
        <w:rPr>
          <w:rStyle w:val="FootnoteReference"/>
        </w:rPr>
        <w:footnoteRef/>
      </w:r>
      <w:r>
        <w:t xml:space="preserve"> Submission 22, Liberal Democrats, p. 20.</w:t>
      </w:r>
    </w:p>
  </w:footnote>
  <w:footnote w:id="301">
    <w:p w14:paraId="38A81524" w14:textId="4FB5F3EF" w:rsidR="003768CC" w:rsidRDefault="003768CC" w:rsidP="00414BA8">
      <w:pPr>
        <w:pStyle w:val="FootnoteText"/>
      </w:pPr>
      <w:r>
        <w:rPr>
          <w:rStyle w:val="FootnoteReference"/>
        </w:rPr>
        <w:footnoteRef/>
      </w:r>
      <w:r>
        <w:t xml:space="preserve"> Submission 23, ACT Greens.</w:t>
      </w:r>
    </w:p>
  </w:footnote>
  <w:footnote w:id="302">
    <w:p w14:paraId="51D1D327" w14:textId="62A92DFE" w:rsidR="003768CC" w:rsidRDefault="003768CC">
      <w:pPr>
        <w:pStyle w:val="FootnoteText"/>
      </w:pPr>
      <w:r>
        <w:rPr>
          <w:rStyle w:val="FootnoteReference"/>
        </w:rPr>
        <w:footnoteRef/>
      </w:r>
      <w:r>
        <w:t xml:space="preserve"> Submission 8, ACT Electoral Commission, recommendation 20, p. 66.</w:t>
      </w:r>
    </w:p>
  </w:footnote>
  <w:footnote w:id="303">
    <w:p w14:paraId="3B308DA4" w14:textId="0B61F618" w:rsidR="003768CC" w:rsidRDefault="003768CC">
      <w:pPr>
        <w:pStyle w:val="FootnoteText"/>
      </w:pPr>
      <w:r>
        <w:rPr>
          <w:rStyle w:val="FootnoteReference"/>
        </w:rPr>
        <w:footnoteRef/>
      </w:r>
      <w:r>
        <w:t xml:space="preserve"> Submission 8, ACT Electoral Commission, p. 66.</w:t>
      </w:r>
    </w:p>
  </w:footnote>
  <w:footnote w:id="304">
    <w:p w14:paraId="6EA1EE83" w14:textId="0F9BA84A" w:rsidR="003768CC" w:rsidRDefault="003768CC">
      <w:pPr>
        <w:pStyle w:val="FootnoteText"/>
      </w:pPr>
      <w:r>
        <w:rPr>
          <w:rStyle w:val="FootnoteReference"/>
        </w:rPr>
        <w:footnoteRef/>
      </w:r>
      <w:r>
        <w:t xml:space="preserve"> Proof Transcript of Evidence, 26 May 2021</w:t>
      </w:r>
      <w:r w:rsidRPr="00100D47">
        <w:t xml:space="preserve">, </w:t>
      </w:r>
      <w:r>
        <w:t>p. 46.</w:t>
      </w:r>
    </w:p>
  </w:footnote>
  <w:footnote w:id="305">
    <w:p w14:paraId="40116CB8" w14:textId="477E8E87" w:rsidR="003768CC" w:rsidRDefault="003768CC">
      <w:pPr>
        <w:pStyle w:val="FootnoteText"/>
      </w:pPr>
      <w:r>
        <w:rPr>
          <w:rStyle w:val="FootnoteReference"/>
        </w:rPr>
        <w:footnoteRef/>
      </w:r>
      <w:r>
        <w:t xml:space="preserve"> Proof Transcript of Evidence, 26 May 2021</w:t>
      </w:r>
      <w:r w:rsidRPr="00100D47">
        <w:t xml:space="preserve">, </w:t>
      </w:r>
      <w:r>
        <w:t>p. 62.</w:t>
      </w:r>
    </w:p>
  </w:footnote>
  <w:footnote w:id="306">
    <w:p w14:paraId="6481CF51" w14:textId="288ABAC2" w:rsidR="003768CC" w:rsidRDefault="003768CC">
      <w:pPr>
        <w:pStyle w:val="FootnoteText"/>
      </w:pPr>
      <w:r>
        <w:rPr>
          <w:rStyle w:val="FootnoteReference"/>
        </w:rPr>
        <w:footnoteRef/>
      </w:r>
      <w:r>
        <w:t xml:space="preserve"> Proof Transcript of Evidence, 19 May 2021</w:t>
      </w:r>
      <w:r w:rsidRPr="00100D47">
        <w:t xml:space="preserve">, </w:t>
      </w:r>
      <w:r>
        <w:t>p. 16.</w:t>
      </w:r>
    </w:p>
  </w:footnote>
  <w:footnote w:id="307">
    <w:p w14:paraId="39F83EC8" w14:textId="4C4CD6F5" w:rsidR="003768CC" w:rsidRDefault="003768CC">
      <w:pPr>
        <w:pStyle w:val="FootnoteText"/>
      </w:pPr>
      <w:r>
        <w:rPr>
          <w:rStyle w:val="FootnoteReference"/>
        </w:rPr>
        <w:footnoteRef/>
      </w:r>
      <w:r>
        <w:t xml:space="preserve"> Proof Transcript of Evidence, 19 May 2021</w:t>
      </w:r>
      <w:r w:rsidRPr="00100D47">
        <w:t xml:space="preserve">, </w:t>
      </w:r>
      <w:r>
        <w:t>p. 16.</w:t>
      </w:r>
    </w:p>
  </w:footnote>
  <w:footnote w:id="308">
    <w:p w14:paraId="09C6DC5F" w14:textId="247F359D" w:rsidR="003768CC" w:rsidRDefault="003768CC">
      <w:pPr>
        <w:pStyle w:val="FootnoteText"/>
      </w:pPr>
      <w:r>
        <w:rPr>
          <w:rStyle w:val="FootnoteReference"/>
        </w:rPr>
        <w:footnoteRef/>
      </w:r>
      <w:r>
        <w:t xml:space="preserve"> Section 205H </w:t>
      </w:r>
      <w:r w:rsidRPr="00931EC9">
        <w:rPr>
          <w:i/>
          <w:iCs/>
        </w:rPr>
        <w:t>Electoral Act 1992</w:t>
      </w:r>
      <w:r>
        <w:t xml:space="preserve">, historical version effective 19.11.14 to 4.12.14 </w:t>
      </w:r>
      <w:hyperlink r:id="rId40" w:history="1">
        <w:r w:rsidRPr="00E36677">
          <w:rPr>
            <w:rStyle w:val="Hyperlink"/>
          </w:rPr>
          <w:t>https://www.legislation.act.gov.au/View/a/1992-71/20141119-59606/PDF/1992-71.PDF</w:t>
        </w:r>
      </w:hyperlink>
      <w:r>
        <w:t xml:space="preserve"> </w:t>
      </w:r>
    </w:p>
  </w:footnote>
  <w:footnote w:id="309">
    <w:p w14:paraId="1030FB98" w14:textId="0F1B4A9E" w:rsidR="003768CC" w:rsidRDefault="003768CC">
      <w:pPr>
        <w:pStyle w:val="FootnoteText"/>
      </w:pPr>
      <w:r>
        <w:rPr>
          <w:rStyle w:val="FootnoteReference"/>
        </w:rPr>
        <w:footnoteRef/>
      </w:r>
      <w:r>
        <w:t xml:space="preserve"> Explanatory Statement to Electoral Amendment Bill 2014 (No 2) </w:t>
      </w:r>
      <w:hyperlink r:id="rId41" w:history="1">
        <w:r w:rsidRPr="00E36677">
          <w:rPr>
            <w:rStyle w:val="Hyperlink"/>
          </w:rPr>
          <w:t>https://www.legislation.act.gov.au/View/es/db_50925/20141127-59698/PDF/db_50925.PDF</w:t>
        </w:r>
      </w:hyperlink>
      <w:r>
        <w:t xml:space="preserve">; </w:t>
      </w:r>
      <w:r w:rsidRPr="00931EC9">
        <w:rPr>
          <w:i/>
          <w:iCs/>
        </w:rPr>
        <w:t>Electoral Amendment Act 2015</w:t>
      </w:r>
      <w:r>
        <w:t xml:space="preserve"> </w:t>
      </w:r>
      <w:hyperlink r:id="rId42" w:history="1">
        <w:r w:rsidRPr="00E36677">
          <w:rPr>
            <w:rStyle w:val="Hyperlink"/>
          </w:rPr>
          <w:t>https://www.legislation.act.gov.au/View/a/2015-5/20150303-60212/PDF/2015-5.PDF</w:t>
        </w:r>
      </w:hyperlink>
    </w:p>
  </w:footnote>
  <w:footnote w:id="310">
    <w:p w14:paraId="6F3E80A2" w14:textId="7E9C2423" w:rsidR="003768CC" w:rsidRDefault="003768CC">
      <w:pPr>
        <w:pStyle w:val="FootnoteText"/>
      </w:pPr>
      <w:r>
        <w:rPr>
          <w:rStyle w:val="FootnoteReference"/>
        </w:rPr>
        <w:footnoteRef/>
      </w:r>
      <w:r>
        <w:t xml:space="preserve"> Presentation speech for Electoral Amendment Bill 2014 (No 2).</w:t>
      </w:r>
    </w:p>
  </w:footnote>
  <w:footnote w:id="311">
    <w:p w14:paraId="41D073BE" w14:textId="01B31BE7" w:rsidR="003768CC" w:rsidRDefault="003768CC">
      <w:pPr>
        <w:pStyle w:val="FootnoteText"/>
      </w:pPr>
      <w:r>
        <w:rPr>
          <w:rStyle w:val="FootnoteReference"/>
        </w:rPr>
        <w:footnoteRef/>
      </w:r>
      <w:r>
        <w:t xml:space="preserve"> </w:t>
      </w:r>
      <w:bookmarkStart w:id="166" w:name="_Hlk76417047"/>
      <w:r w:rsidRPr="00931EC9">
        <w:t>Select Committee on Amendments to the Electoral Act 1992</w:t>
      </w:r>
      <w:r>
        <w:t xml:space="preserve">, </w:t>
      </w:r>
      <w:bookmarkEnd w:id="166"/>
      <w:r>
        <w:fldChar w:fldCharType="begin"/>
      </w:r>
      <w:r>
        <w:instrText xml:space="preserve"> HYPERLINK "</w:instrText>
      </w:r>
      <w:r w:rsidRPr="00931EC9">
        <w:instrText>https://www.parliament.act.gov.au/__data/assets/pdf_file/0005/610628/Select-Committee-final-report-30-June-2014.pdf</w:instrText>
      </w:r>
      <w:r>
        <w:instrText xml:space="preserve">" </w:instrText>
      </w:r>
      <w:r>
        <w:fldChar w:fldCharType="separate"/>
      </w:r>
      <w:r w:rsidRPr="00312212">
        <w:rPr>
          <w:rStyle w:val="Hyperlink"/>
        </w:rPr>
        <w:t>https://www.parliament.act.gov.au/__data/assets/pdf_file/0005/610628/Select-Committee-final-report-30-June-2014.pdf</w:t>
      </w:r>
      <w:r>
        <w:fldChar w:fldCharType="end"/>
      </w:r>
      <w:r>
        <w:t xml:space="preserve"> p. 35</w:t>
      </w:r>
    </w:p>
  </w:footnote>
  <w:footnote w:id="312">
    <w:p w14:paraId="2EAAF809" w14:textId="16FBBE29" w:rsidR="003768CC" w:rsidRDefault="003768CC">
      <w:pPr>
        <w:pStyle w:val="FootnoteText"/>
      </w:pPr>
      <w:r>
        <w:rPr>
          <w:rStyle w:val="FootnoteReference"/>
        </w:rPr>
        <w:footnoteRef/>
      </w:r>
      <w:r>
        <w:t xml:space="preserve"> </w:t>
      </w:r>
      <w:r w:rsidRPr="00931EC9">
        <w:t>Select Committee on Amendments to the Electoral Act 1992</w:t>
      </w:r>
      <w:r>
        <w:t>, p. 35.</w:t>
      </w:r>
    </w:p>
  </w:footnote>
  <w:footnote w:id="313">
    <w:p w14:paraId="333173F0" w14:textId="467DCE67" w:rsidR="003768CC" w:rsidRDefault="003768CC">
      <w:pPr>
        <w:pStyle w:val="FootnoteText"/>
      </w:pPr>
      <w:r>
        <w:rPr>
          <w:rStyle w:val="FootnoteReference"/>
        </w:rPr>
        <w:footnoteRef/>
      </w:r>
      <w:r>
        <w:t xml:space="preserve"> </w:t>
      </w:r>
      <w:r w:rsidRPr="00931EC9">
        <w:t>Select Committee on Amendments to the Electoral Act 1992</w:t>
      </w:r>
      <w:r>
        <w:t>, p. 36.</w:t>
      </w:r>
    </w:p>
  </w:footnote>
  <w:footnote w:id="314">
    <w:p w14:paraId="1A0A3244" w14:textId="770E72C4" w:rsidR="003768CC" w:rsidRDefault="003768CC">
      <w:pPr>
        <w:pStyle w:val="FootnoteText"/>
      </w:pPr>
      <w:r>
        <w:rPr>
          <w:rStyle w:val="FootnoteReference"/>
        </w:rPr>
        <w:footnoteRef/>
      </w:r>
      <w:r>
        <w:t xml:space="preserve"> </w:t>
      </w:r>
      <w:r w:rsidRPr="00931EC9">
        <w:t>Select Committee on Amendments to the Electoral Act 1992</w:t>
      </w:r>
      <w:r>
        <w:t>, p. 36.</w:t>
      </w:r>
    </w:p>
  </w:footnote>
  <w:footnote w:id="315">
    <w:p w14:paraId="7123FF4E" w14:textId="1D21C0AD" w:rsidR="003768CC" w:rsidRDefault="003768CC">
      <w:pPr>
        <w:pStyle w:val="FootnoteText"/>
      </w:pPr>
      <w:r>
        <w:rPr>
          <w:rStyle w:val="FootnoteReference"/>
        </w:rPr>
        <w:footnoteRef/>
      </w:r>
      <w:r>
        <w:t xml:space="preserve"> </w:t>
      </w:r>
      <w:r w:rsidRPr="00931EC9">
        <w:t>Panel of Experts – Political Donations</w:t>
      </w:r>
      <w:r>
        <w:t xml:space="preserve">, NSW Government, </w:t>
      </w:r>
      <w:hyperlink r:id="rId43" w:history="1">
        <w:r w:rsidRPr="00312212">
          <w:rPr>
            <w:rStyle w:val="Hyperlink"/>
          </w:rPr>
          <w:t>https://www.dpc.nsw.gov.au/updates/2014/05/27/panel-of-experts-political-donations/</w:t>
        </w:r>
      </w:hyperlink>
      <w:r>
        <w:t xml:space="preserve"> </w:t>
      </w:r>
    </w:p>
  </w:footnote>
  <w:footnote w:id="316">
    <w:p w14:paraId="483AE23E" w14:textId="61D38831" w:rsidR="003768CC" w:rsidRDefault="003768CC">
      <w:pPr>
        <w:pStyle w:val="FootnoteText"/>
      </w:pPr>
      <w:r>
        <w:rPr>
          <w:rStyle w:val="FootnoteReference"/>
        </w:rPr>
        <w:footnoteRef/>
      </w:r>
      <w:r>
        <w:t xml:space="preserve"> </w:t>
      </w:r>
      <w:r w:rsidRPr="001C7551">
        <w:t>Joint Standing Committee on Electoral Matters, Parliament of New South Wales, </w:t>
      </w:r>
      <w:r w:rsidRPr="001C7551">
        <w:rPr>
          <w:i/>
          <w:iCs/>
        </w:rPr>
        <w:t>Inquiry into the Final Report of the Expert Panel: Political Donations and the Government’s Response </w:t>
      </w:r>
      <w:r w:rsidRPr="001C7551">
        <w:t>(Report No 1/56, June 2016)</w:t>
      </w:r>
      <w:r>
        <w:t xml:space="preserve"> </w:t>
      </w:r>
    </w:p>
  </w:footnote>
  <w:footnote w:id="317">
    <w:p w14:paraId="3797D48D" w14:textId="3DBCD3E4" w:rsidR="003768CC" w:rsidRDefault="003768CC">
      <w:pPr>
        <w:pStyle w:val="FootnoteText"/>
      </w:pPr>
      <w:r>
        <w:rPr>
          <w:rStyle w:val="FootnoteReference"/>
        </w:rPr>
        <w:footnoteRef/>
      </w:r>
      <w:r>
        <w:t xml:space="preserve"> Electoral Funding Act 2018 (NSW)</w:t>
      </w:r>
      <w:r w:rsidRPr="0018234A">
        <w:t xml:space="preserve"> </w:t>
      </w:r>
      <w:hyperlink r:id="rId44" w:history="1">
        <w:r w:rsidRPr="00312212">
          <w:rPr>
            <w:rStyle w:val="Hyperlink"/>
          </w:rPr>
          <w:t>http://www6.austlii.edu.au/cgi-bin/viewdb/au/legis/nsw/consol_act/efa2018171/</w:t>
        </w:r>
      </w:hyperlink>
      <w:r>
        <w:t xml:space="preserve"> </w:t>
      </w:r>
    </w:p>
  </w:footnote>
  <w:footnote w:id="318">
    <w:p w14:paraId="0DA65464" w14:textId="1882A414" w:rsidR="003768CC" w:rsidRDefault="003768CC">
      <w:pPr>
        <w:pStyle w:val="FootnoteText"/>
      </w:pPr>
      <w:r>
        <w:rPr>
          <w:rStyle w:val="FootnoteReference"/>
        </w:rPr>
        <w:footnoteRef/>
      </w:r>
      <w:r>
        <w:t xml:space="preserve"> </w:t>
      </w:r>
      <w:r w:rsidRPr="008A7DFB">
        <w:t xml:space="preserve">Unions NSW v New South Wales </w:t>
      </w:r>
      <w:r w:rsidRPr="0018234A">
        <w:t>[2019] HCA 1; (2019) 363 ALR 1</w:t>
      </w:r>
      <w:r>
        <w:t xml:space="preserve"> </w:t>
      </w:r>
      <w:hyperlink r:id="rId45" w:history="1">
        <w:r w:rsidRPr="00312212">
          <w:rPr>
            <w:rStyle w:val="Hyperlink"/>
          </w:rPr>
          <w:t>http://www6.austlii.edu.au/cgi-bin/viewdoc/au/cases/cth/HCA/2019/1.html</w:t>
        </w:r>
      </w:hyperlink>
      <w:r>
        <w:t xml:space="preserve"> </w:t>
      </w:r>
    </w:p>
  </w:footnote>
  <w:footnote w:id="319">
    <w:p w14:paraId="34231744" w14:textId="3038DD1E" w:rsidR="003768CC" w:rsidRDefault="003768CC" w:rsidP="00194A3F">
      <w:pPr>
        <w:pStyle w:val="FootnoteText"/>
      </w:pPr>
      <w:r>
        <w:rPr>
          <w:rStyle w:val="FootnoteReference"/>
        </w:rPr>
        <w:footnoteRef/>
      </w:r>
      <w:r>
        <w:t xml:space="preserve"> Submission 8, ACT Electoral Commission, p. 18.</w:t>
      </w:r>
    </w:p>
  </w:footnote>
  <w:footnote w:id="320">
    <w:p w14:paraId="30334709" w14:textId="2CDBC429" w:rsidR="003768CC" w:rsidRDefault="003768CC">
      <w:pPr>
        <w:pStyle w:val="FootnoteText"/>
      </w:pPr>
      <w:r>
        <w:rPr>
          <w:rStyle w:val="FootnoteReference"/>
        </w:rPr>
        <w:footnoteRef/>
      </w:r>
      <w:r>
        <w:t xml:space="preserve"> Submission 8, ACT Electoral Commission, p. 18.</w:t>
      </w:r>
    </w:p>
  </w:footnote>
  <w:footnote w:id="321">
    <w:p w14:paraId="76E4971C" w14:textId="2DBDBE7B" w:rsidR="003768CC" w:rsidRDefault="003768CC">
      <w:pPr>
        <w:pStyle w:val="FootnoteText"/>
      </w:pPr>
      <w:r>
        <w:rPr>
          <w:rStyle w:val="FootnoteReference"/>
        </w:rPr>
        <w:footnoteRef/>
      </w:r>
      <w:r>
        <w:t xml:space="preserve"> Submission 8, ACT Electoral Commission, p. 19.</w:t>
      </w:r>
    </w:p>
  </w:footnote>
  <w:footnote w:id="322">
    <w:p w14:paraId="63B68F0F" w14:textId="3F350993" w:rsidR="003768CC" w:rsidRDefault="003768CC">
      <w:pPr>
        <w:pStyle w:val="FootnoteText"/>
      </w:pPr>
      <w:r>
        <w:rPr>
          <w:rStyle w:val="FootnoteReference"/>
        </w:rPr>
        <w:footnoteRef/>
      </w:r>
      <w:r>
        <w:t xml:space="preserve"> Submission 8, ACT Electoral Commission, p. 18.</w:t>
      </w:r>
    </w:p>
  </w:footnote>
  <w:footnote w:id="323">
    <w:p w14:paraId="57420C12" w14:textId="091ED262" w:rsidR="003768CC" w:rsidRDefault="003768CC">
      <w:pPr>
        <w:pStyle w:val="FootnoteText"/>
      </w:pPr>
      <w:r>
        <w:rPr>
          <w:rStyle w:val="FootnoteReference"/>
        </w:rPr>
        <w:footnoteRef/>
      </w:r>
      <w:r>
        <w:t xml:space="preserve"> Submission 8, ACT Electoral Commission, Table 14, p. 19.</w:t>
      </w:r>
    </w:p>
  </w:footnote>
  <w:footnote w:id="324">
    <w:p w14:paraId="1EF8132B" w14:textId="5DD98BA3" w:rsidR="003768CC" w:rsidRDefault="003768CC">
      <w:pPr>
        <w:pStyle w:val="FootnoteText"/>
      </w:pPr>
      <w:r>
        <w:rPr>
          <w:rStyle w:val="FootnoteReference"/>
        </w:rPr>
        <w:footnoteRef/>
      </w:r>
      <w:r>
        <w:t xml:space="preserve"> Submission 8, ACT Electoral Commission, p. 19.</w:t>
      </w:r>
    </w:p>
  </w:footnote>
  <w:footnote w:id="325">
    <w:p w14:paraId="03CCCDE0" w14:textId="31ED6AA4" w:rsidR="003768CC" w:rsidRDefault="003768CC">
      <w:pPr>
        <w:pStyle w:val="FootnoteText"/>
      </w:pPr>
      <w:r>
        <w:rPr>
          <w:rStyle w:val="FootnoteReference"/>
        </w:rPr>
        <w:footnoteRef/>
      </w:r>
      <w:r>
        <w:t xml:space="preserve"> Submission 8, ACT Electoral Commission, p. 27.</w:t>
      </w:r>
    </w:p>
  </w:footnote>
  <w:footnote w:id="326">
    <w:p w14:paraId="7C81BD38" w14:textId="3617476F" w:rsidR="003768CC" w:rsidRDefault="003768CC">
      <w:pPr>
        <w:pStyle w:val="FootnoteText"/>
      </w:pPr>
      <w:r>
        <w:rPr>
          <w:rStyle w:val="FootnoteReference"/>
        </w:rPr>
        <w:footnoteRef/>
      </w:r>
      <w:r>
        <w:t xml:space="preserve"> Submission 8, ACT Electoral Commission, p. 27.</w:t>
      </w:r>
    </w:p>
  </w:footnote>
  <w:footnote w:id="327">
    <w:p w14:paraId="4BC30AE8" w14:textId="337D5CEA" w:rsidR="003768CC" w:rsidRDefault="003768CC">
      <w:pPr>
        <w:pStyle w:val="FootnoteText"/>
      </w:pPr>
      <w:r>
        <w:rPr>
          <w:rStyle w:val="FootnoteReference"/>
        </w:rPr>
        <w:footnoteRef/>
      </w:r>
      <w:r>
        <w:t xml:space="preserve"> Submission 8, ACT Electoral Commission, pp. 28, 29-30.</w:t>
      </w:r>
    </w:p>
  </w:footnote>
  <w:footnote w:id="328">
    <w:p w14:paraId="32B90A7F" w14:textId="2AE559EB" w:rsidR="003768CC" w:rsidRDefault="003768CC">
      <w:pPr>
        <w:pStyle w:val="FootnoteText"/>
      </w:pPr>
      <w:r>
        <w:rPr>
          <w:rStyle w:val="FootnoteReference"/>
        </w:rPr>
        <w:footnoteRef/>
      </w:r>
      <w:r>
        <w:t xml:space="preserve"> Submission 24, Canberra Progressives, p. 5.</w:t>
      </w:r>
    </w:p>
  </w:footnote>
  <w:footnote w:id="329">
    <w:p w14:paraId="4D2FF76B" w14:textId="026555A6" w:rsidR="003768CC" w:rsidRDefault="003768CC">
      <w:pPr>
        <w:pStyle w:val="FootnoteText"/>
      </w:pPr>
      <w:r>
        <w:rPr>
          <w:rStyle w:val="FootnoteReference"/>
        </w:rPr>
        <w:footnoteRef/>
      </w:r>
      <w:r>
        <w:t xml:space="preserve"> Submission 12, Youth Coalition of the ACT.</w:t>
      </w:r>
    </w:p>
  </w:footnote>
  <w:footnote w:id="330">
    <w:p w14:paraId="0BFC919C" w14:textId="58D8B903" w:rsidR="003768CC" w:rsidRDefault="003768CC">
      <w:pPr>
        <w:pStyle w:val="FootnoteText"/>
      </w:pPr>
      <w:r>
        <w:rPr>
          <w:rStyle w:val="FootnoteReference"/>
        </w:rPr>
        <w:footnoteRef/>
      </w:r>
      <w:r>
        <w:t xml:space="preserve"> Submission 8, ACT Electoral Commission, p. 29.</w:t>
      </w:r>
    </w:p>
  </w:footnote>
  <w:footnote w:id="331">
    <w:p w14:paraId="776CE600" w14:textId="5B3FF5EB" w:rsidR="003768CC" w:rsidRDefault="003768CC">
      <w:pPr>
        <w:pStyle w:val="FootnoteText"/>
      </w:pPr>
      <w:r>
        <w:rPr>
          <w:rStyle w:val="FootnoteReference"/>
        </w:rPr>
        <w:footnoteRef/>
      </w:r>
      <w:r>
        <w:t xml:space="preserve"> Submission 8, ACT Electoral Commission, p. 45.</w:t>
      </w:r>
    </w:p>
  </w:footnote>
  <w:footnote w:id="332">
    <w:p w14:paraId="0B77F489" w14:textId="67E700C9" w:rsidR="003768CC" w:rsidRDefault="003768CC">
      <w:pPr>
        <w:pStyle w:val="FootnoteText"/>
      </w:pPr>
      <w:r>
        <w:rPr>
          <w:rStyle w:val="FootnoteReference"/>
        </w:rPr>
        <w:footnoteRef/>
      </w:r>
      <w:r>
        <w:t xml:space="preserve"> Submission 8, ACT Electoral Commission, p. 45.</w:t>
      </w:r>
    </w:p>
  </w:footnote>
  <w:footnote w:id="333">
    <w:p w14:paraId="2EB5628C" w14:textId="56DA18D3" w:rsidR="003768CC" w:rsidRDefault="003768CC">
      <w:pPr>
        <w:pStyle w:val="FootnoteText"/>
      </w:pPr>
      <w:r>
        <w:rPr>
          <w:rStyle w:val="FootnoteReference"/>
        </w:rPr>
        <w:footnoteRef/>
      </w:r>
      <w:r>
        <w:t xml:space="preserve"> Submission 8, ACT Electoral Commission, p. 46.</w:t>
      </w:r>
    </w:p>
  </w:footnote>
  <w:footnote w:id="334">
    <w:p w14:paraId="2755E11C" w14:textId="54FD6D91" w:rsidR="003768CC" w:rsidRDefault="003768CC">
      <w:pPr>
        <w:pStyle w:val="FootnoteText"/>
      </w:pPr>
      <w:r>
        <w:rPr>
          <w:rStyle w:val="FootnoteReference"/>
        </w:rPr>
        <w:footnoteRef/>
      </w:r>
      <w:r>
        <w:t xml:space="preserve"> Submission 23, ACT Greens, p. 15.</w:t>
      </w:r>
    </w:p>
  </w:footnote>
  <w:footnote w:id="335">
    <w:p w14:paraId="087A111C" w14:textId="6B1BF44B" w:rsidR="003768CC" w:rsidRDefault="003768CC">
      <w:pPr>
        <w:pStyle w:val="FootnoteText"/>
      </w:pPr>
      <w:r>
        <w:rPr>
          <w:rStyle w:val="FootnoteReference"/>
        </w:rPr>
        <w:footnoteRef/>
      </w:r>
      <w:r>
        <w:t xml:space="preserve"> Submission 23, ACT Greens, p. 26.</w:t>
      </w:r>
    </w:p>
  </w:footnote>
  <w:footnote w:id="336">
    <w:p w14:paraId="2CCC1713" w14:textId="492A3B9F" w:rsidR="003768CC" w:rsidRDefault="003768CC">
      <w:pPr>
        <w:pStyle w:val="FootnoteText"/>
      </w:pPr>
      <w:r>
        <w:rPr>
          <w:rStyle w:val="FootnoteReference"/>
        </w:rPr>
        <w:footnoteRef/>
      </w:r>
      <w:r>
        <w:t xml:space="preserve"> Submission 8, ACT Electoral Commission, p. 38.</w:t>
      </w:r>
    </w:p>
  </w:footnote>
  <w:footnote w:id="337">
    <w:p w14:paraId="7F7D050D" w14:textId="5FD32882" w:rsidR="003768CC" w:rsidRDefault="003768CC">
      <w:pPr>
        <w:pStyle w:val="FootnoteText"/>
      </w:pPr>
      <w:r>
        <w:rPr>
          <w:rStyle w:val="FootnoteReference"/>
        </w:rPr>
        <w:footnoteRef/>
      </w:r>
      <w:r>
        <w:t xml:space="preserve"> Submission 8, ACT Electoral Commission, p. 38.</w:t>
      </w:r>
    </w:p>
  </w:footnote>
  <w:footnote w:id="338">
    <w:p w14:paraId="625ACF4A" w14:textId="605712D8" w:rsidR="003768CC" w:rsidRDefault="003768CC" w:rsidP="00921D14">
      <w:pPr>
        <w:pStyle w:val="FootnoteText"/>
      </w:pPr>
      <w:r>
        <w:rPr>
          <w:rStyle w:val="FootnoteReference"/>
        </w:rPr>
        <w:footnoteRef/>
      </w:r>
      <w:r>
        <w:t xml:space="preserve"> Proof Transcript of Evidence, 19 May 2021</w:t>
      </w:r>
      <w:r w:rsidRPr="00100D47">
        <w:t xml:space="preserve">, </w:t>
      </w:r>
      <w:r>
        <w:t>p. 21.</w:t>
      </w:r>
    </w:p>
  </w:footnote>
  <w:footnote w:id="339">
    <w:p w14:paraId="6BFD06D0" w14:textId="1FD1E903" w:rsidR="003768CC" w:rsidRDefault="003768CC">
      <w:pPr>
        <w:pStyle w:val="FootnoteText"/>
      </w:pPr>
      <w:r>
        <w:rPr>
          <w:rStyle w:val="FootnoteReference"/>
        </w:rPr>
        <w:footnoteRef/>
      </w:r>
      <w:r>
        <w:t xml:space="preserve"> Proof Transcript of Evidence, 19 May 2021</w:t>
      </w:r>
      <w:r w:rsidRPr="00100D47">
        <w:t xml:space="preserve">, </w:t>
      </w:r>
      <w:r>
        <w:t>p. 21.</w:t>
      </w:r>
    </w:p>
  </w:footnote>
  <w:footnote w:id="340">
    <w:p w14:paraId="7B138A49" w14:textId="54DC43AF" w:rsidR="003768CC" w:rsidRDefault="003768CC">
      <w:pPr>
        <w:pStyle w:val="FootnoteText"/>
      </w:pPr>
      <w:r>
        <w:rPr>
          <w:rStyle w:val="FootnoteReference"/>
        </w:rPr>
        <w:footnoteRef/>
      </w:r>
      <w:r>
        <w:t xml:space="preserve"> Submission 8, ACT Electoral Commission, pp. 30, 44.</w:t>
      </w:r>
    </w:p>
  </w:footnote>
  <w:footnote w:id="341">
    <w:p w14:paraId="2135ADA0" w14:textId="67B4D171" w:rsidR="003768CC" w:rsidRDefault="003768CC">
      <w:pPr>
        <w:pStyle w:val="FootnoteText"/>
      </w:pPr>
      <w:r>
        <w:rPr>
          <w:rStyle w:val="FootnoteReference"/>
        </w:rPr>
        <w:footnoteRef/>
      </w:r>
      <w:r>
        <w:t xml:space="preserve"> Submission 8, ACT Electoral Commission, p. 45.</w:t>
      </w:r>
    </w:p>
  </w:footnote>
  <w:footnote w:id="342">
    <w:p w14:paraId="68D94F40" w14:textId="675F492B" w:rsidR="003768CC" w:rsidRDefault="003768CC">
      <w:pPr>
        <w:pStyle w:val="FootnoteText"/>
      </w:pPr>
      <w:r>
        <w:rPr>
          <w:rStyle w:val="FootnoteReference"/>
        </w:rPr>
        <w:footnoteRef/>
      </w:r>
      <w:r>
        <w:t xml:space="preserve"> Submission 8, ACT Electoral Commission, p. 45.</w:t>
      </w:r>
    </w:p>
  </w:footnote>
  <w:footnote w:id="343">
    <w:p w14:paraId="599C06DE" w14:textId="3DE74080" w:rsidR="003768CC" w:rsidRDefault="003768CC">
      <w:pPr>
        <w:pStyle w:val="FootnoteText"/>
      </w:pPr>
      <w:r>
        <w:rPr>
          <w:rStyle w:val="FootnoteReference"/>
        </w:rPr>
        <w:footnoteRef/>
      </w:r>
      <w:r>
        <w:t xml:space="preserve"> Submission 8, ACT Electoral Commission, p. 45.</w:t>
      </w:r>
    </w:p>
  </w:footnote>
  <w:footnote w:id="344">
    <w:p w14:paraId="2FE23D6C" w14:textId="3AE814BF" w:rsidR="003768CC" w:rsidRDefault="003768CC" w:rsidP="00C167EA">
      <w:pPr>
        <w:pStyle w:val="FootnoteText"/>
      </w:pPr>
      <w:r>
        <w:rPr>
          <w:rStyle w:val="FootnoteReference"/>
        </w:rPr>
        <w:footnoteRef/>
      </w:r>
      <w:r>
        <w:t xml:space="preserve"> Submission 8, ACT Electoral Commission, recommendation 12, p. 45.</w:t>
      </w:r>
    </w:p>
  </w:footnote>
  <w:footnote w:id="345">
    <w:p w14:paraId="715D605F" w14:textId="4DC3CE30" w:rsidR="003768CC" w:rsidRDefault="003768CC">
      <w:pPr>
        <w:pStyle w:val="FootnoteText"/>
      </w:pPr>
      <w:r>
        <w:rPr>
          <w:rStyle w:val="FootnoteReference"/>
        </w:rPr>
        <w:footnoteRef/>
      </w:r>
      <w:r>
        <w:t xml:space="preserve"> Submission 8, ACT Electoral Commission, p. 46.</w:t>
      </w:r>
    </w:p>
  </w:footnote>
  <w:footnote w:id="346">
    <w:p w14:paraId="638340BE" w14:textId="38B17B24" w:rsidR="003768CC" w:rsidRDefault="003768CC">
      <w:pPr>
        <w:pStyle w:val="FootnoteText"/>
      </w:pPr>
      <w:r>
        <w:rPr>
          <w:rStyle w:val="FootnoteReference"/>
        </w:rPr>
        <w:footnoteRef/>
      </w:r>
      <w:r>
        <w:t xml:space="preserve"> Submission 14, ACTCOSS.</w:t>
      </w:r>
    </w:p>
  </w:footnote>
  <w:footnote w:id="347">
    <w:p w14:paraId="22943F66" w14:textId="50133FE0" w:rsidR="003768CC" w:rsidRDefault="003768CC">
      <w:pPr>
        <w:pStyle w:val="FootnoteText"/>
      </w:pPr>
      <w:r>
        <w:rPr>
          <w:rStyle w:val="FootnoteReference"/>
        </w:rPr>
        <w:footnoteRef/>
      </w:r>
      <w:r>
        <w:t xml:space="preserve"> Submission 14, ACTCOSS; Proof Transcript of Evidence, 19 May 2021</w:t>
      </w:r>
      <w:r w:rsidRPr="00100D47">
        <w:t xml:space="preserve">, </w:t>
      </w:r>
      <w:r>
        <w:t>p. 20.</w:t>
      </w:r>
    </w:p>
  </w:footnote>
  <w:footnote w:id="348">
    <w:p w14:paraId="71C19093" w14:textId="4C664621" w:rsidR="003768CC" w:rsidRDefault="003768CC">
      <w:pPr>
        <w:pStyle w:val="FootnoteText"/>
      </w:pPr>
      <w:r>
        <w:rPr>
          <w:rStyle w:val="FootnoteReference"/>
        </w:rPr>
        <w:footnoteRef/>
      </w:r>
      <w:r>
        <w:t xml:space="preserve"> Submission 8, ACT Electoral Commission, pp. 29-30.</w:t>
      </w:r>
    </w:p>
  </w:footnote>
  <w:footnote w:id="349">
    <w:p w14:paraId="4869949C" w14:textId="61200C18" w:rsidR="003768CC" w:rsidRDefault="003768CC">
      <w:pPr>
        <w:pStyle w:val="FootnoteText"/>
      </w:pPr>
      <w:r>
        <w:rPr>
          <w:rStyle w:val="FootnoteReference"/>
        </w:rPr>
        <w:footnoteRef/>
      </w:r>
      <w:r>
        <w:t xml:space="preserve"> Submission 23, ACT Greens, p. 11.</w:t>
      </w:r>
    </w:p>
  </w:footnote>
  <w:footnote w:id="350">
    <w:p w14:paraId="622302AE" w14:textId="02DFDA67" w:rsidR="003768CC" w:rsidRDefault="003768CC">
      <w:pPr>
        <w:pStyle w:val="FootnoteText"/>
      </w:pPr>
      <w:r>
        <w:rPr>
          <w:rStyle w:val="FootnoteReference"/>
        </w:rPr>
        <w:footnoteRef/>
      </w:r>
      <w:r>
        <w:t xml:space="preserve"> Standing Committee on Education Training and Young People (2007) Inquiry into the Eligible Voting Age.</w:t>
      </w:r>
    </w:p>
  </w:footnote>
  <w:footnote w:id="351">
    <w:p w14:paraId="0E48AB05" w14:textId="60C3594E" w:rsidR="003768CC" w:rsidRDefault="003768CC">
      <w:pPr>
        <w:pStyle w:val="FootnoteText"/>
      </w:pPr>
      <w:r>
        <w:rPr>
          <w:rStyle w:val="FootnoteReference"/>
        </w:rPr>
        <w:footnoteRef/>
      </w:r>
      <w:r>
        <w:t xml:space="preserve"> Joint Standing Committee on Electoral Matters (2007) Inquiry into Civics and Electoral Education.</w:t>
      </w:r>
    </w:p>
  </w:footnote>
  <w:footnote w:id="352">
    <w:p w14:paraId="50B4E8C2" w14:textId="4B8F5AD8" w:rsidR="003768CC" w:rsidRDefault="003768CC">
      <w:pPr>
        <w:pStyle w:val="FootnoteText"/>
      </w:pPr>
      <w:r>
        <w:rPr>
          <w:rStyle w:val="FootnoteReference"/>
        </w:rPr>
        <w:footnoteRef/>
      </w:r>
      <w:r>
        <w:t xml:space="preserve"> ACT Legislative Assembly Select Committee on the 2016 ACT Election and Electoral Act.</w:t>
      </w:r>
    </w:p>
  </w:footnote>
  <w:footnote w:id="353">
    <w:p w14:paraId="7D31B56F" w14:textId="76717682" w:rsidR="003768CC" w:rsidRDefault="003768CC">
      <w:pPr>
        <w:pStyle w:val="FootnoteText"/>
      </w:pPr>
      <w:r>
        <w:rPr>
          <w:rStyle w:val="FootnoteReference"/>
        </w:rPr>
        <w:footnoteRef/>
      </w:r>
      <w:r>
        <w:t xml:space="preserve"> Joint Standing Committee on Electoral Matters (2018) Inquiry into the </w:t>
      </w:r>
      <w:r w:rsidRPr="005D24AC">
        <w:t>Commonwealth Electoral Amendment (Lowering Voting Age and Increasing Voter Participation) Bill 2018</w:t>
      </w:r>
    </w:p>
  </w:footnote>
  <w:footnote w:id="354">
    <w:p w14:paraId="2F4D1026" w14:textId="7EA0DE81" w:rsidR="003768CC" w:rsidRDefault="003768CC">
      <w:pPr>
        <w:pStyle w:val="FootnoteText"/>
      </w:pPr>
      <w:r>
        <w:rPr>
          <w:rStyle w:val="FootnoteReference"/>
        </w:rPr>
        <w:footnoteRef/>
      </w:r>
      <w:r>
        <w:t xml:space="preserve"> Submission 9, ACT Electoral Commission, p. 7.</w:t>
      </w:r>
    </w:p>
  </w:footnote>
  <w:footnote w:id="355">
    <w:p w14:paraId="09D88DA0" w14:textId="159DBE56" w:rsidR="003768CC" w:rsidRDefault="003768CC">
      <w:pPr>
        <w:pStyle w:val="FootnoteText"/>
      </w:pPr>
      <w:r>
        <w:rPr>
          <w:rStyle w:val="FootnoteReference"/>
        </w:rPr>
        <w:footnoteRef/>
      </w:r>
      <w:r>
        <w:t xml:space="preserve"> Submission 23, ACT Greens, p. 9.</w:t>
      </w:r>
    </w:p>
  </w:footnote>
  <w:footnote w:id="356">
    <w:p w14:paraId="7E5B1EE9" w14:textId="01189394" w:rsidR="003768CC" w:rsidRDefault="003768CC">
      <w:pPr>
        <w:pStyle w:val="FootnoteText"/>
      </w:pPr>
      <w:r>
        <w:rPr>
          <w:rStyle w:val="FootnoteReference"/>
        </w:rPr>
        <w:footnoteRef/>
      </w:r>
      <w:r>
        <w:t xml:space="preserve"> Proof Transcript of Evidence, 26 May 2021</w:t>
      </w:r>
      <w:r w:rsidRPr="00100D47">
        <w:t xml:space="preserve">, </w:t>
      </w:r>
      <w:r>
        <w:t>p. 55.</w:t>
      </w:r>
    </w:p>
  </w:footnote>
  <w:footnote w:id="357">
    <w:p w14:paraId="5CFF2821" w14:textId="4ADE8DAF" w:rsidR="003768CC" w:rsidRDefault="003768CC">
      <w:pPr>
        <w:pStyle w:val="FootnoteText"/>
      </w:pPr>
      <w:r>
        <w:rPr>
          <w:rStyle w:val="FootnoteReference"/>
        </w:rPr>
        <w:footnoteRef/>
      </w:r>
      <w:r>
        <w:t xml:space="preserve"> Submission 23, ACT Greens, p. 9.</w:t>
      </w:r>
    </w:p>
  </w:footnote>
  <w:footnote w:id="358">
    <w:p w14:paraId="508C33E7" w14:textId="21B61310" w:rsidR="003768CC" w:rsidRDefault="003768CC">
      <w:pPr>
        <w:pStyle w:val="FootnoteText"/>
      </w:pPr>
      <w:r>
        <w:rPr>
          <w:rStyle w:val="FootnoteReference"/>
        </w:rPr>
        <w:footnoteRef/>
      </w:r>
      <w:r>
        <w:t xml:space="preserve"> Submission 12, Youth Coalition, p. 2.</w:t>
      </w:r>
    </w:p>
  </w:footnote>
  <w:footnote w:id="359">
    <w:p w14:paraId="382022D5" w14:textId="7C9EDA36" w:rsidR="003768CC" w:rsidRDefault="003768CC">
      <w:pPr>
        <w:pStyle w:val="FootnoteText"/>
      </w:pPr>
      <w:r>
        <w:rPr>
          <w:rStyle w:val="FootnoteReference"/>
        </w:rPr>
        <w:footnoteRef/>
      </w:r>
      <w:r>
        <w:t xml:space="preserve"> Submission 12, Youth Coalition.</w:t>
      </w:r>
    </w:p>
  </w:footnote>
  <w:footnote w:id="360">
    <w:p w14:paraId="0456D409" w14:textId="51C45798" w:rsidR="003768CC" w:rsidRDefault="003768CC">
      <w:pPr>
        <w:pStyle w:val="FootnoteText"/>
      </w:pPr>
      <w:r>
        <w:rPr>
          <w:rStyle w:val="FootnoteReference"/>
        </w:rPr>
        <w:footnoteRef/>
      </w:r>
      <w:r>
        <w:t xml:space="preserve"> Submission 24, Canberra Progressives, p. 5.</w:t>
      </w:r>
    </w:p>
  </w:footnote>
  <w:footnote w:id="361">
    <w:p w14:paraId="66AF29E7" w14:textId="1D7774B2" w:rsidR="003768CC" w:rsidRDefault="003768CC" w:rsidP="00F66D0D">
      <w:pPr>
        <w:pStyle w:val="FootnoteText"/>
      </w:pPr>
      <w:r>
        <w:rPr>
          <w:rStyle w:val="FootnoteReference"/>
        </w:rPr>
        <w:footnoteRef/>
      </w:r>
      <w:r>
        <w:t xml:space="preserve"> Submission 9, ACT Electoral Commission, p. 7.</w:t>
      </w:r>
    </w:p>
  </w:footnote>
  <w:footnote w:id="362">
    <w:p w14:paraId="4C694DCD" w14:textId="7BE628BA" w:rsidR="003768CC" w:rsidRDefault="003768CC">
      <w:pPr>
        <w:pStyle w:val="FootnoteText"/>
      </w:pPr>
      <w:r>
        <w:rPr>
          <w:rStyle w:val="FootnoteReference"/>
        </w:rPr>
        <w:footnoteRef/>
      </w:r>
      <w:r>
        <w:t xml:space="preserve"> Submission 9, ACT Electoral Commission. </w:t>
      </w:r>
    </w:p>
  </w:footnote>
  <w:footnote w:id="363">
    <w:p w14:paraId="381F8E25" w14:textId="0425E5A1" w:rsidR="003768CC" w:rsidRDefault="003768CC">
      <w:pPr>
        <w:pStyle w:val="FootnoteText"/>
      </w:pPr>
      <w:r>
        <w:rPr>
          <w:rStyle w:val="FootnoteReference"/>
        </w:rPr>
        <w:footnoteRef/>
      </w:r>
      <w:r>
        <w:t xml:space="preserve"> Proof Transcript of Evidence, 26 May 2021</w:t>
      </w:r>
      <w:r w:rsidRPr="00100D47">
        <w:t xml:space="preserve">, </w:t>
      </w:r>
      <w:r>
        <w:t>p. 63.</w:t>
      </w:r>
    </w:p>
  </w:footnote>
  <w:footnote w:id="364">
    <w:p w14:paraId="2C411756" w14:textId="37B26612" w:rsidR="003768CC" w:rsidRDefault="003768CC">
      <w:pPr>
        <w:pStyle w:val="FootnoteText"/>
      </w:pPr>
      <w:r>
        <w:rPr>
          <w:rStyle w:val="FootnoteReference"/>
        </w:rPr>
        <w:footnoteRef/>
      </w:r>
      <w:r>
        <w:t xml:space="preserve"> Submission 22, Liberal Democrats, pp. 4-5.</w:t>
      </w:r>
    </w:p>
  </w:footnote>
  <w:footnote w:id="365">
    <w:p w14:paraId="01E54202" w14:textId="7E298112" w:rsidR="003768CC" w:rsidRDefault="003768CC">
      <w:pPr>
        <w:pStyle w:val="FootnoteText"/>
      </w:pPr>
      <w:r>
        <w:rPr>
          <w:rStyle w:val="FootnoteReference"/>
        </w:rPr>
        <w:footnoteRef/>
      </w:r>
      <w:r>
        <w:t xml:space="preserve"> Submission 22, Liberal Democrats, p. 5.</w:t>
      </w:r>
    </w:p>
  </w:footnote>
  <w:footnote w:id="366">
    <w:p w14:paraId="31C02237" w14:textId="5BDFA66B" w:rsidR="003768CC" w:rsidRDefault="003768CC" w:rsidP="008A7DFB">
      <w:pPr>
        <w:pStyle w:val="FootnoteText"/>
        <w:tabs>
          <w:tab w:val="left" w:pos="1960"/>
        </w:tabs>
      </w:pPr>
      <w:r>
        <w:rPr>
          <w:rStyle w:val="FootnoteReference"/>
        </w:rPr>
        <w:footnoteRef/>
      </w:r>
      <w:r>
        <w:t xml:space="preserve"> Submission 4, Canberra Alliance for Participatory Democracy.</w:t>
      </w:r>
    </w:p>
  </w:footnote>
  <w:footnote w:id="367">
    <w:p w14:paraId="7803C367" w14:textId="761D9B48" w:rsidR="003768CC" w:rsidRDefault="003768CC">
      <w:pPr>
        <w:pStyle w:val="FootnoteText"/>
      </w:pPr>
      <w:r>
        <w:rPr>
          <w:rStyle w:val="FootnoteReference"/>
        </w:rPr>
        <w:footnoteRef/>
      </w:r>
      <w:r>
        <w:t xml:space="preserve"> Submission 8, ACT Electoral Commission, p. 81.</w:t>
      </w:r>
    </w:p>
  </w:footnote>
  <w:footnote w:id="368">
    <w:p w14:paraId="5D4F9B61" w14:textId="7E524F2D" w:rsidR="003768CC" w:rsidRDefault="003768CC">
      <w:pPr>
        <w:pStyle w:val="FootnoteText"/>
      </w:pPr>
      <w:r>
        <w:rPr>
          <w:rStyle w:val="FootnoteReference"/>
        </w:rPr>
        <w:footnoteRef/>
      </w:r>
      <w:r>
        <w:t xml:space="preserve"> Proof Transcript of Evidence, 19 May 2021</w:t>
      </w:r>
      <w:r w:rsidRPr="00100D47">
        <w:t xml:space="preserve">, </w:t>
      </w:r>
      <w:r>
        <w:t>p. 3.</w:t>
      </w:r>
    </w:p>
  </w:footnote>
  <w:footnote w:id="369">
    <w:p w14:paraId="66B51B6B" w14:textId="2C2526E0" w:rsidR="003768CC" w:rsidRDefault="003768CC">
      <w:pPr>
        <w:pStyle w:val="FootnoteText"/>
      </w:pPr>
      <w:r>
        <w:rPr>
          <w:rStyle w:val="FootnoteReference"/>
        </w:rPr>
        <w:footnoteRef/>
      </w:r>
      <w:r>
        <w:t xml:space="preserve"> Submission 8, ACT Electoral Commission, p. 81.</w:t>
      </w:r>
    </w:p>
  </w:footnote>
  <w:footnote w:id="370">
    <w:p w14:paraId="193FA422" w14:textId="53CBCDD9" w:rsidR="003768CC" w:rsidRDefault="003768CC">
      <w:pPr>
        <w:pStyle w:val="FootnoteText"/>
      </w:pPr>
      <w:r>
        <w:rPr>
          <w:rStyle w:val="FootnoteReference"/>
        </w:rPr>
        <w:footnoteRef/>
      </w:r>
      <w:r>
        <w:t xml:space="preserve"> Proof Transcript of Evidence, 19 May 2021</w:t>
      </w:r>
      <w:r w:rsidRPr="00100D47">
        <w:t>,</w:t>
      </w:r>
      <w:r>
        <w:t xml:space="preserve"> pp. 2-3.</w:t>
      </w:r>
    </w:p>
  </w:footnote>
  <w:footnote w:id="371">
    <w:p w14:paraId="6FB5CC98" w14:textId="5E263640" w:rsidR="003768CC" w:rsidRDefault="003768CC">
      <w:pPr>
        <w:pStyle w:val="FootnoteText"/>
      </w:pPr>
      <w:r>
        <w:rPr>
          <w:rStyle w:val="FootnoteReference"/>
        </w:rPr>
        <w:footnoteRef/>
      </w:r>
      <w:r>
        <w:t xml:space="preserve"> Submission 8, ACT Electoral Commission, p. 81.</w:t>
      </w:r>
    </w:p>
  </w:footnote>
  <w:footnote w:id="372">
    <w:p w14:paraId="3C28B14D" w14:textId="54E5E211" w:rsidR="003768CC" w:rsidRDefault="003768CC">
      <w:pPr>
        <w:pStyle w:val="FootnoteText"/>
      </w:pPr>
      <w:r>
        <w:rPr>
          <w:rStyle w:val="FootnoteReference"/>
        </w:rPr>
        <w:footnoteRef/>
      </w:r>
      <w:r>
        <w:t xml:space="preserve"> Proof Transcript of Evidence, 19 May 2021</w:t>
      </w:r>
      <w:r w:rsidRPr="00100D47">
        <w:t xml:space="preserve">, </w:t>
      </w:r>
      <w:r>
        <w:t>p. 3.</w:t>
      </w:r>
    </w:p>
  </w:footnote>
  <w:footnote w:id="373">
    <w:p w14:paraId="2536E647" w14:textId="2A9747B6" w:rsidR="003768CC" w:rsidRDefault="003768CC">
      <w:pPr>
        <w:pStyle w:val="FootnoteText"/>
      </w:pPr>
      <w:r>
        <w:rPr>
          <w:rStyle w:val="FootnoteReference"/>
        </w:rPr>
        <w:footnoteRef/>
      </w:r>
      <w:r>
        <w:t xml:space="preserve"> Proof Transcript of Evidence, 19 May 2021</w:t>
      </w:r>
      <w:r w:rsidRPr="00100D47">
        <w:t xml:space="preserve">, </w:t>
      </w:r>
      <w:r w:rsidRPr="00B21BDC">
        <w:t>p. 3</w:t>
      </w:r>
      <w:r>
        <w:t>.</w:t>
      </w:r>
    </w:p>
  </w:footnote>
  <w:footnote w:id="374">
    <w:p w14:paraId="1E1D65BD" w14:textId="6BC512ED" w:rsidR="003768CC" w:rsidRDefault="003768CC">
      <w:pPr>
        <w:pStyle w:val="FootnoteText"/>
      </w:pPr>
      <w:r>
        <w:rPr>
          <w:rStyle w:val="FootnoteReference"/>
        </w:rPr>
        <w:footnoteRef/>
      </w:r>
      <w:r>
        <w:t xml:space="preserve"> Submission 8, ACT Electoral Commission, p. 81.</w:t>
      </w:r>
    </w:p>
  </w:footnote>
  <w:footnote w:id="375">
    <w:p w14:paraId="3AD83448" w14:textId="6B7674D7" w:rsidR="003768CC" w:rsidRDefault="003768CC">
      <w:pPr>
        <w:pStyle w:val="FootnoteText"/>
      </w:pPr>
      <w:r>
        <w:rPr>
          <w:rStyle w:val="FootnoteReference"/>
        </w:rPr>
        <w:footnoteRef/>
      </w:r>
      <w:r>
        <w:t xml:space="preserve"> Submission 8, ACT Electoral Commission, p. 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175AC" w14:textId="1C38EDF2" w:rsidR="003768CC" w:rsidRPr="002046E5" w:rsidRDefault="003768CC"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0F3BB8">
      <w:rPr>
        <w:caps w:val="0"/>
        <w:smallCaps/>
        <w:noProof/>
      </w:rPr>
      <w:t>Standing Committee on Justice and Community Safety</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52D44" w14:textId="471A5162" w:rsidR="003768CC" w:rsidRPr="002046E5" w:rsidRDefault="003768CC"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0F3BB8">
      <w:rPr>
        <w:caps w:val="0"/>
        <w:smallCaps/>
        <w:noProof/>
      </w:rPr>
      <w:t>Inquiry into the 2020 ACT Election and the Electoral Act</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4D11BE9"/>
    <w:multiLevelType w:val="hybridMultilevel"/>
    <w:tmpl w:val="C48489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8E41CCF"/>
    <w:multiLevelType w:val="hybridMultilevel"/>
    <w:tmpl w:val="D764D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8"/>
  </w:num>
  <w:num w:numId="3">
    <w:abstractNumId w:val="6"/>
  </w:num>
  <w:num w:numId="4">
    <w:abstractNumId w:val="14"/>
  </w:num>
  <w:num w:numId="5">
    <w:abstractNumId w:val="5"/>
  </w:num>
  <w:num w:numId="6">
    <w:abstractNumId w:val="7"/>
  </w:num>
  <w:num w:numId="7">
    <w:abstractNumId w:val="9"/>
  </w:num>
  <w:num w:numId="8">
    <w:abstractNumId w:val="18"/>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3"/>
  </w:num>
  <w:num w:numId="22">
    <w:abstractNumId w:val="10"/>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1"/>
  </w:num>
  <w:num w:numId="29">
    <w:abstractNumId w:val="12"/>
  </w:num>
  <w:num w:numId="30">
    <w:abstractNumId w:val="20"/>
  </w:num>
  <w:num w:numId="31">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30C9"/>
    <w:rsid w:val="00002730"/>
    <w:rsid w:val="00004630"/>
    <w:rsid w:val="0000580C"/>
    <w:rsid w:val="000060F8"/>
    <w:rsid w:val="000100C7"/>
    <w:rsid w:val="000110B2"/>
    <w:rsid w:val="000135E9"/>
    <w:rsid w:val="000161FB"/>
    <w:rsid w:val="00017B38"/>
    <w:rsid w:val="00017D52"/>
    <w:rsid w:val="00020BB5"/>
    <w:rsid w:val="00020BCF"/>
    <w:rsid w:val="00021ACF"/>
    <w:rsid w:val="0002230F"/>
    <w:rsid w:val="00022DFF"/>
    <w:rsid w:val="00024729"/>
    <w:rsid w:val="00024877"/>
    <w:rsid w:val="000253AB"/>
    <w:rsid w:val="00026B43"/>
    <w:rsid w:val="0002797A"/>
    <w:rsid w:val="000322CE"/>
    <w:rsid w:val="00033BFE"/>
    <w:rsid w:val="000358C7"/>
    <w:rsid w:val="00036BBF"/>
    <w:rsid w:val="00037305"/>
    <w:rsid w:val="00042ACA"/>
    <w:rsid w:val="00050927"/>
    <w:rsid w:val="00051AFE"/>
    <w:rsid w:val="00052AC4"/>
    <w:rsid w:val="000557F4"/>
    <w:rsid w:val="0005586B"/>
    <w:rsid w:val="0005687D"/>
    <w:rsid w:val="00060B65"/>
    <w:rsid w:val="00062784"/>
    <w:rsid w:val="00062E9F"/>
    <w:rsid w:val="0007080E"/>
    <w:rsid w:val="00073A7D"/>
    <w:rsid w:val="00077973"/>
    <w:rsid w:val="000801E9"/>
    <w:rsid w:val="0008221E"/>
    <w:rsid w:val="00084BF4"/>
    <w:rsid w:val="000869A1"/>
    <w:rsid w:val="0008705A"/>
    <w:rsid w:val="00092EA3"/>
    <w:rsid w:val="00096E3A"/>
    <w:rsid w:val="000A0363"/>
    <w:rsid w:val="000A59B6"/>
    <w:rsid w:val="000A5C1C"/>
    <w:rsid w:val="000A65E2"/>
    <w:rsid w:val="000B2B62"/>
    <w:rsid w:val="000B3341"/>
    <w:rsid w:val="000B4094"/>
    <w:rsid w:val="000C4038"/>
    <w:rsid w:val="000C4EFA"/>
    <w:rsid w:val="000D014A"/>
    <w:rsid w:val="000D04E1"/>
    <w:rsid w:val="000D2895"/>
    <w:rsid w:val="000D3E58"/>
    <w:rsid w:val="000D555D"/>
    <w:rsid w:val="000D583A"/>
    <w:rsid w:val="000E02C3"/>
    <w:rsid w:val="000E0DD2"/>
    <w:rsid w:val="000E242F"/>
    <w:rsid w:val="000E2EF4"/>
    <w:rsid w:val="000E3DC9"/>
    <w:rsid w:val="000E4741"/>
    <w:rsid w:val="000E4E17"/>
    <w:rsid w:val="000E7567"/>
    <w:rsid w:val="000F3BB8"/>
    <w:rsid w:val="000F617F"/>
    <w:rsid w:val="0010093B"/>
    <w:rsid w:val="00100D47"/>
    <w:rsid w:val="001016F8"/>
    <w:rsid w:val="001108DC"/>
    <w:rsid w:val="00110FA4"/>
    <w:rsid w:val="00111850"/>
    <w:rsid w:val="00113E77"/>
    <w:rsid w:val="00114E34"/>
    <w:rsid w:val="0011587D"/>
    <w:rsid w:val="00116A67"/>
    <w:rsid w:val="0011795D"/>
    <w:rsid w:val="00117ABC"/>
    <w:rsid w:val="001224DD"/>
    <w:rsid w:val="0012342E"/>
    <w:rsid w:val="00123676"/>
    <w:rsid w:val="00123C42"/>
    <w:rsid w:val="00124F8D"/>
    <w:rsid w:val="00125E8B"/>
    <w:rsid w:val="00131D83"/>
    <w:rsid w:val="0013212B"/>
    <w:rsid w:val="00133F1B"/>
    <w:rsid w:val="00135078"/>
    <w:rsid w:val="00136411"/>
    <w:rsid w:val="00136DB8"/>
    <w:rsid w:val="00136F40"/>
    <w:rsid w:val="00140963"/>
    <w:rsid w:val="0014298A"/>
    <w:rsid w:val="00147469"/>
    <w:rsid w:val="001511D4"/>
    <w:rsid w:val="00151F03"/>
    <w:rsid w:val="00152342"/>
    <w:rsid w:val="001528D0"/>
    <w:rsid w:val="00156E0B"/>
    <w:rsid w:val="0015794F"/>
    <w:rsid w:val="001609A2"/>
    <w:rsid w:val="00162504"/>
    <w:rsid w:val="001647BE"/>
    <w:rsid w:val="00167854"/>
    <w:rsid w:val="00170C6B"/>
    <w:rsid w:val="001716E4"/>
    <w:rsid w:val="00171AAF"/>
    <w:rsid w:val="00171CA7"/>
    <w:rsid w:val="00172E87"/>
    <w:rsid w:val="00174A57"/>
    <w:rsid w:val="001752DC"/>
    <w:rsid w:val="00176811"/>
    <w:rsid w:val="00181D68"/>
    <w:rsid w:val="00181F7E"/>
    <w:rsid w:val="0018234A"/>
    <w:rsid w:val="001824F3"/>
    <w:rsid w:val="00182AC2"/>
    <w:rsid w:val="00182DF1"/>
    <w:rsid w:val="00183FBF"/>
    <w:rsid w:val="00184D6A"/>
    <w:rsid w:val="00185FC8"/>
    <w:rsid w:val="001871AB"/>
    <w:rsid w:val="001900CC"/>
    <w:rsid w:val="00191255"/>
    <w:rsid w:val="0019343C"/>
    <w:rsid w:val="00194A3F"/>
    <w:rsid w:val="0019591D"/>
    <w:rsid w:val="00195C0C"/>
    <w:rsid w:val="001A0DBE"/>
    <w:rsid w:val="001A1809"/>
    <w:rsid w:val="001A5DB1"/>
    <w:rsid w:val="001A7941"/>
    <w:rsid w:val="001B21D7"/>
    <w:rsid w:val="001B2548"/>
    <w:rsid w:val="001B2B71"/>
    <w:rsid w:val="001B330A"/>
    <w:rsid w:val="001B4B71"/>
    <w:rsid w:val="001B5F6D"/>
    <w:rsid w:val="001C0FC1"/>
    <w:rsid w:val="001C2D1C"/>
    <w:rsid w:val="001C3FDA"/>
    <w:rsid w:val="001C49DC"/>
    <w:rsid w:val="001C690A"/>
    <w:rsid w:val="001C746F"/>
    <w:rsid w:val="001C7551"/>
    <w:rsid w:val="001C75D2"/>
    <w:rsid w:val="001D009F"/>
    <w:rsid w:val="001D1062"/>
    <w:rsid w:val="001D17CF"/>
    <w:rsid w:val="001D3796"/>
    <w:rsid w:val="001D53AF"/>
    <w:rsid w:val="001D5EF1"/>
    <w:rsid w:val="001E2D30"/>
    <w:rsid w:val="001E3A56"/>
    <w:rsid w:val="001E3F52"/>
    <w:rsid w:val="001E7219"/>
    <w:rsid w:val="001F3FA1"/>
    <w:rsid w:val="001F44E7"/>
    <w:rsid w:val="001F4D20"/>
    <w:rsid w:val="001F58CC"/>
    <w:rsid w:val="002019EC"/>
    <w:rsid w:val="00202A7A"/>
    <w:rsid w:val="00203982"/>
    <w:rsid w:val="0020415F"/>
    <w:rsid w:val="002046E5"/>
    <w:rsid w:val="00206460"/>
    <w:rsid w:val="0020656E"/>
    <w:rsid w:val="0020680D"/>
    <w:rsid w:val="0020794F"/>
    <w:rsid w:val="002109A4"/>
    <w:rsid w:val="00211075"/>
    <w:rsid w:val="00211DBE"/>
    <w:rsid w:val="00214F58"/>
    <w:rsid w:val="00217020"/>
    <w:rsid w:val="00217DDC"/>
    <w:rsid w:val="002310C2"/>
    <w:rsid w:val="00232818"/>
    <w:rsid w:val="002334BD"/>
    <w:rsid w:val="0023711A"/>
    <w:rsid w:val="00241C85"/>
    <w:rsid w:val="00243A0E"/>
    <w:rsid w:val="00243BBE"/>
    <w:rsid w:val="00246948"/>
    <w:rsid w:val="00247450"/>
    <w:rsid w:val="002507A1"/>
    <w:rsid w:val="00251D86"/>
    <w:rsid w:val="00260F29"/>
    <w:rsid w:val="002634A3"/>
    <w:rsid w:val="00264D80"/>
    <w:rsid w:val="00265F91"/>
    <w:rsid w:val="0026627B"/>
    <w:rsid w:val="00267A9B"/>
    <w:rsid w:val="00270A75"/>
    <w:rsid w:val="00274198"/>
    <w:rsid w:val="00274CE4"/>
    <w:rsid w:val="002767DE"/>
    <w:rsid w:val="00277341"/>
    <w:rsid w:val="0028619B"/>
    <w:rsid w:val="002868FF"/>
    <w:rsid w:val="00287372"/>
    <w:rsid w:val="00295DB5"/>
    <w:rsid w:val="002A28EC"/>
    <w:rsid w:val="002A2E7F"/>
    <w:rsid w:val="002A3457"/>
    <w:rsid w:val="002A5610"/>
    <w:rsid w:val="002A617E"/>
    <w:rsid w:val="002A64FA"/>
    <w:rsid w:val="002B01D8"/>
    <w:rsid w:val="002B0FD1"/>
    <w:rsid w:val="002B1F09"/>
    <w:rsid w:val="002B4978"/>
    <w:rsid w:val="002B5C68"/>
    <w:rsid w:val="002B5D24"/>
    <w:rsid w:val="002C2E4A"/>
    <w:rsid w:val="002C4E6E"/>
    <w:rsid w:val="002C5082"/>
    <w:rsid w:val="002D082C"/>
    <w:rsid w:val="002D0BC9"/>
    <w:rsid w:val="002D1F26"/>
    <w:rsid w:val="002D2E6D"/>
    <w:rsid w:val="002D4A62"/>
    <w:rsid w:val="002D4BC1"/>
    <w:rsid w:val="002D5959"/>
    <w:rsid w:val="002D5FCE"/>
    <w:rsid w:val="002E1283"/>
    <w:rsid w:val="002E1A91"/>
    <w:rsid w:val="002E674A"/>
    <w:rsid w:val="002E676A"/>
    <w:rsid w:val="002F00E2"/>
    <w:rsid w:val="002F0215"/>
    <w:rsid w:val="002F1DCF"/>
    <w:rsid w:val="002F205F"/>
    <w:rsid w:val="002F2404"/>
    <w:rsid w:val="002F2BE4"/>
    <w:rsid w:val="002F34CE"/>
    <w:rsid w:val="002F52BB"/>
    <w:rsid w:val="00300A7C"/>
    <w:rsid w:val="00301919"/>
    <w:rsid w:val="0030629F"/>
    <w:rsid w:val="003072EB"/>
    <w:rsid w:val="00307BBB"/>
    <w:rsid w:val="00312658"/>
    <w:rsid w:val="003161A0"/>
    <w:rsid w:val="00320141"/>
    <w:rsid w:val="003236E3"/>
    <w:rsid w:val="00323E82"/>
    <w:rsid w:val="00325B51"/>
    <w:rsid w:val="00327492"/>
    <w:rsid w:val="00327F83"/>
    <w:rsid w:val="00327FC7"/>
    <w:rsid w:val="00331C8D"/>
    <w:rsid w:val="003337FA"/>
    <w:rsid w:val="00333FFD"/>
    <w:rsid w:val="0033446E"/>
    <w:rsid w:val="0033475A"/>
    <w:rsid w:val="0033525B"/>
    <w:rsid w:val="00335CD3"/>
    <w:rsid w:val="003374BA"/>
    <w:rsid w:val="0034044B"/>
    <w:rsid w:val="003416E7"/>
    <w:rsid w:val="00342A94"/>
    <w:rsid w:val="003460F0"/>
    <w:rsid w:val="00347AF5"/>
    <w:rsid w:val="003536AD"/>
    <w:rsid w:val="0035577D"/>
    <w:rsid w:val="003557A9"/>
    <w:rsid w:val="00355CF2"/>
    <w:rsid w:val="003606E5"/>
    <w:rsid w:val="003621BA"/>
    <w:rsid w:val="00366566"/>
    <w:rsid w:val="003666D9"/>
    <w:rsid w:val="00366A9C"/>
    <w:rsid w:val="00370C68"/>
    <w:rsid w:val="00373E49"/>
    <w:rsid w:val="003768CC"/>
    <w:rsid w:val="00380BCF"/>
    <w:rsid w:val="0038248A"/>
    <w:rsid w:val="00383DFC"/>
    <w:rsid w:val="003860BC"/>
    <w:rsid w:val="0038667F"/>
    <w:rsid w:val="00386782"/>
    <w:rsid w:val="00386C3D"/>
    <w:rsid w:val="0038734F"/>
    <w:rsid w:val="003875FE"/>
    <w:rsid w:val="00390FEE"/>
    <w:rsid w:val="00391347"/>
    <w:rsid w:val="00392FBF"/>
    <w:rsid w:val="003934C4"/>
    <w:rsid w:val="003957E9"/>
    <w:rsid w:val="0039765E"/>
    <w:rsid w:val="003A2038"/>
    <w:rsid w:val="003A3B5E"/>
    <w:rsid w:val="003A4417"/>
    <w:rsid w:val="003A4642"/>
    <w:rsid w:val="003B13F7"/>
    <w:rsid w:val="003B5A9F"/>
    <w:rsid w:val="003B7E6A"/>
    <w:rsid w:val="003C10F4"/>
    <w:rsid w:val="003C2E44"/>
    <w:rsid w:val="003C40E4"/>
    <w:rsid w:val="003C4E99"/>
    <w:rsid w:val="003C5103"/>
    <w:rsid w:val="003C6A45"/>
    <w:rsid w:val="003D2BD5"/>
    <w:rsid w:val="003D32EF"/>
    <w:rsid w:val="003D3563"/>
    <w:rsid w:val="003E0CF7"/>
    <w:rsid w:val="003E346B"/>
    <w:rsid w:val="003E60E7"/>
    <w:rsid w:val="003E694F"/>
    <w:rsid w:val="003E7EED"/>
    <w:rsid w:val="003F1B9A"/>
    <w:rsid w:val="003F3F57"/>
    <w:rsid w:val="003F679A"/>
    <w:rsid w:val="003F7136"/>
    <w:rsid w:val="003F72B7"/>
    <w:rsid w:val="004001FB"/>
    <w:rsid w:val="004007BC"/>
    <w:rsid w:val="004115ED"/>
    <w:rsid w:val="00414BA8"/>
    <w:rsid w:val="00415731"/>
    <w:rsid w:val="00415891"/>
    <w:rsid w:val="00415CDF"/>
    <w:rsid w:val="00415EF1"/>
    <w:rsid w:val="00416520"/>
    <w:rsid w:val="00416A60"/>
    <w:rsid w:val="00424B6E"/>
    <w:rsid w:val="00425367"/>
    <w:rsid w:val="00425F4A"/>
    <w:rsid w:val="004260D7"/>
    <w:rsid w:val="0042771A"/>
    <w:rsid w:val="004302E6"/>
    <w:rsid w:val="00435291"/>
    <w:rsid w:val="00436631"/>
    <w:rsid w:val="0043728E"/>
    <w:rsid w:val="00440232"/>
    <w:rsid w:val="00440A62"/>
    <w:rsid w:val="0044222A"/>
    <w:rsid w:val="00444CF6"/>
    <w:rsid w:val="00450878"/>
    <w:rsid w:val="00452EB2"/>
    <w:rsid w:val="004530D1"/>
    <w:rsid w:val="004539BA"/>
    <w:rsid w:val="004548FE"/>
    <w:rsid w:val="00455C80"/>
    <w:rsid w:val="00461387"/>
    <w:rsid w:val="00461CF5"/>
    <w:rsid w:val="00462F49"/>
    <w:rsid w:val="00463AAE"/>
    <w:rsid w:val="0046502A"/>
    <w:rsid w:val="004669D4"/>
    <w:rsid w:val="0046748B"/>
    <w:rsid w:val="00467835"/>
    <w:rsid w:val="00470CE9"/>
    <w:rsid w:val="00472185"/>
    <w:rsid w:val="00472519"/>
    <w:rsid w:val="0047345C"/>
    <w:rsid w:val="00474F70"/>
    <w:rsid w:val="00475450"/>
    <w:rsid w:val="00475697"/>
    <w:rsid w:val="00477251"/>
    <w:rsid w:val="004821AF"/>
    <w:rsid w:val="0048718C"/>
    <w:rsid w:val="00496E6D"/>
    <w:rsid w:val="004A01A5"/>
    <w:rsid w:val="004A2AF0"/>
    <w:rsid w:val="004A31E4"/>
    <w:rsid w:val="004A4798"/>
    <w:rsid w:val="004A5322"/>
    <w:rsid w:val="004B2CD3"/>
    <w:rsid w:val="004B466B"/>
    <w:rsid w:val="004B4B9C"/>
    <w:rsid w:val="004B55FE"/>
    <w:rsid w:val="004B618B"/>
    <w:rsid w:val="004C001F"/>
    <w:rsid w:val="004C0FA4"/>
    <w:rsid w:val="004C30A4"/>
    <w:rsid w:val="004C33BD"/>
    <w:rsid w:val="004C4692"/>
    <w:rsid w:val="004C6467"/>
    <w:rsid w:val="004C6BC3"/>
    <w:rsid w:val="004C7124"/>
    <w:rsid w:val="004C71BD"/>
    <w:rsid w:val="004C761E"/>
    <w:rsid w:val="004C76B2"/>
    <w:rsid w:val="004D2594"/>
    <w:rsid w:val="004D2CD2"/>
    <w:rsid w:val="004D3265"/>
    <w:rsid w:val="004D5217"/>
    <w:rsid w:val="004E4EE8"/>
    <w:rsid w:val="004E518B"/>
    <w:rsid w:val="004E6B4A"/>
    <w:rsid w:val="004E78B4"/>
    <w:rsid w:val="004F0C27"/>
    <w:rsid w:val="004F0E1B"/>
    <w:rsid w:val="004F2E41"/>
    <w:rsid w:val="004F315C"/>
    <w:rsid w:val="004F371A"/>
    <w:rsid w:val="004F6C9F"/>
    <w:rsid w:val="00500D4E"/>
    <w:rsid w:val="0050194C"/>
    <w:rsid w:val="00501F01"/>
    <w:rsid w:val="00504394"/>
    <w:rsid w:val="00505904"/>
    <w:rsid w:val="00505F5B"/>
    <w:rsid w:val="005072C5"/>
    <w:rsid w:val="0051124B"/>
    <w:rsid w:val="00516FA0"/>
    <w:rsid w:val="00517D32"/>
    <w:rsid w:val="0052658A"/>
    <w:rsid w:val="00526A4B"/>
    <w:rsid w:val="005276A2"/>
    <w:rsid w:val="0052783F"/>
    <w:rsid w:val="005309F6"/>
    <w:rsid w:val="00530A37"/>
    <w:rsid w:val="00530E16"/>
    <w:rsid w:val="00532B83"/>
    <w:rsid w:val="00532F3D"/>
    <w:rsid w:val="00535635"/>
    <w:rsid w:val="0053709F"/>
    <w:rsid w:val="00540A07"/>
    <w:rsid w:val="00540D7C"/>
    <w:rsid w:val="00542250"/>
    <w:rsid w:val="00542FA6"/>
    <w:rsid w:val="00543786"/>
    <w:rsid w:val="00543965"/>
    <w:rsid w:val="00543F27"/>
    <w:rsid w:val="00546A6E"/>
    <w:rsid w:val="00554A3A"/>
    <w:rsid w:val="005563BB"/>
    <w:rsid w:val="00557874"/>
    <w:rsid w:val="0056020D"/>
    <w:rsid w:val="005608F6"/>
    <w:rsid w:val="00561098"/>
    <w:rsid w:val="00563F71"/>
    <w:rsid w:val="00563FEB"/>
    <w:rsid w:val="0056608A"/>
    <w:rsid w:val="00566897"/>
    <w:rsid w:val="00566B91"/>
    <w:rsid w:val="00571C50"/>
    <w:rsid w:val="005731A8"/>
    <w:rsid w:val="00574777"/>
    <w:rsid w:val="00575DAA"/>
    <w:rsid w:val="005760D0"/>
    <w:rsid w:val="0057678B"/>
    <w:rsid w:val="00576CA6"/>
    <w:rsid w:val="00580730"/>
    <w:rsid w:val="005829E8"/>
    <w:rsid w:val="005834B1"/>
    <w:rsid w:val="00584492"/>
    <w:rsid w:val="00585337"/>
    <w:rsid w:val="005854CF"/>
    <w:rsid w:val="005876D5"/>
    <w:rsid w:val="005917B3"/>
    <w:rsid w:val="00592771"/>
    <w:rsid w:val="00593E9E"/>
    <w:rsid w:val="00594776"/>
    <w:rsid w:val="005973EA"/>
    <w:rsid w:val="00597C27"/>
    <w:rsid w:val="005A03C1"/>
    <w:rsid w:val="005A1168"/>
    <w:rsid w:val="005A2F7A"/>
    <w:rsid w:val="005A4A62"/>
    <w:rsid w:val="005A50D4"/>
    <w:rsid w:val="005A50F3"/>
    <w:rsid w:val="005A52DE"/>
    <w:rsid w:val="005A74F5"/>
    <w:rsid w:val="005B17C1"/>
    <w:rsid w:val="005B18B4"/>
    <w:rsid w:val="005B424B"/>
    <w:rsid w:val="005B5589"/>
    <w:rsid w:val="005B60C2"/>
    <w:rsid w:val="005B714E"/>
    <w:rsid w:val="005C1855"/>
    <w:rsid w:val="005C1AF5"/>
    <w:rsid w:val="005C6A2D"/>
    <w:rsid w:val="005D07F8"/>
    <w:rsid w:val="005D087B"/>
    <w:rsid w:val="005D19F3"/>
    <w:rsid w:val="005D24AC"/>
    <w:rsid w:val="005D34F6"/>
    <w:rsid w:val="005D3E94"/>
    <w:rsid w:val="005D5AB2"/>
    <w:rsid w:val="005E03B1"/>
    <w:rsid w:val="005E1C4F"/>
    <w:rsid w:val="005E5D0E"/>
    <w:rsid w:val="005E670D"/>
    <w:rsid w:val="005E7576"/>
    <w:rsid w:val="005F1F55"/>
    <w:rsid w:val="005F2C11"/>
    <w:rsid w:val="005F3356"/>
    <w:rsid w:val="005F3C41"/>
    <w:rsid w:val="005F449D"/>
    <w:rsid w:val="005F4987"/>
    <w:rsid w:val="005F4E33"/>
    <w:rsid w:val="005F7D4B"/>
    <w:rsid w:val="00600D80"/>
    <w:rsid w:val="00601ABF"/>
    <w:rsid w:val="00602170"/>
    <w:rsid w:val="00604F8E"/>
    <w:rsid w:val="00606EB6"/>
    <w:rsid w:val="00610B5E"/>
    <w:rsid w:val="00611074"/>
    <w:rsid w:val="0061344F"/>
    <w:rsid w:val="00615144"/>
    <w:rsid w:val="006156C0"/>
    <w:rsid w:val="00617196"/>
    <w:rsid w:val="006179BD"/>
    <w:rsid w:val="00617C19"/>
    <w:rsid w:val="0062061B"/>
    <w:rsid w:val="00621267"/>
    <w:rsid w:val="00624512"/>
    <w:rsid w:val="00625207"/>
    <w:rsid w:val="006257F6"/>
    <w:rsid w:val="00626168"/>
    <w:rsid w:val="0063028F"/>
    <w:rsid w:val="00630E27"/>
    <w:rsid w:val="00631F14"/>
    <w:rsid w:val="006322FD"/>
    <w:rsid w:val="006353FE"/>
    <w:rsid w:val="00635F9E"/>
    <w:rsid w:val="00635FB2"/>
    <w:rsid w:val="0064020A"/>
    <w:rsid w:val="00640E82"/>
    <w:rsid w:val="0064133C"/>
    <w:rsid w:val="00641378"/>
    <w:rsid w:val="00641E43"/>
    <w:rsid w:val="00642EE7"/>
    <w:rsid w:val="006437BA"/>
    <w:rsid w:val="006439D3"/>
    <w:rsid w:val="00643A05"/>
    <w:rsid w:val="0064607C"/>
    <w:rsid w:val="006464A3"/>
    <w:rsid w:val="006510E2"/>
    <w:rsid w:val="006534B0"/>
    <w:rsid w:val="00654087"/>
    <w:rsid w:val="00654EA4"/>
    <w:rsid w:val="00663486"/>
    <w:rsid w:val="00664739"/>
    <w:rsid w:val="00666775"/>
    <w:rsid w:val="006667B9"/>
    <w:rsid w:val="006715C3"/>
    <w:rsid w:val="00672013"/>
    <w:rsid w:val="00672199"/>
    <w:rsid w:val="006818B7"/>
    <w:rsid w:val="006835CB"/>
    <w:rsid w:val="00685960"/>
    <w:rsid w:val="00687244"/>
    <w:rsid w:val="006876C7"/>
    <w:rsid w:val="0069016B"/>
    <w:rsid w:val="00690194"/>
    <w:rsid w:val="00690DCF"/>
    <w:rsid w:val="00693538"/>
    <w:rsid w:val="00697906"/>
    <w:rsid w:val="006A0907"/>
    <w:rsid w:val="006A3522"/>
    <w:rsid w:val="006A3CC7"/>
    <w:rsid w:val="006A4234"/>
    <w:rsid w:val="006A5D41"/>
    <w:rsid w:val="006A63E6"/>
    <w:rsid w:val="006A6AC0"/>
    <w:rsid w:val="006B2DB9"/>
    <w:rsid w:val="006B485B"/>
    <w:rsid w:val="006B66F4"/>
    <w:rsid w:val="006B793D"/>
    <w:rsid w:val="006C06BF"/>
    <w:rsid w:val="006C1295"/>
    <w:rsid w:val="006C4242"/>
    <w:rsid w:val="006C4493"/>
    <w:rsid w:val="006C4CF7"/>
    <w:rsid w:val="006D0029"/>
    <w:rsid w:val="006D1CF4"/>
    <w:rsid w:val="006D7FA3"/>
    <w:rsid w:val="006E2C4E"/>
    <w:rsid w:val="006E50CD"/>
    <w:rsid w:val="006E5D3A"/>
    <w:rsid w:val="006E6470"/>
    <w:rsid w:val="006E7BF3"/>
    <w:rsid w:val="006F01F3"/>
    <w:rsid w:val="006F1579"/>
    <w:rsid w:val="006F2DA4"/>
    <w:rsid w:val="006F4495"/>
    <w:rsid w:val="006F7292"/>
    <w:rsid w:val="006F796C"/>
    <w:rsid w:val="00700809"/>
    <w:rsid w:val="00702460"/>
    <w:rsid w:val="00705D06"/>
    <w:rsid w:val="00707F05"/>
    <w:rsid w:val="00707FD1"/>
    <w:rsid w:val="007104A7"/>
    <w:rsid w:val="007105A6"/>
    <w:rsid w:val="00711E2D"/>
    <w:rsid w:val="00711F2C"/>
    <w:rsid w:val="00711F38"/>
    <w:rsid w:val="007136B6"/>
    <w:rsid w:val="007136DE"/>
    <w:rsid w:val="00715A37"/>
    <w:rsid w:val="00715A96"/>
    <w:rsid w:val="007160C4"/>
    <w:rsid w:val="0071763B"/>
    <w:rsid w:val="00720BD1"/>
    <w:rsid w:val="00720CE9"/>
    <w:rsid w:val="007317E4"/>
    <w:rsid w:val="00735053"/>
    <w:rsid w:val="00735B32"/>
    <w:rsid w:val="00735D41"/>
    <w:rsid w:val="00736AB1"/>
    <w:rsid w:val="00737D66"/>
    <w:rsid w:val="007415C3"/>
    <w:rsid w:val="00741BB1"/>
    <w:rsid w:val="00742132"/>
    <w:rsid w:val="0074354A"/>
    <w:rsid w:val="00743F65"/>
    <w:rsid w:val="00744725"/>
    <w:rsid w:val="007449FD"/>
    <w:rsid w:val="00744A80"/>
    <w:rsid w:val="00744CF0"/>
    <w:rsid w:val="00746A72"/>
    <w:rsid w:val="007518C0"/>
    <w:rsid w:val="00752458"/>
    <w:rsid w:val="007557C1"/>
    <w:rsid w:val="0075659A"/>
    <w:rsid w:val="00757881"/>
    <w:rsid w:val="0076272E"/>
    <w:rsid w:val="007629D1"/>
    <w:rsid w:val="007632FA"/>
    <w:rsid w:val="007636DE"/>
    <w:rsid w:val="00764425"/>
    <w:rsid w:val="0076515C"/>
    <w:rsid w:val="00766F14"/>
    <w:rsid w:val="0076701E"/>
    <w:rsid w:val="0077130C"/>
    <w:rsid w:val="00775065"/>
    <w:rsid w:val="007758F6"/>
    <w:rsid w:val="00776829"/>
    <w:rsid w:val="00776B84"/>
    <w:rsid w:val="00776E29"/>
    <w:rsid w:val="00777322"/>
    <w:rsid w:val="00777AF8"/>
    <w:rsid w:val="00777C57"/>
    <w:rsid w:val="00780211"/>
    <w:rsid w:val="007807E9"/>
    <w:rsid w:val="00780B47"/>
    <w:rsid w:val="0078230A"/>
    <w:rsid w:val="00790965"/>
    <w:rsid w:val="00795D29"/>
    <w:rsid w:val="00797309"/>
    <w:rsid w:val="007A0441"/>
    <w:rsid w:val="007A0AD3"/>
    <w:rsid w:val="007A3A48"/>
    <w:rsid w:val="007A3BDC"/>
    <w:rsid w:val="007A3C77"/>
    <w:rsid w:val="007A5047"/>
    <w:rsid w:val="007A598F"/>
    <w:rsid w:val="007A5CB5"/>
    <w:rsid w:val="007B0E50"/>
    <w:rsid w:val="007B31F6"/>
    <w:rsid w:val="007B394F"/>
    <w:rsid w:val="007B5AD9"/>
    <w:rsid w:val="007B6439"/>
    <w:rsid w:val="007B6919"/>
    <w:rsid w:val="007B7771"/>
    <w:rsid w:val="007C1C4A"/>
    <w:rsid w:val="007C36F5"/>
    <w:rsid w:val="007D1341"/>
    <w:rsid w:val="007D13B2"/>
    <w:rsid w:val="007D297B"/>
    <w:rsid w:val="007D661C"/>
    <w:rsid w:val="007D7931"/>
    <w:rsid w:val="007E0A04"/>
    <w:rsid w:val="007E0F3A"/>
    <w:rsid w:val="007E1531"/>
    <w:rsid w:val="007E2D7B"/>
    <w:rsid w:val="007E4588"/>
    <w:rsid w:val="007E6B58"/>
    <w:rsid w:val="007F0FEB"/>
    <w:rsid w:val="007F2475"/>
    <w:rsid w:val="007F2DDA"/>
    <w:rsid w:val="007F5E40"/>
    <w:rsid w:val="007F624B"/>
    <w:rsid w:val="00800E94"/>
    <w:rsid w:val="00801BCE"/>
    <w:rsid w:val="00802A5C"/>
    <w:rsid w:val="00804F6F"/>
    <w:rsid w:val="008134A6"/>
    <w:rsid w:val="00815402"/>
    <w:rsid w:val="00817255"/>
    <w:rsid w:val="00817C42"/>
    <w:rsid w:val="00817D23"/>
    <w:rsid w:val="0082033A"/>
    <w:rsid w:val="00821312"/>
    <w:rsid w:val="0082177F"/>
    <w:rsid w:val="00822014"/>
    <w:rsid w:val="00825989"/>
    <w:rsid w:val="0082656F"/>
    <w:rsid w:val="00827F91"/>
    <w:rsid w:val="008301CA"/>
    <w:rsid w:val="0083184F"/>
    <w:rsid w:val="00831F74"/>
    <w:rsid w:val="00832D4E"/>
    <w:rsid w:val="00833FB2"/>
    <w:rsid w:val="0083652D"/>
    <w:rsid w:val="00841B06"/>
    <w:rsid w:val="00841BA3"/>
    <w:rsid w:val="00842854"/>
    <w:rsid w:val="00842F2E"/>
    <w:rsid w:val="00843602"/>
    <w:rsid w:val="00843B7D"/>
    <w:rsid w:val="00852ABE"/>
    <w:rsid w:val="00853119"/>
    <w:rsid w:val="00853964"/>
    <w:rsid w:val="00853FE8"/>
    <w:rsid w:val="008551B6"/>
    <w:rsid w:val="00860758"/>
    <w:rsid w:val="00861734"/>
    <w:rsid w:val="00864654"/>
    <w:rsid w:val="0086591C"/>
    <w:rsid w:val="0087184B"/>
    <w:rsid w:val="00872B07"/>
    <w:rsid w:val="00876181"/>
    <w:rsid w:val="008868E0"/>
    <w:rsid w:val="0088722E"/>
    <w:rsid w:val="00887D19"/>
    <w:rsid w:val="008904F2"/>
    <w:rsid w:val="008909CB"/>
    <w:rsid w:val="00892BD3"/>
    <w:rsid w:val="0089358F"/>
    <w:rsid w:val="008A3298"/>
    <w:rsid w:val="008A3365"/>
    <w:rsid w:val="008A726E"/>
    <w:rsid w:val="008A7DFB"/>
    <w:rsid w:val="008B01FE"/>
    <w:rsid w:val="008B2935"/>
    <w:rsid w:val="008B35C5"/>
    <w:rsid w:val="008B493D"/>
    <w:rsid w:val="008B57A4"/>
    <w:rsid w:val="008C06E9"/>
    <w:rsid w:val="008C18B8"/>
    <w:rsid w:val="008C3A4E"/>
    <w:rsid w:val="008C4815"/>
    <w:rsid w:val="008C5FB0"/>
    <w:rsid w:val="008D0018"/>
    <w:rsid w:val="008D03EB"/>
    <w:rsid w:val="008D0AFB"/>
    <w:rsid w:val="008D0BC6"/>
    <w:rsid w:val="008D32DE"/>
    <w:rsid w:val="008D660A"/>
    <w:rsid w:val="008E1246"/>
    <w:rsid w:val="008E5907"/>
    <w:rsid w:val="008E6A37"/>
    <w:rsid w:val="008E6FEA"/>
    <w:rsid w:val="008F0C8D"/>
    <w:rsid w:val="008F0E1A"/>
    <w:rsid w:val="00900A04"/>
    <w:rsid w:val="0090205E"/>
    <w:rsid w:val="0090591A"/>
    <w:rsid w:val="00910431"/>
    <w:rsid w:val="00910A9B"/>
    <w:rsid w:val="00910F63"/>
    <w:rsid w:val="00912E06"/>
    <w:rsid w:val="00914807"/>
    <w:rsid w:val="0091584A"/>
    <w:rsid w:val="009174E4"/>
    <w:rsid w:val="00917543"/>
    <w:rsid w:val="009216BA"/>
    <w:rsid w:val="00921D14"/>
    <w:rsid w:val="009234E2"/>
    <w:rsid w:val="00923EA4"/>
    <w:rsid w:val="00923FFF"/>
    <w:rsid w:val="009276BF"/>
    <w:rsid w:val="00930625"/>
    <w:rsid w:val="00931EC9"/>
    <w:rsid w:val="00941045"/>
    <w:rsid w:val="00941647"/>
    <w:rsid w:val="00941D5C"/>
    <w:rsid w:val="0094226B"/>
    <w:rsid w:val="009456C1"/>
    <w:rsid w:val="00945855"/>
    <w:rsid w:val="00945888"/>
    <w:rsid w:val="009458A5"/>
    <w:rsid w:val="00946CE1"/>
    <w:rsid w:val="00950900"/>
    <w:rsid w:val="00954592"/>
    <w:rsid w:val="00955B14"/>
    <w:rsid w:val="00956304"/>
    <w:rsid w:val="00957111"/>
    <w:rsid w:val="009576B6"/>
    <w:rsid w:val="00957E75"/>
    <w:rsid w:val="0096033A"/>
    <w:rsid w:val="00960A9A"/>
    <w:rsid w:val="00962807"/>
    <w:rsid w:val="00963A03"/>
    <w:rsid w:val="0096517D"/>
    <w:rsid w:val="0096601D"/>
    <w:rsid w:val="00967112"/>
    <w:rsid w:val="0096739F"/>
    <w:rsid w:val="0096785F"/>
    <w:rsid w:val="00970178"/>
    <w:rsid w:val="00970A0B"/>
    <w:rsid w:val="00970AC4"/>
    <w:rsid w:val="00970E15"/>
    <w:rsid w:val="00971B20"/>
    <w:rsid w:val="00971B91"/>
    <w:rsid w:val="00973E9C"/>
    <w:rsid w:val="00974481"/>
    <w:rsid w:val="00974515"/>
    <w:rsid w:val="00974CEB"/>
    <w:rsid w:val="009753E0"/>
    <w:rsid w:val="0097543C"/>
    <w:rsid w:val="00975AF0"/>
    <w:rsid w:val="00981335"/>
    <w:rsid w:val="009814DC"/>
    <w:rsid w:val="00981CB7"/>
    <w:rsid w:val="00983E3C"/>
    <w:rsid w:val="00983EC7"/>
    <w:rsid w:val="0098407F"/>
    <w:rsid w:val="00984DEB"/>
    <w:rsid w:val="00985703"/>
    <w:rsid w:val="009873BE"/>
    <w:rsid w:val="009878B7"/>
    <w:rsid w:val="00987EF6"/>
    <w:rsid w:val="00993F9F"/>
    <w:rsid w:val="00997027"/>
    <w:rsid w:val="009A2091"/>
    <w:rsid w:val="009A2191"/>
    <w:rsid w:val="009A34FC"/>
    <w:rsid w:val="009A40EF"/>
    <w:rsid w:val="009A4839"/>
    <w:rsid w:val="009A58FC"/>
    <w:rsid w:val="009A62BE"/>
    <w:rsid w:val="009B3F14"/>
    <w:rsid w:val="009B44C0"/>
    <w:rsid w:val="009B4FB7"/>
    <w:rsid w:val="009B6C5E"/>
    <w:rsid w:val="009C20F3"/>
    <w:rsid w:val="009C293C"/>
    <w:rsid w:val="009C3565"/>
    <w:rsid w:val="009C6277"/>
    <w:rsid w:val="009D0DC2"/>
    <w:rsid w:val="009D10D6"/>
    <w:rsid w:val="009D146E"/>
    <w:rsid w:val="009D1FD5"/>
    <w:rsid w:val="009D3FD0"/>
    <w:rsid w:val="009D46B6"/>
    <w:rsid w:val="009F03D0"/>
    <w:rsid w:val="009F1EFF"/>
    <w:rsid w:val="009F28C6"/>
    <w:rsid w:val="009F2BEB"/>
    <w:rsid w:val="009F4581"/>
    <w:rsid w:val="009F48F3"/>
    <w:rsid w:val="009F73F4"/>
    <w:rsid w:val="00A01019"/>
    <w:rsid w:val="00A018EF"/>
    <w:rsid w:val="00A11BC9"/>
    <w:rsid w:val="00A1360E"/>
    <w:rsid w:val="00A16DFE"/>
    <w:rsid w:val="00A20F27"/>
    <w:rsid w:val="00A2152D"/>
    <w:rsid w:val="00A24915"/>
    <w:rsid w:val="00A2604C"/>
    <w:rsid w:val="00A27ECA"/>
    <w:rsid w:val="00A33EF3"/>
    <w:rsid w:val="00A3518B"/>
    <w:rsid w:val="00A35BA9"/>
    <w:rsid w:val="00A3668B"/>
    <w:rsid w:val="00A36BF1"/>
    <w:rsid w:val="00A36E0A"/>
    <w:rsid w:val="00A44C20"/>
    <w:rsid w:val="00A44CF3"/>
    <w:rsid w:val="00A46245"/>
    <w:rsid w:val="00A52EF8"/>
    <w:rsid w:val="00A5331D"/>
    <w:rsid w:val="00A54473"/>
    <w:rsid w:val="00A55C73"/>
    <w:rsid w:val="00A60CA3"/>
    <w:rsid w:val="00A60E22"/>
    <w:rsid w:val="00A61070"/>
    <w:rsid w:val="00A61A91"/>
    <w:rsid w:val="00A64493"/>
    <w:rsid w:val="00A6538C"/>
    <w:rsid w:val="00A66D2B"/>
    <w:rsid w:val="00A708C0"/>
    <w:rsid w:val="00A708EB"/>
    <w:rsid w:val="00A70D25"/>
    <w:rsid w:val="00A73210"/>
    <w:rsid w:val="00A75BF9"/>
    <w:rsid w:val="00A77A10"/>
    <w:rsid w:val="00A81194"/>
    <w:rsid w:val="00A816C1"/>
    <w:rsid w:val="00A822D0"/>
    <w:rsid w:val="00A83E5D"/>
    <w:rsid w:val="00A84CE3"/>
    <w:rsid w:val="00A84D0C"/>
    <w:rsid w:val="00A86276"/>
    <w:rsid w:val="00A8688C"/>
    <w:rsid w:val="00A903C1"/>
    <w:rsid w:val="00A90E7F"/>
    <w:rsid w:val="00A90E95"/>
    <w:rsid w:val="00A9188C"/>
    <w:rsid w:val="00A918A5"/>
    <w:rsid w:val="00A92116"/>
    <w:rsid w:val="00A92229"/>
    <w:rsid w:val="00A92C76"/>
    <w:rsid w:val="00A9309D"/>
    <w:rsid w:val="00AA171E"/>
    <w:rsid w:val="00AA1916"/>
    <w:rsid w:val="00AA3402"/>
    <w:rsid w:val="00AA3A15"/>
    <w:rsid w:val="00AB00FA"/>
    <w:rsid w:val="00AB0310"/>
    <w:rsid w:val="00AB1818"/>
    <w:rsid w:val="00AB1BE4"/>
    <w:rsid w:val="00AC003A"/>
    <w:rsid w:val="00AC0996"/>
    <w:rsid w:val="00AC1D5E"/>
    <w:rsid w:val="00AC22A0"/>
    <w:rsid w:val="00AC313D"/>
    <w:rsid w:val="00AC64A3"/>
    <w:rsid w:val="00AC67C1"/>
    <w:rsid w:val="00AD127C"/>
    <w:rsid w:val="00AD2420"/>
    <w:rsid w:val="00AD4279"/>
    <w:rsid w:val="00AD4821"/>
    <w:rsid w:val="00AD59B1"/>
    <w:rsid w:val="00AD6F11"/>
    <w:rsid w:val="00AD7BDF"/>
    <w:rsid w:val="00AE2CCF"/>
    <w:rsid w:val="00AE4148"/>
    <w:rsid w:val="00AE4B7C"/>
    <w:rsid w:val="00AF4AFC"/>
    <w:rsid w:val="00AF5E72"/>
    <w:rsid w:val="00AF7020"/>
    <w:rsid w:val="00AF784F"/>
    <w:rsid w:val="00AF7D15"/>
    <w:rsid w:val="00B0034C"/>
    <w:rsid w:val="00B0100B"/>
    <w:rsid w:val="00B011E3"/>
    <w:rsid w:val="00B0496F"/>
    <w:rsid w:val="00B04EA9"/>
    <w:rsid w:val="00B0630B"/>
    <w:rsid w:val="00B0632B"/>
    <w:rsid w:val="00B0702E"/>
    <w:rsid w:val="00B10EFC"/>
    <w:rsid w:val="00B1191A"/>
    <w:rsid w:val="00B11CE1"/>
    <w:rsid w:val="00B14D90"/>
    <w:rsid w:val="00B15DD5"/>
    <w:rsid w:val="00B16189"/>
    <w:rsid w:val="00B17EA1"/>
    <w:rsid w:val="00B214A7"/>
    <w:rsid w:val="00B21BDC"/>
    <w:rsid w:val="00B24CE4"/>
    <w:rsid w:val="00B27320"/>
    <w:rsid w:val="00B27424"/>
    <w:rsid w:val="00B27489"/>
    <w:rsid w:val="00B31581"/>
    <w:rsid w:val="00B34ACD"/>
    <w:rsid w:val="00B34C0A"/>
    <w:rsid w:val="00B357BB"/>
    <w:rsid w:val="00B35B46"/>
    <w:rsid w:val="00B37C79"/>
    <w:rsid w:val="00B4193C"/>
    <w:rsid w:val="00B42062"/>
    <w:rsid w:val="00B441C4"/>
    <w:rsid w:val="00B44439"/>
    <w:rsid w:val="00B4502A"/>
    <w:rsid w:val="00B472F6"/>
    <w:rsid w:val="00B47374"/>
    <w:rsid w:val="00B505D7"/>
    <w:rsid w:val="00B52235"/>
    <w:rsid w:val="00B52DF3"/>
    <w:rsid w:val="00B53830"/>
    <w:rsid w:val="00B53970"/>
    <w:rsid w:val="00B5779B"/>
    <w:rsid w:val="00B57A95"/>
    <w:rsid w:val="00B6001D"/>
    <w:rsid w:val="00B604DE"/>
    <w:rsid w:val="00B61251"/>
    <w:rsid w:val="00B66ECA"/>
    <w:rsid w:val="00B67AB1"/>
    <w:rsid w:val="00B73144"/>
    <w:rsid w:val="00B73396"/>
    <w:rsid w:val="00B75C4F"/>
    <w:rsid w:val="00B77D37"/>
    <w:rsid w:val="00B80F7D"/>
    <w:rsid w:val="00B81DD6"/>
    <w:rsid w:val="00B8388A"/>
    <w:rsid w:val="00B83DF6"/>
    <w:rsid w:val="00B84113"/>
    <w:rsid w:val="00B8439D"/>
    <w:rsid w:val="00B85C8B"/>
    <w:rsid w:val="00B87FF7"/>
    <w:rsid w:val="00B92315"/>
    <w:rsid w:val="00B93068"/>
    <w:rsid w:val="00B941DB"/>
    <w:rsid w:val="00B94284"/>
    <w:rsid w:val="00B949B4"/>
    <w:rsid w:val="00B9717D"/>
    <w:rsid w:val="00B97458"/>
    <w:rsid w:val="00B97EE4"/>
    <w:rsid w:val="00BA375D"/>
    <w:rsid w:val="00BA405E"/>
    <w:rsid w:val="00BA5175"/>
    <w:rsid w:val="00BA5EFD"/>
    <w:rsid w:val="00BA6331"/>
    <w:rsid w:val="00BB11B4"/>
    <w:rsid w:val="00BB24EC"/>
    <w:rsid w:val="00BB3833"/>
    <w:rsid w:val="00BB6351"/>
    <w:rsid w:val="00BB6A15"/>
    <w:rsid w:val="00BB6B07"/>
    <w:rsid w:val="00BC1175"/>
    <w:rsid w:val="00BC3323"/>
    <w:rsid w:val="00BC4044"/>
    <w:rsid w:val="00BC4C6B"/>
    <w:rsid w:val="00BC5EFE"/>
    <w:rsid w:val="00BC61A5"/>
    <w:rsid w:val="00BC6DE3"/>
    <w:rsid w:val="00BC7178"/>
    <w:rsid w:val="00BC7303"/>
    <w:rsid w:val="00BD0A2B"/>
    <w:rsid w:val="00BD4012"/>
    <w:rsid w:val="00BD6154"/>
    <w:rsid w:val="00BD6446"/>
    <w:rsid w:val="00BE06DA"/>
    <w:rsid w:val="00BE0A44"/>
    <w:rsid w:val="00BE0EF8"/>
    <w:rsid w:val="00BE235D"/>
    <w:rsid w:val="00BE2A56"/>
    <w:rsid w:val="00BE3D22"/>
    <w:rsid w:val="00BE4BFD"/>
    <w:rsid w:val="00BE5032"/>
    <w:rsid w:val="00BE56AF"/>
    <w:rsid w:val="00BE6713"/>
    <w:rsid w:val="00BF146D"/>
    <w:rsid w:val="00BF171A"/>
    <w:rsid w:val="00BF4832"/>
    <w:rsid w:val="00BF6855"/>
    <w:rsid w:val="00C00315"/>
    <w:rsid w:val="00C0130C"/>
    <w:rsid w:val="00C01738"/>
    <w:rsid w:val="00C01B5C"/>
    <w:rsid w:val="00C05FAD"/>
    <w:rsid w:val="00C06D99"/>
    <w:rsid w:val="00C07222"/>
    <w:rsid w:val="00C1016C"/>
    <w:rsid w:val="00C10DC7"/>
    <w:rsid w:val="00C10F49"/>
    <w:rsid w:val="00C12FAF"/>
    <w:rsid w:val="00C13276"/>
    <w:rsid w:val="00C148DF"/>
    <w:rsid w:val="00C167EA"/>
    <w:rsid w:val="00C21448"/>
    <w:rsid w:val="00C2192F"/>
    <w:rsid w:val="00C2280E"/>
    <w:rsid w:val="00C23420"/>
    <w:rsid w:val="00C236C3"/>
    <w:rsid w:val="00C2492A"/>
    <w:rsid w:val="00C24D9C"/>
    <w:rsid w:val="00C25335"/>
    <w:rsid w:val="00C25516"/>
    <w:rsid w:val="00C25B73"/>
    <w:rsid w:val="00C26423"/>
    <w:rsid w:val="00C267A0"/>
    <w:rsid w:val="00C26D42"/>
    <w:rsid w:val="00C30124"/>
    <w:rsid w:val="00C3030C"/>
    <w:rsid w:val="00C33A2A"/>
    <w:rsid w:val="00C34791"/>
    <w:rsid w:val="00C370A2"/>
    <w:rsid w:val="00C41A27"/>
    <w:rsid w:val="00C4202D"/>
    <w:rsid w:val="00C4574C"/>
    <w:rsid w:val="00C4628D"/>
    <w:rsid w:val="00C47818"/>
    <w:rsid w:val="00C53EEF"/>
    <w:rsid w:val="00C5534C"/>
    <w:rsid w:val="00C55D23"/>
    <w:rsid w:val="00C601F9"/>
    <w:rsid w:val="00C60D8F"/>
    <w:rsid w:val="00C618E9"/>
    <w:rsid w:val="00C62052"/>
    <w:rsid w:val="00C62D64"/>
    <w:rsid w:val="00C6434E"/>
    <w:rsid w:val="00C674CC"/>
    <w:rsid w:val="00C702A5"/>
    <w:rsid w:val="00C715C2"/>
    <w:rsid w:val="00C8029B"/>
    <w:rsid w:val="00C86B86"/>
    <w:rsid w:val="00C91DC4"/>
    <w:rsid w:val="00C93C9E"/>
    <w:rsid w:val="00C94624"/>
    <w:rsid w:val="00CA240E"/>
    <w:rsid w:val="00CA32D5"/>
    <w:rsid w:val="00CA3442"/>
    <w:rsid w:val="00CA7713"/>
    <w:rsid w:val="00CA771C"/>
    <w:rsid w:val="00CB0EAE"/>
    <w:rsid w:val="00CB1E60"/>
    <w:rsid w:val="00CB2BA9"/>
    <w:rsid w:val="00CB5C64"/>
    <w:rsid w:val="00CB6FA7"/>
    <w:rsid w:val="00CC03D8"/>
    <w:rsid w:val="00CC0562"/>
    <w:rsid w:val="00CC1741"/>
    <w:rsid w:val="00CC30B4"/>
    <w:rsid w:val="00CC3632"/>
    <w:rsid w:val="00CC381F"/>
    <w:rsid w:val="00CC44A4"/>
    <w:rsid w:val="00CC59DE"/>
    <w:rsid w:val="00CC5C64"/>
    <w:rsid w:val="00CC77FD"/>
    <w:rsid w:val="00CD03EC"/>
    <w:rsid w:val="00CD1CA7"/>
    <w:rsid w:val="00CD2FD8"/>
    <w:rsid w:val="00CD5700"/>
    <w:rsid w:val="00CD7F25"/>
    <w:rsid w:val="00CE194E"/>
    <w:rsid w:val="00CE60FE"/>
    <w:rsid w:val="00CF0001"/>
    <w:rsid w:val="00CF0101"/>
    <w:rsid w:val="00CF0536"/>
    <w:rsid w:val="00CF0C82"/>
    <w:rsid w:val="00CF20CD"/>
    <w:rsid w:val="00CF3127"/>
    <w:rsid w:val="00CF347D"/>
    <w:rsid w:val="00CF3CA4"/>
    <w:rsid w:val="00CF5B5C"/>
    <w:rsid w:val="00D000AD"/>
    <w:rsid w:val="00D0012A"/>
    <w:rsid w:val="00D01952"/>
    <w:rsid w:val="00D02D0E"/>
    <w:rsid w:val="00D03CCF"/>
    <w:rsid w:val="00D03FF2"/>
    <w:rsid w:val="00D06DB9"/>
    <w:rsid w:val="00D10C39"/>
    <w:rsid w:val="00D1211B"/>
    <w:rsid w:val="00D12E90"/>
    <w:rsid w:val="00D14F93"/>
    <w:rsid w:val="00D15AB6"/>
    <w:rsid w:val="00D23930"/>
    <w:rsid w:val="00D23AA2"/>
    <w:rsid w:val="00D254E7"/>
    <w:rsid w:val="00D275E7"/>
    <w:rsid w:val="00D31B32"/>
    <w:rsid w:val="00D33F96"/>
    <w:rsid w:val="00D344CA"/>
    <w:rsid w:val="00D37A0C"/>
    <w:rsid w:val="00D41516"/>
    <w:rsid w:val="00D42485"/>
    <w:rsid w:val="00D4282E"/>
    <w:rsid w:val="00D430A9"/>
    <w:rsid w:val="00D43221"/>
    <w:rsid w:val="00D44407"/>
    <w:rsid w:val="00D468C4"/>
    <w:rsid w:val="00D4706C"/>
    <w:rsid w:val="00D4717F"/>
    <w:rsid w:val="00D47416"/>
    <w:rsid w:val="00D50ADD"/>
    <w:rsid w:val="00D5106D"/>
    <w:rsid w:val="00D515B4"/>
    <w:rsid w:val="00D52025"/>
    <w:rsid w:val="00D5213A"/>
    <w:rsid w:val="00D532AE"/>
    <w:rsid w:val="00D532F2"/>
    <w:rsid w:val="00D53A4D"/>
    <w:rsid w:val="00D54AFE"/>
    <w:rsid w:val="00D561BC"/>
    <w:rsid w:val="00D61703"/>
    <w:rsid w:val="00D66837"/>
    <w:rsid w:val="00D67727"/>
    <w:rsid w:val="00D70BC4"/>
    <w:rsid w:val="00D722CB"/>
    <w:rsid w:val="00D731EE"/>
    <w:rsid w:val="00D73442"/>
    <w:rsid w:val="00D73ABA"/>
    <w:rsid w:val="00D740C8"/>
    <w:rsid w:val="00D83600"/>
    <w:rsid w:val="00D84AF7"/>
    <w:rsid w:val="00D84FCF"/>
    <w:rsid w:val="00D8576F"/>
    <w:rsid w:val="00D857FE"/>
    <w:rsid w:val="00D858A6"/>
    <w:rsid w:val="00D86534"/>
    <w:rsid w:val="00D870CD"/>
    <w:rsid w:val="00D87101"/>
    <w:rsid w:val="00D90E41"/>
    <w:rsid w:val="00D914EE"/>
    <w:rsid w:val="00D92782"/>
    <w:rsid w:val="00D93EF3"/>
    <w:rsid w:val="00DA01A8"/>
    <w:rsid w:val="00DA2742"/>
    <w:rsid w:val="00DA4A78"/>
    <w:rsid w:val="00DA62FA"/>
    <w:rsid w:val="00DA70E5"/>
    <w:rsid w:val="00DA7832"/>
    <w:rsid w:val="00DB144C"/>
    <w:rsid w:val="00DB2045"/>
    <w:rsid w:val="00DB2A52"/>
    <w:rsid w:val="00DB31A9"/>
    <w:rsid w:val="00DB4812"/>
    <w:rsid w:val="00DB6926"/>
    <w:rsid w:val="00DB6ED1"/>
    <w:rsid w:val="00DC00A0"/>
    <w:rsid w:val="00DC20D8"/>
    <w:rsid w:val="00DC30C9"/>
    <w:rsid w:val="00DC5BB9"/>
    <w:rsid w:val="00DC6155"/>
    <w:rsid w:val="00DC6A08"/>
    <w:rsid w:val="00DD1260"/>
    <w:rsid w:val="00DD507C"/>
    <w:rsid w:val="00DD76D8"/>
    <w:rsid w:val="00DE04A6"/>
    <w:rsid w:val="00DE2D3D"/>
    <w:rsid w:val="00DE3DB7"/>
    <w:rsid w:val="00DF1A09"/>
    <w:rsid w:val="00DF23BC"/>
    <w:rsid w:val="00DF2927"/>
    <w:rsid w:val="00DF305B"/>
    <w:rsid w:val="00DF38D5"/>
    <w:rsid w:val="00DF3DFD"/>
    <w:rsid w:val="00DF7362"/>
    <w:rsid w:val="00E01818"/>
    <w:rsid w:val="00E061AE"/>
    <w:rsid w:val="00E06E07"/>
    <w:rsid w:val="00E1041C"/>
    <w:rsid w:val="00E10D31"/>
    <w:rsid w:val="00E13F34"/>
    <w:rsid w:val="00E156A6"/>
    <w:rsid w:val="00E15716"/>
    <w:rsid w:val="00E15D75"/>
    <w:rsid w:val="00E165E2"/>
    <w:rsid w:val="00E227F5"/>
    <w:rsid w:val="00E249ED"/>
    <w:rsid w:val="00E254C3"/>
    <w:rsid w:val="00E27850"/>
    <w:rsid w:val="00E415CA"/>
    <w:rsid w:val="00E41791"/>
    <w:rsid w:val="00E42CAC"/>
    <w:rsid w:val="00E43E4E"/>
    <w:rsid w:val="00E4504E"/>
    <w:rsid w:val="00E47CFB"/>
    <w:rsid w:val="00E52BFA"/>
    <w:rsid w:val="00E53BF3"/>
    <w:rsid w:val="00E54C10"/>
    <w:rsid w:val="00E55AFF"/>
    <w:rsid w:val="00E57CD5"/>
    <w:rsid w:val="00E60985"/>
    <w:rsid w:val="00E60B03"/>
    <w:rsid w:val="00E629E2"/>
    <w:rsid w:val="00E62C3C"/>
    <w:rsid w:val="00E64C43"/>
    <w:rsid w:val="00E67437"/>
    <w:rsid w:val="00E67C16"/>
    <w:rsid w:val="00E7130C"/>
    <w:rsid w:val="00E7218C"/>
    <w:rsid w:val="00E7547C"/>
    <w:rsid w:val="00E77FCE"/>
    <w:rsid w:val="00E80B3B"/>
    <w:rsid w:val="00E82A37"/>
    <w:rsid w:val="00E83617"/>
    <w:rsid w:val="00E8651F"/>
    <w:rsid w:val="00E87CDB"/>
    <w:rsid w:val="00E93518"/>
    <w:rsid w:val="00E93717"/>
    <w:rsid w:val="00EA3423"/>
    <w:rsid w:val="00EA4D2A"/>
    <w:rsid w:val="00EA5FD8"/>
    <w:rsid w:val="00EA6BE2"/>
    <w:rsid w:val="00EA7C66"/>
    <w:rsid w:val="00EB287C"/>
    <w:rsid w:val="00EB2A94"/>
    <w:rsid w:val="00EB4D32"/>
    <w:rsid w:val="00EB78AB"/>
    <w:rsid w:val="00EC3D05"/>
    <w:rsid w:val="00EC3D09"/>
    <w:rsid w:val="00EC5178"/>
    <w:rsid w:val="00ED1590"/>
    <w:rsid w:val="00ED225C"/>
    <w:rsid w:val="00ED2F3D"/>
    <w:rsid w:val="00ED3552"/>
    <w:rsid w:val="00ED4FC7"/>
    <w:rsid w:val="00ED523B"/>
    <w:rsid w:val="00ED5249"/>
    <w:rsid w:val="00ED598B"/>
    <w:rsid w:val="00ED5EE9"/>
    <w:rsid w:val="00ED6FC7"/>
    <w:rsid w:val="00EE3549"/>
    <w:rsid w:val="00EE37C6"/>
    <w:rsid w:val="00EE57C8"/>
    <w:rsid w:val="00EE64C7"/>
    <w:rsid w:val="00EF3B9A"/>
    <w:rsid w:val="00F02110"/>
    <w:rsid w:val="00F0612C"/>
    <w:rsid w:val="00F07B03"/>
    <w:rsid w:val="00F128C9"/>
    <w:rsid w:val="00F13BC1"/>
    <w:rsid w:val="00F14364"/>
    <w:rsid w:val="00F167CC"/>
    <w:rsid w:val="00F22201"/>
    <w:rsid w:val="00F2226E"/>
    <w:rsid w:val="00F23C54"/>
    <w:rsid w:val="00F30083"/>
    <w:rsid w:val="00F32111"/>
    <w:rsid w:val="00F33739"/>
    <w:rsid w:val="00F3480A"/>
    <w:rsid w:val="00F357E3"/>
    <w:rsid w:val="00F36049"/>
    <w:rsid w:val="00F40579"/>
    <w:rsid w:val="00F433C4"/>
    <w:rsid w:val="00F43B6C"/>
    <w:rsid w:val="00F46C52"/>
    <w:rsid w:val="00F50E33"/>
    <w:rsid w:val="00F5122C"/>
    <w:rsid w:val="00F51354"/>
    <w:rsid w:val="00F54101"/>
    <w:rsid w:val="00F5682F"/>
    <w:rsid w:val="00F600F6"/>
    <w:rsid w:val="00F61030"/>
    <w:rsid w:val="00F61E65"/>
    <w:rsid w:val="00F654C0"/>
    <w:rsid w:val="00F65F96"/>
    <w:rsid w:val="00F6625A"/>
    <w:rsid w:val="00F6676A"/>
    <w:rsid w:val="00F66D0D"/>
    <w:rsid w:val="00F72111"/>
    <w:rsid w:val="00F74B46"/>
    <w:rsid w:val="00F74C60"/>
    <w:rsid w:val="00F74FFB"/>
    <w:rsid w:val="00F76D1E"/>
    <w:rsid w:val="00F76E74"/>
    <w:rsid w:val="00F83948"/>
    <w:rsid w:val="00F83BC8"/>
    <w:rsid w:val="00F8511C"/>
    <w:rsid w:val="00F9144D"/>
    <w:rsid w:val="00F91CE4"/>
    <w:rsid w:val="00F9734E"/>
    <w:rsid w:val="00FA06D3"/>
    <w:rsid w:val="00FA18A1"/>
    <w:rsid w:val="00FA2E6B"/>
    <w:rsid w:val="00FA40BE"/>
    <w:rsid w:val="00FA4ECE"/>
    <w:rsid w:val="00FB0F11"/>
    <w:rsid w:val="00FB1AAA"/>
    <w:rsid w:val="00FB1D3A"/>
    <w:rsid w:val="00FB2672"/>
    <w:rsid w:val="00FB28F1"/>
    <w:rsid w:val="00FB347F"/>
    <w:rsid w:val="00FB3D31"/>
    <w:rsid w:val="00FB4C03"/>
    <w:rsid w:val="00FB643C"/>
    <w:rsid w:val="00FB668B"/>
    <w:rsid w:val="00FC3F61"/>
    <w:rsid w:val="00FC4341"/>
    <w:rsid w:val="00FD004D"/>
    <w:rsid w:val="00FD1862"/>
    <w:rsid w:val="00FD509B"/>
    <w:rsid w:val="00FE202A"/>
    <w:rsid w:val="00FE24A5"/>
    <w:rsid w:val="00FE2AC5"/>
    <w:rsid w:val="00FE3985"/>
    <w:rsid w:val="00FE7848"/>
    <w:rsid w:val="00FF002A"/>
    <w:rsid w:val="00FF18B1"/>
    <w:rsid w:val="00FF4F30"/>
    <w:rsid w:val="00FF5B9B"/>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69FF28BA"/>
  <w15:docId w15:val="{4ABA3D8B-1BD6-4697-B92C-679BC623D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E227F5"/>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basedOn w:val="Normal"/>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character" w:styleId="UnresolvedMention">
    <w:name w:val="Unresolved Mention"/>
    <w:basedOn w:val="DefaultParagraphFont"/>
    <w:uiPriority w:val="99"/>
    <w:semiHidden/>
    <w:unhideWhenUsed/>
    <w:rsid w:val="005D34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9613732">
      <w:bodyDiv w:val="1"/>
      <w:marLeft w:val="0"/>
      <w:marRight w:val="0"/>
      <w:marTop w:val="0"/>
      <w:marBottom w:val="0"/>
      <w:divBdr>
        <w:top w:val="none" w:sz="0" w:space="0" w:color="auto"/>
        <w:left w:val="none" w:sz="0" w:space="0" w:color="auto"/>
        <w:bottom w:val="none" w:sz="0" w:space="0" w:color="auto"/>
        <w:right w:val="none" w:sz="0" w:space="0" w:color="auto"/>
      </w:divBdr>
      <w:divsChild>
        <w:div w:id="251474879">
          <w:marLeft w:val="0"/>
          <w:marRight w:val="0"/>
          <w:marTop w:val="0"/>
          <w:marBottom w:val="0"/>
          <w:divBdr>
            <w:top w:val="none" w:sz="0" w:space="0" w:color="auto"/>
            <w:left w:val="none" w:sz="0" w:space="0" w:color="auto"/>
            <w:bottom w:val="none" w:sz="0" w:space="0" w:color="auto"/>
            <w:right w:val="none" w:sz="0" w:space="0" w:color="auto"/>
          </w:divBdr>
        </w:div>
        <w:div w:id="911233007">
          <w:marLeft w:val="0"/>
          <w:marRight w:val="0"/>
          <w:marTop w:val="0"/>
          <w:marBottom w:val="0"/>
          <w:divBdr>
            <w:top w:val="none" w:sz="0" w:space="0" w:color="auto"/>
            <w:left w:val="none" w:sz="0" w:space="0" w:color="auto"/>
            <w:bottom w:val="none" w:sz="0" w:space="0" w:color="auto"/>
            <w:right w:val="none" w:sz="0" w:space="0" w:color="auto"/>
          </w:divBdr>
        </w:div>
        <w:div w:id="331883092">
          <w:marLeft w:val="0"/>
          <w:marRight w:val="0"/>
          <w:marTop w:val="0"/>
          <w:marBottom w:val="0"/>
          <w:divBdr>
            <w:top w:val="none" w:sz="0" w:space="0" w:color="auto"/>
            <w:left w:val="none" w:sz="0" w:space="0" w:color="auto"/>
            <w:bottom w:val="none" w:sz="0" w:space="0" w:color="auto"/>
            <w:right w:val="none" w:sz="0" w:space="0" w:color="auto"/>
          </w:divBdr>
        </w:div>
        <w:div w:id="214658512">
          <w:marLeft w:val="0"/>
          <w:marRight w:val="0"/>
          <w:marTop w:val="0"/>
          <w:marBottom w:val="0"/>
          <w:divBdr>
            <w:top w:val="none" w:sz="0" w:space="0" w:color="auto"/>
            <w:left w:val="none" w:sz="0" w:space="0" w:color="auto"/>
            <w:bottom w:val="none" w:sz="0" w:space="0" w:color="auto"/>
            <w:right w:val="none" w:sz="0" w:space="0" w:color="auto"/>
          </w:divBdr>
        </w:div>
        <w:div w:id="1784106965">
          <w:marLeft w:val="0"/>
          <w:marRight w:val="0"/>
          <w:marTop w:val="0"/>
          <w:marBottom w:val="0"/>
          <w:divBdr>
            <w:top w:val="none" w:sz="0" w:space="0" w:color="auto"/>
            <w:left w:val="none" w:sz="0" w:space="0" w:color="auto"/>
            <w:bottom w:val="none" w:sz="0" w:space="0" w:color="auto"/>
            <w:right w:val="none" w:sz="0" w:space="0" w:color="auto"/>
          </w:divBdr>
        </w:div>
        <w:div w:id="997074160">
          <w:marLeft w:val="0"/>
          <w:marRight w:val="0"/>
          <w:marTop w:val="0"/>
          <w:marBottom w:val="0"/>
          <w:divBdr>
            <w:top w:val="none" w:sz="0" w:space="0" w:color="auto"/>
            <w:left w:val="none" w:sz="0" w:space="0" w:color="auto"/>
            <w:bottom w:val="none" w:sz="0" w:space="0" w:color="auto"/>
            <w:right w:val="none" w:sz="0" w:space="0" w:color="auto"/>
          </w:divBdr>
        </w:div>
      </w:divsChild>
    </w:div>
    <w:div w:id="1257523649">
      <w:bodyDiv w:val="1"/>
      <w:marLeft w:val="0"/>
      <w:marRight w:val="0"/>
      <w:marTop w:val="0"/>
      <w:marBottom w:val="0"/>
      <w:divBdr>
        <w:top w:val="none" w:sz="0" w:space="0" w:color="auto"/>
        <w:left w:val="none" w:sz="0" w:space="0" w:color="auto"/>
        <w:bottom w:val="none" w:sz="0" w:space="0" w:color="auto"/>
        <w:right w:val="none" w:sz="0" w:space="0" w:color="auto"/>
      </w:divBdr>
      <w:divsChild>
        <w:div w:id="254561579">
          <w:marLeft w:val="0"/>
          <w:marRight w:val="0"/>
          <w:marTop w:val="0"/>
          <w:marBottom w:val="0"/>
          <w:divBdr>
            <w:top w:val="none" w:sz="0" w:space="0" w:color="auto"/>
            <w:left w:val="none" w:sz="0" w:space="0" w:color="auto"/>
            <w:bottom w:val="none" w:sz="0" w:space="0" w:color="auto"/>
            <w:right w:val="none" w:sz="0" w:space="0" w:color="auto"/>
          </w:divBdr>
        </w:div>
        <w:div w:id="2073430379">
          <w:marLeft w:val="0"/>
          <w:marRight w:val="0"/>
          <w:marTop w:val="0"/>
          <w:marBottom w:val="0"/>
          <w:divBdr>
            <w:top w:val="none" w:sz="0" w:space="0" w:color="auto"/>
            <w:left w:val="none" w:sz="0" w:space="0" w:color="auto"/>
            <w:bottom w:val="none" w:sz="0" w:space="0" w:color="auto"/>
            <w:right w:val="none" w:sz="0" w:space="0" w:color="auto"/>
          </w:divBdr>
        </w:div>
        <w:div w:id="1379938657">
          <w:marLeft w:val="0"/>
          <w:marRight w:val="0"/>
          <w:marTop w:val="0"/>
          <w:marBottom w:val="0"/>
          <w:divBdr>
            <w:top w:val="none" w:sz="0" w:space="0" w:color="auto"/>
            <w:left w:val="none" w:sz="0" w:space="0" w:color="auto"/>
            <w:bottom w:val="none" w:sz="0" w:space="0" w:color="auto"/>
            <w:right w:val="none" w:sz="0" w:space="0" w:color="auto"/>
          </w:divBdr>
        </w:div>
        <w:div w:id="1837306465">
          <w:marLeft w:val="0"/>
          <w:marRight w:val="0"/>
          <w:marTop w:val="0"/>
          <w:marBottom w:val="0"/>
          <w:divBdr>
            <w:top w:val="none" w:sz="0" w:space="0" w:color="auto"/>
            <w:left w:val="none" w:sz="0" w:space="0" w:color="auto"/>
            <w:bottom w:val="none" w:sz="0" w:space="0" w:color="auto"/>
            <w:right w:val="none" w:sz="0" w:space="0" w:color="auto"/>
          </w:divBdr>
        </w:div>
        <w:div w:id="562720475">
          <w:marLeft w:val="0"/>
          <w:marRight w:val="0"/>
          <w:marTop w:val="0"/>
          <w:marBottom w:val="0"/>
          <w:divBdr>
            <w:top w:val="none" w:sz="0" w:space="0" w:color="auto"/>
            <w:left w:val="none" w:sz="0" w:space="0" w:color="auto"/>
            <w:bottom w:val="none" w:sz="0" w:space="0" w:color="auto"/>
            <w:right w:val="none" w:sz="0" w:space="0" w:color="auto"/>
          </w:divBdr>
        </w:div>
        <w:div w:id="1610425949">
          <w:marLeft w:val="0"/>
          <w:marRight w:val="0"/>
          <w:marTop w:val="0"/>
          <w:marBottom w:val="0"/>
          <w:divBdr>
            <w:top w:val="none" w:sz="0" w:space="0" w:color="auto"/>
            <w:left w:val="none" w:sz="0" w:space="0" w:color="auto"/>
            <w:bottom w:val="none" w:sz="0" w:space="0" w:color="auto"/>
            <w:right w:val="none" w:sz="0" w:space="0" w:color="auto"/>
          </w:divBdr>
        </w:div>
      </w:divsChild>
    </w:div>
    <w:div w:id="1829712865">
      <w:bodyDiv w:val="1"/>
      <w:marLeft w:val="0"/>
      <w:marRight w:val="0"/>
      <w:marTop w:val="0"/>
      <w:marBottom w:val="0"/>
      <w:divBdr>
        <w:top w:val="none" w:sz="0" w:space="0" w:color="auto"/>
        <w:left w:val="none" w:sz="0" w:space="0" w:color="auto"/>
        <w:bottom w:val="none" w:sz="0" w:space="0" w:color="auto"/>
        <w:right w:val="none" w:sz="0" w:space="0" w:color="auto"/>
      </w:divBdr>
    </w:div>
    <w:div w:id="1933276891">
      <w:bodyDiv w:val="1"/>
      <w:marLeft w:val="0"/>
      <w:marRight w:val="0"/>
      <w:marTop w:val="0"/>
      <w:marBottom w:val="0"/>
      <w:divBdr>
        <w:top w:val="none" w:sz="0" w:space="0" w:color="auto"/>
        <w:left w:val="none" w:sz="0" w:space="0" w:color="auto"/>
        <w:bottom w:val="none" w:sz="0" w:space="0" w:color="auto"/>
        <w:right w:val="none" w:sz="0" w:space="0" w:color="auto"/>
      </w:divBdr>
    </w:div>
    <w:div w:id="2108035778">
      <w:bodyDiv w:val="1"/>
      <w:marLeft w:val="0"/>
      <w:marRight w:val="0"/>
      <w:marTop w:val="0"/>
      <w:marBottom w:val="0"/>
      <w:divBdr>
        <w:top w:val="none" w:sz="0" w:space="0" w:color="auto"/>
        <w:left w:val="none" w:sz="0" w:space="0" w:color="auto"/>
        <w:bottom w:val="none" w:sz="0" w:space="0" w:color="auto"/>
        <w:right w:val="none" w:sz="0" w:space="0" w:color="auto"/>
      </w:divBdr>
      <w:divsChild>
        <w:div w:id="1784886751">
          <w:marLeft w:val="0"/>
          <w:marRight w:val="0"/>
          <w:marTop w:val="0"/>
          <w:marBottom w:val="0"/>
          <w:divBdr>
            <w:top w:val="none" w:sz="0" w:space="0" w:color="auto"/>
            <w:left w:val="none" w:sz="0" w:space="0" w:color="auto"/>
            <w:bottom w:val="none" w:sz="0" w:space="0" w:color="auto"/>
            <w:right w:val="none" w:sz="0" w:space="0" w:color="auto"/>
          </w:divBdr>
        </w:div>
        <w:div w:id="860171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yperlink" Target="http://www.hansard.act.gov.au/hansard/2021/comms/jacs04a.pdf" TargetMode="External"/><Relationship Id="rId26"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hyperlink" Target="https://www.parliament.act.gov.au/parliamentary-business/in-committees/committees/jcs/inquiry-into-2020-act-election-and-the-electoral-act"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www.hansard.act.gov.au/hansard/2021/comms/jacs03a.pdf" TargetMode="Externa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aod.dpa.act.gov.au/C2853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act.gov.au" TargetMode="Externa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theme" Target="theme/theme1.xml"/><Relationship Id="rId10" Type="http://schemas.openxmlformats.org/officeDocument/2006/relationships/hyperlink" Target="mailto:LACommitteeJCS@parliament.act.gov.au" TargetMode="External"/><Relationship Id="rId19" Type="http://schemas.openxmlformats.org/officeDocument/2006/relationships/hyperlink" Target="http://aod.dpa.act.gov.au/C28250"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yperlink" Target="https://www.parliament.act.gov.au/__data/assets/pdf_file/0004/1754491/Submission-008-ACT-Electoral-Commission.pdf"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aod.dpa.act.gov.au/C28250" TargetMode="External"/><Relationship Id="rId13" Type="http://schemas.openxmlformats.org/officeDocument/2006/relationships/hyperlink" Target="https://www.legislation.act.gov.au/a/2020-27/" TargetMode="External"/><Relationship Id="rId18" Type="http://schemas.openxmlformats.org/officeDocument/2006/relationships/hyperlink" Target="https://www.parliament.act.gov.au/__data/assets/pdf_file/0020/1133336/Select-Committee-on-the-2016-ACT-Election-and-Electoral-Act-Report.pdf" TargetMode="External"/><Relationship Id="rId26" Type="http://schemas.openxmlformats.org/officeDocument/2006/relationships/hyperlink" Target="https://www.legislation.act.gov.au/View/es/db_61042/20190926-72278/PDF/db_61042.PDF" TargetMode="External"/><Relationship Id="rId39" Type="http://schemas.openxmlformats.org/officeDocument/2006/relationships/hyperlink" Target="https://www.legislation.qld.gov.au/view/html/inforce/current/act-1992-028" TargetMode="External"/><Relationship Id="rId3" Type="http://schemas.openxmlformats.org/officeDocument/2006/relationships/hyperlink" Target="https://www.parliament.act.gov.au/__data/assets/pdf_file/0007/1669030/MoP002F.pdf" TargetMode="External"/><Relationship Id="rId21" Type="http://schemas.openxmlformats.org/officeDocument/2006/relationships/hyperlink" Target="https://www.parliament.act.gov.au/parliamentary-business/in-committees/committees/jcs/inquiry-into-2020-act-election-and-the-electoral-act" TargetMode="External"/><Relationship Id="rId34" Type="http://schemas.openxmlformats.org/officeDocument/2006/relationships/hyperlink" Target="https://parlinfo.aph.gov.au/parlInfo/download/committees/reportjnt/024053/toc_pdf/Secondinterimreportontheinquiryintotheconductofthe2016federalelectionForeignDonations.pdf;fileType=application%2Fpdf" TargetMode="External"/><Relationship Id="rId42" Type="http://schemas.openxmlformats.org/officeDocument/2006/relationships/hyperlink" Target="https://www.legislation.act.gov.au/View/a/2015-5/20150303-60212/PDF/2015-5.PDF" TargetMode="External"/><Relationship Id="rId7" Type="http://schemas.openxmlformats.org/officeDocument/2006/relationships/hyperlink" Target="http://www.hansard.act.gov.au/hansard/2021/comms/jacs04a.pdf" TargetMode="External"/><Relationship Id="rId12" Type="http://schemas.openxmlformats.org/officeDocument/2006/relationships/hyperlink" Target="https://www.covid19.act.gov.au/act-status-and-response/act-public-health-directions" TargetMode="External"/><Relationship Id="rId17" Type="http://schemas.openxmlformats.org/officeDocument/2006/relationships/hyperlink" Target="https://www.audit.act.gov.au/__data/assets/pdf_file/0015/1180005/Report-No-2-of-2017-2016-ACT-Election.pdf" TargetMode="External"/><Relationship Id="rId25" Type="http://schemas.openxmlformats.org/officeDocument/2006/relationships/hyperlink" Target="https://www.aec.gov.au/Parties_and_Representatives/Party_Registration/Registration_Decisions/2021/the-new-liberals-statement-of-reasons.pdf" TargetMode="External"/><Relationship Id="rId33" Type="http://schemas.openxmlformats.org/officeDocument/2006/relationships/hyperlink" Target="https://www.parliament.act.gov.au/__data/assets/pdf_file/0005/1775840/210526-Bruce-Paine-Scanned-version.pdf" TargetMode="External"/><Relationship Id="rId38" Type="http://schemas.openxmlformats.org/officeDocument/2006/relationships/hyperlink" Target="https://content.legislation.vic.gov.au/sites/default/files/2020-04/02-23aa062%20authorised.pdf"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www.parliament.act.gov.au/__data/assets/pdf_file/0004/1754491/Submission-008-ACT-Electoral-Commission.pdf" TargetMode="External"/><Relationship Id="rId20" Type="http://schemas.openxmlformats.org/officeDocument/2006/relationships/hyperlink" Target="https://www.parliament.act.gov.au/parliamentary-business/in-committees/committees/jcs/inquiry-into-2020-act-election-and-the-electoral-act" TargetMode="External"/><Relationship Id="rId29" Type="http://schemas.openxmlformats.org/officeDocument/2006/relationships/hyperlink" Target="https://www.legislation.act.gov.au/View/es/db_61042/20200702-74572/PDF/db_61042.PDF" TargetMode="External"/><Relationship Id="rId41" Type="http://schemas.openxmlformats.org/officeDocument/2006/relationships/hyperlink" Target="https://www.legislation.act.gov.au/View/es/db_50925/20141127-59698/PDF/db_50925.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www.hansard.act.gov.au/hansard/2021/comms/jacs03a.pdf" TargetMode="External"/><Relationship Id="rId11" Type="http://schemas.openxmlformats.org/officeDocument/2006/relationships/hyperlink" Target="https://legislation.act.gov.au/ni/2020-153/" TargetMode="External"/><Relationship Id="rId24" Type="http://schemas.openxmlformats.org/officeDocument/2006/relationships/hyperlink" Target="http://www8.austlii.edu.au/cgi-bin/viewdoc/au/cases/cth/AATA/2001/166.html?context=1;query=woollard;mask_path=au/cases/cth/AATA" TargetMode="External"/><Relationship Id="rId32" Type="http://schemas.openxmlformats.org/officeDocument/2006/relationships/hyperlink" Target="https://www.legislation.gov.au/Details/F2018L00139" TargetMode="External"/><Relationship Id="rId37" Type="http://schemas.openxmlformats.org/officeDocument/2006/relationships/hyperlink" Target="https://legislation.nsw.gov.au/view/html/inforce/current/act-2018-020" TargetMode="External"/><Relationship Id="rId40" Type="http://schemas.openxmlformats.org/officeDocument/2006/relationships/hyperlink" Target="https://www.legislation.act.gov.au/View/a/1992-71/20141119-59606/PDF/1992-71.PDF" TargetMode="External"/><Relationship Id="rId45" Type="http://schemas.openxmlformats.org/officeDocument/2006/relationships/hyperlink" Target="http://www6.austlii.edu.au/cgi-bin/viewdoc/au/cases/cth/HCA/2019/1.html" TargetMode="External"/><Relationship Id="rId5" Type="http://schemas.openxmlformats.org/officeDocument/2006/relationships/hyperlink" Target="https://www.parliament.act.gov.au/parliamentary-business/in-committees/committees/jcs/inquiry-into-2020-act-election-and-the-electoral-act" TargetMode="External"/><Relationship Id="rId15" Type="http://schemas.openxmlformats.org/officeDocument/2006/relationships/hyperlink" Target="https://www.legislation.act.gov.au/View/es/db_62513/20200618-74283/PDF/db_62513.PDF" TargetMode="External"/><Relationship Id="rId23" Type="http://schemas.openxmlformats.org/officeDocument/2006/relationships/hyperlink" Target="https://www.parliament.act.gov.au/parliamentary-business/in-committees/committees/jcs/inquiry-into-2020-act-election-and-the-electoral-act" TargetMode="External"/><Relationship Id="rId28" Type="http://schemas.openxmlformats.org/officeDocument/2006/relationships/hyperlink" Target="https://www.cmtedd.act.gov.au/__data/assets/pdf_file/0003/1654077/Parliamentary-Agreement-for-the-10th-Legislative-Assembly.pdf" TargetMode="External"/><Relationship Id="rId36" Type="http://schemas.openxmlformats.org/officeDocument/2006/relationships/hyperlink" Target="https://www.legislation.gov.au/Details/C2018A00147" TargetMode="External"/><Relationship Id="rId10" Type="http://schemas.openxmlformats.org/officeDocument/2006/relationships/hyperlink" Target="https://www.parliament.act.gov.au/parliamentary-business/in-committees/committees/jcs/inquiry-into-2020-act-election-and-the-electoral-act" TargetMode="External"/><Relationship Id="rId19" Type="http://schemas.openxmlformats.org/officeDocument/2006/relationships/hyperlink" Target="https://www.audit.act.gov.au/__data/assets/pdf_file/0015/1180005/Report-No-2-of-2017-2016-ACT-Election.pdf" TargetMode="External"/><Relationship Id="rId31" Type="http://schemas.openxmlformats.org/officeDocument/2006/relationships/hyperlink" Target="https://www.legislation.gov.au/Details/F2018L00139" TargetMode="External"/><Relationship Id="rId44" Type="http://schemas.openxmlformats.org/officeDocument/2006/relationships/hyperlink" Target="http://www6.austlii.edu.au/cgi-bin/viewdb/au/legis/nsw/consol_act/efa2018171/" TargetMode="External"/><Relationship Id="rId4" Type="http://schemas.openxmlformats.org/officeDocument/2006/relationships/hyperlink" Target="https://www.parliament.act.gov.au/__data/assets/pdf_file/0007/1669030/MoP002F.pdf" TargetMode="External"/><Relationship Id="rId9" Type="http://schemas.openxmlformats.org/officeDocument/2006/relationships/hyperlink" Target="http://aod.dpa.act.gov.au/C28538" TargetMode="External"/><Relationship Id="rId14" Type="http://schemas.openxmlformats.org/officeDocument/2006/relationships/hyperlink" Target="https://www.legislation.act.gov.au/a/2020-27/" TargetMode="External"/><Relationship Id="rId22" Type="http://schemas.openxmlformats.org/officeDocument/2006/relationships/hyperlink" Target="https://www.legislation.act.gov.au/View/es/db_62513/20200618-74283/PDF/db_62513.PDF" TargetMode="External"/><Relationship Id="rId27" Type="http://schemas.openxmlformats.org/officeDocument/2006/relationships/hyperlink" Target="https://www.elections.act.gov.au/__data/assets/pdf_file/0009/835839/Code_of_Practice_-_Movable_Signs.pdf" TargetMode="External"/><Relationship Id="rId30" Type="http://schemas.openxmlformats.org/officeDocument/2006/relationships/hyperlink" Target="https://www.parliament.act.gov.au/parliamentary-business/in-committees/committees/jcs/inquiry-into-2020-act-election-and-the-electoral-act" TargetMode="External"/><Relationship Id="rId35" Type="http://schemas.openxmlformats.org/officeDocument/2006/relationships/hyperlink" Target="https://parlinfo.aph.gov.au/parlInfo/download/committees/reportsen/024147/toc_pdf/PoliticalInfluenceofDonations.pdf;fileType=application%2Fpdf" TargetMode="External"/><Relationship Id="rId43" Type="http://schemas.openxmlformats.org/officeDocument/2006/relationships/hyperlink" Target="https://www.dpc.nsw.gov.au/updates/2014/05/27/panel-of-experts-political-dona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Committee\10%20Publication%20-%20Templates%20and%20Forms\10th%20Assembly%20-%20Templates\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1</TotalTime>
  <Pages>111</Pages>
  <Words>29258</Words>
  <Characters>167892</Characters>
  <Application>Microsoft Office Word</Application>
  <DocSecurity>0</DocSecurity>
  <Lines>1399</Lines>
  <Paragraphs>393</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196757</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McGill, Brianna</dc:creator>
  <dc:description>Template version 11 - 7 February  2013</dc:description>
  <cp:lastModifiedBy>Chung, Lydia</cp:lastModifiedBy>
  <cp:revision>2</cp:revision>
  <cp:lastPrinted>2021-07-30T01:17:00Z</cp:lastPrinted>
  <dcterms:created xsi:type="dcterms:W3CDTF">2021-07-30T01:30:00Z</dcterms:created>
  <dcterms:modified xsi:type="dcterms:W3CDTF">2021-07-30T01:30:00Z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