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AC7" w:rsidRPr="00BE3AC7" w:rsidRDefault="00BE3AC7" w:rsidP="00BE3AC7">
      <w:pPr>
        <w:jc w:val="center"/>
        <w:rPr>
          <w:rFonts w:ascii="Times New Roman" w:hAnsi="Times New Roman"/>
          <w:b/>
          <w:bCs/>
          <w:lang w:val="en-AU"/>
        </w:rPr>
      </w:pPr>
      <w:r w:rsidRPr="00BE3AC7">
        <w:rPr>
          <w:rFonts w:ascii="Times New Roman" w:hAnsi="Times New Roman"/>
          <w:b/>
          <w:bCs/>
          <w:noProof/>
          <w:lang w:val="en-AU"/>
        </w:rPr>
        <w:drawing>
          <wp:inline distT="0" distB="0" distL="0" distR="0">
            <wp:extent cx="754380" cy="754380"/>
            <wp:effectExtent l="0" t="0" r="7620" b="7620"/>
            <wp:docPr id="1"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inline>
        </w:drawing>
      </w:r>
    </w:p>
    <w:p w:rsidR="00BE3AC7" w:rsidRPr="00BE3AC7" w:rsidRDefault="00BE3AC7" w:rsidP="00BE3AC7">
      <w:pPr>
        <w:keepNext/>
        <w:keepLines/>
        <w:spacing w:before="320"/>
        <w:jc w:val="center"/>
        <w:rPr>
          <w:rFonts w:ascii="Calibri" w:hAnsi="Calibri"/>
          <w:b/>
          <w:bCs/>
          <w:sz w:val="32"/>
          <w:szCs w:val="32"/>
          <w:lang w:val="en-AU"/>
        </w:rPr>
      </w:pPr>
      <w:r w:rsidRPr="00BE3AC7">
        <w:rPr>
          <w:rFonts w:ascii="Calibri" w:hAnsi="Calibri"/>
          <w:b/>
          <w:bCs/>
          <w:sz w:val="32"/>
          <w:szCs w:val="32"/>
          <w:lang w:val="en-AU"/>
        </w:rPr>
        <w:t>LEGISLATIVE ASSEMBLY FOR THE</w:t>
      </w:r>
    </w:p>
    <w:p w:rsidR="00BE3AC7" w:rsidRPr="00BE3AC7" w:rsidRDefault="00BE3AC7" w:rsidP="00BE3AC7">
      <w:pPr>
        <w:keepNext/>
        <w:keepLines/>
        <w:jc w:val="center"/>
        <w:rPr>
          <w:rFonts w:ascii="Calibri" w:hAnsi="Calibri"/>
          <w:b/>
          <w:bCs/>
          <w:sz w:val="32"/>
          <w:szCs w:val="32"/>
          <w:lang w:val="en-AU"/>
        </w:rPr>
      </w:pPr>
      <w:smartTag w:uri="urn:schemas-microsoft-com:office:smarttags" w:element="State">
        <w:smartTag w:uri="urn:schemas-microsoft-com:office:smarttags" w:element="place">
          <w:r w:rsidRPr="00BE3AC7">
            <w:rPr>
              <w:rFonts w:ascii="Calibri" w:hAnsi="Calibri"/>
              <w:b/>
              <w:bCs/>
              <w:sz w:val="32"/>
              <w:szCs w:val="32"/>
              <w:lang w:val="en-AU"/>
            </w:rPr>
            <w:t>AUSTRALIAN CAPITAL TERRITORY</w:t>
          </w:r>
        </w:smartTag>
      </w:smartTag>
    </w:p>
    <w:p w:rsidR="00BE3AC7" w:rsidRPr="00BE3AC7" w:rsidRDefault="00BE3AC7" w:rsidP="00BE3AC7">
      <w:pPr>
        <w:spacing w:before="360"/>
        <w:jc w:val="center"/>
        <w:rPr>
          <w:rFonts w:ascii="Calibri" w:hAnsi="Calibri"/>
          <w:b/>
          <w:sz w:val="28"/>
          <w:szCs w:val="28"/>
        </w:rPr>
      </w:pPr>
      <w:r w:rsidRPr="00BE3AC7">
        <w:rPr>
          <w:rFonts w:ascii="Calibri" w:hAnsi="Calibri"/>
          <w:b/>
          <w:sz w:val="28"/>
          <w:szCs w:val="28"/>
        </w:rPr>
        <w:t>2016–2017–2018–2019–2020</w:t>
      </w:r>
    </w:p>
    <w:p w:rsidR="00BE3AC7" w:rsidRPr="00BE3AC7" w:rsidRDefault="00BE3AC7" w:rsidP="00BE3AC7">
      <w:pPr>
        <w:keepNext/>
        <w:keepLines/>
        <w:spacing w:before="360"/>
        <w:jc w:val="center"/>
        <w:rPr>
          <w:rFonts w:ascii="Calibri" w:hAnsi="Calibri"/>
          <w:b/>
          <w:sz w:val="40"/>
          <w:szCs w:val="40"/>
          <w:lang w:val="en-AU"/>
        </w:rPr>
      </w:pPr>
      <w:r w:rsidRPr="00BE3AC7">
        <w:rPr>
          <w:rFonts w:ascii="Calibri" w:hAnsi="Calibri"/>
          <w:b/>
          <w:sz w:val="40"/>
          <w:szCs w:val="40"/>
          <w:lang w:val="en-AU"/>
        </w:rPr>
        <w:t>MINUTES OF PROCEEDINGS</w:t>
      </w:r>
    </w:p>
    <w:p w:rsidR="00BE3AC7" w:rsidRPr="00BE3AC7" w:rsidRDefault="00BE3AC7" w:rsidP="00BE3AC7">
      <w:pPr>
        <w:spacing w:before="360"/>
        <w:jc w:val="center"/>
        <w:rPr>
          <w:rFonts w:ascii="Calibri" w:hAnsi="Calibri"/>
          <w:b/>
          <w:sz w:val="28"/>
          <w:szCs w:val="28"/>
        </w:rPr>
      </w:pPr>
      <w:r w:rsidRPr="00BE3AC7">
        <w:rPr>
          <w:rFonts w:ascii="Calibri" w:hAnsi="Calibri"/>
          <w:b/>
          <w:sz w:val="28"/>
          <w:szCs w:val="28"/>
        </w:rPr>
        <w:t xml:space="preserve">No </w:t>
      </w:r>
      <w:r>
        <w:rPr>
          <w:rFonts w:ascii="Calibri" w:hAnsi="Calibri"/>
          <w:b/>
          <w:sz w:val="28"/>
          <w:szCs w:val="28"/>
        </w:rPr>
        <w:t>135</w:t>
      </w:r>
    </w:p>
    <w:p w:rsidR="00BE3AC7" w:rsidRPr="00BE3AC7" w:rsidRDefault="003D6726" w:rsidP="00BE3AC7">
      <w:pPr>
        <w:keepNext/>
        <w:keepLines/>
        <w:spacing w:before="360"/>
        <w:jc w:val="center"/>
        <w:rPr>
          <w:rFonts w:ascii="Calibri" w:hAnsi="Calibri"/>
          <w:b/>
          <w:bCs/>
          <w:caps/>
          <w:sz w:val="28"/>
          <w:szCs w:val="28"/>
          <w:lang w:val="en-AU"/>
        </w:rPr>
      </w:pPr>
      <w:hyperlink r:id="rId11" w:history="1">
        <w:r w:rsidR="00BE3AC7" w:rsidRPr="00F65266">
          <w:rPr>
            <w:rStyle w:val="Hyperlink"/>
            <w:rFonts w:ascii="Calibri" w:hAnsi="Calibri"/>
            <w:b/>
            <w:bCs/>
            <w:caps/>
            <w:sz w:val="28"/>
            <w:szCs w:val="28"/>
            <w:lang w:val="en-AU"/>
          </w:rPr>
          <w:t>Thursday, 23 July 2020</w:t>
        </w:r>
      </w:hyperlink>
    </w:p>
    <w:tbl>
      <w:tblPr>
        <w:tblW w:w="0" w:type="auto"/>
        <w:jc w:val="center"/>
        <w:tblLayout w:type="fixed"/>
        <w:tblLook w:val="0000" w:firstRow="0" w:lastRow="0" w:firstColumn="0" w:lastColumn="0" w:noHBand="0" w:noVBand="0"/>
      </w:tblPr>
      <w:tblGrid>
        <w:gridCol w:w="2452"/>
      </w:tblGrid>
      <w:tr w:rsidR="00BE3AC7" w:rsidRPr="00BE3AC7" w:rsidTr="00B25972">
        <w:trPr>
          <w:trHeight w:hRule="exact" w:val="333"/>
          <w:jc w:val="center"/>
        </w:trPr>
        <w:tc>
          <w:tcPr>
            <w:tcW w:w="2452" w:type="dxa"/>
          </w:tcPr>
          <w:p w:rsidR="00BE3AC7" w:rsidRPr="00BE3AC7" w:rsidRDefault="00BE3AC7" w:rsidP="00BE3AC7">
            <w:pPr>
              <w:rPr>
                <w:rFonts w:ascii="Times New Roman" w:hAnsi="Times New Roman"/>
                <w:color w:val="008000"/>
                <w:sz w:val="16"/>
                <w:lang w:val="en-AU"/>
              </w:rPr>
            </w:pPr>
          </w:p>
        </w:tc>
      </w:tr>
      <w:tr w:rsidR="00BE3AC7" w:rsidRPr="00BE3AC7" w:rsidTr="00B25972">
        <w:trPr>
          <w:trHeight w:hRule="exact" w:val="60"/>
          <w:jc w:val="center"/>
        </w:trPr>
        <w:tc>
          <w:tcPr>
            <w:tcW w:w="2452" w:type="dxa"/>
            <w:tcBorders>
              <w:top w:val="single" w:sz="8" w:space="0" w:color="000000"/>
              <w:bottom w:val="single" w:sz="4" w:space="0" w:color="000000"/>
            </w:tcBorders>
          </w:tcPr>
          <w:p w:rsidR="00BE3AC7" w:rsidRPr="00BE3AC7" w:rsidRDefault="00BE3AC7" w:rsidP="00BE3AC7">
            <w:pPr>
              <w:rPr>
                <w:rFonts w:ascii="Times New Roman" w:hAnsi="Times New Roman"/>
                <w:color w:val="008000"/>
                <w:sz w:val="16"/>
                <w:lang w:val="en-AU"/>
              </w:rPr>
            </w:pPr>
          </w:p>
        </w:tc>
      </w:tr>
      <w:tr w:rsidR="00BE3AC7" w:rsidRPr="00BE3AC7" w:rsidTr="00B25972">
        <w:trPr>
          <w:trHeight w:hRule="exact" w:val="200"/>
          <w:jc w:val="center"/>
        </w:trPr>
        <w:tc>
          <w:tcPr>
            <w:tcW w:w="2452" w:type="dxa"/>
          </w:tcPr>
          <w:p w:rsidR="00BE3AC7" w:rsidRPr="00BE3AC7" w:rsidRDefault="00BE3AC7" w:rsidP="00BE3AC7">
            <w:pPr>
              <w:rPr>
                <w:rFonts w:ascii="Times New Roman" w:hAnsi="Times New Roman"/>
                <w:color w:val="008000"/>
                <w:sz w:val="16"/>
                <w:lang w:val="en-AU"/>
              </w:rPr>
            </w:pPr>
          </w:p>
        </w:tc>
      </w:tr>
    </w:tbl>
    <w:p w:rsidR="00BE3AC7" w:rsidRPr="00BE3AC7" w:rsidRDefault="00BE3AC7" w:rsidP="00BE3AC7">
      <w:pPr>
        <w:keepNext/>
        <w:keepLines/>
        <w:tabs>
          <w:tab w:val="right" w:pos="339"/>
          <w:tab w:val="left" w:pos="720"/>
        </w:tabs>
        <w:spacing w:before="240"/>
        <w:ind w:left="720" w:hanging="720"/>
        <w:jc w:val="both"/>
        <w:rPr>
          <w:rFonts w:ascii="Calibri" w:hAnsi="Calibri"/>
          <w:bCs/>
          <w:lang w:val="en-AU"/>
        </w:rPr>
      </w:pPr>
      <w:r w:rsidRPr="00BE3AC7">
        <w:rPr>
          <w:rFonts w:ascii="Calibri" w:hAnsi="Calibri"/>
          <w:bCs/>
          <w:lang w:val="en-AU"/>
        </w:rPr>
        <w:tab/>
      </w:r>
      <w:r w:rsidR="00271E6D">
        <w:rPr>
          <w:rFonts w:ascii="Calibri" w:hAnsi="Calibri"/>
          <w:b/>
          <w:lang w:val="en-AU"/>
        </w:rPr>
        <w:fldChar w:fldCharType="begin"/>
      </w:r>
      <w:r w:rsidR="00271E6D">
        <w:rPr>
          <w:rFonts w:ascii="Calibri" w:hAnsi="Calibri"/>
          <w:b/>
          <w:lang w:val="en-AU"/>
        </w:rPr>
        <w:instrText xml:space="preserve"> SEQ A \* MERGEFORMAT </w:instrText>
      </w:r>
      <w:r w:rsidR="00271E6D">
        <w:rPr>
          <w:rFonts w:ascii="Calibri" w:hAnsi="Calibri"/>
          <w:b/>
          <w:lang w:val="en-AU"/>
        </w:rPr>
        <w:fldChar w:fldCharType="separate"/>
      </w:r>
      <w:r w:rsidR="003D6726">
        <w:rPr>
          <w:rFonts w:ascii="Calibri" w:hAnsi="Calibri"/>
          <w:b/>
          <w:noProof/>
          <w:lang w:val="en-AU"/>
        </w:rPr>
        <w:t>1</w:t>
      </w:r>
      <w:r w:rsidR="00271E6D">
        <w:rPr>
          <w:rFonts w:ascii="Calibri" w:hAnsi="Calibri"/>
          <w:b/>
          <w:lang w:val="en-AU"/>
        </w:rPr>
        <w:fldChar w:fldCharType="end"/>
      </w:r>
      <w:r w:rsidRPr="00BE3AC7">
        <w:rPr>
          <w:rFonts w:ascii="Calibri" w:hAnsi="Calibri"/>
          <w:bCs/>
          <w:lang w:val="en-AU"/>
        </w:rPr>
        <w:tab/>
        <w:t>The Assembly met at 10 am, pursuant to adjournment.  The Speaker (</w:t>
      </w:r>
      <w:r>
        <w:rPr>
          <w:rFonts w:ascii="Calibri" w:hAnsi="Calibri"/>
          <w:bCs/>
          <w:lang w:val="en-AU"/>
        </w:rPr>
        <w:t>Ms J. Burch</w:t>
      </w:r>
      <w:r w:rsidRPr="00BE3AC7">
        <w:rPr>
          <w:rFonts w:ascii="Calibri" w:hAnsi="Calibri"/>
          <w:bCs/>
          <w:lang w:val="en-AU"/>
        </w:rPr>
        <w:t xml:space="preserve">)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State">
        <w:smartTag w:uri="urn:schemas-microsoft-com:office:smarttags" w:element="place">
          <w:r w:rsidRPr="00BE3AC7">
            <w:rPr>
              <w:rFonts w:ascii="Calibri" w:hAnsi="Calibri"/>
              <w:bCs/>
              <w:lang w:val="en-AU"/>
            </w:rPr>
            <w:t>Australian Capital Territory</w:t>
          </w:r>
        </w:smartTag>
      </w:smartTag>
      <w:r w:rsidRPr="00BE3AC7">
        <w:rPr>
          <w:rFonts w:ascii="Calibri" w:hAnsi="Calibri"/>
          <w:bCs/>
          <w:lang w:val="en-AU"/>
        </w:rPr>
        <w:t>.</w:t>
      </w:r>
    </w:p>
    <w:p w:rsidR="00ED50E8" w:rsidRPr="00ED50E8" w:rsidRDefault="00ED50E8" w:rsidP="00ED50E8">
      <w:pPr>
        <w:keepNext/>
        <w:keepLines/>
        <w:tabs>
          <w:tab w:val="right" w:pos="339"/>
          <w:tab w:val="left" w:pos="720"/>
        </w:tabs>
        <w:spacing w:before="240"/>
        <w:ind w:left="720" w:hanging="720"/>
        <w:jc w:val="both"/>
        <w:rPr>
          <w:rFonts w:ascii="Calibri" w:hAnsi="Calibri"/>
          <w:b/>
          <w:caps/>
        </w:rPr>
      </w:pPr>
      <w:r w:rsidRPr="00ED50E8">
        <w:rPr>
          <w:rFonts w:ascii="Calibri" w:hAnsi="Calibri"/>
          <w:b/>
          <w:caps/>
          <w:lang w:val="en-AU"/>
        </w:rPr>
        <w:tab/>
      </w:r>
      <w:r w:rsidR="00271E6D">
        <w:rPr>
          <w:rFonts w:ascii="Calibri" w:hAnsi="Calibri"/>
          <w:b/>
          <w:bCs/>
          <w:caps/>
        </w:rPr>
        <w:fldChar w:fldCharType="begin"/>
      </w:r>
      <w:r w:rsidR="00271E6D">
        <w:rPr>
          <w:rFonts w:ascii="Calibri" w:hAnsi="Calibri"/>
          <w:b/>
          <w:bCs/>
          <w:caps/>
        </w:rPr>
        <w:instrText xml:space="preserve"> SEQ A \* MERGEFORMAT </w:instrText>
      </w:r>
      <w:r w:rsidR="00271E6D">
        <w:rPr>
          <w:rFonts w:ascii="Calibri" w:hAnsi="Calibri"/>
          <w:b/>
          <w:bCs/>
          <w:caps/>
        </w:rPr>
        <w:fldChar w:fldCharType="separate"/>
      </w:r>
      <w:r w:rsidR="003D6726">
        <w:rPr>
          <w:rFonts w:ascii="Calibri" w:hAnsi="Calibri"/>
          <w:b/>
          <w:bCs/>
          <w:caps/>
          <w:noProof/>
        </w:rPr>
        <w:t>2</w:t>
      </w:r>
      <w:r w:rsidR="00271E6D">
        <w:rPr>
          <w:rFonts w:ascii="Calibri" w:hAnsi="Calibri"/>
          <w:b/>
          <w:bCs/>
          <w:caps/>
        </w:rPr>
        <w:fldChar w:fldCharType="end"/>
      </w:r>
      <w:r w:rsidRPr="00ED50E8">
        <w:rPr>
          <w:rFonts w:ascii="Calibri" w:hAnsi="Calibri"/>
          <w:b/>
          <w:caps/>
        </w:rPr>
        <w:tab/>
      </w:r>
      <w:r>
        <w:rPr>
          <w:rFonts w:ascii="Calibri" w:hAnsi="Calibri"/>
          <w:b/>
          <w:caps/>
        </w:rPr>
        <w:t>Re-configur</w:t>
      </w:r>
      <w:r w:rsidR="00146295">
        <w:rPr>
          <w:rFonts w:ascii="Calibri" w:hAnsi="Calibri"/>
          <w:b/>
          <w:caps/>
        </w:rPr>
        <w:t>ATION of</w:t>
      </w:r>
      <w:r>
        <w:rPr>
          <w:rFonts w:ascii="Calibri" w:hAnsi="Calibri"/>
          <w:b/>
          <w:caps/>
        </w:rPr>
        <w:t xml:space="preserve"> Chamber</w:t>
      </w:r>
      <w:r w:rsidRPr="00ED50E8">
        <w:rPr>
          <w:rFonts w:ascii="Calibri" w:hAnsi="Calibri"/>
          <w:b/>
          <w:caps/>
        </w:rPr>
        <w:t>—STATEMENT BY SPEAKER</w:t>
      </w:r>
    </w:p>
    <w:p w:rsidR="00ED50E8" w:rsidRDefault="00ED50E8" w:rsidP="00ED50E8">
      <w:pPr>
        <w:tabs>
          <w:tab w:val="left" w:pos="1197"/>
          <w:tab w:val="left" w:pos="1767"/>
        </w:tabs>
        <w:spacing w:before="120"/>
        <w:ind w:left="720"/>
        <w:jc w:val="both"/>
        <w:rPr>
          <w:rFonts w:ascii="Calibri" w:hAnsi="Calibri"/>
          <w:lang w:val="en-AU"/>
        </w:rPr>
      </w:pPr>
      <w:r w:rsidRPr="00ED50E8">
        <w:rPr>
          <w:rFonts w:ascii="Calibri" w:hAnsi="Calibri"/>
          <w:lang w:val="en-AU"/>
        </w:rPr>
        <w:t xml:space="preserve">The Speaker made a statement </w:t>
      </w:r>
      <w:r w:rsidR="002971A7">
        <w:rPr>
          <w:rFonts w:ascii="Calibri" w:hAnsi="Calibri"/>
          <w:lang w:val="en-AU"/>
        </w:rPr>
        <w:t>drawing attention to the reconfiguration of the chamber to accommodate</w:t>
      </w:r>
      <w:r>
        <w:rPr>
          <w:rFonts w:ascii="Calibri" w:hAnsi="Calibri"/>
          <w:lang w:val="en-AU"/>
        </w:rPr>
        <w:t xml:space="preserve"> physical distancing, </w:t>
      </w:r>
      <w:r w:rsidRPr="00376E6C">
        <w:rPr>
          <w:rFonts w:ascii="Calibri" w:hAnsi="Calibri"/>
          <w:lang w:val="en-AU"/>
        </w:rPr>
        <w:t xml:space="preserve">and thanked </w:t>
      </w:r>
      <w:r w:rsidR="00634E3E" w:rsidRPr="00376E6C">
        <w:rPr>
          <w:rFonts w:ascii="Calibri" w:hAnsi="Calibri"/>
          <w:lang w:val="en-AU"/>
        </w:rPr>
        <w:t xml:space="preserve">all those who contributed to </w:t>
      </w:r>
      <w:r w:rsidR="002971A7" w:rsidRPr="00376E6C">
        <w:rPr>
          <w:rFonts w:ascii="Calibri" w:hAnsi="Calibri"/>
          <w:lang w:val="en-AU"/>
        </w:rPr>
        <w:t>the redesign</w:t>
      </w:r>
      <w:r w:rsidR="00696103">
        <w:rPr>
          <w:rFonts w:ascii="Calibri" w:hAnsi="Calibri"/>
          <w:lang w:val="en-AU"/>
        </w:rPr>
        <w:t>.</w:t>
      </w:r>
      <w:r>
        <w:rPr>
          <w:rFonts w:ascii="Calibri" w:hAnsi="Calibri"/>
          <w:lang w:val="en-AU"/>
        </w:rPr>
        <w:t xml:space="preserve"> The Speaker also thanked the members of the Standing Committee on Administration and Procedure, who set in place arrangements for the Assembly to continue sitting with a reduced membership prior to the re-configuration.</w:t>
      </w:r>
    </w:p>
    <w:p w:rsidR="00AD0621" w:rsidRPr="00AD0621" w:rsidRDefault="00AD0621" w:rsidP="00AD0621">
      <w:pPr>
        <w:keepNext/>
        <w:keepLines/>
        <w:tabs>
          <w:tab w:val="right" w:pos="339"/>
          <w:tab w:val="left" w:pos="720"/>
        </w:tabs>
        <w:spacing w:before="240"/>
        <w:ind w:left="720" w:hanging="720"/>
        <w:jc w:val="both"/>
        <w:rPr>
          <w:rFonts w:ascii="Calibri" w:hAnsi="Calibri"/>
          <w:b/>
          <w:caps/>
        </w:rPr>
      </w:pPr>
      <w:r w:rsidRPr="00AD0621">
        <w:rPr>
          <w:rFonts w:ascii="Calibri" w:hAnsi="Calibri"/>
          <w:b/>
          <w:caps/>
        </w:rPr>
        <w:tab/>
      </w:r>
      <w:r w:rsidR="00271E6D">
        <w:rPr>
          <w:rFonts w:ascii="Calibri" w:hAnsi="Calibri"/>
          <w:b/>
          <w:bCs/>
          <w:caps/>
        </w:rPr>
        <w:fldChar w:fldCharType="begin"/>
      </w:r>
      <w:r w:rsidR="00271E6D">
        <w:rPr>
          <w:rFonts w:ascii="Calibri" w:hAnsi="Calibri"/>
          <w:b/>
          <w:bCs/>
          <w:caps/>
        </w:rPr>
        <w:instrText xml:space="preserve"> SEQ A \* MERGEFORMAT </w:instrText>
      </w:r>
      <w:r w:rsidR="00271E6D">
        <w:rPr>
          <w:rFonts w:ascii="Calibri" w:hAnsi="Calibri"/>
          <w:b/>
          <w:bCs/>
          <w:caps/>
        </w:rPr>
        <w:fldChar w:fldCharType="separate"/>
      </w:r>
      <w:r w:rsidR="003D6726">
        <w:rPr>
          <w:rFonts w:ascii="Calibri" w:hAnsi="Calibri"/>
          <w:b/>
          <w:bCs/>
          <w:caps/>
          <w:noProof/>
        </w:rPr>
        <w:t>3</w:t>
      </w:r>
      <w:r w:rsidR="00271E6D">
        <w:rPr>
          <w:rFonts w:ascii="Calibri" w:hAnsi="Calibri"/>
          <w:b/>
          <w:bCs/>
          <w:caps/>
        </w:rPr>
        <w:fldChar w:fldCharType="end"/>
      </w:r>
      <w:r w:rsidRPr="00AD0621">
        <w:rPr>
          <w:rFonts w:ascii="Calibri" w:hAnsi="Calibri"/>
          <w:b/>
          <w:caps/>
        </w:rPr>
        <w:tab/>
        <w:t>LEAVE OF ABSENCE TO MEMBER</w:t>
      </w:r>
      <w:r w:rsidR="009527F1">
        <w:rPr>
          <w:rFonts w:ascii="Calibri" w:hAnsi="Calibri"/>
          <w:b/>
          <w:caps/>
        </w:rPr>
        <w:t>S</w:t>
      </w:r>
    </w:p>
    <w:p w:rsidR="00AD0621" w:rsidRPr="00AD0621" w:rsidRDefault="00AD0621" w:rsidP="00AD0621">
      <w:pPr>
        <w:tabs>
          <w:tab w:val="left" w:pos="1197"/>
          <w:tab w:val="left" w:pos="1767"/>
        </w:tabs>
        <w:spacing w:before="120"/>
        <w:ind w:left="720"/>
        <w:jc w:val="both"/>
        <w:rPr>
          <w:rFonts w:ascii="Calibri" w:hAnsi="Calibri"/>
          <w:lang w:val="en-AU"/>
        </w:rPr>
      </w:pPr>
      <w:r>
        <w:rPr>
          <w:rFonts w:ascii="Calibri" w:hAnsi="Calibri"/>
          <w:lang w:val="en-AU"/>
        </w:rPr>
        <w:t xml:space="preserve">Mrs </w:t>
      </w:r>
      <w:r w:rsidR="009527F1">
        <w:rPr>
          <w:rFonts w:ascii="Calibri" w:hAnsi="Calibri"/>
          <w:lang w:val="en-AU"/>
        </w:rPr>
        <w:t>Dunne</w:t>
      </w:r>
      <w:r w:rsidRPr="00AD0621">
        <w:rPr>
          <w:rFonts w:ascii="Calibri" w:hAnsi="Calibri"/>
          <w:lang w:val="en-AU"/>
        </w:rPr>
        <w:t xml:space="preserve"> moved—That leave of absence </w:t>
      </w:r>
      <w:r w:rsidR="00271E6D">
        <w:rPr>
          <w:rFonts w:ascii="Calibri" w:hAnsi="Calibri"/>
          <w:lang w:val="en-AU"/>
        </w:rPr>
        <w:t>for today</w:t>
      </w:r>
      <w:r w:rsidR="00996498">
        <w:rPr>
          <w:rFonts w:ascii="Calibri" w:hAnsi="Calibri"/>
          <w:lang w:val="en-AU"/>
        </w:rPr>
        <w:t xml:space="preserve"> be granted </w:t>
      </w:r>
      <w:r w:rsidRPr="00AD0621">
        <w:rPr>
          <w:rFonts w:ascii="Calibri" w:hAnsi="Calibri"/>
          <w:lang w:val="en-AU"/>
        </w:rPr>
        <w:t xml:space="preserve">to </w:t>
      </w:r>
      <w:r w:rsidR="00996498">
        <w:rPr>
          <w:rFonts w:ascii="Calibri" w:hAnsi="Calibri"/>
          <w:lang w:val="en-AU"/>
        </w:rPr>
        <w:t xml:space="preserve">Mr Wall </w:t>
      </w:r>
      <w:r w:rsidR="009357FA">
        <w:rPr>
          <w:rFonts w:ascii="Calibri" w:hAnsi="Calibri"/>
          <w:lang w:val="en-AU"/>
        </w:rPr>
        <w:t xml:space="preserve">for </w:t>
      </w:r>
      <w:r w:rsidR="00996498">
        <w:rPr>
          <w:rFonts w:ascii="Calibri" w:hAnsi="Calibri"/>
          <w:lang w:val="en-AU"/>
        </w:rPr>
        <w:t xml:space="preserve">illness and </w:t>
      </w:r>
      <w:r>
        <w:rPr>
          <w:rFonts w:ascii="Calibri" w:hAnsi="Calibri"/>
          <w:lang w:val="en-AU"/>
        </w:rPr>
        <w:t>Mrs</w:t>
      </w:r>
      <w:r w:rsidR="00996498">
        <w:rPr>
          <w:rFonts w:ascii="Calibri" w:hAnsi="Calibri"/>
          <w:lang w:val="en-AU"/>
        </w:rPr>
        <w:t> </w:t>
      </w:r>
      <w:r>
        <w:rPr>
          <w:rFonts w:ascii="Calibri" w:hAnsi="Calibri"/>
          <w:lang w:val="en-AU"/>
        </w:rPr>
        <w:t>Jones</w:t>
      </w:r>
      <w:r w:rsidR="00996498">
        <w:rPr>
          <w:rFonts w:ascii="Calibri" w:hAnsi="Calibri"/>
          <w:lang w:val="en-AU"/>
        </w:rPr>
        <w:t xml:space="preserve"> for family reasons</w:t>
      </w:r>
      <w:r w:rsidR="009527F1">
        <w:rPr>
          <w:rFonts w:ascii="Calibri" w:hAnsi="Calibri"/>
          <w:lang w:val="en-AU"/>
        </w:rPr>
        <w:t>.</w:t>
      </w:r>
    </w:p>
    <w:p w:rsidR="00AD0621" w:rsidRPr="00AD0621" w:rsidRDefault="00AD0621" w:rsidP="00AD0621">
      <w:pPr>
        <w:tabs>
          <w:tab w:val="left" w:pos="1197"/>
          <w:tab w:val="left" w:pos="1767"/>
        </w:tabs>
        <w:spacing w:before="120"/>
        <w:ind w:left="720"/>
        <w:jc w:val="both"/>
        <w:rPr>
          <w:rFonts w:ascii="Calibri" w:hAnsi="Calibri"/>
          <w:lang w:val="en-AU"/>
        </w:rPr>
      </w:pPr>
      <w:r w:rsidRPr="00AD0621">
        <w:rPr>
          <w:rFonts w:ascii="Calibri" w:hAnsi="Calibri"/>
          <w:lang w:val="en-AU"/>
        </w:rPr>
        <w:t>Question—put and passed.</w:t>
      </w:r>
    </w:p>
    <w:p w:rsidR="003B560A" w:rsidRPr="00154FC1" w:rsidRDefault="003B560A" w:rsidP="003B560A">
      <w:pPr>
        <w:keepNext/>
        <w:keepLines/>
        <w:tabs>
          <w:tab w:val="right" w:pos="339"/>
          <w:tab w:val="left" w:pos="720"/>
        </w:tabs>
        <w:spacing w:before="240"/>
        <w:ind w:left="720" w:hanging="720"/>
        <w:jc w:val="both"/>
        <w:rPr>
          <w:rFonts w:ascii="Calibri" w:hAnsi="Calibri"/>
          <w:b/>
          <w:lang w:val="en-AU"/>
        </w:rPr>
      </w:pPr>
      <w:r w:rsidRPr="00C36906">
        <w:rPr>
          <w:rFonts w:ascii="Calibri" w:hAnsi="Calibri"/>
          <w:b/>
          <w:lang w:val="en-AU"/>
        </w:rPr>
        <w:tab/>
      </w:r>
      <w:r w:rsidR="00271E6D">
        <w:rPr>
          <w:rFonts w:ascii="Calibri" w:hAnsi="Calibri"/>
          <w:b/>
          <w:bCs/>
          <w:lang w:val="en-AU"/>
        </w:rPr>
        <w:fldChar w:fldCharType="begin"/>
      </w:r>
      <w:r w:rsidR="00271E6D">
        <w:rPr>
          <w:rFonts w:ascii="Calibri" w:hAnsi="Calibri"/>
          <w:b/>
          <w:bCs/>
          <w:lang w:val="en-AU"/>
        </w:rPr>
        <w:instrText xml:space="preserve"> SEQ A \* MERGEFORMAT </w:instrText>
      </w:r>
      <w:r w:rsidR="00271E6D">
        <w:rPr>
          <w:rFonts w:ascii="Calibri" w:hAnsi="Calibri"/>
          <w:b/>
          <w:bCs/>
          <w:lang w:val="en-AU"/>
        </w:rPr>
        <w:fldChar w:fldCharType="separate"/>
      </w:r>
      <w:r w:rsidR="003D6726">
        <w:rPr>
          <w:rFonts w:ascii="Calibri" w:hAnsi="Calibri"/>
          <w:b/>
          <w:bCs/>
          <w:noProof/>
          <w:lang w:val="en-AU"/>
        </w:rPr>
        <w:t>4</w:t>
      </w:r>
      <w:r w:rsidR="00271E6D">
        <w:rPr>
          <w:rFonts w:ascii="Calibri" w:hAnsi="Calibri"/>
          <w:b/>
          <w:bCs/>
          <w:lang w:val="en-AU"/>
        </w:rPr>
        <w:fldChar w:fldCharType="end"/>
      </w:r>
      <w:r w:rsidRPr="00C36906">
        <w:rPr>
          <w:rFonts w:ascii="Calibri" w:hAnsi="Calibri"/>
          <w:b/>
          <w:lang w:val="en-AU"/>
        </w:rPr>
        <w:tab/>
      </w:r>
      <w:r w:rsidRPr="00154FC1">
        <w:rPr>
          <w:rFonts w:ascii="Calibri" w:hAnsi="Calibri"/>
          <w:b/>
          <w:lang w:val="en-AU"/>
        </w:rPr>
        <w:t>CORONAVIRUS (</w:t>
      </w:r>
      <w:r w:rsidRPr="00154FC1">
        <w:rPr>
          <w:rFonts w:ascii="Calibri" w:hAnsi="Calibri"/>
          <w:b/>
          <w:caps/>
          <w:lang w:val="en-AU"/>
        </w:rPr>
        <w:t>COVID-19)—a.c.t. Government response—MINISTERIAL STATEMENT</w:t>
      </w:r>
      <w:r w:rsidR="004C3467">
        <w:rPr>
          <w:rFonts w:ascii="Calibri" w:hAnsi="Calibri"/>
          <w:b/>
          <w:caps/>
          <w:lang w:val="en-AU"/>
        </w:rPr>
        <w:t xml:space="preserve"> and paper</w:t>
      </w:r>
      <w:r w:rsidRPr="00154FC1">
        <w:rPr>
          <w:rFonts w:ascii="Calibri" w:hAnsi="Calibri"/>
          <w:b/>
          <w:caps/>
          <w:lang w:val="en-AU"/>
        </w:rPr>
        <w:t>—PAPER NOTED</w:t>
      </w:r>
    </w:p>
    <w:p w:rsidR="003B560A" w:rsidRPr="00154FC1" w:rsidRDefault="003B560A" w:rsidP="003B560A">
      <w:pPr>
        <w:spacing w:before="120"/>
        <w:ind w:left="720"/>
        <w:jc w:val="both"/>
        <w:rPr>
          <w:rFonts w:ascii="Calibri" w:hAnsi="Calibri"/>
          <w:lang w:val="en-AU"/>
        </w:rPr>
      </w:pPr>
      <w:r w:rsidRPr="00154FC1">
        <w:rPr>
          <w:rFonts w:ascii="Calibri" w:hAnsi="Calibri"/>
          <w:lang w:val="en-AU"/>
        </w:rPr>
        <w:t xml:space="preserve">Ms Stephen-Smith (Minister for Health) made a ministerial statement concerning the </w:t>
      </w:r>
      <w:r>
        <w:rPr>
          <w:rFonts w:ascii="Calibri" w:hAnsi="Calibri"/>
          <w:lang w:val="en-AU"/>
        </w:rPr>
        <w:t xml:space="preserve">ACT </w:t>
      </w:r>
      <w:r w:rsidRPr="00154FC1">
        <w:rPr>
          <w:rFonts w:ascii="Calibri" w:hAnsi="Calibri"/>
          <w:lang w:val="en-AU"/>
        </w:rPr>
        <w:t>Government</w:t>
      </w:r>
      <w:r w:rsidR="00F85F03">
        <w:rPr>
          <w:rFonts w:ascii="Calibri" w:hAnsi="Calibri"/>
          <w:lang w:val="en-AU"/>
        </w:rPr>
        <w:t>’</w:t>
      </w:r>
      <w:r>
        <w:rPr>
          <w:rFonts w:ascii="Calibri" w:hAnsi="Calibri"/>
          <w:lang w:val="en-AU"/>
        </w:rPr>
        <w:t>s</w:t>
      </w:r>
      <w:r w:rsidRPr="00154FC1">
        <w:rPr>
          <w:rFonts w:ascii="Calibri" w:hAnsi="Calibri"/>
          <w:lang w:val="en-AU"/>
        </w:rPr>
        <w:t xml:space="preserve"> response to the COVID-19 emergency an</w:t>
      </w:r>
      <w:r>
        <w:rPr>
          <w:rFonts w:ascii="Calibri" w:hAnsi="Calibri"/>
          <w:lang w:val="en-AU"/>
        </w:rPr>
        <w:t>d presented the following paper</w:t>
      </w:r>
      <w:r w:rsidR="004C3467">
        <w:rPr>
          <w:rFonts w:ascii="Calibri" w:hAnsi="Calibri"/>
          <w:lang w:val="en-AU"/>
        </w:rPr>
        <w:t>s</w:t>
      </w:r>
      <w:r w:rsidRPr="00154FC1">
        <w:rPr>
          <w:rFonts w:ascii="Calibri" w:hAnsi="Calibri"/>
          <w:lang w:val="en-AU"/>
        </w:rPr>
        <w:t>:</w:t>
      </w:r>
    </w:p>
    <w:p w:rsidR="0001593D" w:rsidRPr="009357FA" w:rsidRDefault="0001593D" w:rsidP="0001593D">
      <w:pPr>
        <w:spacing w:before="120"/>
        <w:ind w:left="720"/>
        <w:jc w:val="both"/>
        <w:rPr>
          <w:rFonts w:ascii="Calibri" w:hAnsi="Calibri"/>
          <w:lang w:val="en-AU"/>
        </w:rPr>
      </w:pPr>
      <w:r w:rsidRPr="009357FA">
        <w:rPr>
          <w:rFonts w:ascii="Calibri" w:hAnsi="Calibri"/>
          <w:lang w:val="en-AU"/>
        </w:rPr>
        <w:t>Status of the public health emergency due to COVID-19—Acting Chief Health Officer Report—26 June 2020, dated 26 June 2020.</w:t>
      </w:r>
    </w:p>
    <w:p w:rsidR="003B560A" w:rsidRDefault="003B560A" w:rsidP="00696103">
      <w:pPr>
        <w:keepNext/>
        <w:spacing w:before="120"/>
        <w:ind w:left="720"/>
        <w:jc w:val="both"/>
        <w:rPr>
          <w:rFonts w:ascii="Calibri" w:hAnsi="Calibri"/>
          <w:lang w:val="en-AU"/>
        </w:rPr>
      </w:pPr>
      <w:r w:rsidRPr="009357FA">
        <w:rPr>
          <w:rFonts w:ascii="Calibri" w:hAnsi="Calibri"/>
          <w:spacing w:val="-4"/>
          <w:lang w:val="en-AU"/>
        </w:rPr>
        <w:lastRenderedPageBreak/>
        <w:t>Coronavirus (COVID-19)—ACT Government response—Ministerial statement, 23 July 2020</w:t>
      </w:r>
      <w:r w:rsidRPr="009357FA">
        <w:rPr>
          <w:rFonts w:ascii="Calibri" w:hAnsi="Calibri"/>
          <w:lang w:val="en-AU"/>
        </w:rPr>
        <w:t>.</w:t>
      </w:r>
    </w:p>
    <w:p w:rsidR="003B560A" w:rsidRPr="00154FC1" w:rsidRDefault="003B560A" w:rsidP="003B560A">
      <w:pPr>
        <w:keepNext/>
        <w:spacing w:before="120"/>
        <w:ind w:left="720"/>
        <w:jc w:val="both"/>
        <w:rPr>
          <w:rFonts w:ascii="Calibri" w:hAnsi="Calibri"/>
          <w:lang w:val="en-AU"/>
        </w:rPr>
      </w:pPr>
      <w:r w:rsidRPr="00154FC1">
        <w:rPr>
          <w:rFonts w:ascii="Calibri" w:hAnsi="Calibri"/>
          <w:lang w:val="en-AU"/>
        </w:rPr>
        <w:t>Ms Stephen-Smith moved—That the Assembly take note of the</w:t>
      </w:r>
      <w:r w:rsidR="00181EE9">
        <w:rPr>
          <w:rFonts w:ascii="Calibri" w:hAnsi="Calibri"/>
          <w:lang w:val="en-AU"/>
        </w:rPr>
        <w:t xml:space="preserve"> ministerial statement</w:t>
      </w:r>
      <w:r w:rsidRPr="00154FC1">
        <w:rPr>
          <w:rFonts w:ascii="Calibri" w:hAnsi="Calibri"/>
          <w:lang w:val="en-AU"/>
        </w:rPr>
        <w:t>.</w:t>
      </w:r>
    </w:p>
    <w:p w:rsidR="003B560A" w:rsidRPr="009D3501" w:rsidRDefault="003B560A" w:rsidP="003B560A">
      <w:pPr>
        <w:spacing w:before="120"/>
        <w:ind w:left="720"/>
        <w:jc w:val="both"/>
        <w:rPr>
          <w:rFonts w:ascii="Calibri" w:hAnsi="Calibri"/>
          <w:lang w:val="en-AU"/>
        </w:rPr>
      </w:pPr>
      <w:r w:rsidRPr="00154FC1">
        <w:rPr>
          <w:rFonts w:ascii="Calibri" w:hAnsi="Calibri"/>
          <w:lang w:val="en-AU"/>
        </w:rPr>
        <w:t>Question—put and passed.</w:t>
      </w:r>
    </w:p>
    <w:p w:rsidR="004150AE" w:rsidRPr="00CE22AC" w:rsidRDefault="004150AE" w:rsidP="004150AE">
      <w:pPr>
        <w:pStyle w:val="DPSEntryHeading"/>
        <w:rPr>
          <w:rFonts w:asciiTheme="minorHAnsi" w:hAnsiTheme="minorHAnsi"/>
        </w:rPr>
      </w:pPr>
      <w:r w:rsidRPr="00C36906">
        <w:rPr>
          <w:lang w:val="en-AU"/>
        </w:rPr>
        <w:tab/>
      </w:r>
      <w:r w:rsidR="00271E6D">
        <w:rPr>
          <w:bCs/>
          <w:lang w:val="en-AU"/>
        </w:rPr>
        <w:fldChar w:fldCharType="begin"/>
      </w:r>
      <w:r w:rsidR="00271E6D">
        <w:rPr>
          <w:bCs/>
          <w:lang w:val="en-AU"/>
        </w:rPr>
        <w:instrText xml:space="preserve"> SEQ A \* MERGEFORMAT </w:instrText>
      </w:r>
      <w:r w:rsidR="00271E6D">
        <w:rPr>
          <w:bCs/>
          <w:lang w:val="en-AU"/>
        </w:rPr>
        <w:fldChar w:fldCharType="separate"/>
      </w:r>
      <w:r w:rsidR="003D6726">
        <w:rPr>
          <w:bCs/>
          <w:noProof/>
          <w:lang w:val="en-AU"/>
        </w:rPr>
        <w:t>5</w:t>
      </w:r>
      <w:r w:rsidR="00271E6D">
        <w:rPr>
          <w:bCs/>
          <w:lang w:val="en-AU"/>
        </w:rPr>
        <w:fldChar w:fldCharType="end"/>
      </w:r>
      <w:r w:rsidRPr="00C36906">
        <w:rPr>
          <w:lang w:val="en-AU"/>
        </w:rPr>
        <w:tab/>
      </w:r>
      <w:r w:rsidRPr="00CE22AC">
        <w:rPr>
          <w:rFonts w:asciiTheme="minorHAnsi" w:hAnsiTheme="minorHAnsi"/>
        </w:rPr>
        <w:t>Safer Families—Annual Statement 20</w:t>
      </w:r>
      <w:r>
        <w:rPr>
          <w:rFonts w:asciiTheme="minorHAnsi" w:hAnsiTheme="minorHAnsi"/>
        </w:rPr>
        <w:t>20</w:t>
      </w:r>
      <w:r w:rsidRPr="00CE22AC">
        <w:rPr>
          <w:rFonts w:asciiTheme="minorHAnsi" w:hAnsiTheme="minorHAnsi"/>
        </w:rPr>
        <w:t>—MINISTERIAL STATEMENT—PAPER NOTED</w:t>
      </w:r>
    </w:p>
    <w:p w:rsidR="004150AE" w:rsidRPr="00CE22AC" w:rsidRDefault="004150AE" w:rsidP="004150AE">
      <w:pPr>
        <w:pStyle w:val="DPSEntryDetail"/>
        <w:rPr>
          <w:rFonts w:asciiTheme="minorHAnsi" w:hAnsiTheme="minorHAnsi"/>
        </w:rPr>
      </w:pPr>
      <w:r w:rsidRPr="00CE22AC">
        <w:rPr>
          <w:rFonts w:asciiTheme="minorHAnsi" w:hAnsiTheme="minorHAnsi"/>
        </w:rPr>
        <w:t xml:space="preserve">Ms Berry (Minister for the Prevention of Domestic and Family Violence) made a ministerial statement concerning the </w:t>
      </w:r>
      <w:r>
        <w:rPr>
          <w:rFonts w:asciiTheme="minorHAnsi" w:hAnsiTheme="minorHAnsi"/>
        </w:rPr>
        <w:t>fourth annual Safer Families S</w:t>
      </w:r>
      <w:r w:rsidRPr="00CE22AC">
        <w:rPr>
          <w:rFonts w:asciiTheme="minorHAnsi" w:hAnsiTheme="minorHAnsi"/>
        </w:rPr>
        <w:t>tatement and presented the following paper:</w:t>
      </w:r>
    </w:p>
    <w:p w:rsidR="004150AE" w:rsidRPr="00CE22AC" w:rsidRDefault="004150AE" w:rsidP="004150AE">
      <w:pPr>
        <w:pStyle w:val="DPSEntryDetail"/>
        <w:spacing w:before="100"/>
        <w:rPr>
          <w:rFonts w:asciiTheme="minorHAnsi" w:hAnsiTheme="minorHAnsi"/>
        </w:rPr>
      </w:pPr>
      <w:r w:rsidRPr="00CE22AC">
        <w:rPr>
          <w:rFonts w:asciiTheme="minorHAnsi" w:hAnsiTheme="minorHAnsi"/>
        </w:rPr>
        <w:t>Safer Families—Annual Statement 20</w:t>
      </w:r>
      <w:r>
        <w:rPr>
          <w:rFonts w:asciiTheme="minorHAnsi" w:hAnsiTheme="minorHAnsi"/>
        </w:rPr>
        <w:t>20</w:t>
      </w:r>
      <w:r w:rsidRPr="00CE22AC">
        <w:rPr>
          <w:rFonts w:asciiTheme="minorHAnsi" w:hAnsiTheme="minorHAnsi"/>
        </w:rPr>
        <w:t xml:space="preserve">—Ministerial statement, </w:t>
      </w:r>
      <w:r>
        <w:rPr>
          <w:rFonts w:asciiTheme="minorHAnsi" w:hAnsiTheme="minorHAnsi"/>
        </w:rPr>
        <w:t>23 July 2020</w:t>
      </w:r>
      <w:r w:rsidRPr="00CE22AC">
        <w:rPr>
          <w:rFonts w:asciiTheme="minorHAnsi" w:hAnsiTheme="minorHAnsi"/>
        </w:rPr>
        <w:t>.</w:t>
      </w:r>
    </w:p>
    <w:p w:rsidR="004150AE" w:rsidRPr="00CE22AC" w:rsidRDefault="004150AE" w:rsidP="004150AE">
      <w:pPr>
        <w:pStyle w:val="DPSEntryDetail"/>
        <w:spacing w:before="100"/>
        <w:rPr>
          <w:rFonts w:asciiTheme="minorHAnsi" w:hAnsiTheme="minorHAnsi"/>
        </w:rPr>
      </w:pPr>
      <w:r w:rsidRPr="00CE22AC">
        <w:rPr>
          <w:rFonts w:asciiTheme="minorHAnsi" w:hAnsiTheme="minorHAnsi"/>
        </w:rPr>
        <w:t>Ms Berry moved—That the Assembly take note of the paper.</w:t>
      </w:r>
    </w:p>
    <w:p w:rsidR="004150AE" w:rsidRPr="00CE22AC" w:rsidRDefault="004150AE" w:rsidP="004150AE">
      <w:pPr>
        <w:pStyle w:val="DPSEntryDetail"/>
        <w:spacing w:before="100"/>
        <w:rPr>
          <w:rFonts w:asciiTheme="minorHAnsi" w:hAnsiTheme="minorHAnsi"/>
        </w:rPr>
      </w:pPr>
      <w:r w:rsidRPr="00CE22AC">
        <w:rPr>
          <w:rFonts w:asciiTheme="minorHAnsi" w:hAnsiTheme="minorHAnsi"/>
        </w:rPr>
        <w:t>Question—put and passed.</w:t>
      </w:r>
    </w:p>
    <w:p w:rsidR="003B560A" w:rsidRPr="00F7286D" w:rsidRDefault="003B560A" w:rsidP="003B560A">
      <w:pPr>
        <w:pStyle w:val="DPSEntryHeading"/>
      </w:pPr>
      <w:r w:rsidRPr="00A5445E">
        <w:rPr>
          <w:lang w:val="en-AU"/>
        </w:rPr>
        <w:tab/>
      </w:r>
      <w:r w:rsidR="00271E6D">
        <w:rPr>
          <w:bCs/>
          <w:lang w:val="en-AU"/>
        </w:rPr>
        <w:fldChar w:fldCharType="begin"/>
      </w:r>
      <w:r w:rsidR="00271E6D">
        <w:rPr>
          <w:bCs/>
          <w:lang w:val="en-AU"/>
        </w:rPr>
        <w:instrText xml:space="preserve"> SEQ A \* MERGEFORMAT </w:instrText>
      </w:r>
      <w:r w:rsidR="00271E6D">
        <w:rPr>
          <w:bCs/>
          <w:lang w:val="en-AU"/>
        </w:rPr>
        <w:fldChar w:fldCharType="separate"/>
      </w:r>
      <w:r w:rsidR="003D6726">
        <w:rPr>
          <w:bCs/>
          <w:noProof/>
          <w:lang w:val="en-AU"/>
        </w:rPr>
        <w:t>6</w:t>
      </w:r>
      <w:r w:rsidR="00271E6D">
        <w:rPr>
          <w:bCs/>
          <w:lang w:val="en-AU"/>
        </w:rPr>
        <w:fldChar w:fldCharType="end"/>
      </w:r>
      <w:r w:rsidRPr="00A5445E">
        <w:rPr>
          <w:lang w:val="en-AU"/>
        </w:rPr>
        <w:tab/>
      </w:r>
      <w:r>
        <w:t>Building Reforms—</w:t>
      </w:r>
      <w:r w:rsidRPr="00F7286D">
        <w:t>MINISTERIAL STATEMENT—PAPER NOTED</w:t>
      </w:r>
    </w:p>
    <w:p w:rsidR="003B560A" w:rsidRDefault="003B560A" w:rsidP="003B560A">
      <w:pPr>
        <w:pStyle w:val="DPSEntryDetail"/>
      </w:pPr>
      <w:r>
        <w:t>Mr Ramsay (Minister for Building Quality Improvement)</w:t>
      </w:r>
      <w:r w:rsidRPr="00F7286D">
        <w:t xml:space="preserve"> made a ministerial statement concerning </w:t>
      </w:r>
      <w:r>
        <w:t>building reforms</w:t>
      </w:r>
      <w:r w:rsidRPr="00F7286D">
        <w:t xml:space="preserve"> and presented the following paper:</w:t>
      </w:r>
    </w:p>
    <w:p w:rsidR="003B560A" w:rsidRPr="00F7286D" w:rsidRDefault="003B560A" w:rsidP="003B560A">
      <w:pPr>
        <w:pStyle w:val="DPSEntryDetail"/>
      </w:pPr>
      <w:r>
        <w:t xml:space="preserve">Building </w:t>
      </w:r>
      <w:r w:rsidR="00863362">
        <w:t>reforms—</w:t>
      </w:r>
      <w:r>
        <w:t>Ministerial statement, 23 July 2020.</w:t>
      </w:r>
    </w:p>
    <w:p w:rsidR="003B560A" w:rsidRPr="00F7286D" w:rsidRDefault="003B560A" w:rsidP="003B560A">
      <w:pPr>
        <w:pStyle w:val="DPSEntryDetail"/>
      </w:pPr>
      <w:r>
        <w:t>Mr Ramsay</w:t>
      </w:r>
      <w:r w:rsidRPr="00F7286D">
        <w:t xml:space="preserve"> moved—That the Assembly take note of the paper.</w:t>
      </w:r>
    </w:p>
    <w:p w:rsidR="003B560A" w:rsidRPr="00F7286D" w:rsidRDefault="003B560A" w:rsidP="003B560A">
      <w:pPr>
        <w:pStyle w:val="DPSEntryDetail"/>
      </w:pPr>
      <w:r w:rsidRPr="00F7286D">
        <w:t>Question—put and passed.</w:t>
      </w:r>
    </w:p>
    <w:p w:rsidR="00962890" w:rsidRPr="00962890" w:rsidRDefault="00962890" w:rsidP="00962890">
      <w:pPr>
        <w:keepNext/>
        <w:keepLines/>
        <w:tabs>
          <w:tab w:val="right" w:pos="339"/>
          <w:tab w:val="left" w:pos="720"/>
        </w:tabs>
        <w:spacing w:before="240"/>
        <w:ind w:left="720" w:hanging="720"/>
        <w:jc w:val="both"/>
        <w:rPr>
          <w:rFonts w:ascii="Calibri" w:hAnsi="Calibri"/>
          <w:b/>
          <w:caps/>
          <w:lang w:val="en-AU"/>
        </w:rPr>
      </w:pPr>
      <w:r w:rsidRPr="00962890">
        <w:rPr>
          <w:rFonts w:ascii="Calibri" w:hAnsi="Calibri"/>
          <w:b/>
          <w:caps/>
          <w:lang w:val="en-AU"/>
        </w:rPr>
        <w:tab/>
      </w:r>
      <w:r w:rsidR="00271E6D">
        <w:rPr>
          <w:rFonts w:ascii="Calibri" w:hAnsi="Calibri"/>
          <w:b/>
          <w:bCs/>
          <w:caps/>
          <w:lang w:val="en-AU"/>
        </w:rPr>
        <w:fldChar w:fldCharType="begin"/>
      </w:r>
      <w:r w:rsidR="00271E6D">
        <w:rPr>
          <w:rFonts w:ascii="Calibri" w:hAnsi="Calibri"/>
          <w:b/>
          <w:bCs/>
          <w:caps/>
          <w:lang w:val="en-AU"/>
        </w:rPr>
        <w:instrText xml:space="preserve"> SEQ A \* MERGEFORMAT </w:instrText>
      </w:r>
      <w:r w:rsidR="00271E6D">
        <w:rPr>
          <w:rFonts w:ascii="Calibri" w:hAnsi="Calibri"/>
          <w:b/>
          <w:bCs/>
          <w:caps/>
          <w:lang w:val="en-AU"/>
        </w:rPr>
        <w:fldChar w:fldCharType="separate"/>
      </w:r>
      <w:r w:rsidR="003D6726">
        <w:rPr>
          <w:rFonts w:ascii="Calibri" w:hAnsi="Calibri"/>
          <w:b/>
          <w:bCs/>
          <w:caps/>
          <w:noProof/>
          <w:lang w:val="en-AU"/>
        </w:rPr>
        <w:t>7</w:t>
      </w:r>
      <w:r w:rsidR="00271E6D">
        <w:rPr>
          <w:rFonts w:ascii="Calibri" w:hAnsi="Calibri"/>
          <w:b/>
          <w:bCs/>
          <w:caps/>
          <w:lang w:val="en-AU"/>
        </w:rPr>
        <w:fldChar w:fldCharType="end"/>
      </w:r>
      <w:r w:rsidRPr="00962890">
        <w:rPr>
          <w:rFonts w:ascii="Calibri" w:hAnsi="Calibri"/>
          <w:b/>
          <w:caps/>
          <w:lang w:val="en-AU"/>
        </w:rPr>
        <w:tab/>
      </w:r>
      <w:r w:rsidR="00CD3017">
        <w:rPr>
          <w:rFonts w:ascii="Calibri" w:hAnsi="Calibri"/>
          <w:b/>
          <w:caps/>
          <w:lang w:val="en-AU"/>
        </w:rPr>
        <w:t>Public Health Amendment Bill 2020 (No 2)</w:t>
      </w:r>
    </w:p>
    <w:p w:rsidR="00962890" w:rsidRPr="00962890" w:rsidRDefault="00962890" w:rsidP="00962890">
      <w:pPr>
        <w:spacing w:before="120"/>
        <w:ind w:left="720"/>
        <w:jc w:val="both"/>
        <w:rPr>
          <w:rFonts w:ascii="Calibri" w:hAnsi="Calibri"/>
          <w:lang w:val="en-AU"/>
        </w:rPr>
      </w:pPr>
      <w:r>
        <w:rPr>
          <w:rFonts w:ascii="Calibri" w:hAnsi="Calibri"/>
          <w:lang w:val="en-AU"/>
        </w:rPr>
        <w:t>Ms Stephen-Smith (Minister for Health)</w:t>
      </w:r>
      <w:r w:rsidRPr="00962890">
        <w:rPr>
          <w:rFonts w:ascii="Calibri" w:hAnsi="Calibri"/>
          <w:lang w:val="en-AU"/>
        </w:rPr>
        <w:t xml:space="preserve">, by leave, presented </w:t>
      </w:r>
      <w:r w:rsidR="009A2C24">
        <w:rPr>
          <w:rFonts w:ascii="Calibri" w:hAnsi="Calibri"/>
          <w:lang w:val="en-AU"/>
        </w:rPr>
        <w:t xml:space="preserve">a Bill for an Act to amend the </w:t>
      </w:r>
      <w:r w:rsidR="009A2C24">
        <w:rPr>
          <w:rFonts w:ascii="Calibri" w:hAnsi="Calibri"/>
          <w:i/>
          <w:lang w:val="en-AU"/>
        </w:rPr>
        <w:t>Public Health Act 1997</w:t>
      </w:r>
      <w:r w:rsidR="009A2C24">
        <w:rPr>
          <w:rFonts w:ascii="Calibri" w:hAnsi="Calibri"/>
          <w:lang w:val="en-AU"/>
        </w:rPr>
        <w:t>.</w:t>
      </w:r>
    </w:p>
    <w:p w:rsidR="00962890" w:rsidRPr="00962890" w:rsidRDefault="00962890" w:rsidP="00962890">
      <w:pPr>
        <w:spacing w:before="120"/>
        <w:ind w:left="720"/>
        <w:jc w:val="both"/>
        <w:rPr>
          <w:rFonts w:ascii="Calibri" w:hAnsi="Calibri"/>
          <w:lang w:val="en-AU"/>
        </w:rPr>
      </w:pPr>
      <w:r w:rsidRPr="00962890">
        <w:rPr>
          <w:rFonts w:ascii="Calibri" w:hAnsi="Calibri"/>
          <w:i/>
          <w:lang w:val="en-AU"/>
        </w:rPr>
        <w:t>Paper:</w:t>
      </w:r>
      <w:r w:rsidRPr="00962890">
        <w:rPr>
          <w:rFonts w:ascii="Calibri" w:hAnsi="Calibri"/>
          <w:lang w:val="en-AU"/>
        </w:rPr>
        <w:t xml:space="preserve">  </w:t>
      </w:r>
      <w:r>
        <w:rPr>
          <w:rFonts w:ascii="Calibri" w:hAnsi="Calibri"/>
          <w:lang w:val="en-AU"/>
        </w:rPr>
        <w:t>Ms Stephen-Smith</w:t>
      </w:r>
      <w:r w:rsidRPr="00962890">
        <w:rPr>
          <w:rFonts w:ascii="Calibri" w:hAnsi="Calibri"/>
          <w:lang w:val="en-AU"/>
        </w:rPr>
        <w:t xml:space="preserve"> presented the following paper:</w:t>
      </w:r>
    </w:p>
    <w:p w:rsidR="00962890" w:rsidRPr="00962890" w:rsidRDefault="00962890" w:rsidP="00962890">
      <w:pPr>
        <w:spacing w:before="120"/>
        <w:ind w:left="720"/>
        <w:jc w:val="both"/>
        <w:rPr>
          <w:rFonts w:ascii="Calibri" w:hAnsi="Calibri"/>
          <w:lang w:val="en-AU"/>
        </w:rPr>
      </w:pPr>
      <w:r w:rsidRPr="00962890">
        <w:rPr>
          <w:rFonts w:ascii="Calibri" w:hAnsi="Calibri"/>
          <w:lang w:val="en-AU"/>
        </w:rPr>
        <w:t xml:space="preserve">Explanatory statement to the Bill, incorporating a compatibility statement, pursuant to section 37 of the </w:t>
      </w:r>
      <w:r w:rsidRPr="00962890">
        <w:rPr>
          <w:rFonts w:ascii="Calibri" w:hAnsi="Calibri"/>
          <w:i/>
          <w:lang w:val="en-AU"/>
        </w:rPr>
        <w:t>Human Rights Act 2004</w:t>
      </w:r>
      <w:r w:rsidRPr="00962890">
        <w:rPr>
          <w:rFonts w:ascii="Calibri" w:hAnsi="Calibri"/>
          <w:lang w:val="en-AU"/>
        </w:rPr>
        <w:t>.</w:t>
      </w:r>
    </w:p>
    <w:p w:rsidR="00962890" w:rsidRPr="00962890" w:rsidRDefault="00962890" w:rsidP="00962890">
      <w:pPr>
        <w:spacing w:before="120"/>
        <w:ind w:left="720"/>
        <w:jc w:val="both"/>
        <w:rPr>
          <w:rFonts w:ascii="Calibri" w:hAnsi="Calibri"/>
          <w:lang w:val="en-AU"/>
        </w:rPr>
      </w:pPr>
      <w:r w:rsidRPr="00962890">
        <w:rPr>
          <w:rFonts w:ascii="Calibri" w:hAnsi="Calibri"/>
          <w:lang w:val="en-AU"/>
        </w:rPr>
        <w:t>Title read by Clerk.</w:t>
      </w:r>
    </w:p>
    <w:p w:rsidR="00962890" w:rsidRPr="00962890" w:rsidRDefault="00962890" w:rsidP="00962890">
      <w:pPr>
        <w:spacing w:before="120"/>
        <w:ind w:left="720"/>
        <w:jc w:val="both"/>
        <w:rPr>
          <w:rFonts w:ascii="Calibri" w:hAnsi="Calibri"/>
          <w:lang w:val="en-AU"/>
        </w:rPr>
      </w:pPr>
      <w:r>
        <w:rPr>
          <w:rFonts w:ascii="Calibri" w:hAnsi="Calibri"/>
          <w:lang w:val="en-AU"/>
        </w:rPr>
        <w:t>Ms Stephen-Smith</w:t>
      </w:r>
      <w:r w:rsidRPr="00962890">
        <w:rPr>
          <w:rFonts w:ascii="Calibri" w:hAnsi="Calibri"/>
          <w:lang w:val="en-AU"/>
        </w:rPr>
        <w:t xml:space="preserve"> moved—That this Bill be agreed to in principle.</w:t>
      </w:r>
    </w:p>
    <w:p w:rsidR="00962890" w:rsidRPr="00962890" w:rsidRDefault="00962890" w:rsidP="00962890">
      <w:pPr>
        <w:spacing w:before="120"/>
        <w:ind w:left="720"/>
        <w:jc w:val="both"/>
        <w:rPr>
          <w:rFonts w:ascii="Calibri" w:hAnsi="Calibri"/>
          <w:lang w:val="en-AU"/>
        </w:rPr>
      </w:pPr>
      <w:r w:rsidRPr="00962890">
        <w:rPr>
          <w:rFonts w:ascii="Calibri" w:hAnsi="Calibri"/>
          <w:lang w:val="en-AU"/>
        </w:rPr>
        <w:t>Debate adjourned (</w:t>
      </w:r>
      <w:r>
        <w:rPr>
          <w:rFonts w:ascii="Calibri" w:hAnsi="Calibri"/>
          <w:lang w:val="en-AU"/>
        </w:rPr>
        <w:t>Mrs Dunne</w:t>
      </w:r>
      <w:r w:rsidRPr="00962890">
        <w:rPr>
          <w:rFonts w:ascii="Calibri" w:hAnsi="Calibri"/>
          <w:lang w:val="en-AU"/>
        </w:rPr>
        <w:t>) and the resumption of the debate made an order of the day for the next sitting.</w:t>
      </w:r>
    </w:p>
    <w:p w:rsidR="003B560A" w:rsidRPr="002C3A3E" w:rsidRDefault="003B560A" w:rsidP="003B560A">
      <w:pPr>
        <w:keepNext/>
        <w:keepLines/>
        <w:tabs>
          <w:tab w:val="right" w:pos="339"/>
          <w:tab w:val="left" w:pos="720"/>
        </w:tabs>
        <w:spacing w:before="240"/>
        <w:ind w:left="720" w:hanging="720"/>
        <w:jc w:val="both"/>
        <w:rPr>
          <w:rFonts w:ascii="Calibri" w:hAnsi="Calibri"/>
          <w:b/>
          <w:caps/>
          <w:lang w:val="en-AU"/>
        </w:rPr>
      </w:pPr>
      <w:r w:rsidRPr="002C3A3E">
        <w:rPr>
          <w:rFonts w:ascii="Calibri" w:hAnsi="Calibri"/>
          <w:b/>
          <w:caps/>
          <w:lang w:val="en-AU"/>
        </w:rPr>
        <w:tab/>
      </w:r>
      <w:r w:rsidR="00271E6D">
        <w:rPr>
          <w:rFonts w:ascii="Calibri" w:hAnsi="Calibri"/>
          <w:b/>
          <w:bCs/>
          <w:caps/>
          <w:lang w:val="en-AU"/>
        </w:rPr>
        <w:fldChar w:fldCharType="begin"/>
      </w:r>
      <w:r w:rsidR="00271E6D">
        <w:rPr>
          <w:rFonts w:ascii="Calibri" w:hAnsi="Calibri"/>
          <w:b/>
          <w:bCs/>
          <w:caps/>
          <w:lang w:val="en-AU"/>
        </w:rPr>
        <w:instrText xml:space="preserve"> SEQ A \* MERGEFORMAT </w:instrText>
      </w:r>
      <w:r w:rsidR="00271E6D">
        <w:rPr>
          <w:rFonts w:ascii="Calibri" w:hAnsi="Calibri"/>
          <w:b/>
          <w:bCs/>
          <w:caps/>
          <w:lang w:val="en-AU"/>
        </w:rPr>
        <w:fldChar w:fldCharType="separate"/>
      </w:r>
      <w:r w:rsidR="003D6726">
        <w:rPr>
          <w:rFonts w:ascii="Calibri" w:hAnsi="Calibri"/>
          <w:b/>
          <w:bCs/>
          <w:caps/>
          <w:noProof/>
          <w:lang w:val="en-AU"/>
        </w:rPr>
        <w:t>8</w:t>
      </w:r>
      <w:r w:rsidR="00271E6D">
        <w:rPr>
          <w:rFonts w:ascii="Calibri" w:hAnsi="Calibri"/>
          <w:b/>
          <w:bCs/>
          <w:caps/>
          <w:lang w:val="en-AU"/>
        </w:rPr>
        <w:fldChar w:fldCharType="end"/>
      </w:r>
      <w:r w:rsidRPr="002C3A3E">
        <w:rPr>
          <w:rFonts w:ascii="Calibri" w:hAnsi="Calibri"/>
          <w:b/>
          <w:caps/>
          <w:lang w:val="en-AU"/>
        </w:rPr>
        <w:tab/>
      </w:r>
      <w:r>
        <w:rPr>
          <w:rFonts w:ascii="Calibri" w:hAnsi="Calibri"/>
          <w:b/>
          <w:caps/>
          <w:lang w:val="en-AU"/>
        </w:rPr>
        <w:t>Education Amendment Bill 2020</w:t>
      </w:r>
    </w:p>
    <w:p w:rsidR="003B560A" w:rsidRPr="002C3A3E" w:rsidRDefault="003B560A" w:rsidP="003B560A">
      <w:pPr>
        <w:spacing w:before="120"/>
        <w:ind w:left="720"/>
        <w:jc w:val="both"/>
        <w:rPr>
          <w:rFonts w:ascii="Calibri" w:hAnsi="Calibri"/>
          <w:lang w:val="en-AU"/>
        </w:rPr>
      </w:pPr>
      <w:r>
        <w:rPr>
          <w:rFonts w:ascii="Calibri" w:hAnsi="Calibri"/>
          <w:lang w:val="en-AU"/>
        </w:rPr>
        <w:t>Ms Berry (Minister for Education and Early Childhood Development)</w:t>
      </w:r>
      <w:r w:rsidRPr="002C3A3E">
        <w:rPr>
          <w:rFonts w:ascii="Calibri" w:hAnsi="Calibri"/>
          <w:lang w:val="en-AU"/>
        </w:rPr>
        <w:t xml:space="preserve">, pursuant to notice, presented </w:t>
      </w:r>
      <w:r>
        <w:rPr>
          <w:rFonts w:ascii="Calibri" w:hAnsi="Calibri"/>
          <w:lang w:val="en-AU"/>
        </w:rPr>
        <w:t xml:space="preserve">a Bill for an Act to amend the </w:t>
      </w:r>
      <w:r w:rsidRPr="00181EE9">
        <w:rPr>
          <w:rFonts w:ascii="Calibri" w:hAnsi="Calibri"/>
          <w:i/>
          <w:lang w:val="en-AU"/>
        </w:rPr>
        <w:t>Education Act 200</w:t>
      </w:r>
      <w:r>
        <w:rPr>
          <w:rFonts w:ascii="Calibri" w:hAnsi="Calibri"/>
          <w:lang w:val="en-AU"/>
        </w:rPr>
        <w:t xml:space="preserve">4 and the </w:t>
      </w:r>
      <w:r w:rsidRPr="00181EE9">
        <w:rPr>
          <w:rFonts w:ascii="Calibri" w:hAnsi="Calibri"/>
          <w:i/>
          <w:lang w:val="en-AU"/>
        </w:rPr>
        <w:t>Education Regulation 2005</w:t>
      </w:r>
      <w:r w:rsidRPr="002C3A3E">
        <w:rPr>
          <w:rFonts w:ascii="Calibri" w:hAnsi="Calibri"/>
          <w:lang w:val="en-AU"/>
        </w:rPr>
        <w:t>.</w:t>
      </w:r>
    </w:p>
    <w:p w:rsidR="003B560A" w:rsidRPr="002C3A3E" w:rsidRDefault="003B560A" w:rsidP="003B560A">
      <w:pPr>
        <w:spacing w:before="120"/>
        <w:ind w:left="720"/>
        <w:jc w:val="both"/>
        <w:rPr>
          <w:rFonts w:ascii="Calibri" w:hAnsi="Calibri"/>
          <w:lang w:val="en-AU"/>
        </w:rPr>
      </w:pPr>
      <w:r w:rsidRPr="002C3A3E">
        <w:rPr>
          <w:rFonts w:ascii="Calibri" w:hAnsi="Calibri"/>
          <w:i/>
          <w:lang w:val="en-AU"/>
        </w:rPr>
        <w:t>Paper:</w:t>
      </w:r>
      <w:r w:rsidRPr="002C3A3E">
        <w:rPr>
          <w:rFonts w:ascii="Calibri" w:hAnsi="Calibri"/>
          <w:lang w:val="en-AU"/>
        </w:rPr>
        <w:t xml:space="preserve">  </w:t>
      </w:r>
      <w:r>
        <w:rPr>
          <w:rFonts w:ascii="Calibri" w:hAnsi="Calibri"/>
          <w:lang w:val="en-AU"/>
        </w:rPr>
        <w:t>Ms Berry</w:t>
      </w:r>
      <w:r w:rsidRPr="002C3A3E">
        <w:rPr>
          <w:rFonts w:ascii="Calibri" w:hAnsi="Calibri"/>
          <w:lang w:val="en-AU"/>
        </w:rPr>
        <w:t xml:space="preserve"> presented the following paper:</w:t>
      </w:r>
    </w:p>
    <w:p w:rsidR="003B560A" w:rsidRPr="002C3A3E" w:rsidRDefault="003B560A" w:rsidP="003B560A">
      <w:pPr>
        <w:spacing w:before="120"/>
        <w:ind w:left="720"/>
        <w:jc w:val="both"/>
        <w:rPr>
          <w:rFonts w:ascii="Calibri" w:hAnsi="Calibri"/>
          <w:lang w:val="en-AU"/>
        </w:rPr>
      </w:pPr>
      <w:r w:rsidRPr="002C3A3E">
        <w:rPr>
          <w:rFonts w:ascii="Calibri" w:hAnsi="Calibri"/>
          <w:lang w:val="en-AU"/>
        </w:rPr>
        <w:t xml:space="preserve">Explanatory statement to the Bill, incorporating a compatibility statement, pursuant to section 37 of the </w:t>
      </w:r>
      <w:r w:rsidRPr="002C3A3E">
        <w:rPr>
          <w:rFonts w:ascii="Calibri" w:hAnsi="Calibri"/>
          <w:i/>
          <w:lang w:val="en-AU"/>
        </w:rPr>
        <w:t>Human Rights Act 2004</w:t>
      </w:r>
      <w:r w:rsidRPr="002C3A3E">
        <w:rPr>
          <w:rFonts w:ascii="Calibri" w:hAnsi="Calibri"/>
          <w:lang w:val="en-AU"/>
        </w:rPr>
        <w:t>.</w:t>
      </w:r>
    </w:p>
    <w:p w:rsidR="003B560A" w:rsidRPr="002C3A3E" w:rsidRDefault="003B560A" w:rsidP="003B560A">
      <w:pPr>
        <w:spacing w:before="120"/>
        <w:ind w:left="720"/>
        <w:jc w:val="both"/>
        <w:rPr>
          <w:rFonts w:ascii="Calibri" w:hAnsi="Calibri"/>
          <w:lang w:val="en-AU"/>
        </w:rPr>
      </w:pPr>
      <w:r w:rsidRPr="002C3A3E">
        <w:rPr>
          <w:rFonts w:ascii="Calibri" w:hAnsi="Calibri"/>
          <w:lang w:val="en-AU"/>
        </w:rPr>
        <w:t>Title read by Clerk.</w:t>
      </w:r>
    </w:p>
    <w:p w:rsidR="003B560A" w:rsidRPr="002C3A3E" w:rsidRDefault="003B560A" w:rsidP="00325C2A">
      <w:pPr>
        <w:keepNext/>
        <w:spacing w:before="120"/>
        <w:ind w:left="720"/>
        <w:jc w:val="both"/>
        <w:rPr>
          <w:rFonts w:ascii="Calibri" w:hAnsi="Calibri"/>
          <w:lang w:val="en-AU"/>
        </w:rPr>
      </w:pPr>
      <w:r>
        <w:rPr>
          <w:rFonts w:ascii="Calibri" w:hAnsi="Calibri"/>
          <w:lang w:val="en-AU"/>
        </w:rPr>
        <w:lastRenderedPageBreak/>
        <w:t>Ms Berry</w:t>
      </w:r>
      <w:r w:rsidRPr="002C3A3E">
        <w:rPr>
          <w:rFonts w:ascii="Calibri" w:hAnsi="Calibri"/>
          <w:lang w:val="en-AU"/>
        </w:rPr>
        <w:t xml:space="preserve"> moved—That this Bill be agreed to in principle.</w:t>
      </w:r>
    </w:p>
    <w:p w:rsidR="003B560A" w:rsidRDefault="004037F1" w:rsidP="003B560A">
      <w:pPr>
        <w:spacing w:before="120"/>
        <w:ind w:left="720"/>
        <w:jc w:val="both"/>
        <w:rPr>
          <w:rFonts w:ascii="Calibri" w:hAnsi="Calibri"/>
          <w:lang w:val="en-AU"/>
        </w:rPr>
      </w:pPr>
      <w:r>
        <w:rPr>
          <w:rFonts w:ascii="Calibri" w:hAnsi="Calibri"/>
          <w:lang w:val="en-AU"/>
        </w:rPr>
        <w:t>Debate adjourned (Mrs Dunne</w:t>
      </w:r>
      <w:r w:rsidR="003B560A" w:rsidRPr="002C3A3E">
        <w:rPr>
          <w:rFonts w:ascii="Calibri" w:hAnsi="Calibri"/>
          <w:lang w:val="en-AU"/>
        </w:rPr>
        <w:t>) and the resumption of the debate made an order of the day for the next sitting.</w:t>
      </w:r>
    </w:p>
    <w:p w:rsidR="003B560A" w:rsidRPr="0097428B" w:rsidRDefault="003B560A" w:rsidP="003B560A">
      <w:pPr>
        <w:keepNext/>
        <w:keepLines/>
        <w:tabs>
          <w:tab w:val="right" w:pos="339"/>
          <w:tab w:val="left" w:pos="720"/>
        </w:tabs>
        <w:spacing w:before="240"/>
        <w:ind w:left="720" w:hanging="720"/>
        <w:jc w:val="both"/>
        <w:rPr>
          <w:rFonts w:ascii="Calibri" w:hAnsi="Calibri"/>
          <w:b/>
          <w:caps/>
          <w:lang w:val="en-AU"/>
        </w:rPr>
      </w:pPr>
      <w:r w:rsidRPr="0097428B">
        <w:rPr>
          <w:rFonts w:ascii="Calibri" w:hAnsi="Calibri"/>
          <w:b/>
          <w:caps/>
          <w:lang w:val="en-AU"/>
        </w:rPr>
        <w:tab/>
      </w:r>
      <w:r w:rsidR="00271E6D">
        <w:rPr>
          <w:rFonts w:ascii="Calibri" w:hAnsi="Calibri"/>
          <w:b/>
          <w:bCs/>
          <w:caps/>
          <w:lang w:val="en-AU"/>
        </w:rPr>
        <w:fldChar w:fldCharType="begin"/>
      </w:r>
      <w:r w:rsidR="00271E6D">
        <w:rPr>
          <w:rFonts w:ascii="Calibri" w:hAnsi="Calibri"/>
          <w:b/>
          <w:bCs/>
          <w:caps/>
          <w:lang w:val="en-AU"/>
        </w:rPr>
        <w:instrText xml:space="preserve"> SEQ A \* MERGEFORMAT </w:instrText>
      </w:r>
      <w:r w:rsidR="00271E6D">
        <w:rPr>
          <w:rFonts w:ascii="Calibri" w:hAnsi="Calibri"/>
          <w:b/>
          <w:bCs/>
          <w:caps/>
          <w:lang w:val="en-AU"/>
        </w:rPr>
        <w:fldChar w:fldCharType="separate"/>
      </w:r>
      <w:r w:rsidR="003D6726">
        <w:rPr>
          <w:rFonts w:ascii="Calibri" w:hAnsi="Calibri"/>
          <w:b/>
          <w:bCs/>
          <w:caps/>
          <w:noProof/>
          <w:lang w:val="en-AU"/>
        </w:rPr>
        <w:t>9</w:t>
      </w:r>
      <w:r w:rsidR="00271E6D">
        <w:rPr>
          <w:rFonts w:ascii="Calibri" w:hAnsi="Calibri"/>
          <w:b/>
          <w:bCs/>
          <w:caps/>
          <w:lang w:val="en-AU"/>
        </w:rPr>
        <w:fldChar w:fldCharType="end"/>
      </w:r>
      <w:r w:rsidRPr="0097428B">
        <w:rPr>
          <w:rFonts w:ascii="Calibri" w:hAnsi="Calibri"/>
          <w:b/>
          <w:caps/>
          <w:lang w:val="en-AU"/>
        </w:rPr>
        <w:tab/>
      </w:r>
      <w:r>
        <w:rPr>
          <w:rFonts w:ascii="Calibri" w:hAnsi="Calibri"/>
          <w:b/>
          <w:caps/>
          <w:lang w:val="en-AU"/>
        </w:rPr>
        <w:t>Adoption Amendment Bill 2020</w:t>
      </w:r>
    </w:p>
    <w:p w:rsidR="003B560A" w:rsidRPr="0097428B" w:rsidRDefault="003B560A" w:rsidP="003B560A">
      <w:pPr>
        <w:spacing w:before="120"/>
        <w:ind w:left="720"/>
        <w:jc w:val="both"/>
        <w:rPr>
          <w:rFonts w:ascii="Calibri" w:hAnsi="Calibri"/>
          <w:lang w:val="en-AU"/>
        </w:rPr>
      </w:pPr>
      <w:r>
        <w:rPr>
          <w:rFonts w:ascii="Calibri" w:hAnsi="Calibri"/>
          <w:lang w:val="en-AU"/>
        </w:rPr>
        <w:t>Ms Stephen-Smith (Minister for Children, Youth and Families)</w:t>
      </w:r>
      <w:r w:rsidRPr="0097428B">
        <w:rPr>
          <w:rFonts w:ascii="Calibri" w:hAnsi="Calibri"/>
          <w:lang w:val="en-AU"/>
        </w:rPr>
        <w:t xml:space="preserve">, pursuant to notice, presented </w:t>
      </w:r>
      <w:r>
        <w:rPr>
          <w:rFonts w:ascii="Calibri" w:hAnsi="Calibri"/>
          <w:lang w:val="en-AU"/>
        </w:rPr>
        <w:t xml:space="preserve">a Bill for an Act to amend the </w:t>
      </w:r>
      <w:r w:rsidRPr="00181EE9">
        <w:rPr>
          <w:rFonts w:ascii="Calibri" w:hAnsi="Calibri"/>
          <w:i/>
          <w:lang w:val="en-AU"/>
        </w:rPr>
        <w:t>Adoption Act 1993</w:t>
      </w:r>
      <w:r w:rsidRPr="0097428B">
        <w:rPr>
          <w:rFonts w:ascii="Calibri" w:hAnsi="Calibri"/>
          <w:lang w:val="en-AU"/>
        </w:rPr>
        <w:t>.</w:t>
      </w:r>
    </w:p>
    <w:p w:rsidR="003B560A" w:rsidRPr="0097428B" w:rsidRDefault="003B560A" w:rsidP="003B560A">
      <w:pPr>
        <w:spacing w:before="120"/>
        <w:ind w:left="720"/>
        <w:jc w:val="both"/>
        <w:rPr>
          <w:rFonts w:ascii="Calibri" w:hAnsi="Calibri"/>
          <w:lang w:val="en-AU"/>
        </w:rPr>
      </w:pPr>
      <w:r w:rsidRPr="0097428B">
        <w:rPr>
          <w:rFonts w:ascii="Calibri" w:hAnsi="Calibri"/>
          <w:i/>
          <w:lang w:val="en-AU"/>
        </w:rPr>
        <w:t>Paper:</w:t>
      </w:r>
      <w:r w:rsidRPr="0097428B">
        <w:rPr>
          <w:rFonts w:ascii="Calibri" w:hAnsi="Calibri"/>
          <w:lang w:val="en-AU"/>
        </w:rPr>
        <w:t xml:space="preserve">  </w:t>
      </w:r>
      <w:r>
        <w:rPr>
          <w:rFonts w:ascii="Calibri" w:hAnsi="Calibri"/>
          <w:lang w:val="en-AU"/>
        </w:rPr>
        <w:t>Ms Stephen-Smith</w:t>
      </w:r>
      <w:r w:rsidRPr="0097428B">
        <w:rPr>
          <w:rFonts w:ascii="Calibri" w:hAnsi="Calibri"/>
          <w:lang w:val="en-AU"/>
        </w:rPr>
        <w:t xml:space="preserve"> presented the following paper:</w:t>
      </w:r>
    </w:p>
    <w:p w:rsidR="003B560A" w:rsidRPr="0097428B" w:rsidRDefault="003B560A" w:rsidP="003B560A">
      <w:pPr>
        <w:spacing w:before="120"/>
        <w:ind w:left="720"/>
        <w:jc w:val="both"/>
        <w:rPr>
          <w:rFonts w:ascii="Calibri" w:hAnsi="Calibri"/>
          <w:lang w:val="en-AU"/>
        </w:rPr>
      </w:pPr>
      <w:r w:rsidRPr="0097428B">
        <w:rPr>
          <w:rFonts w:ascii="Calibri" w:hAnsi="Calibri"/>
          <w:lang w:val="en-AU"/>
        </w:rPr>
        <w:t xml:space="preserve">Explanatory statement to the Bill, incorporating a compatibility statement, pursuant to section 37 of the </w:t>
      </w:r>
      <w:r w:rsidRPr="0097428B">
        <w:rPr>
          <w:rFonts w:ascii="Calibri" w:hAnsi="Calibri"/>
          <w:i/>
          <w:lang w:val="en-AU"/>
        </w:rPr>
        <w:t>Human Rights Act 2004</w:t>
      </w:r>
      <w:r w:rsidRPr="0097428B">
        <w:rPr>
          <w:rFonts w:ascii="Calibri" w:hAnsi="Calibri"/>
          <w:lang w:val="en-AU"/>
        </w:rPr>
        <w:t>.</w:t>
      </w:r>
    </w:p>
    <w:p w:rsidR="003B560A" w:rsidRPr="0097428B" w:rsidRDefault="003B560A" w:rsidP="003B560A">
      <w:pPr>
        <w:spacing w:before="120"/>
        <w:ind w:left="720"/>
        <w:jc w:val="both"/>
        <w:rPr>
          <w:rFonts w:ascii="Calibri" w:hAnsi="Calibri"/>
          <w:lang w:val="en-AU"/>
        </w:rPr>
      </w:pPr>
      <w:r w:rsidRPr="0097428B">
        <w:rPr>
          <w:rFonts w:ascii="Calibri" w:hAnsi="Calibri"/>
          <w:lang w:val="en-AU"/>
        </w:rPr>
        <w:t>Title read by Clerk.</w:t>
      </w:r>
    </w:p>
    <w:p w:rsidR="003B560A" w:rsidRPr="0097428B" w:rsidRDefault="003B560A" w:rsidP="003B560A">
      <w:pPr>
        <w:spacing w:before="120"/>
        <w:ind w:left="720"/>
        <w:jc w:val="both"/>
        <w:rPr>
          <w:rFonts w:ascii="Calibri" w:hAnsi="Calibri"/>
          <w:lang w:val="en-AU"/>
        </w:rPr>
      </w:pPr>
      <w:r>
        <w:rPr>
          <w:rFonts w:ascii="Calibri" w:hAnsi="Calibri"/>
          <w:lang w:val="en-AU"/>
        </w:rPr>
        <w:t>Ms Stephen-Smith</w:t>
      </w:r>
      <w:r w:rsidRPr="0097428B">
        <w:rPr>
          <w:rFonts w:ascii="Calibri" w:hAnsi="Calibri"/>
          <w:lang w:val="en-AU"/>
        </w:rPr>
        <w:t xml:space="preserve"> moved—That this Bill be agreed to in principle.</w:t>
      </w:r>
    </w:p>
    <w:p w:rsidR="003B560A" w:rsidRPr="0097428B" w:rsidRDefault="003B560A" w:rsidP="003B560A">
      <w:pPr>
        <w:spacing w:before="120"/>
        <w:ind w:left="720"/>
        <w:jc w:val="both"/>
        <w:rPr>
          <w:rFonts w:ascii="Calibri" w:hAnsi="Calibri"/>
          <w:lang w:val="en-AU"/>
        </w:rPr>
      </w:pPr>
      <w:r>
        <w:rPr>
          <w:rFonts w:ascii="Calibri" w:hAnsi="Calibri"/>
          <w:lang w:val="en-AU"/>
        </w:rPr>
        <w:t xml:space="preserve">Debate adjourned </w:t>
      </w:r>
      <w:r w:rsidRPr="0097428B">
        <w:rPr>
          <w:rFonts w:ascii="Calibri" w:hAnsi="Calibri"/>
          <w:lang w:val="en-AU"/>
        </w:rPr>
        <w:t>(</w:t>
      </w:r>
      <w:r w:rsidR="00277DA7">
        <w:rPr>
          <w:rFonts w:ascii="Calibri" w:hAnsi="Calibri"/>
          <w:lang w:val="en-AU"/>
        </w:rPr>
        <w:t>Mrs Dunne</w:t>
      </w:r>
      <w:r w:rsidRPr="0097428B">
        <w:rPr>
          <w:rFonts w:ascii="Calibri" w:hAnsi="Calibri"/>
          <w:lang w:val="en-AU"/>
        </w:rPr>
        <w:t>) and the resumption of the debate made an order of the day for the next sitting.</w:t>
      </w:r>
    </w:p>
    <w:p w:rsidR="003B560A" w:rsidRPr="0097428B" w:rsidRDefault="003B560A" w:rsidP="003B560A">
      <w:pPr>
        <w:keepNext/>
        <w:keepLines/>
        <w:tabs>
          <w:tab w:val="right" w:pos="339"/>
          <w:tab w:val="left" w:pos="720"/>
        </w:tabs>
        <w:spacing w:before="240"/>
        <w:ind w:left="720" w:hanging="720"/>
        <w:jc w:val="both"/>
        <w:rPr>
          <w:rFonts w:ascii="Calibri" w:hAnsi="Calibri"/>
          <w:b/>
          <w:caps/>
          <w:lang w:val="en-AU"/>
        </w:rPr>
      </w:pPr>
      <w:r w:rsidRPr="0097428B">
        <w:rPr>
          <w:rFonts w:ascii="Calibri" w:hAnsi="Calibri"/>
          <w:b/>
          <w:caps/>
          <w:lang w:val="en-AU"/>
        </w:rPr>
        <w:tab/>
      </w:r>
      <w:r w:rsidR="00271E6D">
        <w:rPr>
          <w:rFonts w:ascii="Calibri" w:hAnsi="Calibri"/>
          <w:b/>
          <w:bCs/>
          <w:caps/>
          <w:lang w:val="en-AU"/>
        </w:rPr>
        <w:fldChar w:fldCharType="begin"/>
      </w:r>
      <w:r w:rsidR="00271E6D">
        <w:rPr>
          <w:rFonts w:ascii="Calibri" w:hAnsi="Calibri"/>
          <w:b/>
          <w:bCs/>
          <w:caps/>
          <w:lang w:val="en-AU"/>
        </w:rPr>
        <w:instrText xml:space="preserve"> SEQ A \* MERGEFORMAT </w:instrText>
      </w:r>
      <w:r w:rsidR="00271E6D">
        <w:rPr>
          <w:rFonts w:ascii="Calibri" w:hAnsi="Calibri"/>
          <w:b/>
          <w:bCs/>
          <w:caps/>
          <w:lang w:val="en-AU"/>
        </w:rPr>
        <w:fldChar w:fldCharType="separate"/>
      </w:r>
      <w:r w:rsidR="003D6726">
        <w:rPr>
          <w:rFonts w:ascii="Calibri" w:hAnsi="Calibri"/>
          <w:b/>
          <w:bCs/>
          <w:caps/>
          <w:noProof/>
          <w:lang w:val="en-AU"/>
        </w:rPr>
        <w:t>10</w:t>
      </w:r>
      <w:r w:rsidR="00271E6D">
        <w:rPr>
          <w:rFonts w:ascii="Calibri" w:hAnsi="Calibri"/>
          <w:b/>
          <w:bCs/>
          <w:caps/>
          <w:lang w:val="en-AU"/>
        </w:rPr>
        <w:fldChar w:fldCharType="end"/>
      </w:r>
      <w:r w:rsidRPr="0097428B">
        <w:rPr>
          <w:rFonts w:ascii="Calibri" w:hAnsi="Calibri"/>
          <w:b/>
          <w:caps/>
          <w:lang w:val="en-AU"/>
        </w:rPr>
        <w:tab/>
      </w:r>
      <w:r>
        <w:rPr>
          <w:rFonts w:ascii="Calibri" w:hAnsi="Calibri"/>
          <w:b/>
          <w:caps/>
          <w:lang w:val="en-AU"/>
        </w:rPr>
        <w:t>Births, Deaths and Marriages Registration Amendment Bill 2020</w:t>
      </w:r>
    </w:p>
    <w:p w:rsidR="003B560A" w:rsidRPr="0097428B" w:rsidRDefault="003B560A" w:rsidP="003B560A">
      <w:pPr>
        <w:spacing w:before="120"/>
        <w:ind w:left="720"/>
        <w:jc w:val="both"/>
        <w:rPr>
          <w:rFonts w:ascii="Calibri" w:hAnsi="Calibri"/>
          <w:lang w:val="en-AU"/>
        </w:rPr>
      </w:pPr>
      <w:r>
        <w:rPr>
          <w:rFonts w:ascii="Calibri" w:hAnsi="Calibri"/>
          <w:lang w:val="en-AU"/>
        </w:rPr>
        <w:t>Mr Rattenbury (Minister for Justice, Consumer Affairs and Road Safety)</w:t>
      </w:r>
      <w:r w:rsidRPr="0097428B">
        <w:rPr>
          <w:rFonts w:ascii="Calibri" w:hAnsi="Calibri"/>
          <w:lang w:val="en-AU"/>
        </w:rPr>
        <w:t xml:space="preserve">, pursuant to notice, presented </w:t>
      </w:r>
      <w:r>
        <w:rPr>
          <w:rFonts w:ascii="Calibri" w:hAnsi="Calibri"/>
          <w:lang w:val="en-AU"/>
        </w:rPr>
        <w:t xml:space="preserve">a Bill for an Act to amend the </w:t>
      </w:r>
      <w:r w:rsidRPr="00181EE9">
        <w:rPr>
          <w:rFonts w:ascii="Calibri" w:hAnsi="Calibri"/>
          <w:i/>
          <w:lang w:val="en-AU"/>
        </w:rPr>
        <w:t>Births, Deaths and Marriages Registration Act 1997</w:t>
      </w:r>
      <w:r>
        <w:rPr>
          <w:rFonts w:ascii="Calibri" w:hAnsi="Calibri"/>
          <w:lang w:val="en-AU"/>
        </w:rPr>
        <w:t>, and for other purposes</w:t>
      </w:r>
      <w:r w:rsidRPr="0097428B">
        <w:rPr>
          <w:rFonts w:ascii="Calibri" w:hAnsi="Calibri"/>
          <w:lang w:val="en-AU"/>
        </w:rPr>
        <w:t>.</w:t>
      </w:r>
    </w:p>
    <w:p w:rsidR="003B560A" w:rsidRPr="0097428B" w:rsidRDefault="003B560A" w:rsidP="003B560A">
      <w:pPr>
        <w:spacing w:before="120"/>
        <w:ind w:left="720"/>
        <w:jc w:val="both"/>
        <w:rPr>
          <w:rFonts w:ascii="Calibri" w:hAnsi="Calibri"/>
          <w:lang w:val="en-AU"/>
        </w:rPr>
      </w:pPr>
      <w:r w:rsidRPr="0097428B">
        <w:rPr>
          <w:rFonts w:ascii="Calibri" w:hAnsi="Calibri"/>
          <w:i/>
          <w:lang w:val="en-AU"/>
        </w:rPr>
        <w:t>Paper:</w:t>
      </w:r>
      <w:r w:rsidRPr="0097428B">
        <w:rPr>
          <w:rFonts w:ascii="Calibri" w:hAnsi="Calibri"/>
          <w:lang w:val="en-AU"/>
        </w:rPr>
        <w:t xml:space="preserve">  </w:t>
      </w:r>
      <w:r>
        <w:rPr>
          <w:rFonts w:ascii="Calibri" w:hAnsi="Calibri"/>
          <w:lang w:val="en-AU"/>
        </w:rPr>
        <w:t>Mr Rattenbury</w:t>
      </w:r>
      <w:r w:rsidRPr="0097428B">
        <w:rPr>
          <w:rFonts w:ascii="Calibri" w:hAnsi="Calibri"/>
          <w:lang w:val="en-AU"/>
        </w:rPr>
        <w:t xml:space="preserve"> presented the following paper:</w:t>
      </w:r>
    </w:p>
    <w:p w:rsidR="003B560A" w:rsidRPr="0097428B" w:rsidRDefault="003B560A" w:rsidP="003B560A">
      <w:pPr>
        <w:spacing w:before="120"/>
        <w:ind w:left="720"/>
        <w:jc w:val="both"/>
        <w:rPr>
          <w:rFonts w:ascii="Calibri" w:hAnsi="Calibri"/>
          <w:lang w:val="en-AU"/>
        </w:rPr>
      </w:pPr>
      <w:r w:rsidRPr="0097428B">
        <w:rPr>
          <w:rFonts w:ascii="Calibri" w:hAnsi="Calibri"/>
          <w:lang w:val="en-AU"/>
        </w:rPr>
        <w:t xml:space="preserve">Explanatory statement to the Bill, incorporating a compatibility statement, pursuant to section 37 of the </w:t>
      </w:r>
      <w:r w:rsidRPr="0097428B">
        <w:rPr>
          <w:rFonts w:ascii="Calibri" w:hAnsi="Calibri"/>
          <w:i/>
          <w:lang w:val="en-AU"/>
        </w:rPr>
        <w:t>Human Rights Act 2004</w:t>
      </w:r>
      <w:r w:rsidRPr="0097428B">
        <w:rPr>
          <w:rFonts w:ascii="Calibri" w:hAnsi="Calibri"/>
          <w:lang w:val="en-AU"/>
        </w:rPr>
        <w:t>.</w:t>
      </w:r>
    </w:p>
    <w:p w:rsidR="003B560A" w:rsidRPr="0097428B" w:rsidRDefault="003B560A" w:rsidP="003B560A">
      <w:pPr>
        <w:spacing w:before="120"/>
        <w:ind w:left="720"/>
        <w:jc w:val="both"/>
        <w:rPr>
          <w:rFonts w:ascii="Calibri" w:hAnsi="Calibri"/>
          <w:lang w:val="en-AU"/>
        </w:rPr>
      </w:pPr>
      <w:r w:rsidRPr="0097428B">
        <w:rPr>
          <w:rFonts w:ascii="Calibri" w:hAnsi="Calibri"/>
          <w:lang w:val="en-AU"/>
        </w:rPr>
        <w:t>Title read by Clerk.</w:t>
      </w:r>
    </w:p>
    <w:p w:rsidR="003B560A" w:rsidRPr="0097428B" w:rsidRDefault="003B560A" w:rsidP="003B560A">
      <w:pPr>
        <w:spacing w:before="120"/>
        <w:ind w:left="720"/>
        <w:jc w:val="both"/>
        <w:rPr>
          <w:rFonts w:ascii="Calibri" w:hAnsi="Calibri"/>
          <w:lang w:val="en-AU"/>
        </w:rPr>
      </w:pPr>
      <w:r>
        <w:rPr>
          <w:rFonts w:ascii="Calibri" w:hAnsi="Calibri"/>
          <w:lang w:val="en-AU"/>
        </w:rPr>
        <w:t>Mr Rattenbury</w:t>
      </w:r>
      <w:r w:rsidRPr="0097428B">
        <w:rPr>
          <w:rFonts w:ascii="Calibri" w:hAnsi="Calibri"/>
          <w:lang w:val="en-AU"/>
        </w:rPr>
        <w:t xml:space="preserve"> moved—That this Bill be agreed to in principle.</w:t>
      </w:r>
    </w:p>
    <w:p w:rsidR="003B560A" w:rsidRPr="0097428B" w:rsidRDefault="003B560A" w:rsidP="003B560A">
      <w:pPr>
        <w:spacing w:before="120"/>
        <w:ind w:left="720"/>
        <w:jc w:val="both"/>
        <w:rPr>
          <w:rFonts w:ascii="Calibri" w:hAnsi="Calibri"/>
          <w:lang w:val="en-AU"/>
        </w:rPr>
      </w:pPr>
      <w:r w:rsidRPr="0097428B">
        <w:rPr>
          <w:rFonts w:ascii="Calibri" w:hAnsi="Calibri"/>
          <w:lang w:val="en-AU"/>
        </w:rPr>
        <w:t>Debate adjourned (</w:t>
      </w:r>
      <w:r w:rsidR="00130276">
        <w:rPr>
          <w:rFonts w:ascii="Calibri" w:hAnsi="Calibri"/>
          <w:lang w:val="en-AU"/>
        </w:rPr>
        <w:t>Mr Hanson</w:t>
      </w:r>
      <w:r w:rsidRPr="0097428B">
        <w:rPr>
          <w:rFonts w:ascii="Calibri" w:hAnsi="Calibri"/>
          <w:lang w:val="en-AU"/>
        </w:rPr>
        <w:t>) and the resumption of the debate made an order of the day for the next sitting.</w:t>
      </w:r>
    </w:p>
    <w:p w:rsidR="003B560A" w:rsidRPr="009B2206" w:rsidRDefault="003B560A" w:rsidP="003B560A">
      <w:pPr>
        <w:keepNext/>
        <w:keepLines/>
        <w:tabs>
          <w:tab w:val="right" w:pos="339"/>
          <w:tab w:val="left" w:pos="720"/>
        </w:tabs>
        <w:spacing w:before="240"/>
        <w:ind w:left="720" w:hanging="720"/>
        <w:jc w:val="both"/>
        <w:rPr>
          <w:rFonts w:ascii="Calibri" w:hAnsi="Calibri"/>
          <w:b/>
          <w:caps/>
          <w:lang w:val="en-AU"/>
        </w:rPr>
      </w:pPr>
      <w:r w:rsidRPr="009B2206">
        <w:rPr>
          <w:rFonts w:ascii="Calibri" w:hAnsi="Calibri"/>
          <w:b/>
          <w:caps/>
          <w:lang w:val="en-AU"/>
        </w:rPr>
        <w:tab/>
      </w:r>
      <w:r w:rsidR="00271E6D">
        <w:rPr>
          <w:rFonts w:ascii="Calibri" w:hAnsi="Calibri"/>
          <w:b/>
          <w:bCs/>
          <w:caps/>
          <w:lang w:val="en-AU"/>
        </w:rPr>
        <w:fldChar w:fldCharType="begin"/>
      </w:r>
      <w:r w:rsidR="00271E6D">
        <w:rPr>
          <w:rFonts w:ascii="Calibri" w:hAnsi="Calibri"/>
          <w:b/>
          <w:bCs/>
          <w:caps/>
          <w:lang w:val="en-AU"/>
        </w:rPr>
        <w:instrText xml:space="preserve"> SEQ A \* MERGEFORMAT </w:instrText>
      </w:r>
      <w:r w:rsidR="00271E6D">
        <w:rPr>
          <w:rFonts w:ascii="Calibri" w:hAnsi="Calibri"/>
          <w:b/>
          <w:bCs/>
          <w:caps/>
          <w:lang w:val="en-AU"/>
        </w:rPr>
        <w:fldChar w:fldCharType="separate"/>
      </w:r>
      <w:r w:rsidR="003D6726">
        <w:rPr>
          <w:rFonts w:ascii="Calibri" w:hAnsi="Calibri"/>
          <w:b/>
          <w:bCs/>
          <w:caps/>
          <w:noProof/>
          <w:lang w:val="en-AU"/>
        </w:rPr>
        <w:t>11</w:t>
      </w:r>
      <w:r w:rsidR="00271E6D">
        <w:rPr>
          <w:rFonts w:ascii="Calibri" w:hAnsi="Calibri"/>
          <w:b/>
          <w:bCs/>
          <w:caps/>
          <w:lang w:val="en-AU"/>
        </w:rPr>
        <w:fldChar w:fldCharType="end"/>
      </w:r>
      <w:r w:rsidRPr="009B2206">
        <w:rPr>
          <w:rFonts w:ascii="Calibri" w:hAnsi="Calibri"/>
          <w:b/>
          <w:caps/>
          <w:lang w:val="en-AU"/>
        </w:rPr>
        <w:tab/>
        <w:t xml:space="preserve">Justice and Community Safety—Standing Committee (Legislative Scrutiny Role)—SCRUTINY REPORT </w:t>
      </w:r>
      <w:r>
        <w:rPr>
          <w:rFonts w:ascii="Calibri" w:hAnsi="Calibri"/>
          <w:b/>
          <w:caps/>
          <w:lang w:val="en-AU"/>
        </w:rPr>
        <w:t>46</w:t>
      </w:r>
      <w:r w:rsidRPr="009B2206">
        <w:rPr>
          <w:rFonts w:ascii="Calibri" w:hAnsi="Calibri"/>
          <w:b/>
          <w:caps/>
          <w:lang w:val="en-AU"/>
        </w:rPr>
        <w:t>—STATEMENT BY CHAIR</w:t>
      </w:r>
    </w:p>
    <w:p w:rsidR="003B560A" w:rsidRPr="009B2206" w:rsidRDefault="005B63E9" w:rsidP="003B560A">
      <w:pPr>
        <w:spacing w:before="120"/>
        <w:ind w:left="720"/>
        <w:jc w:val="both"/>
        <w:rPr>
          <w:rFonts w:ascii="Calibri" w:hAnsi="Calibri"/>
          <w:lang w:val="en-AU"/>
        </w:rPr>
      </w:pPr>
      <w:r>
        <w:rPr>
          <w:rFonts w:ascii="Calibri" w:hAnsi="Calibri"/>
          <w:lang w:val="en-AU"/>
        </w:rPr>
        <w:t>M</w:t>
      </w:r>
      <w:r w:rsidR="003B560A">
        <w:rPr>
          <w:rFonts w:ascii="Calibri" w:hAnsi="Calibri"/>
          <w:lang w:val="en-AU"/>
        </w:rPr>
        <w:t xml:space="preserve">s </w:t>
      </w:r>
      <w:r>
        <w:rPr>
          <w:rFonts w:ascii="Calibri" w:hAnsi="Calibri"/>
          <w:lang w:val="en-AU"/>
        </w:rPr>
        <w:t>Cody</w:t>
      </w:r>
      <w:r w:rsidR="003B560A" w:rsidRPr="009B2206">
        <w:rPr>
          <w:rFonts w:ascii="Calibri" w:hAnsi="Calibri"/>
          <w:lang w:val="en-AU"/>
        </w:rPr>
        <w:t xml:space="preserve"> (</w:t>
      </w:r>
      <w:r>
        <w:rPr>
          <w:rFonts w:ascii="Calibri" w:hAnsi="Calibri"/>
          <w:lang w:val="en-AU"/>
        </w:rPr>
        <w:t xml:space="preserve">Deputy </w:t>
      </w:r>
      <w:r w:rsidR="003B560A" w:rsidRPr="009B2206">
        <w:rPr>
          <w:rFonts w:ascii="Calibri" w:hAnsi="Calibri"/>
          <w:lang w:val="en-AU"/>
        </w:rPr>
        <w:t>Chair) presented the following report:</w:t>
      </w:r>
    </w:p>
    <w:p w:rsidR="003B560A" w:rsidRPr="009B2206" w:rsidRDefault="003B560A" w:rsidP="003B560A">
      <w:pPr>
        <w:spacing w:before="120"/>
        <w:ind w:left="720"/>
        <w:jc w:val="both"/>
        <w:rPr>
          <w:rFonts w:ascii="Calibri" w:hAnsi="Calibri"/>
          <w:iCs/>
          <w:lang w:val="en-AU"/>
        </w:rPr>
      </w:pPr>
      <w:r w:rsidRPr="009B2206">
        <w:rPr>
          <w:rFonts w:ascii="Calibri" w:hAnsi="Calibri"/>
          <w:lang w:val="en-AU"/>
        </w:rPr>
        <w:t xml:space="preserve">Justice and Community Safety—Standing Committee (Legislative Scrutiny Role)—Scrutiny Report </w:t>
      </w:r>
      <w:r>
        <w:rPr>
          <w:rFonts w:ascii="Calibri" w:hAnsi="Calibri"/>
          <w:caps/>
          <w:lang w:val="en-AU"/>
        </w:rPr>
        <w:t>46</w:t>
      </w:r>
      <w:r w:rsidRPr="009B2206">
        <w:rPr>
          <w:rFonts w:ascii="Calibri" w:hAnsi="Calibri"/>
          <w:i/>
          <w:iCs/>
          <w:lang w:val="en-AU"/>
        </w:rPr>
        <w:t>,</w:t>
      </w:r>
      <w:r>
        <w:rPr>
          <w:rFonts w:ascii="Calibri" w:hAnsi="Calibri"/>
          <w:iCs/>
          <w:lang w:val="en-AU"/>
        </w:rPr>
        <w:t xml:space="preserve"> dated 21 July 2020</w:t>
      </w:r>
      <w:r w:rsidRPr="009B2206">
        <w:rPr>
          <w:rFonts w:ascii="Calibri" w:hAnsi="Calibri"/>
          <w:iCs/>
          <w:lang w:val="en-AU"/>
        </w:rPr>
        <w:t>, together with a copy of the extracts of the relevant minutes of proceedings—</w:t>
      </w:r>
    </w:p>
    <w:p w:rsidR="003B560A" w:rsidRDefault="003B560A" w:rsidP="003B560A">
      <w:pPr>
        <w:spacing w:before="120"/>
        <w:ind w:left="720"/>
        <w:jc w:val="both"/>
        <w:rPr>
          <w:rFonts w:ascii="Calibri" w:hAnsi="Calibri"/>
          <w:iCs/>
          <w:lang w:val="en-AU"/>
        </w:rPr>
      </w:pPr>
      <w:r w:rsidRPr="009B2206">
        <w:rPr>
          <w:rFonts w:ascii="Calibri" w:hAnsi="Calibri"/>
          <w:iCs/>
          <w:lang w:val="en-AU"/>
        </w:rPr>
        <w:t>and, by leave, made a statement in relation to the report.</w:t>
      </w:r>
    </w:p>
    <w:p w:rsidR="003B560A" w:rsidRPr="00DC7D01" w:rsidRDefault="003B560A" w:rsidP="003B560A">
      <w:pPr>
        <w:keepNext/>
        <w:keepLines/>
        <w:tabs>
          <w:tab w:val="right" w:pos="339"/>
          <w:tab w:val="left" w:pos="720"/>
        </w:tabs>
        <w:spacing w:before="240"/>
        <w:ind w:left="720" w:hanging="720"/>
        <w:jc w:val="both"/>
        <w:rPr>
          <w:rFonts w:ascii="Calibri" w:hAnsi="Calibri"/>
          <w:b/>
          <w:caps/>
          <w:lang w:val="en-AU"/>
        </w:rPr>
      </w:pPr>
      <w:r w:rsidRPr="00DC7D01">
        <w:rPr>
          <w:rFonts w:ascii="Calibri" w:hAnsi="Calibri"/>
          <w:b/>
          <w:caps/>
          <w:lang w:val="en-AU"/>
        </w:rPr>
        <w:tab/>
      </w:r>
      <w:r w:rsidR="00271E6D">
        <w:rPr>
          <w:rFonts w:ascii="Calibri" w:hAnsi="Calibri"/>
          <w:b/>
          <w:bCs/>
          <w:caps/>
          <w:lang w:val="en-AU"/>
        </w:rPr>
        <w:fldChar w:fldCharType="begin"/>
      </w:r>
      <w:r w:rsidR="00271E6D">
        <w:rPr>
          <w:rFonts w:ascii="Calibri" w:hAnsi="Calibri"/>
          <w:b/>
          <w:bCs/>
          <w:caps/>
          <w:lang w:val="en-AU"/>
        </w:rPr>
        <w:instrText xml:space="preserve"> SEQ A \* MERGEFORMAT </w:instrText>
      </w:r>
      <w:r w:rsidR="00271E6D">
        <w:rPr>
          <w:rFonts w:ascii="Calibri" w:hAnsi="Calibri"/>
          <w:b/>
          <w:bCs/>
          <w:caps/>
          <w:lang w:val="en-AU"/>
        </w:rPr>
        <w:fldChar w:fldCharType="separate"/>
      </w:r>
      <w:r w:rsidR="003D6726">
        <w:rPr>
          <w:rFonts w:ascii="Calibri" w:hAnsi="Calibri"/>
          <w:b/>
          <w:bCs/>
          <w:caps/>
          <w:noProof/>
          <w:lang w:val="en-AU"/>
        </w:rPr>
        <w:t>12</w:t>
      </w:r>
      <w:r w:rsidR="00271E6D">
        <w:rPr>
          <w:rFonts w:ascii="Calibri" w:hAnsi="Calibri"/>
          <w:b/>
          <w:bCs/>
          <w:caps/>
          <w:lang w:val="en-AU"/>
        </w:rPr>
        <w:fldChar w:fldCharType="end"/>
      </w:r>
      <w:r w:rsidRPr="00DC7D01">
        <w:rPr>
          <w:rFonts w:ascii="Calibri" w:hAnsi="Calibri"/>
          <w:b/>
          <w:caps/>
          <w:lang w:val="en-AU"/>
        </w:rPr>
        <w:tab/>
      </w:r>
      <w:r>
        <w:rPr>
          <w:rFonts w:ascii="Calibri" w:hAnsi="Calibri"/>
          <w:b/>
          <w:caps/>
          <w:lang w:val="en-AU"/>
        </w:rPr>
        <w:t>Economic Development and Tourism—Standing Committee</w:t>
      </w:r>
      <w:r w:rsidRPr="00DC7D01">
        <w:rPr>
          <w:rFonts w:ascii="Calibri" w:hAnsi="Calibri"/>
          <w:b/>
          <w:caps/>
          <w:lang w:val="en-AU"/>
        </w:rPr>
        <w:t xml:space="preserve">—REPORT </w:t>
      </w:r>
      <w:r>
        <w:rPr>
          <w:rFonts w:ascii="Calibri" w:hAnsi="Calibri"/>
          <w:b/>
          <w:caps/>
          <w:lang w:val="en-AU"/>
        </w:rPr>
        <w:t>9</w:t>
      </w:r>
      <w:r w:rsidRPr="00DC7D01">
        <w:rPr>
          <w:rFonts w:ascii="Calibri" w:hAnsi="Calibri"/>
          <w:b/>
          <w:caps/>
          <w:lang w:val="en-AU"/>
        </w:rPr>
        <w:t>—</w:t>
      </w:r>
      <w:r>
        <w:rPr>
          <w:rFonts w:ascii="Calibri" w:hAnsi="Calibri"/>
          <w:b/>
          <w:caps/>
          <w:lang w:val="en-AU"/>
        </w:rPr>
        <w:t>Inquiry int</w:t>
      </w:r>
      <w:r w:rsidR="004351FE">
        <w:rPr>
          <w:rFonts w:ascii="Calibri" w:hAnsi="Calibri"/>
          <w:b/>
          <w:caps/>
          <w:lang w:val="en-AU"/>
        </w:rPr>
        <w:t>o building quality</w:t>
      </w:r>
      <w:r w:rsidRPr="00DC7D01">
        <w:rPr>
          <w:rFonts w:ascii="Calibri" w:hAnsi="Calibri"/>
          <w:b/>
          <w:caps/>
          <w:lang w:val="en-AU"/>
        </w:rPr>
        <w:t>—report noted</w:t>
      </w:r>
    </w:p>
    <w:p w:rsidR="003B560A" w:rsidRPr="00DC7D01" w:rsidRDefault="00A22833" w:rsidP="003B560A">
      <w:pPr>
        <w:spacing w:before="120"/>
        <w:ind w:left="720"/>
        <w:jc w:val="both"/>
        <w:rPr>
          <w:rFonts w:ascii="Calibri" w:hAnsi="Calibri"/>
          <w:lang w:val="en-AU"/>
        </w:rPr>
      </w:pPr>
      <w:r>
        <w:rPr>
          <w:rFonts w:ascii="Calibri" w:hAnsi="Calibri"/>
          <w:lang w:val="en-AU"/>
        </w:rPr>
        <w:t>Mr Hanson</w:t>
      </w:r>
      <w:r w:rsidR="003B560A" w:rsidRPr="00DC7D01">
        <w:rPr>
          <w:rFonts w:ascii="Calibri" w:hAnsi="Calibri"/>
          <w:lang w:val="en-AU"/>
        </w:rPr>
        <w:t xml:space="preserve"> (Chair) presented the following report:</w:t>
      </w:r>
    </w:p>
    <w:p w:rsidR="003B560A" w:rsidRPr="00DC7D01" w:rsidRDefault="003B560A" w:rsidP="003B560A">
      <w:pPr>
        <w:spacing w:before="120"/>
        <w:ind w:left="720"/>
        <w:jc w:val="both"/>
        <w:rPr>
          <w:rFonts w:ascii="Calibri" w:hAnsi="Calibri"/>
          <w:iCs/>
          <w:lang w:val="en-AU"/>
        </w:rPr>
      </w:pPr>
      <w:r>
        <w:rPr>
          <w:rFonts w:ascii="Calibri" w:hAnsi="Calibri"/>
          <w:bCs/>
          <w:lang w:val="en-AU"/>
        </w:rPr>
        <w:t>Economic Development and Tourism—Standing Committee</w:t>
      </w:r>
      <w:r w:rsidRPr="00DC7D01">
        <w:rPr>
          <w:rFonts w:ascii="Calibri" w:hAnsi="Calibri"/>
          <w:lang w:val="en-AU"/>
        </w:rPr>
        <w:t xml:space="preserve">—Report </w:t>
      </w:r>
      <w:r>
        <w:rPr>
          <w:rFonts w:ascii="Calibri" w:hAnsi="Calibri"/>
          <w:caps/>
          <w:lang w:val="en-AU"/>
        </w:rPr>
        <w:t>9</w:t>
      </w:r>
      <w:r w:rsidR="004353FA">
        <w:rPr>
          <w:rFonts w:ascii="Calibri" w:hAnsi="Calibri"/>
          <w:caps/>
          <w:lang w:val="en-AU"/>
        </w:rPr>
        <w:t xml:space="preserve"> </w:t>
      </w:r>
      <w:r w:rsidRPr="00DC7D01">
        <w:rPr>
          <w:rFonts w:ascii="Calibri" w:hAnsi="Calibri"/>
          <w:lang w:val="en-AU"/>
        </w:rPr>
        <w:t>—</w:t>
      </w:r>
      <w:r>
        <w:rPr>
          <w:rFonts w:ascii="Calibri" w:hAnsi="Calibri"/>
          <w:i/>
          <w:iCs/>
          <w:lang w:val="en-AU"/>
        </w:rPr>
        <w:t xml:space="preserve">Inquiry </w:t>
      </w:r>
      <w:r w:rsidR="004351FE">
        <w:rPr>
          <w:rFonts w:ascii="Calibri" w:hAnsi="Calibri"/>
          <w:i/>
          <w:iCs/>
          <w:lang w:val="en-AU"/>
        </w:rPr>
        <w:t>into Building Quality</w:t>
      </w:r>
      <w:r w:rsidRPr="00DC7D01">
        <w:rPr>
          <w:rFonts w:ascii="Calibri" w:hAnsi="Calibri"/>
          <w:i/>
          <w:iCs/>
          <w:lang w:val="en-AU"/>
        </w:rPr>
        <w:t>,</w:t>
      </w:r>
      <w:r w:rsidRPr="00DC7D01">
        <w:rPr>
          <w:rFonts w:ascii="Calibri" w:hAnsi="Calibri"/>
          <w:iCs/>
          <w:lang w:val="en-AU"/>
        </w:rPr>
        <w:t xml:space="preserve"> d</w:t>
      </w:r>
      <w:r w:rsidR="004353FA">
        <w:rPr>
          <w:rFonts w:ascii="Calibri" w:hAnsi="Calibri"/>
          <w:iCs/>
          <w:lang w:val="en-AU"/>
        </w:rPr>
        <w:t>ated 22</w:t>
      </w:r>
      <w:r w:rsidR="0037199B">
        <w:rPr>
          <w:rFonts w:ascii="Calibri" w:hAnsi="Calibri"/>
          <w:iCs/>
          <w:lang w:val="en-AU"/>
        </w:rPr>
        <w:t xml:space="preserve"> July 2020</w:t>
      </w:r>
      <w:r w:rsidRPr="00DC7D01">
        <w:rPr>
          <w:rFonts w:ascii="Calibri" w:hAnsi="Calibri"/>
          <w:iCs/>
          <w:lang w:val="en-AU"/>
        </w:rPr>
        <w:t>, together with a copy of the extracts of the relevant minutes of proceedings—</w:t>
      </w:r>
    </w:p>
    <w:p w:rsidR="003B560A" w:rsidRDefault="003B560A" w:rsidP="003B560A">
      <w:pPr>
        <w:spacing w:before="120"/>
        <w:ind w:left="720"/>
        <w:jc w:val="both"/>
        <w:rPr>
          <w:rFonts w:ascii="Calibri" w:hAnsi="Calibri"/>
          <w:iCs/>
          <w:lang w:val="en-AU"/>
        </w:rPr>
      </w:pPr>
      <w:r w:rsidRPr="00DC7D01">
        <w:rPr>
          <w:rFonts w:ascii="Calibri" w:hAnsi="Calibri"/>
          <w:iCs/>
          <w:lang w:val="en-AU"/>
        </w:rPr>
        <w:t>and moved—That the report be noted.</w:t>
      </w:r>
    </w:p>
    <w:p w:rsidR="00550133" w:rsidRPr="00DC7D01" w:rsidRDefault="00550133" w:rsidP="003B560A">
      <w:pPr>
        <w:spacing w:before="120"/>
        <w:ind w:left="720"/>
        <w:jc w:val="both"/>
        <w:rPr>
          <w:rFonts w:ascii="Calibri" w:hAnsi="Calibri"/>
          <w:iCs/>
          <w:lang w:val="en-AU"/>
        </w:rPr>
      </w:pPr>
      <w:r w:rsidRPr="00616F72">
        <w:rPr>
          <w:rFonts w:ascii="Calibri" w:hAnsi="Calibri"/>
          <w:iCs/>
          <w:lang w:val="en-AU"/>
        </w:rPr>
        <w:lastRenderedPageBreak/>
        <w:t>Debate ensued.</w:t>
      </w:r>
    </w:p>
    <w:p w:rsidR="003B560A" w:rsidRPr="00DC7D01" w:rsidRDefault="003B560A" w:rsidP="003B560A">
      <w:pPr>
        <w:spacing w:before="120"/>
        <w:ind w:left="720"/>
        <w:jc w:val="both"/>
        <w:rPr>
          <w:rFonts w:ascii="Calibri" w:hAnsi="Calibri"/>
          <w:iCs/>
          <w:lang w:val="en-AU"/>
        </w:rPr>
      </w:pPr>
      <w:r w:rsidRPr="00DC7D01">
        <w:rPr>
          <w:rFonts w:ascii="Calibri" w:hAnsi="Calibri"/>
          <w:iCs/>
          <w:lang w:val="en-AU"/>
        </w:rPr>
        <w:t>Question—put and passed.</w:t>
      </w:r>
    </w:p>
    <w:p w:rsidR="003B560A" w:rsidRPr="00631C2A" w:rsidRDefault="003B560A" w:rsidP="003B560A">
      <w:pPr>
        <w:keepNext/>
        <w:keepLines/>
        <w:tabs>
          <w:tab w:val="right" w:pos="339"/>
          <w:tab w:val="left" w:pos="720"/>
        </w:tabs>
        <w:spacing w:before="240"/>
        <w:ind w:left="720" w:hanging="720"/>
        <w:jc w:val="both"/>
        <w:rPr>
          <w:rFonts w:ascii="Calibri" w:hAnsi="Calibri"/>
          <w:b/>
          <w:caps/>
        </w:rPr>
      </w:pPr>
      <w:r w:rsidRPr="00631C2A">
        <w:rPr>
          <w:rFonts w:ascii="Calibri" w:hAnsi="Calibri"/>
          <w:b/>
          <w:caps/>
        </w:rPr>
        <w:tab/>
      </w:r>
      <w:r w:rsidR="00271E6D">
        <w:rPr>
          <w:rFonts w:ascii="Calibri" w:hAnsi="Calibri"/>
          <w:b/>
          <w:bCs/>
          <w:caps/>
        </w:rPr>
        <w:fldChar w:fldCharType="begin"/>
      </w:r>
      <w:r w:rsidR="00271E6D">
        <w:rPr>
          <w:rFonts w:ascii="Calibri" w:hAnsi="Calibri"/>
          <w:b/>
          <w:bCs/>
          <w:caps/>
        </w:rPr>
        <w:instrText xml:space="preserve"> SEQ A \* MERGEFORMAT </w:instrText>
      </w:r>
      <w:r w:rsidR="00271E6D">
        <w:rPr>
          <w:rFonts w:ascii="Calibri" w:hAnsi="Calibri"/>
          <w:b/>
          <w:bCs/>
          <w:caps/>
        </w:rPr>
        <w:fldChar w:fldCharType="separate"/>
      </w:r>
      <w:r w:rsidR="003D6726">
        <w:rPr>
          <w:rFonts w:ascii="Calibri" w:hAnsi="Calibri"/>
          <w:b/>
          <w:bCs/>
          <w:caps/>
          <w:noProof/>
        </w:rPr>
        <w:t>13</w:t>
      </w:r>
      <w:r w:rsidR="00271E6D">
        <w:rPr>
          <w:rFonts w:ascii="Calibri" w:hAnsi="Calibri"/>
          <w:b/>
          <w:bCs/>
          <w:caps/>
        </w:rPr>
        <w:fldChar w:fldCharType="end"/>
      </w:r>
      <w:r w:rsidRPr="00631C2A">
        <w:rPr>
          <w:rFonts w:ascii="Calibri" w:hAnsi="Calibri"/>
          <w:b/>
          <w:caps/>
        </w:rPr>
        <w:tab/>
        <w:t>CROSSBENCH EXECUTIVE MEMBERS</w:t>
      </w:r>
      <w:r w:rsidR="00F85F03">
        <w:rPr>
          <w:rFonts w:ascii="Calibri" w:hAnsi="Calibri"/>
          <w:b/>
          <w:caps/>
        </w:rPr>
        <w:t>’</w:t>
      </w:r>
      <w:r w:rsidRPr="00631C2A">
        <w:rPr>
          <w:rFonts w:ascii="Calibri" w:hAnsi="Calibri"/>
          <w:b/>
          <w:caps/>
        </w:rPr>
        <w:t xml:space="preserve"> business—precedence</w:t>
      </w:r>
    </w:p>
    <w:p w:rsidR="003B560A" w:rsidRPr="00631C2A" w:rsidRDefault="003B560A" w:rsidP="003B560A">
      <w:pPr>
        <w:tabs>
          <w:tab w:val="left" w:pos="1197"/>
          <w:tab w:val="left" w:pos="1767"/>
        </w:tabs>
        <w:spacing w:before="120"/>
        <w:ind w:left="741"/>
        <w:jc w:val="both"/>
        <w:rPr>
          <w:rFonts w:ascii="Calibri" w:hAnsi="Calibri"/>
          <w:lang w:val="en-AU"/>
        </w:rPr>
      </w:pPr>
      <w:r w:rsidRPr="00631C2A">
        <w:rPr>
          <w:rFonts w:ascii="Calibri" w:hAnsi="Calibri"/>
          <w:lang w:val="en-AU"/>
        </w:rPr>
        <w:t>Ordered—That Crossbench Executive Members</w:t>
      </w:r>
      <w:r w:rsidR="00F85F03">
        <w:rPr>
          <w:rFonts w:ascii="Calibri" w:hAnsi="Calibri"/>
          <w:lang w:val="en-AU"/>
        </w:rPr>
        <w:t>’</w:t>
      </w:r>
      <w:r w:rsidRPr="00631C2A">
        <w:rPr>
          <w:rFonts w:ascii="Calibri" w:hAnsi="Calibri"/>
          <w:lang w:val="en-AU"/>
        </w:rPr>
        <w:t xml:space="preserve"> business be called on forthwith.</w:t>
      </w:r>
    </w:p>
    <w:p w:rsidR="003B560A" w:rsidRPr="00A75F65" w:rsidRDefault="003B560A" w:rsidP="003B560A">
      <w:pPr>
        <w:keepNext/>
        <w:keepLines/>
        <w:tabs>
          <w:tab w:val="right" w:pos="339"/>
          <w:tab w:val="left" w:pos="720"/>
        </w:tabs>
        <w:spacing w:before="240"/>
        <w:ind w:left="720" w:hanging="720"/>
        <w:jc w:val="both"/>
        <w:rPr>
          <w:rFonts w:ascii="Calibri" w:hAnsi="Calibri"/>
          <w:b/>
          <w:caps/>
          <w:lang w:val="en-AU"/>
        </w:rPr>
      </w:pPr>
      <w:r w:rsidRPr="00A75F65">
        <w:rPr>
          <w:rFonts w:ascii="Calibri" w:hAnsi="Calibri"/>
          <w:b/>
          <w:caps/>
          <w:lang w:val="en-AU"/>
        </w:rPr>
        <w:tab/>
      </w:r>
      <w:r w:rsidR="00271E6D">
        <w:rPr>
          <w:rFonts w:ascii="Calibri" w:hAnsi="Calibri"/>
          <w:b/>
          <w:bCs/>
          <w:caps/>
          <w:lang w:val="en-AU"/>
        </w:rPr>
        <w:fldChar w:fldCharType="begin"/>
      </w:r>
      <w:r w:rsidR="00271E6D">
        <w:rPr>
          <w:rFonts w:ascii="Calibri" w:hAnsi="Calibri"/>
          <w:b/>
          <w:bCs/>
          <w:caps/>
          <w:lang w:val="en-AU"/>
        </w:rPr>
        <w:instrText xml:space="preserve"> SEQ A \* MERGEFORMAT </w:instrText>
      </w:r>
      <w:r w:rsidR="00271E6D">
        <w:rPr>
          <w:rFonts w:ascii="Calibri" w:hAnsi="Calibri"/>
          <w:b/>
          <w:bCs/>
          <w:caps/>
          <w:lang w:val="en-AU"/>
        </w:rPr>
        <w:fldChar w:fldCharType="separate"/>
      </w:r>
      <w:r w:rsidR="003D6726">
        <w:rPr>
          <w:rFonts w:ascii="Calibri" w:hAnsi="Calibri"/>
          <w:b/>
          <w:bCs/>
          <w:caps/>
          <w:noProof/>
          <w:lang w:val="en-AU"/>
        </w:rPr>
        <w:t>14</w:t>
      </w:r>
      <w:r w:rsidR="00271E6D">
        <w:rPr>
          <w:rFonts w:ascii="Calibri" w:hAnsi="Calibri"/>
          <w:b/>
          <w:bCs/>
          <w:caps/>
          <w:lang w:val="en-AU"/>
        </w:rPr>
        <w:fldChar w:fldCharType="end"/>
      </w:r>
      <w:r w:rsidRPr="00A75F65">
        <w:rPr>
          <w:rFonts w:ascii="Calibri" w:hAnsi="Calibri"/>
          <w:b/>
          <w:caps/>
          <w:lang w:val="en-AU"/>
        </w:rPr>
        <w:tab/>
      </w:r>
      <w:r w:rsidR="00AF7AE6">
        <w:rPr>
          <w:rFonts w:ascii="Calibri" w:hAnsi="Calibri"/>
          <w:b/>
          <w:caps/>
          <w:lang w:val="en-AU"/>
        </w:rPr>
        <w:t>Problem gambling—harm minimisation</w:t>
      </w:r>
    </w:p>
    <w:p w:rsidR="003B560A" w:rsidRDefault="003B560A" w:rsidP="003B560A">
      <w:pPr>
        <w:spacing w:before="120"/>
        <w:ind w:left="720"/>
        <w:jc w:val="both"/>
        <w:rPr>
          <w:rFonts w:ascii="Calibri" w:hAnsi="Calibri"/>
          <w:color w:val="000000"/>
          <w:lang w:val="en-AU"/>
        </w:rPr>
      </w:pPr>
      <w:r>
        <w:rPr>
          <w:rFonts w:ascii="Calibri" w:hAnsi="Calibri"/>
          <w:color w:val="000000"/>
          <w:lang w:val="en-AU"/>
        </w:rPr>
        <w:t>Mr Rattenbury</w:t>
      </w:r>
      <w:r w:rsidRPr="00A75F65">
        <w:rPr>
          <w:rFonts w:ascii="Calibri" w:hAnsi="Calibri"/>
          <w:color w:val="000000"/>
          <w:lang w:val="en-AU"/>
        </w:rPr>
        <w:t>, pursuant to notice, moved—That</w:t>
      </w:r>
      <w:r>
        <w:rPr>
          <w:rFonts w:ascii="Calibri" w:hAnsi="Calibri"/>
          <w:color w:val="000000"/>
          <w:lang w:val="en-AU"/>
        </w:rPr>
        <w:t xml:space="preserve"> this Assembly:</w:t>
      </w:r>
    </w:p>
    <w:p w:rsidR="0037199B" w:rsidRPr="007C5CDF" w:rsidRDefault="0037199B" w:rsidP="00447FD7">
      <w:pPr>
        <w:pStyle w:val="DPSEntryIndents"/>
        <w:rPr>
          <w:lang w:eastAsia="en-US"/>
        </w:rPr>
      </w:pPr>
      <w:r w:rsidRPr="007C5CDF">
        <w:rPr>
          <w:lang w:eastAsia="en-US"/>
        </w:rPr>
        <w:t>notes that:</w:t>
      </w:r>
    </w:p>
    <w:p w:rsidR="0037199B" w:rsidRPr="007C5CDF" w:rsidRDefault="0037199B" w:rsidP="00447FD7">
      <w:pPr>
        <w:pStyle w:val="DPSEntryIndents"/>
        <w:numPr>
          <w:ilvl w:val="1"/>
          <w:numId w:val="3"/>
        </w:numPr>
        <w:rPr>
          <w:lang w:eastAsia="en-US"/>
        </w:rPr>
      </w:pPr>
      <w:r w:rsidRPr="007C5CDF">
        <w:rPr>
          <w:lang w:eastAsia="en-US"/>
        </w:rPr>
        <w:t>in the AC</w:t>
      </w:r>
      <w:r w:rsidR="00F65266">
        <w:rPr>
          <w:lang w:eastAsia="en-US"/>
        </w:rPr>
        <w:t>T, people can lose more than $1</w:t>
      </w:r>
      <w:r w:rsidRPr="007C5CDF">
        <w:rPr>
          <w:lang w:eastAsia="en-US"/>
        </w:rPr>
        <w:t>000 an hour playing poker machines;</w:t>
      </w:r>
    </w:p>
    <w:p w:rsidR="0037199B" w:rsidRPr="007C5CDF" w:rsidRDefault="0037199B" w:rsidP="00447FD7">
      <w:pPr>
        <w:pStyle w:val="DPSEntryIndents"/>
        <w:numPr>
          <w:ilvl w:val="1"/>
          <w:numId w:val="3"/>
        </w:numPr>
        <w:rPr>
          <w:lang w:eastAsia="en-US"/>
        </w:rPr>
      </w:pPr>
      <w:r w:rsidRPr="007C5CDF">
        <w:rPr>
          <w:lang w:eastAsia="en-US"/>
        </w:rPr>
        <w:t>all Australian jurisdictions except for the ACT and NSW have bet limits of $5 per spin;</w:t>
      </w:r>
    </w:p>
    <w:p w:rsidR="0037199B" w:rsidRPr="007C5CDF" w:rsidRDefault="0037199B" w:rsidP="00447FD7">
      <w:pPr>
        <w:pStyle w:val="DPSEntryIndents"/>
        <w:numPr>
          <w:ilvl w:val="1"/>
          <w:numId w:val="3"/>
        </w:numPr>
        <w:rPr>
          <w:lang w:eastAsia="en-US"/>
        </w:rPr>
      </w:pPr>
      <w:r w:rsidRPr="007C5CDF">
        <w:rPr>
          <w:lang w:eastAsia="en-US"/>
        </w:rPr>
        <w:t>all Australian jurisdictions except for the ACT have load limits, and Queensland has introduced a load up limit of $100;</w:t>
      </w:r>
    </w:p>
    <w:p w:rsidR="0037199B" w:rsidRPr="007C5CDF" w:rsidRDefault="0037199B" w:rsidP="00447FD7">
      <w:pPr>
        <w:pStyle w:val="DPSEntryIndents"/>
        <w:numPr>
          <w:ilvl w:val="1"/>
          <w:numId w:val="3"/>
        </w:numPr>
        <w:rPr>
          <w:lang w:eastAsia="en-US"/>
        </w:rPr>
      </w:pPr>
      <w:r w:rsidRPr="007C5CDF">
        <w:rPr>
          <w:lang w:eastAsia="en-US"/>
        </w:rPr>
        <w:t>reports indicate that the COVID-19 shutdown period has been a relief for some people experiencing gambling harm;</w:t>
      </w:r>
    </w:p>
    <w:p w:rsidR="0037199B" w:rsidRPr="007C5CDF" w:rsidRDefault="0037199B" w:rsidP="00447FD7">
      <w:pPr>
        <w:pStyle w:val="DPSEntryIndents"/>
        <w:numPr>
          <w:ilvl w:val="1"/>
          <w:numId w:val="3"/>
        </w:numPr>
        <w:rPr>
          <w:lang w:eastAsia="en-US"/>
        </w:rPr>
      </w:pPr>
      <w:r w:rsidRPr="007C5CDF">
        <w:rPr>
          <w:lang w:eastAsia="en-US"/>
        </w:rPr>
        <w:t>in 2014-15</w:t>
      </w:r>
      <w:r w:rsidR="001256A0">
        <w:rPr>
          <w:lang w:eastAsia="en-US"/>
        </w:rPr>
        <w:t>,</w:t>
      </w:r>
      <w:r w:rsidRPr="007C5CDF">
        <w:rPr>
          <w:lang w:eastAsia="en-US"/>
        </w:rPr>
        <w:t xml:space="preserve"> almost 20 percent of ACT adults played the pokies at least once, with losses totalling $37.48 million. Non-problem gamblers accounted for 37 percent of all money lost on poker machines, while 63 percent came from people with some problem gambling behaviours;</w:t>
      </w:r>
    </w:p>
    <w:p w:rsidR="0037199B" w:rsidRPr="007C5CDF" w:rsidRDefault="0037199B" w:rsidP="00447FD7">
      <w:pPr>
        <w:pStyle w:val="DPSEntryIndents"/>
        <w:numPr>
          <w:ilvl w:val="1"/>
          <w:numId w:val="3"/>
        </w:numPr>
        <w:rPr>
          <w:lang w:eastAsia="en-US"/>
        </w:rPr>
      </w:pPr>
      <w:r w:rsidRPr="007C5CDF">
        <w:rPr>
          <w:lang w:eastAsia="en-US"/>
        </w:rPr>
        <w:t>the ACT Gambling Survey 2019 (Commissioned by the ACT Gambling and Racing Commission, undertaken by Australian National University) found that:</w:t>
      </w:r>
    </w:p>
    <w:p w:rsidR="0037199B" w:rsidRPr="007C5CDF" w:rsidRDefault="0037199B" w:rsidP="00447FD7">
      <w:pPr>
        <w:pStyle w:val="DPSEntryIndents"/>
        <w:numPr>
          <w:ilvl w:val="2"/>
          <w:numId w:val="3"/>
        </w:numPr>
        <w:rPr>
          <w:lang w:eastAsia="en-US"/>
        </w:rPr>
      </w:pPr>
      <w:r w:rsidRPr="007C5CDF">
        <w:rPr>
          <w:lang w:eastAsia="en-US"/>
        </w:rPr>
        <w:t>9.6 percent of the ACT adult population (approximately 31 000 adults) experienced gambling harm in the past 12 months; and</w:t>
      </w:r>
    </w:p>
    <w:p w:rsidR="0037199B" w:rsidRPr="007C5CDF" w:rsidRDefault="0037199B" w:rsidP="00447FD7">
      <w:pPr>
        <w:pStyle w:val="DPSEntryIndents"/>
        <w:numPr>
          <w:ilvl w:val="2"/>
          <w:numId w:val="3"/>
        </w:numPr>
        <w:rPr>
          <w:lang w:eastAsia="en-US"/>
        </w:rPr>
      </w:pPr>
      <w:r w:rsidRPr="007C5CDF">
        <w:rPr>
          <w:lang w:eastAsia="en-US"/>
        </w:rPr>
        <w:t>64.3 percent of respondents agreed that poker machines do more harm than good for the community; and</w:t>
      </w:r>
    </w:p>
    <w:p w:rsidR="0037199B" w:rsidRPr="007C5CDF" w:rsidRDefault="0037199B" w:rsidP="00447FD7">
      <w:pPr>
        <w:pStyle w:val="DPSEntryIndents"/>
        <w:numPr>
          <w:ilvl w:val="1"/>
          <w:numId w:val="3"/>
        </w:numPr>
        <w:rPr>
          <w:lang w:eastAsia="en-US"/>
        </w:rPr>
      </w:pPr>
      <w:r w:rsidRPr="007C5CDF">
        <w:rPr>
          <w:lang w:eastAsia="en-US"/>
        </w:rPr>
        <w:t>the 2010 Productivity Commission inquiry report on gambling found the significant social cost of problem gambling—estimated to be at least $4.7 billion a year—means that even policy measures with modest efficacy in reducing harm will often be worthwhile; and</w:t>
      </w:r>
    </w:p>
    <w:p w:rsidR="003B560A" w:rsidRPr="00A75F65" w:rsidRDefault="0037199B" w:rsidP="00447FD7">
      <w:pPr>
        <w:pStyle w:val="DPSEntryIndents"/>
        <w:rPr>
          <w:color w:val="000000"/>
        </w:rPr>
      </w:pPr>
      <w:r w:rsidRPr="007C5CDF">
        <w:rPr>
          <w:lang w:eastAsia="en-US"/>
        </w:rPr>
        <w:t>calls on the ACT Government to work with poker machine venues to implement bet limits of $5 per spin, and a $100 load up limit. The implementation should be completed within 18 months, with gaming tax waivers used to offset reasonable adjustment costs and reward those venues that implement the arrangements more quickly.</w:t>
      </w:r>
    </w:p>
    <w:p w:rsidR="007758A8" w:rsidRDefault="007758A8">
      <w:pPr>
        <w:pStyle w:val="DPSEntryDetail"/>
      </w:pPr>
      <w:r>
        <w:t>Debate interrupted in accordance with standing order 74 and the resumption of the debate made an order of the day for a later hour this day.</w:t>
      </w:r>
    </w:p>
    <w:p w:rsidR="003B560A" w:rsidRPr="00C86CB7" w:rsidRDefault="003B560A" w:rsidP="003B560A">
      <w:pPr>
        <w:keepNext/>
        <w:keepLines/>
        <w:tabs>
          <w:tab w:val="right" w:pos="339"/>
          <w:tab w:val="left" w:pos="720"/>
        </w:tabs>
        <w:spacing w:before="240"/>
        <w:ind w:left="720" w:hanging="720"/>
        <w:jc w:val="both"/>
        <w:rPr>
          <w:rFonts w:ascii="Calibri" w:hAnsi="Calibri"/>
          <w:b/>
          <w:caps/>
        </w:rPr>
      </w:pPr>
      <w:r w:rsidRPr="00C86CB7">
        <w:rPr>
          <w:rFonts w:ascii="Calibri" w:hAnsi="Calibri"/>
          <w:b/>
          <w:caps/>
        </w:rPr>
        <w:tab/>
      </w:r>
      <w:r w:rsidR="00271E6D">
        <w:rPr>
          <w:rFonts w:ascii="Calibri" w:hAnsi="Calibri"/>
          <w:b/>
          <w:bCs/>
          <w:caps/>
          <w:lang w:val="en-AU"/>
        </w:rPr>
        <w:fldChar w:fldCharType="begin"/>
      </w:r>
      <w:r w:rsidR="00271E6D">
        <w:rPr>
          <w:rFonts w:ascii="Calibri" w:hAnsi="Calibri"/>
          <w:b/>
          <w:bCs/>
          <w:caps/>
          <w:lang w:val="en-AU"/>
        </w:rPr>
        <w:instrText xml:space="preserve"> SEQ A \* MERGEFORMAT </w:instrText>
      </w:r>
      <w:r w:rsidR="00271E6D">
        <w:rPr>
          <w:rFonts w:ascii="Calibri" w:hAnsi="Calibri"/>
          <w:b/>
          <w:bCs/>
          <w:caps/>
          <w:lang w:val="en-AU"/>
        </w:rPr>
        <w:fldChar w:fldCharType="separate"/>
      </w:r>
      <w:r w:rsidR="003D6726">
        <w:rPr>
          <w:rFonts w:ascii="Calibri" w:hAnsi="Calibri"/>
          <w:b/>
          <w:bCs/>
          <w:caps/>
          <w:noProof/>
          <w:lang w:val="en-AU"/>
        </w:rPr>
        <w:t>15</w:t>
      </w:r>
      <w:r w:rsidR="00271E6D">
        <w:rPr>
          <w:rFonts w:ascii="Calibri" w:hAnsi="Calibri"/>
          <w:b/>
          <w:bCs/>
          <w:caps/>
          <w:lang w:val="en-AU"/>
        </w:rPr>
        <w:fldChar w:fldCharType="end"/>
      </w:r>
      <w:r w:rsidRPr="00C86CB7">
        <w:rPr>
          <w:rFonts w:ascii="Calibri" w:hAnsi="Calibri"/>
          <w:b/>
          <w:caps/>
        </w:rPr>
        <w:tab/>
        <w:t>QUESTIONS</w:t>
      </w:r>
    </w:p>
    <w:p w:rsidR="003B560A" w:rsidRDefault="003B560A" w:rsidP="003B560A">
      <w:pPr>
        <w:spacing w:before="120"/>
        <w:ind w:left="720"/>
        <w:jc w:val="both"/>
        <w:rPr>
          <w:rFonts w:ascii="Calibri" w:hAnsi="Calibri"/>
          <w:lang w:val="en-AU"/>
        </w:rPr>
      </w:pPr>
      <w:r w:rsidRPr="00C86CB7">
        <w:rPr>
          <w:rFonts w:ascii="Calibri" w:hAnsi="Calibri"/>
          <w:lang w:val="en-AU"/>
        </w:rPr>
        <w:t>Questions without notice were asked.</w:t>
      </w:r>
    </w:p>
    <w:p w:rsidR="009E3DB5" w:rsidRPr="009E3DB5" w:rsidRDefault="009E3DB5" w:rsidP="009E3DB5">
      <w:pPr>
        <w:keepNext/>
        <w:keepLines/>
        <w:tabs>
          <w:tab w:val="right" w:pos="339"/>
          <w:tab w:val="left" w:pos="720"/>
        </w:tabs>
        <w:spacing w:before="240"/>
        <w:ind w:left="720" w:hanging="720"/>
        <w:jc w:val="both"/>
        <w:rPr>
          <w:rFonts w:ascii="Calibri" w:hAnsi="Calibri"/>
          <w:b/>
          <w:caps/>
          <w:lang w:val="en-AU"/>
        </w:rPr>
      </w:pPr>
      <w:r w:rsidRPr="009E3DB5">
        <w:rPr>
          <w:rFonts w:ascii="Calibri" w:hAnsi="Calibri"/>
          <w:b/>
          <w:caps/>
          <w:lang w:val="en-AU"/>
        </w:rPr>
        <w:lastRenderedPageBreak/>
        <w:tab/>
      </w:r>
      <w:r w:rsidR="00F85F03">
        <w:rPr>
          <w:rFonts w:ascii="Calibri" w:hAnsi="Calibri"/>
          <w:b/>
          <w:bCs/>
          <w:caps/>
          <w:lang w:val="en-AU"/>
        </w:rPr>
        <w:fldChar w:fldCharType="begin"/>
      </w:r>
      <w:r w:rsidR="00F85F03">
        <w:rPr>
          <w:rFonts w:ascii="Calibri" w:hAnsi="Calibri"/>
          <w:b/>
          <w:bCs/>
          <w:caps/>
          <w:lang w:val="en-AU"/>
        </w:rPr>
        <w:instrText xml:space="preserve"> SEQ A \* MERGEFORMAT </w:instrText>
      </w:r>
      <w:r w:rsidR="00F85F03">
        <w:rPr>
          <w:rFonts w:ascii="Calibri" w:hAnsi="Calibri"/>
          <w:b/>
          <w:bCs/>
          <w:caps/>
          <w:lang w:val="en-AU"/>
        </w:rPr>
        <w:fldChar w:fldCharType="separate"/>
      </w:r>
      <w:r w:rsidR="003D6726">
        <w:rPr>
          <w:rFonts w:ascii="Calibri" w:hAnsi="Calibri"/>
          <w:b/>
          <w:bCs/>
          <w:caps/>
          <w:noProof/>
          <w:lang w:val="en-AU"/>
        </w:rPr>
        <w:t>16</w:t>
      </w:r>
      <w:r w:rsidR="00F85F03">
        <w:rPr>
          <w:rFonts w:ascii="Calibri" w:hAnsi="Calibri"/>
          <w:b/>
          <w:bCs/>
          <w:caps/>
          <w:lang w:val="en-AU"/>
        </w:rPr>
        <w:fldChar w:fldCharType="end"/>
      </w:r>
      <w:r w:rsidRPr="009E3DB5">
        <w:rPr>
          <w:rFonts w:ascii="Calibri" w:hAnsi="Calibri"/>
          <w:b/>
          <w:caps/>
          <w:lang w:val="en-AU"/>
        </w:rPr>
        <w:tab/>
        <w:t>QUESTION</w:t>
      </w:r>
      <w:r w:rsidR="00F85F03">
        <w:rPr>
          <w:rFonts w:ascii="Calibri" w:hAnsi="Calibri"/>
          <w:b/>
          <w:caps/>
          <w:lang w:val="en-AU"/>
        </w:rPr>
        <w:t>S</w:t>
      </w:r>
      <w:r w:rsidRPr="009E3DB5">
        <w:rPr>
          <w:rFonts w:ascii="Calibri" w:hAnsi="Calibri"/>
          <w:b/>
          <w:caps/>
          <w:lang w:val="en-AU"/>
        </w:rPr>
        <w:t xml:space="preserve"> ON NOTICE NOS </w:t>
      </w:r>
      <w:r w:rsidR="00F85F03" w:rsidRPr="00F85F03">
        <w:rPr>
          <w:rFonts w:ascii="Calibri" w:hAnsi="Calibri"/>
          <w:b/>
          <w:lang w:val="en-AU"/>
        </w:rPr>
        <w:t>2</w:t>
      </w:r>
      <w:r w:rsidR="00F85F03">
        <w:rPr>
          <w:rFonts w:ascii="Calibri" w:hAnsi="Calibri"/>
          <w:b/>
          <w:lang w:val="en-AU"/>
        </w:rPr>
        <w:t>996, 3008, 3034 AND</w:t>
      </w:r>
      <w:r w:rsidR="00F85F03" w:rsidRPr="00F85F03">
        <w:rPr>
          <w:rFonts w:ascii="Calibri" w:hAnsi="Calibri"/>
          <w:b/>
          <w:lang w:val="en-AU"/>
        </w:rPr>
        <w:t xml:space="preserve"> 3054</w:t>
      </w:r>
      <w:r w:rsidR="00F85F03">
        <w:rPr>
          <w:rFonts w:ascii="Calibri" w:hAnsi="Calibri"/>
          <w:b/>
          <w:caps/>
          <w:lang w:val="en-AU"/>
        </w:rPr>
        <w:t>—ANSWERS—EXPLANATION</w:t>
      </w:r>
    </w:p>
    <w:p w:rsidR="009E3DB5" w:rsidRPr="009E3DB5" w:rsidRDefault="009E3DB5" w:rsidP="009E3DB5">
      <w:pPr>
        <w:spacing w:before="120"/>
        <w:ind w:left="720"/>
        <w:jc w:val="both"/>
        <w:rPr>
          <w:rFonts w:ascii="Calibri" w:hAnsi="Calibri"/>
        </w:rPr>
      </w:pPr>
      <w:r>
        <w:rPr>
          <w:rFonts w:ascii="Calibri" w:hAnsi="Calibri"/>
          <w:lang w:val="en-AU"/>
        </w:rPr>
        <w:t>Mrs Dunne</w:t>
      </w:r>
      <w:r w:rsidRPr="009E3DB5">
        <w:rPr>
          <w:rFonts w:ascii="Calibri" w:hAnsi="Calibri"/>
          <w:lang w:val="en-AU"/>
        </w:rPr>
        <w:t xml:space="preserve">, pursuant to standing order 118A, asked </w:t>
      </w:r>
      <w:r>
        <w:rPr>
          <w:rFonts w:ascii="Calibri" w:hAnsi="Calibri"/>
          <w:lang w:val="en-AU"/>
        </w:rPr>
        <w:t>Ms Stephen-Smith (Minister for Health)</w:t>
      </w:r>
      <w:r w:rsidRPr="009E3DB5">
        <w:rPr>
          <w:rFonts w:ascii="Calibri" w:hAnsi="Calibri"/>
          <w:lang w:val="en-AU"/>
        </w:rPr>
        <w:t xml:space="preserve"> for an explanation concerning the answers to questions on notice Nos </w:t>
      </w:r>
      <w:r>
        <w:rPr>
          <w:rFonts w:ascii="Calibri" w:hAnsi="Calibri"/>
          <w:lang w:val="en-AU"/>
        </w:rPr>
        <w:t>2996, 3008, 3034 and 3054</w:t>
      </w:r>
      <w:r w:rsidRPr="009E3DB5">
        <w:rPr>
          <w:rFonts w:ascii="Calibri" w:hAnsi="Calibri"/>
        </w:rPr>
        <w:t>.</w:t>
      </w:r>
    </w:p>
    <w:p w:rsidR="009E3DB5" w:rsidRPr="009E3DB5" w:rsidRDefault="009E3DB5" w:rsidP="009E3DB5">
      <w:pPr>
        <w:spacing w:before="120"/>
        <w:ind w:left="720"/>
        <w:jc w:val="both"/>
        <w:rPr>
          <w:rFonts w:ascii="Calibri" w:hAnsi="Calibri"/>
        </w:rPr>
      </w:pPr>
      <w:r>
        <w:rPr>
          <w:rFonts w:ascii="Calibri" w:hAnsi="Calibri"/>
          <w:lang w:val="en-AU"/>
        </w:rPr>
        <w:t>Ms Stephen-Smith</w:t>
      </w:r>
      <w:r w:rsidRPr="009E3DB5">
        <w:rPr>
          <w:rFonts w:ascii="Calibri" w:hAnsi="Calibri"/>
          <w:lang w:val="en-AU"/>
        </w:rPr>
        <w:t xml:space="preserve"> gave an explanation.</w:t>
      </w:r>
    </w:p>
    <w:p w:rsidR="003B560A" w:rsidRPr="006E758D" w:rsidRDefault="003B560A" w:rsidP="003B560A">
      <w:pPr>
        <w:keepNext/>
        <w:keepLines/>
        <w:tabs>
          <w:tab w:val="right" w:pos="339"/>
          <w:tab w:val="left" w:pos="720"/>
        </w:tabs>
        <w:spacing w:before="240"/>
        <w:ind w:left="720" w:hanging="720"/>
        <w:jc w:val="both"/>
        <w:rPr>
          <w:rFonts w:ascii="Calibri" w:hAnsi="Calibri"/>
          <w:b/>
          <w:lang w:val="en-AU"/>
        </w:rPr>
      </w:pPr>
      <w:r w:rsidRPr="006E758D">
        <w:rPr>
          <w:rFonts w:ascii="Calibri" w:hAnsi="Calibri"/>
          <w:b/>
          <w:lang w:val="en-AU"/>
        </w:rPr>
        <w:tab/>
      </w:r>
      <w:r w:rsidR="00271E6D">
        <w:rPr>
          <w:rFonts w:ascii="Calibri" w:hAnsi="Calibri"/>
          <w:b/>
          <w:bCs/>
          <w:lang w:val="en-AU"/>
        </w:rPr>
        <w:fldChar w:fldCharType="begin"/>
      </w:r>
      <w:r w:rsidR="00271E6D">
        <w:rPr>
          <w:rFonts w:ascii="Calibri" w:hAnsi="Calibri"/>
          <w:b/>
          <w:bCs/>
          <w:lang w:val="en-AU"/>
        </w:rPr>
        <w:instrText xml:space="preserve"> SEQ A \* MERGEFORMAT </w:instrText>
      </w:r>
      <w:r w:rsidR="00271E6D">
        <w:rPr>
          <w:rFonts w:ascii="Calibri" w:hAnsi="Calibri"/>
          <w:b/>
          <w:bCs/>
          <w:lang w:val="en-AU"/>
        </w:rPr>
        <w:fldChar w:fldCharType="separate"/>
      </w:r>
      <w:r w:rsidR="003D6726">
        <w:rPr>
          <w:rFonts w:ascii="Calibri" w:hAnsi="Calibri"/>
          <w:b/>
          <w:bCs/>
          <w:noProof/>
          <w:lang w:val="en-AU"/>
        </w:rPr>
        <w:t>17</w:t>
      </w:r>
      <w:r w:rsidR="00271E6D">
        <w:rPr>
          <w:rFonts w:ascii="Calibri" w:hAnsi="Calibri"/>
          <w:b/>
          <w:bCs/>
          <w:lang w:val="en-AU"/>
        </w:rPr>
        <w:fldChar w:fldCharType="end"/>
      </w:r>
      <w:r w:rsidRPr="006E758D">
        <w:rPr>
          <w:rFonts w:ascii="Calibri" w:hAnsi="Calibri"/>
          <w:b/>
          <w:lang w:val="en-AU"/>
        </w:rPr>
        <w:tab/>
        <w:t>PRESENTATION OF PAPER</w:t>
      </w:r>
      <w:r>
        <w:rPr>
          <w:rFonts w:ascii="Calibri" w:hAnsi="Calibri"/>
          <w:b/>
          <w:lang w:val="en-AU"/>
        </w:rPr>
        <w:t>S</w:t>
      </w:r>
    </w:p>
    <w:p w:rsidR="003B560A" w:rsidRPr="006E758D" w:rsidRDefault="00181EE9" w:rsidP="003B560A">
      <w:pPr>
        <w:spacing w:before="120"/>
        <w:ind w:left="720"/>
        <w:jc w:val="both"/>
        <w:rPr>
          <w:rFonts w:ascii="Calibri" w:hAnsi="Calibri"/>
          <w:lang w:val="en-AU"/>
        </w:rPr>
      </w:pPr>
      <w:r>
        <w:rPr>
          <w:rFonts w:ascii="Calibri" w:hAnsi="Calibri"/>
          <w:lang w:val="en-AU"/>
        </w:rPr>
        <w:t>The Speaker</w:t>
      </w:r>
      <w:r w:rsidR="003B560A" w:rsidRPr="006E758D">
        <w:rPr>
          <w:rFonts w:ascii="Calibri" w:hAnsi="Calibri"/>
          <w:lang w:val="en-AU"/>
        </w:rPr>
        <w:t xml:space="preserve"> presented the following paper</w:t>
      </w:r>
      <w:r w:rsidR="003B560A">
        <w:rPr>
          <w:rFonts w:ascii="Calibri" w:hAnsi="Calibri"/>
          <w:lang w:val="en-AU"/>
        </w:rPr>
        <w:t>s</w:t>
      </w:r>
      <w:r w:rsidR="003B560A" w:rsidRPr="006E758D">
        <w:rPr>
          <w:rFonts w:ascii="Calibri" w:hAnsi="Calibri"/>
          <w:lang w:val="en-AU"/>
        </w:rPr>
        <w:t>:</w:t>
      </w:r>
    </w:p>
    <w:p w:rsidR="00304407" w:rsidRDefault="00304407" w:rsidP="00304407">
      <w:pPr>
        <w:spacing w:before="120"/>
        <w:ind w:left="720"/>
        <w:jc w:val="both"/>
        <w:rPr>
          <w:rFonts w:ascii="Calibri" w:hAnsi="Calibri"/>
          <w:lang w:val="en-AU"/>
        </w:rPr>
      </w:pPr>
      <w:r>
        <w:rPr>
          <w:rFonts w:ascii="Calibri" w:hAnsi="Calibri"/>
          <w:lang w:val="en-AU"/>
        </w:rPr>
        <w:t xml:space="preserve">Legislative Assembly (Members’ Superannuation Act), pursuant to section 11A—Australian Capital Territory Legislative Assembly Members Superannuation Board—Annual report 2019-2020, </w:t>
      </w:r>
      <w:r w:rsidRPr="006E758D">
        <w:rPr>
          <w:rFonts w:ascii="Calibri" w:hAnsi="Calibri"/>
          <w:lang w:val="en-AU"/>
        </w:rPr>
        <w:t xml:space="preserve">dated </w:t>
      </w:r>
      <w:r>
        <w:rPr>
          <w:rFonts w:ascii="Calibri" w:hAnsi="Calibri"/>
          <w:lang w:val="en-AU"/>
        </w:rPr>
        <w:t>2 July 2020</w:t>
      </w:r>
      <w:r w:rsidRPr="006E758D">
        <w:rPr>
          <w:rFonts w:ascii="Calibri" w:hAnsi="Calibri"/>
          <w:lang w:val="en-AU"/>
        </w:rPr>
        <w:t>.</w:t>
      </w:r>
    </w:p>
    <w:p w:rsidR="00304407" w:rsidRPr="00B92C60" w:rsidRDefault="00304407" w:rsidP="00304407">
      <w:pPr>
        <w:spacing w:before="120"/>
        <w:ind w:left="720"/>
        <w:jc w:val="both"/>
        <w:rPr>
          <w:rFonts w:ascii="Calibri" w:hAnsi="Calibri"/>
          <w:lang w:val="en-AU"/>
        </w:rPr>
      </w:pPr>
      <w:r>
        <w:rPr>
          <w:rFonts w:ascii="Calibri" w:hAnsi="Calibri"/>
          <w:lang w:val="en-AU"/>
        </w:rPr>
        <w:t>Budget 2020-2021—</w:t>
      </w:r>
      <w:r w:rsidRPr="00DD4B8A">
        <w:rPr>
          <w:rFonts w:ascii="Calibri" w:hAnsi="Calibri"/>
          <w:lang w:val="en-AU"/>
        </w:rPr>
        <w:t>Financial Management Act</w:t>
      </w:r>
      <w:r>
        <w:rPr>
          <w:rFonts w:ascii="Calibri" w:hAnsi="Calibri"/>
          <w:lang w:val="en-AU"/>
        </w:rPr>
        <w:t>, p</w:t>
      </w:r>
      <w:r w:rsidRPr="00DD4B8A">
        <w:rPr>
          <w:rFonts w:ascii="Calibri" w:hAnsi="Calibri"/>
          <w:lang w:val="en-AU"/>
        </w:rPr>
        <w:t>ursuant to section 20AB—</w:t>
      </w:r>
      <w:r>
        <w:rPr>
          <w:rFonts w:ascii="Calibri" w:hAnsi="Calibri"/>
          <w:lang w:val="en-AU"/>
        </w:rPr>
        <w:t>Officers of the Assembly—</w:t>
      </w:r>
      <w:r w:rsidRPr="00DD4B8A">
        <w:rPr>
          <w:rFonts w:ascii="Calibri" w:hAnsi="Calibri"/>
          <w:lang w:val="en-AU"/>
        </w:rPr>
        <w:t>Speaker</w:t>
      </w:r>
      <w:r>
        <w:rPr>
          <w:rFonts w:ascii="Calibri" w:hAnsi="Calibri"/>
          <w:lang w:val="en-AU"/>
        </w:rPr>
        <w:t>’</w:t>
      </w:r>
      <w:r w:rsidRPr="00DD4B8A">
        <w:rPr>
          <w:rFonts w:ascii="Calibri" w:hAnsi="Calibri"/>
          <w:lang w:val="en-AU"/>
        </w:rPr>
        <w:t>s recommended appropriations</w:t>
      </w:r>
      <w:r>
        <w:rPr>
          <w:rFonts w:ascii="Calibri" w:hAnsi="Calibri"/>
          <w:lang w:val="en-AU"/>
        </w:rPr>
        <w:t>—Copy of advice circulated to MLAs,</w:t>
      </w:r>
      <w:r w:rsidRPr="00DD4B8A">
        <w:rPr>
          <w:rFonts w:ascii="Calibri" w:hAnsi="Calibri"/>
          <w:lang w:val="en-AU"/>
        </w:rPr>
        <w:t xml:space="preserve"> dated 30 June 2020.</w:t>
      </w:r>
    </w:p>
    <w:p w:rsidR="003B560A" w:rsidRPr="00E04EA1" w:rsidRDefault="003B560A" w:rsidP="003B560A">
      <w:pPr>
        <w:spacing w:before="120"/>
        <w:ind w:left="720"/>
        <w:jc w:val="both"/>
        <w:rPr>
          <w:rFonts w:ascii="Calibri" w:hAnsi="Calibri"/>
          <w:lang w:val="en-AU"/>
        </w:rPr>
      </w:pPr>
      <w:r w:rsidRPr="00E04EA1">
        <w:rPr>
          <w:rFonts w:ascii="Calibri" w:hAnsi="Calibri"/>
          <w:lang w:val="en-AU"/>
        </w:rPr>
        <w:t>Standing order 191—Amendments</w:t>
      </w:r>
      <w:r>
        <w:rPr>
          <w:rFonts w:ascii="Calibri" w:hAnsi="Calibri"/>
          <w:lang w:val="en-AU"/>
        </w:rPr>
        <w:t xml:space="preserve"> to the:</w:t>
      </w:r>
    </w:p>
    <w:p w:rsidR="003B560A" w:rsidRPr="00E04EA1" w:rsidRDefault="003B560A" w:rsidP="003B560A">
      <w:pPr>
        <w:spacing w:before="120"/>
        <w:ind w:left="900"/>
        <w:jc w:val="both"/>
        <w:rPr>
          <w:rFonts w:ascii="Calibri" w:hAnsi="Calibri"/>
          <w:lang w:val="en-AU"/>
        </w:rPr>
      </w:pPr>
      <w:r w:rsidRPr="00E04EA1">
        <w:rPr>
          <w:rFonts w:ascii="Calibri" w:hAnsi="Calibri"/>
          <w:lang w:val="en-AU"/>
        </w:rPr>
        <w:t>Electoral Legislation Amendment Bill 2019, dated 6</w:t>
      </w:r>
      <w:r w:rsidR="00181EE9">
        <w:rPr>
          <w:rFonts w:ascii="Calibri" w:hAnsi="Calibri"/>
          <w:lang w:val="en-AU"/>
        </w:rPr>
        <w:t xml:space="preserve"> and 7</w:t>
      </w:r>
      <w:r w:rsidRPr="00E04EA1">
        <w:rPr>
          <w:rFonts w:ascii="Calibri" w:hAnsi="Calibri"/>
          <w:lang w:val="en-AU"/>
        </w:rPr>
        <w:t xml:space="preserve"> July 2020.</w:t>
      </w:r>
    </w:p>
    <w:p w:rsidR="003B560A" w:rsidRDefault="003B560A" w:rsidP="003B560A">
      <w:pPr>
        <w:spacing w:before="120"/>
        <w:ind w:left="900"/>
        <w:jc w:val="both"/>
        <w:rPr>
          <w:rFonts w:ascii="Calibri" w:hAnsi="Calibri"/>
          <w:lang w:val="en-AU"/>
        </w:rPr>
      </w:pPr>
      <w:r w:rsidRPr="00E04EA1">
        <w:rPr>
          <w:rFonts w:ascii="Calibri" w:hAnsi="Calibri"/>
          <w:lang w:val="en-AU"/>
        </w:rPr>
        <w:t>Employment and Workplace Safety Legislation Amendment Bill 2020, dated 6</w:t>
      </w:r>
      <w:r w:rsidR="00181EE9">
        <w:rPr>
          <w:rFonts w:ascii="Calibri" w:hAnsi="Calibri"/>
          <w:lang w:val="en-AU"/>
        </w:rPr>
        <w:t xml:space="preserve"> and 7 </w:t>
      </w:r>
      <w:r w:rsidRPr="00E04EA1">
        <w:rPr>
          <w:rFonts w:ascii="Calibri" w:hAnsi="Calibri"/>
          <w:lang w:val="en-AU"/>
        </w:rPr>
        <w:t>July 2020.</w:t>
      </w:r>
    </w:p>
    <w:p w:rsidR="003B560A" w:rsidRPr="0092496D" w:rsidRDefault="003B560A" w:rsidP="003B560A">
      <w:pPr>
        <w:keepNext/>
        <w:keepLines/>
        <w:tabs>
          <w:tab w:val="right" w:pos="339"/>
          <w:tab w:val="left" w:pos="720"/>
        </w:tabs>
        <w:spacing w:before="240"/>
        <w:ind w:left="720" w:hanging="720"/>
        <w:jc w:val="both"/>
        <w:rPr>
          <w:rFonts w:ascii="Calibri" w:hAnsi="Calibri"/>
          <w:b/>
          <w:lang w:val="en-AU"/>
        </w:rPr>
      </w:pPr>
      <w:r w:rsidRPr="0092496D">
        <w:rPr>
          <w:rFonts w:ascii="Calibri" w:hAnsi="Calibri"/>
          <w:b/>
          <w:lang w:val="en-AU"/>
        </w:rPr>
        <w:tab/>
      </w:r>
      <w:r w:rsidR="00271E6D">
        <w:rPr>
          <w:rFonts w:ascii="Calibri" w:hAnsi="Calibri"/>
          <w:b/>
          <w:bCs/>
          <w:lang w:val="en-AU"/>
        </w:rPr>
        <w:fldChar w:fldCharType="begin"/>
      </w:r>
      <w:r w:rsidR="00271E6D">
        <w:rPr>
          <w:rFonts w:ascii="Calibri" w:hAnsi="Calibri"/>
          <w:b/>
          <w:bCs/>
          <w:lang w:val="en-AU"/>
        </w:rPr>
        <w:instrText xml:space="preserve"> SEQ A \* MERGEFORMAT </w:instrText>
      </w:r>
      <w:r w:rsidR="00271E6D">
        <w:rPr>
          <w:rFonts w:ascii="Calibri" w:hAnsi="Calibri"/>
          <w:b/>
          <w:bCs/>
          <w:lang w:val="en-AU"/>
        </w:rPr>
        <w:fldChar w:fldCharType="separate"/>
      </w:r>
      <w:r w:rsidR="003D6726">
        <w:rPr>
          <w:rFonts w:ascii="Calibri" w:hAnsi="Calibri"/>
          <w:b/>
          <w:bCs/>
          <w:noProof/>
          <w:lang w:val="en-AU"/>
        </w:rPr>
        <w:t>18</w:t>
      </w:r>
      <w:r w:rsidR="00271E6D">
        <w:rPr>
          <w:rFonts w:ascii="Calibri" w:hAnsi="Calibri"/>
          <w:b/>
          <w:bCs/>
          <w:lang w:val="en-AU"/>
        </w:rPr>
        <w:fldChar w:fldCharType="end"/>
      </w:r>
      <w:r w:rsidRPr="0092496D">
        <w:rPr>
          <w:rFonts w:ascii="Calibri" w:hAnsi="Calibri"/>
          <w:b/>
          <w:lang w:val="en-AU"/>
        </w:rPr>
        <w:tab/>
        <w:t>PRESENTATION OF PAPERS</w:t>
      </w:r>
    </w:p>
    <w:p w:rsidR="003B560A" w:rsidRPr="0092496D" w:rsidRDefault="003B560A" w:rsidP="003B560A">
      <w:pPr>
        <w:spacing w:before="120"/>
        <w:ind w:left="720"/>
        <w:jc w:val="both"/>
        <w:rPr>
          <w:rFonts w:ascii="Calibri" w:hAnsi="Calibri"/>
          <w:lang w:val="en-AU"/>
        </w:rPr>
      </w:pPr>
      <w:r w:rsidRPr="0092496D">
        <w:rPr>
          <w:rFonts w:ascii="Calibri" w:hAnsi="Calibri"/>
          <w:lang w:val="en-AU"/>
        </w:rPr>
        <w:t>Mr Gentleman (Manager of Government Business) presented the following papers:</w:t>
      </w:r>
    </w:p>
    <w:p w:rsidR="00BF1AEA" w:rsidRDefault="00BF1AEA" w:rsidP="00BF1AEA">
      <w:pPr>
        <w:pStyle w:val="DPSEntryDetail"/>
        <w:keepNext/>
        <w:rPr>
          <w:rFonts w:asciiTheme="minorHAnsi" w:hAnsiTheme="minorHAnsi"/>
        </w:rPr>
      </w:pPr>
      <w:r w:rsidRPr="00FA4B66">
        <w:rPr>
          <w:rFonts w:asciiTheme="minorHAnsi" w:hAnsiTheme="minorHAnsi"/>
        </w:rPr>
        <w:t xml:space="preserve">Coroners </w:t>
      </w:r>
      <w:r>
        <w:rPr>
          <w:rFonts w:asciiTheme="minorHAnsi" w:hAnsiTheme="minorHAnsi"/>
        </w:rPr>
        <w:t>Act, pursuant to subsection 57(4</w:t>
      </w:r>
      <w:r w:rsidRPr="00FA4B66">
        <w:rPr>
          <w:rFonts w:asciiTheme="minorHAnsi" w:hAnsiTheme="minorHAnsi"/>
        </w:rPr>
        <w:t>)—Report of Coroner—Inquest into the death</w:t>
      </w:r>
      <w:r>
        <w:rPr>
          <w:rFonts w:asciiTheme="minorHAnsi" w:hAnsiTheme="minorHAnsi"/>
        </w:rPr>
        <w:t xml:space="preserve"> of Jandy Renia Shea—</w:t>
      </w:r>
    </w:p>
    <w:p w:rsidR="00BF1AEA" w:rsidRPr="00FA4B66" w:rsidRDefault="00BF1AEA" w:rsidP="009124FB">
      <w:pPr>
        <w:pStyle w:val="DPSEntryDetailIndentLev1"/>
        <w:rPr>
          <w:rFonts w:asciiTheme="minorHAnsi" w:hAnsiTheme="minorHAnsi"/>
        </w:rPr>
      </w:pPr>
      <w:r>
        <w:t>Report, dated 23 September 2019</w:t>
      </w:r>
      <w:r w:rsidRPr="00FA4B66">
        <w:rPr>
          <w:rFonts w:asciiTheme="minorHAnsi" w:hAnsiTheme="minorHAnsi"/>
        </w:rPr>
        <w:t>.</w:t>
      </w:r>
    </w:p>
    <w:p w:rsidR="00BF1AEA" w:rsidRPr="00FA4B66" w:rsidRDefault="00BF1AEA" w:rsidP="009124FB">
      <w:pPr>
        <w:pStyle w:val="DPSEntryDetailIndentLev1"/>
        <w:rPr>
          <w:rFonts w:asciiTheme="minorHAnsi" w:hAnsiTheme="minorHAnsi"/>
        </w:rPr>
      </w:pPr>
      <w:r>
        <w:t>Government response</w:t>
      </w:r>
      <w:r w:rsidRPr="00FA4B66">
        <w:rPr>
          <w:rFonts w:asciiTheme="minorHAnsi" w:hAnsiTheme="minorHAnsi"/>
        </w:rPr>
        <w:t>.</w:t>
      </w:r>
    </w:p>
    <w:p w:rsidR="003B560A" w:rsidRPr="0092496D" w:rsidRDefault="003B560A" w:rsidP="003B560A">
      <w:pPr>
        <w:spacing w:before="120"/>
        <w:ind w:left="720"/>
        <w:jc w:val="both"/>
        <w:rPr>
          <w:rFonts w:ascii="Calibri" w:hAnsi="Calibri"/>
          <w:lang w:val="en-AU"/>
        </w:rPr>
      </w:pPr>
      <w:r>
        <w:rPr>
          <w:rFonts w:ascii="Calibri" w:hAnsi="Calibri"/>
          <w:bCs/>
          <w:lang w:val="en-AU"/>
        </w:rPr>
        <w:t>Economic Development and Tourism—Standing Committee</w:t>
      </w:r>
      <w:r w:rsidRPr="00B21664">
        <w:rPr>
          <w:rFonts w:ascii="Calibri" w:hAnsi="Calibri"/>
          <w:lang w:val="en-AU"/>
        </w:rPr>
        <w:t xml:space="preserve">—Report </w:t>
      </w:r>
      <w:r>
        <w:rPr>
          <w:rFonts w:ascii="Calibri" w:hAnsi="Calibri"/>
          <w:caps/>
          <w:lang w:val="en-AU"/>
        </w:rPr>
        <w:t>8</w:t>
      </w:r>
      <w:r w:rsidRPr="00B21664">
        <w:rPr>
          <w:rFonts w:ascii="Calibri" w:hAnsi="Calibri"/>
          <w:lang w:val="en-AU"/>
        </w:rPr>
        <w:t>—</w:t>
      </w:r>
      <w:r>
        <w:rPr>
          <w:rFonts w:ascii="Calibri" w:hAnsi="Calibri"/>
          <w:i/>
          <w:iCs/>
          <w:lang w:val="en-AU"/>
        </w:rPr>
        <w:t>Report into Annual and financial Reports 2018-2019</w:t>
      </w:r>
      <w:r>
        <w:rPr>
          <w:rFonts w:ascii="Calibri" w:hAnsi="Calibri"/>
          <w:iCs/>
          <w:lang w:val="en-AU"/>
        </w:rPr>
        <w:t>—Government response.</w:t>
      </w:r>
    </w:p>
    <w:p w:rsidR="003B560A" w:rsidRPr="0092496D" w:rsidRDefault="003B560A" w:rsidP="003B560A">
      <w:pPr>
        <w:spacing w:before="120"/>
        <w:ind w:left="720"/>
        <w:jc w:val="both"/>
        <w:rPr>
          <w:rFonts w:ascii="Calibri" w:hAnsi="Calibri"/>
          <w:lang w:val="en-AU"/>
        </w:rPr>
      </w:pPr>
      <w:r>
        <w:rPr>
          <w:rFonts w:ascii="Calibri" w:hAnsi="Calibri"/>
          <w:bCs/>
          <w:lang w:val="en-AU"/>
        </w:rPr>
        <w:t>Education, Employment and Youth Affairs—Standing Committee</w:t>
      </w:r>
      <w:r w:rsidRPr="00B21664">
        <w:rPr>
          <w:rFonts w:ascii="Calibri" w:hAnsi="Calibri"/>
          <w:lang w:val="en-AU"/>
        </w:rPr>
        <w:t xml:space="preserve">—Report </w:t>
      </w:r>
      <w:r>
        <w:rPr>
          <w:rFonts w:ascii="Calibri" w:hAnsi="Calibri"/>
          <w:caps/>
          <w:lang w:val="en-AU"/>
        </w:rPr>
        <w:t>8</w:t>
      </w:r>
      <w:r w:rsidRPr="00B21664">
        <w:rPr>
          <w:rFonts w:ascii="Calibri" w:hAnsi="Calibri"/>
          <w:lang w:val="en-AU"/>
        </w:rPr>
        <w:t>—</w:t>
      </w:r>
      <w:r>
        <w:rPr>
          <w:rFonts w:ascii="Calibri" w:hAnsi="Calibri"/>
          <w:i/>
          <w:iCs/>
          <w:lang w:val="en-AU"/>
        </w:rPr>
        <w:t>Report on Annual and Financial Reports 2018-2019</w:t>
      </w:r>
      <w:r>
        <w:rPr>
          <w:rFonts w:ascii="Calibri" w:hAnsi="Calibri"/>
          <w:iCs/>
          <w:lang w:val="en-AU"/>
        </w:rPr>
        <w:t>—Government response</w:t>
      </w:r>
      <w:r w:rsidRPr="0092496D">
        <w:rPr>
          <w:rFonts w:ascii="Calibri" w:hAnsi="Calibri"/>
          <w:lang w:val="en-AU"/>
        </w:rPr>
        <w:t>.</w:t>
      </w:r>
    </w:p>
    <w:p w:rsidR="00BF1AEA" w:rsidRDefault="00BF1AEA" w:rsidP="00BF1AEA">
      <w:pPr>
        <w:spacing w:before="120"/>
        <w:ind w:left="720"/>
        <w:jc w:val="both"/>
        <w:rPr>
          <w:rFonts w:ascii="Calibri" w:hAnsi="Calibri"/>
          <w:lang w:val="en-AU"/>
        </w:rPr>
      </w:pPr>
      <w:r w:rsidRPr="00702DA6">
        <w:rPr>
          <w:bCs/>
          <w:spacing w:val="-4"/>
          <w:lang w:val="en-AU"/>
        </w:rPr>
        <w:t>Environment and Transport and City Services—Standing Committee</w:t>
      </w:r>
      <w:r w:rsidRPr="00702DA6">
        <w:rPr>
          <w:spacing w:val="-4"/>
          <w:lang w:val="en-AU"/>
        </w:rPr>
        <w:t xml:space="preserve">—Report </w:t>
      </w:r>
      <w:r w:rsidRPr="00702DA6">
        <w:rPr>
          <w:caps/>
          <w:spacing w:val="-4"/>
          <w:lang w:val="en-AU"/>
        </w:rPr>
        <w:t>11</w:t>
      </w:r>
      <w:r w:rsidRPr="00702DA6">
        <w:rPr>
          <w:spacing w:val="-4"/>
          <w:lang w:val="en-AU"/>
        </w:rPr>
        <w:t>—</w:t>
      </w:r>
      <w:r w:rsidRPr="00702DA6">
        <w:rPr>
          <w:i/>
          <w:iCs/>
          <w:spacing w:val="-4"/>
          <w:lang w:val="en-AU"/>
        </w:rPr>
        <w:t>Inquiry</w:t>
      </w:r>
      <w:r w:rsidRPr="00702DA6">
        <w:rPr>
          <w:i/>
          <w:iCs/>
          <w:spacing w:val="-2"/>
          <w:lang w:val="en-AU"/>
        </w:rPr>
        <w:t xml:space="preserve"> into the supply of water to the Tharwa community</w:t>
      </w:r>
      <w:r>
        <w:rPr>
          <w:i/>
          <w:iCs/>
          <w:spacing w:val="-2"/>
          <w:lang w:val="en-AU"/>
        </w:rPr>
        <w:t>—</w:t>
      </w:r>
      <w:r>
        <w:rPr>
          <w:rFonts w:ascii="Calibri" w:hAnsi="Calibri"/>
          <w:lang w:val="en-AU"/>
        </w:rPr>
        <w:t>Copy of letter from the Minister for Planning and Land Management to the Chair of the Standing Committee on Environment and Transport and City Services, dated 2 July  2020, advising of delay in Government response</w:t>
      </w:r>
      <w:r w:rsidRPr="00632DD3">
        <w:rPr>
          <w:rFonts w:ascii="Calibri" w:hAnsi="Calibri"/>
          <w:lang w:val="en-AU"/>
        </w:rPr>
        <w:t>.</w:t>
      </w:r>
    </w:p>
    <w:p w:rsidR="003B560A" w:rsidRPr="0092496D" w:rsidRDefault="003B560A" w:rsidP="003B560A">
      <w:pPr>
        <w:spacing w:before="120"/>
        <w:ind w:left="720"/>
        <w:jc w:val="both"/>
        <w:rPr>
          <w:rFonts w:ascii="Calibri" w:hAnsi="Calibri"/>
          <w:lang w:val="en-AU"/>
        </w:rPr>
      </w:pPr>
      <w:r>
        <w:rPr>
          <w:rFonts w:ascii="Calibri" w:hAnsi="Calibri"/>
          <w:bCs/>
          <w:lang w:val="en-AU"/>
        </w:rPr>
        <w:t>Environment and Transport and City Services—Standing Committee</w:t>
      </w:r>
      <w:r w:rsidRPr="004A67DF">
        <w:rPr>
          <w:rFonts w:ascii="Calibri" w:hAnsi="Calibri"/>
          <w:lang w:val="en-AU"/>
        </w:rPr>
        <w:t xml:space="preserve">—Report </w:t>
      </w:r>
      <w:r>
        <w:rPr>
          <w:rFonts w:ascii="Calibri" w:hAnsi="Calibri"/>
          <w:caps/>
          <w:lang w:val="en-AU"/>
        </w:rPr>
        <w:t>12</w:t>
      </w:r>
      <w:r w:rsidRPr="004A67DF">
        <w:rPr>
          <w:rFonts w:ascii="Calibri" w:hAnsi="Calibri"/>
          <w:lang w:val="en-AU"/>
        </w:rPr>
        <w:t>—</w:t>
      </w:r>
      <w:r>
        <w:rPr>
          <w:rFonts w:ascii="Calibri" w:hAnsi="Calibri"/>
          <w:i/>
          <w:iCs/>
          <w:lang w:val="en-AU"/>
        </w:rPr>
        <w:t>Report on Annual and Financial Reports 2018-2019</w:t>
      </w:r>
      <w:r>
        <w:rPr>
          <w:rFonts w:ascii="Calibri" w:hAnsi="Calibri"/>
          <w:iCs/>
          <w:lang w:val="en-AU"/>
        </w:rPr>
        <w:t>—Government response.</w:t>
      </w:r>
    </w:p>
    <w:p w:rsidR="00BF1AEA" w:rsidRDefault="00BF1AEA" w:rsidP="00BF1AEA">
      <w:pPr>
        <w:spacing w:before="120"/>
        <w:ind w:left="720"/>
        <w:jc w:val="both"/>
        <w:rPr>
          <w:rFonts w:ascii="Calibri" w:hAnsi="Calibri"/>
          <w:lang w:val="en-AU"/>
        </w:rPr>
      </w:pPr>
      <w:r>
        <w:rPr>
          <w:rFonts w:ascii="Calibri" w:hAnsi="Calibri"/>
          <w:lang w:val="en-AU"/>
        </w:rPr>
        <w:t>Fertility preservation—Resolution of the Assembly of 18 September 2019—Update on progress—Copy of letter to the Speaker from the Minister for Health, dated 15 July 2020.</w:t>
      </w:r>
    </w:p>
    <w:p w:rsidR="003B560A" w:rsidRDefault="003B560A" w:rsidP="003B560A">
      <w:pPr>
        <w:spacing w:before="120"/>
        <w:ind w:left="720"/>
        <w:jc w:val="both"/>
        <w:rPr>
          <w:rFonts w:ascii="Calibri" w:hAnsi="Calibri"/>
          <w:iCs/>
          <w:lang w:val="en-AU"/>
        </w:rPr>
      </w:pPr>
      <w:r>
        <w:rPr>
          <w:rFonts w:ascii="Calibri" w:hAnsi="Calibri"/>
          <w:bCs/>
          <w:lang w:val="en-AU"/>
        </w:rPr>
        <w:t>Health, Ageing and Community Services—Standing Committee</w:t>
      </w:r>
      <w:r w:rsidRPr="004A67DF">
        <w:rPr>
          <w:rFonts w:ascii="Calibri" w:hAnsi="Calibri"/>
          <w:lang w:val="en-AU"/>
        </w:rPr>
        <w:t xml:space="preserve">—Report </w:t>
      </w:r>
      <w:r>
        <w:rPr>
          <w:rFonts w:ascii="Calibri" w:hAnsi="Calibri"/>
          <w:caps/>
          <w:lang w:val="en-AU"/>
        </w:rPr>
        <w:t>8</w:t>
      </w:r>
      <w:r w:rsidRPr="004A67DF">
        <w:rPr>
          <w:rFonts w:ascii="Calibri" w:hAnsi="Calibri"/>
          <w:lang w:val="en-AU"/>
        </w:rPr>
        <w:t>—</w:t>
      </w:r>
      <w:r>
        <w:rPr>
          <w:rFonts w:ascii="Calibri" w:hAnsi="Calibri"/>
          <w:i/>
          <w:iCs/>
          <w:lang w:val="en-AU"/>
        </w:rPr>
        <w:t>Report on Annual and Financial Reports 2018-2019</w:t>
      </w:r>
      <w:r>
        <w:rPr>
          <w:rFonts w:ascii="Calibri" w:hAnsi="Calibri"/>
          <w:iCs/>
          <w:lang w:val="en-AU"/>
        </w:rPr>
        <w:t>—Government response.</w:t>
      </w:r>
    </w:p>
    <w:p w:rsidR="00BF1AEA" w:rsidRDefault="00BF1AEA" w:rsidP="00BF1AEA">
      <w:pPr>
        <w:tabs>
          <w:tab w:val="left" w:pos="1197"/>
          <w:tab w:val="left" w:pos="1767"/>
        </w:tabs>
        <w:spacing w:before="120"/>
        <w:ind w:left="720"/>
        <w:jc w:val="both"/>
        <w:rPr>
          <w:rFonts w:ascii="Calibri" w:hAnsi="Calibri"/>
          <w:lang w:val="en-AU"/>
        </w:rPr>
      </w:pPr>
      <w:r>
        <w:rPr>
          <w:rFonts w:ascii="Calibri" w:hAnsi="Calibri"/>
          <w:lang w:val="en-AU"/>
        </w:rPr>
        <w:lastRenderedPageBreak/>
        <w:t xml:space="preserve">Inspector of Correctional Services Act—Reports of Reviews of Critical Incidents by the ACT Inspector of Correctional Services—Assaults of detainees at the Alexander Maconochie Centre on </w:t>
      </w:r>
      <w:r>
        <w:t>5 December 2019</w:t>
      </w:r>
      <w:r>
        <w:rPr>
          <w:rFonts w:ascii="Calibri" w:hAnsi="Calibri"/>
          <w:lang w:val="en-AU"/>
        </w:rPr>
        <w:t xml:space="preserve"> and </w:t>
      </w:r>
      <w:r w:rsidRPr="000052D1">
        <w:t>13 January 2020</w:t>
      </w:r>
      <w:r>
        <w:rPr>
          <w:rFonts w:ascii="Calibri" w:hAnsi="Calibri"/>
          <w:lang w:val="en-AU"/>
        </w:rPr>
        <w:t>—Government response, together with a statement.</w:t>
      </w:r>
    </w:p>
    <w:p w:rsidR="003B560A" w:rsidRDefault="003B560A" w:rsidP="003B560A">
      <w:pPr>
        <w:spacing w:before="120"/>
        <w:ind w:left="720"/>
        <w:jc w:val="both"/>
        <w:rPr>
          <w:rFonts w:ascii="Calibri" w:hAnsi="Calibri"/>
          <w:iCs/>
          <w:lang w:val="en-AU"/>
        </w:rPr>
      </w:pPr>
      <w:r>
        <w:rPr>
          <w:rFonts w:ascii="Calibri" w:hAnsi="Calibri"/>
          <w:bCs/>
          <w:lang w:val="en-AU"/>
        </w:rPr>
        <w:t>Justice and Community Safety—Standing Committee</w:t>
      </w:r>
      <w:r w:rsidRPr="004E4125">
        <w:rPr>
          <w:rFonts w:ascii="Calibri" w:hAnsi="Calibri"/>
          <w:lang w:val="en-AU"/>
        </w:rPr>
        <w:t xml:space="preserve">—Report </w:t>
      </w:r>
      <w:r>
        <w:rPr>
          <w:rFonts w:ascii="Calibri" w:hAnsi="Calibri"/>
          <w:caps/>
          <w:lang w:val="en-AU"/>
        </w:rPr>
        <w:t>8</w:t>
      </w:r>
      <w:r w:rsidRPr="004E4125">
        <w:rPr>
          <w:rFonts w:ascii="Calibri" w:hAnsi="Calibri"/>
          <w:lang w:val="en-AU"/>
        </w:rPr>
        <w:t>—</w:t>
      </w:r>
      <w:r>
        <w:rPr>
          <w:rFonts w:ascii="Calibri" w:hAnsi="Calibri"/>
          <w:i/>
          <w:iCs/>
          <w:lang w:val="en-AU"/>
        </w:rPr>
        <w:t>Report on Annual and Financial Reports 2018-2019</w:t>
      </w:r>
      <w:r>
        <w:rPr>
          <w:rFonts w:ascii="Calibri" w:hAnsi="Calibri"/>
          <w:iCs/>
          <w:lang w:val="en-AU"/>
        </w:rPr>
        <w:t>—Government response.</w:t>
      </w:r>
    </w:p>
    <w:p w:rsidR="003B560A" w:rsidRDefault="003B560A" w:rsidP="003B560A">
      <w:pPr>
        <w:spacing w:before="120"/>
        <w:ind w:left="720"/>
        <w:jc w:val="both"/>
        <w:rPr>
          <w:rFonts w:ascii="Calibri" w:hAnsi="Calibri"/>
          <w:iCs/>
          <w:lang w:val="en-AU"/>
        </w:rPr>
      </w:pPr>
      <w:r>
        <w:rPr>
          <w:rFonts w:ascii="Calibri" w:hAnsi="Calibri"/>
          <w:bCs/>
          <w:lang w:val="en-AU"/>
        </w:rPr>
        <w:t>Planning and Urban Renewal—Standing Committee</w:t>
      </w:r>
      <w:r w:rsidRPr="0056298F">
        <w:rPr>
          <w:rFonts w:ascii="Calibri" w:hAnsi="Calibri"/>
          <w:lang w:val="en-AU"/>
        </w:rPr>
        <w:t xml:space="preserve">—Report </w:t>
      </w:r>
      <w:r>
        <w:rPr>
          <w:rFonts w:ascii="Calibri" w:hAnsi="Calibri"/>
          <w:caps/>
          <w:lang w:val="en-AU"/>
        </w:rPr>
        <w:t>11</w:t>
      </w:r>
      <w:r w:rsidRPr="0056298F">
        <w:rPr>
          <w:rFonts w:ascii="Calibri" w:hAnsi="Calibri"/>
          <w:lang w:val="en-AU"/>
        </w:rPr>
        <w:t>—</w:t>
      </w:r>
      <w:r>
        <w:rPr>
          <w:rFonts w:ascii="Calibri" w:hAnsi="Calibri"/>
          <w:i/>
          <w:iCs/>
          <w:lang w:val="en-AU"/>
        </w:rPr>
        <w:t>Report on Annual and Financial Reports 2018-2019</w:t>
      </w:r>
      <w:r>
        <w:rPr>
          <w:rFonts w:ascii="Calibri" w:hAnsi="Calibri"/>
          <w:iCs/>
          <w:lang w:val="en-AU"/>
        </w:rPr>
        <w:t>—Government response.</w:t>
      </w:r>
    </w:p>
    <w:p w:rsidR="003B560A" w:rsidRDefault="003B560A" w:rsidP="003B560A">
      <w:pPr>
        <w:spacing w:before="120"/>
        <w:ind w:left="720"/>
        <w:jc w:val="both"/>
        <w:rPr>
          <w:rFonts w:ascii="Calibri" w:hAnsi="Calibri"/>
          <w:iCs/>
          <w:lang w:val="en-AU"/>
        </w:rPr>
      </w:pPr>
      <w:r>
        <w:rPr>
          <w:rFonts w:ascii="Calibri" w:hAnsi="Calibri"/>
          <w:bCs/>
          <w:lang w:val="en-AU"/>
        </w:rPr>
        <w:t>Public Accounts—Standing Committee</w:t>
      </w:r>
      <w:r w:rsidRPr="0056298F">
        <w:rPr>
          <w:rFonts w:ascii="Calibri" w:hAnsi="Calibri"/>
          <w:lang w:val="en-AU"/>
        </w:rPr>
        <w:t xml:space="preserve">—Report </w:t>
      </w:r>
      <w:r>
        <w:rPr>
          <w:rFonts w:ascii="Calibri" w:hAnsi="Calibri"/>
          <w:caps/>
          <w:lang w:val="en-AU"/>
        </w:rPr>
        <w:t>9</w:t>
      </w:r>
      <w:r w:rsidRPr="0056298F">
        <w:rPr>
          <w:rFonts w:ascii="Calibri" w:hAnsi="Calibri"/>
          <w:lang w:val="en-AU"/>
        </w:rPr>
        <w:t>—</w:t>
      </w:r>
      <w:r>
        <w:rPr>
          <w:rFonts w:ascii="Calibri" w:hAnsi="Calibri"/>
          <w:i/>
          <w:iCs/>
          <w:lang w:val="en-AU"/>
        </w:rPr>
        <w:t>Inquiry into Annual and Financial Reports 2018-19</w:t>
      </w:r>
      <w:r>
        <w:rPr>
          <w:rFonts w:ascii="Calibri" w:hAnsi="Calibri"/>
          <w:iCs/>
          <w:lang w:val="en-AU"/>
        </w:rPr>
        <w:t>—Government response.</w:t>
      </w:r>
    </w:p>
    <w:p w:rsidR="00BF1AEA" w:rsidRPr="0092496D" w:rsidRDefault="00BF1AEA" w:rsidP="00BF1AEA">
      <w:pPr>
        <w:spacing w:before="120"/>
        <w:ind w:left="720"/>
        <w:jc w:val="both"/>
        <w:rPr>
          <w:rFonts w:ascii="Calibri" w:hAnsi="Calibri"/>
          <w:lang w:val="en-AU"/>
        </w:rPr>
      </w:pPr>
      <w:r>
        <w:rPr>
          <w:rFonts w:ascii="Calibri" w:hAnsi="Calibri"/>
          <w:lang w:val="en-AU"/>
        </w:rPr>
        <w:t xml:space="preserve">Territory Records Act, pursuant to subsection 23B(4)—Agreement with the Australian Health Practitioners </w:t>
      </w:r>
      <w:r w:rsidR="00181EE9">
        <w:rPr>
          <w:rFonts w:ascii="Calibri" w:hAnsi="Calibri"/>
          <w:lang w:val="en-AU"/>
        </w:rPr>
        <w:t xml:space="preserve">Registration </w:t>
      </w:r>
      <w:r>
        <w:rPr>
          <w:rFonts w:ascii="Calibri" w:hAnsi="Calibri"/>
          <w:lang w:val="en-AU"/>
        </w:rPr>
        <w:t>Agency—Report, dated 29 June 2020.</w:t>
      </w:r>
    </w:p>
    <w:p w:rsidR="003B560A" w:rsidRDefault="003B560A" w:rsidP="003B560A">
      <w:pPr>
        <w:spacing w:before="120"/>
        <w:ind w:left="720"/>
        <w:jc w:val="both"/>
        <w:rPr>
          <w:rFonts w:ascii="Calibri" w:hAnsi="Calibri"/>
          <w:lang w:val="en-AU"/>
        </w:rPr>
      </w:pPr>
      <w:r>
        <w:rPr>
          <w:rFonts w:ascii="Calibri" w:hAnsi="Calibri"/>
          <w:lang w:val="en-AU"/>
        </w:rPr>
        <w:t>Tree canopy protection—Response to the resolution of the Assembly of 25 O</w:t>
      </w:r>
      <w:r w:rsidR="00BF1AEA">
        <w:rPr>
          <w:rFonts w:ascii="Calibri" w:hAnsi="Calibri"/>
          <w:lang w:val="en-AU"/>
        </w:rPr>
        <w:t>ctober 2017</w:t>
      </w:r>
      <w:r>
        <w:rPr>
          <w:rFonts w:ascii="Calibri" w:hAnsi="Calibri"/>
          <w:lang w:val="en-AU"/>
        </w:rPr>
        <w:t>.</w:t>
      </w:r>
    </w:p>
    <w:p w:rsidR="003B560A" w:rsidRPr="0092496D" w:rsidRDefault="003B560A" w:rsidP="003B560A">
      <w:pPr>
        <w:spacing w:before="120"/>
        <w:ind w:left="720"/>
        <w:jc w:val="both"/>
        <w:rPr>
          <w:rFonts w:ascii="Calibri" w:hAnsi="Calibri"/>
          <w:b/>
          <w:bCs/>
          <w:lang w:val="en-AU"/>
        </w:rPr>
      </w:pPr>
      <w:r w:rsidRPr="0092496D">
        <w:rPr>
          <w:rFonts w:ascii="Calibri" w:hAnsi="Calibri"/>
          <w:b/>
          <w:bCs/>
          <w:lang w:val="en-AU"/>
        </w:rPr>
        <w:t>Subordinate legislation (including explanatory statements unless otherwise stated)</w:t>
      </w:r>
    </w:p>
    <w:p w:rsidR="003B560A" w:rsidRDefault="003B560A" w:rsidP="003B560A">
      <w:pPr>
        <w:spacing w:before="120"/>
        <w:ind w:left="720"/>
        <w:jc w:val="both"/>
        <w:rPr>
          <w:rFonts w:ascii="Calibri" w:hAnsi="Calibri"/>
          <w:lang w:val="en-AU"/>
        </w:rPr>
      </w:pPr>
      <w:r w:rsidRPr="0092496D">
        <w:rPr>
          <w:rFonts w:ascii="Calibri" w:hAnsi="Calibri"/>
          <w:lang w:val="en-AU"/>
        </w:rPr>
        <w:t>Legislation Act, pursuant to section 64—</w:t>
      </w:r>
    </w:p>
    <w:p w:rsidR="003B560A" w:rsidRPr="00965D7E" w:rsidRDefault="003B560A" w:rsidP="009124FB">
      <w:pPr>
        <w:pStyle w:val="DPSEntryDetailIndentLev1"/>
      </w:pPr>
      <w:r w:rsidRPr="00965D7E">
        <w:t>Adoption Act—Adoption (Fees) Determination 2020 (No 1)—Disallowable Instrument DI2020-190 (LR, 30 June 2020).</w:t>
      </w:r>
    </w:p>
    <w:p w:rsidR="003B560A" w:rsidRPr="00965D7E" w:rsidRDefault="003B560A" w:rsidP="009124FB">
      <w:pPr>
        <w:pStyle w:val="DPSEntryDetailIndentLev1"/>
      </w:pPr>
      <w:r w:rsidRPr="00965D7E">
        <w:t>Agents Act—Agents (Fees) Determination 2020</w:t>
      </w:r>
      <w:r>
        <w:t>—Disallowable Instrument DI2020</w:t>
      </w:r>
      <w:r>
        <w:noBreakHyphen/>
      </w:r>
      <w:r w:rsidRPr="00965D7E">
        <w:t>143 (LR, 18 June 2020).</w:t>
      </w:r>
    </w:p>
    <w:p w:rsidR="003B560A" w:rsidRPr="00965D7E" w:rsidRDefault="003B560A" w:rsidP="009124FB">
      <w:pPr>
        <w:pStyle w:val="DPSEntryDetailIndentLev1"/>
      </w:pPr>
      <w:r w:rsidRPr="00965D7E">
        <w:t>Animal Welfare Act—</w:t>
      </w:r>
    </w:p>
    <w:p w:rsidR="003B560A" w:rsidRDefault="003B560A" w:rsidP="003B560A">
      <w:pPr>
        <w:pStyle w:val="DPSEntryDetailIndentLev2"/>
      </w:pPr>
      <w:r w:rsidRPr="007F3EAB">
        <w:t>Animal Welfare (Advisory Committee) Establishment 2020 (No 1)—Disallowable Instrument DI2020-147 (LR, 18 June 2020).</w:t>
      </w:r>
    </w:p>
    <w:p w:rsidR="003B560A" w:rsidRPr="007F3EAB" w:rsidRDefault="003B560A" w:rsidP="003B560A">
      <w:pPr>
        <w:pStyle w:val="DPSEntryDetailIndentLev2"/>
      </w:pPr>
      <w:r w:rsidRPr="007F3EAB">
        <w:t>Animal Welfare (Fees) Determination 2020 (No 1)—Disallowable Instrument DI2020-159 (LR, 25 June 2020).</w:t>
      </w:r>
    </w:p>
    <w:p w:rsidR="003B560A" w:rsidRPr="00965D7E" w:rsidRDefault="003B560A" w:rsidP="009124FB">
      <w:pPr>
        <w:pStyle w:val="DPSEntryDetailIndentLev1"/>
      </w:pPr>
      <w:r w:rsidRPr="00965D7E">
        <w:t>Architects Act—Architects (Fees) Determination 2020—Disallowable Instrument DI2020-181 (LR, 29 June 2020).</w:t>
      </w:r>
    </w:p>
    <w:p w:rsidR="003B560A" w:rsidRPr="00965D7E" w:rsidRDefault="003B560A" w:rsidP="009124FB">
      <w:pPr>
        <w:pStyle w:val="DPSEntryDetailIndentLev1"/>
      </w:pPr>
      <w:r w:rsidRPr="00965D7E">
        <w:t>Associations Incorporation Act—Associations Incorporation (Fees) Determination 2020—Disallowable Instrument DI2020-152 (LR, 22 July 2020).</w:t>
      </w:r>
    </w:p>
    <w:p w:rsidR="003B560A" w:rsidRPr="00965D7E" w:rsidRDefault="003B560A" w:rsidP="009124FB">
      <w:pPr>
        <w:pStyle w:val="DPSEntryDetailIndentLev1"/>
      </w:pPr>
      <w:r w:rsidRPr="00965D7E">
        <w:t>Building Act—Building (General) Amendment Regulation 2020 (No 1)—Subordinate Law SL2020-26 (LR, 30 June 2020).</w:t>
      </w:r>
    </w:p>
    <w:p w:rsidR="003B560A" w:rsidRPr="00965D7E" w:rsidRDefault="003B560A" w:rsidP="009124FB">
      <w:pPr>
        <w:pStyle w:val="DPSEntryDetailIndentLev1"/>
      </w:pPr>
      <w:r w:rsidRPr="00965D7E">
        <w:t>Canberra Institute of Technology Act and Financial Management Act—</w:t>
      </w:r>
    </w:p>
    <w:p w:rsidR="003B560A" w:rsidRDefault="003B560A" w:rsidP="003B560A">
      <w:pPr>
        <w:pStyle w:val="DPSEntryDetailIndentLev2"/>
      </w:pPr>
      <w:r w:rsidRPr="007F3EAB">
        <w:t>Canberra Institute of Technology (CIT Board Member) Appointment 2020 (No 2)—Disallowable Instrument DI2020-145 (LR, 18 June 2020).</w:t>
      </w:r>
    </w:p>
    <w:p w:rsidR="003B560A" w:rsidRPr="007F3EAB" w:rsidRDefault="003B560A" w:rsidP="003B560A">
      <w:pPr>
        <w:pStyle w:val="DPSEntryDetailIndentLev2"/>
      </w:pPr>
      <w:r w:rsidRPr="007F3EAB">
        <w:t>Canberra Institute of Technology (CIT Board Member) Appointment 2020 (No 3)—Disallowable Instrument DI2020-173 (LR, 2 July 2020).</w:t>
      </w:r>
    </w:p>
    <w:p w:rsidR="003B560A" w:rsidRPr="00965D7E" w:rsidRDefault="003B560A" w:rsidP="009124FB">
      <w:pPr>
        <w:pStyle w:val="DPSEntryDetailIndentLev1"/>
      </w:pPr>
      <w:r w:rsidRPr="00965D7E">
        <w:t>Casino Control Act—Casino Control (Fees) Determination 2020—Disallowable Instrument DI2020-157 (LR, 22 June 2020).</w:t>
      </w:r>
    </w:p>
    <w:p w:rsidR="003B560A" w:rsidRPr="00965D7E" w:rsidRDefault="003B560A" w:rsidP="009124FB">
      <w:pPr>
        <w:pStyle w:val="DPSEntryDetailIndentLev1"/>
        <w:keepNext/>
      </w:pPr>
      <w:r w:rsidRPr="00965D7E">
        <w:lastRenderedPageBreak/>
        <w:t>City Renewal Authority and Suburban Land Agency Act—</w:t>
      </w:r>
    </w:p>
    <w:p w:rsidR="003B560A" w:rsidRDefault="003B560A" w:rsidP="003B560A">
      <w:pPr>
        <w:pStyle w:val="DPSEntryDetailIndentLev2"/>
      </w:pPr>
      <w:r w:rsidRPr="007F3EAB">
        <w:t>City Renewal Authority and Suburban Land Agency (Agency Board Chair) Appointment 2020—Disallowable Instrument DI2020-164 (LR, 22 June 2020).</w:t>
      </w:r>
    </w:p>
    <w:p w:rsidR="003B560A" w:rsidRPr="007F3EAB" w:rsidRDefault="003B560A" w:rsidP="003B560A">
      <w:pPr>
        <w:pStyle w:val="DPSEntryDetailIndentLev2"/>
      </w:pPr>
      <w:r w:rsidRPr="007F3EAB">
        <w:t>City Renewal Authority and Suburban Land Agency (Agency Board Deputy Chair) Appointment 2020—Disallowable Instrument DI2020-165 (LR, 22 June 2020).</w:t>
      </w:r>
    </w:p>
    <w:p w:rsidR="003B560A" w:rsidRPr="007F3EAB" w:rsidRDefault="003B560A" w:rsidP="003B560A">
      <w:pPr>
        <w:pStyle w:val="DPSEntryDetailIndentLev2"/>
      </w:pPr>
      <w:r w:rsidRPr="007F3EAB">
        <w:t>City Renewal Authority and Suburban Land Agency (Agency Board Member) Appointment 2020 (No 1)—Disallowable Instrument DI2020-166 (LR, 22 June 2020).</w:t>
      </w:r>
    </w:p>
    <w:p w:rsidR="003B560A" w:rsidRPr="007F3EAB" w:rsidRDefault="003B560A" w:rsidP="003B560A">
      <w:pPr>
        <w:pStyle w:val="DPSEntryDetailIndentLev2"/>
      </w:pPr>
      <w:r w:rsidRPr="007F3EAB">
        <w:t>City Renewal Authority and Suburban Land Agency (Agency Board Member) Appointment 2020 (No 2)—Disallowable Instrument DI2020-167 (LR, 22 June 2020).</w:t>
      </w:r>
    </w:p>
    <w:p w:rsidR="003B560A" w:rsidRPr="007F3EAB" w:rsidRDefault="003B560A" w:rsidP="003B560A">
      <w:pPr>
        <w:pStyle w:val="DPSEntryDetailIndentLev2"/>
      </w:pPr>
      <w:r w:rsidRPr="007F3EAB">
        <w:t>City Renewal Authority and Suburban Land Agency (Agency Board Member) Appointment 2020 (No 3)—Disallowable Instrument DI2020-168 (LR, 22 June 2020).</w:t>
      </w:r>
    </w:p>
    <w:p w:rsidR="003B560A" w:rsidRPr="00965D7E" w:rsidRDefault="003B560A" w:rsidP="009124FB">
      <w:pPr>
        <w:pStyle w:val="DPSEntryDetailIndentLev1"/>
      </w:pPr>
      <w:r w:rsidRPr="00965D7E">
        <w:t>Classification (Publications, Films and Computer Games) (Enforcement) Act—Classification (Publications, Films and Computer Games) (Enforcement) (Fees) Determination 2020—Disallowable Instrument DI2020-142 (LR, 18 June 2020).</w:t>
      </w:r>
    </w:p>
    <w:p w:rsidR="003B560A" w:rsidRPr="00965D7E" w:rsidRDefault="003B560A" w:rsidP="009124FB">
      <w:pPr>
        <w:pStyle w:val="DPSEntryDetailIndentLev1"/>
      </w:pPr>
      <w:r w:rsidRPr="00965D7E">
        <w:t>Clinical Waste Act—Clinical Waste (Fees) Determination 2020—Disallowable Instrument DI2020-180 (LR, 29 June 2020).</w:t>
      </w:r>
    </w:p>
    <w:p w:rsidR="003B560A" w:rsidRPr="00965D7E" w:rsidRDefault="003B560A" w:rsidP="009124FB">
      <w:pPr>
        <w:pStyle w:val="DPSEntryDetailIndentLev1"/>
      </w:pPr>
      <w:r w:rsidRPr="00965D7E">
        <w:t>Co-operatives National Law (ACT) Act—Co-operatives National Law (ACT) (Fees) Determination 2020—Disallowable Instrument DI2020-141 (LR, 18 June 2020).</w:t>
      </w:r>
    </w:p>
    <w:p w:rsidR="003B560A" w:rsidRPr="00965D7E" w:rsidRDefault="003B560A" w:rsidP="009124FB">
      <w:pPr>
        <w:pStyle w:val="DPSEntryDetailIndentLev1"/>
      </w:pPr>
      <w:r w:rsidRPr="00965D7E">
        <w:t>Court Procedures Act—Court Procedures (Fees) Determination 2020 (No 2)—Disallowable Instrument DI2020-154 (LR, 25 June 2020).</w:t>
      </w:r>
    </w:p>
    <w:p w:rsidR="003B560A" w:rsidRPr="00965D7E" w:rsidRDefault="003B560A" w:rsidP="009124FB">
      <w:pPr>
        <w:pStyle w:val="DPSEntryDetailIndentLev1"/>
      </w:pPr>
      <w:r w:rsidRPr="00965D7E">
        <w:t>Dangerous Goods (Road Transport) Act—Dangerous Goods (Road Transport) Fees and Charges Determination 2020—Disallowabl</w:t>
      </w:r>
      <w:r>
        <w:t>e Instrument DI2020-184 (LR, 30 </w:t>
      </w:r>
      <w:r w:rsidRPr="00965D7E">
        <w:t>June 2020).</w:t>
      </w:r>
    </w:p>
    <w:p w:rsidR="003B560A" w:rsidRPr="00965D7E" w:rsidRDefault="003B560A" w:rsidP="009124FB">
      <w:pPr>
        <w:pStyle w:val="DPSEntryDetailIndentLev1"/>
      </w:pPr>
      <w:r w:rsidRPr="00965D7E">
        <w:t>Dangerous Substances Act—Dangerous Substances (Fees) Determination 2020—Disallowable Instrument DI2020-185 (LR, 30 June 2020).</w:t>
      </w:r>
    </w:p>
    <w:p w:rsidR="003B560A" w:rsidRPr="00965D7E" w:rsidRDefault="003B560A" w:rsidP="009124FB">
      <w:pPr>
        <w:pStyle w:val="DPSEntryDetailIndentLev1"/>
      </w:pPr>
      <w:r w:rsidRPr="00965D7E">
        <w:t>Domestic Animals Act—</w:t>
      </w:r>
    </w:p>
    <w:p w:rsidR="003B560A" w:rsidRDefault="003B560A" w:rsidP="003B560A">
      <w:pPr>
        <w:pStyle w:val="DPSEntryDetailIndentLev2"/>
      </w:pPr>
      <w:r w:rsidRPr="007F3EAB">
        <w:t>Domestic Animals (Accredited Assistance Animal Public Access Standards) Determination 2020—Disallowable Instrument DI2020-169 (LR, 25 June 2020).</w:t>
      </w:r>
    </w:p>
    <w:p w:rsidR="003B560A" w:rsidRPr="007F3EAB" w:rsidRDefault="003B560A" w:rsidP="003B560A">
      <w:pPr>
        <w:pStyle w:val="DPSEntryDetailIndentLev2"/>
      </w:pPr>
      <w:r w:rsidRPr="007F3EAB">
        <w:t>Domestic Animals (Assistance Animal Accreditation) Guidelines 2020—Disallowable Instrument DI2020-170 (LR, 25 June 2020).</w:t>
      </w:r>
    </w:p>
    <w:p w:rsidR="003B560A" w:rsidRPr="007F3EAB" w:rsidRDefault="003B560A" w:rsidP="003B560A">
      <w:pPr>
        <w:pStyle w:val="DPSEntryDetailIndentLev2"/>
      </w:pPr>
      <w:r w:rsidRPr="007F3EAB">
        <w:t>Domestic Animals (Fees) Determination 2020 (No 1)—Disallowable Instrument DI2020-160 (LR, 25 June 2020).</w:t>
      </w:r>
    </w:p>
    <w:p w:rsidR="003B560A" w:rsidRPr="00965D7E" w:rsidRDefault="003B560A" w:rsidP="009124FB">
      <w:pPr>
        <w:pStyle w:val="DPSEntryDetailIndentLev1"/>
      </w:pPr>
      <w:r w:rsidRPr="00965D7E">
        <w:t>Duties Act—Duties (Pensioner Duty Deferral Scheme) Determination 2020—Disallowable Instrument DI2020-179 (LR, 29 June 2020).</w:t>
      </w:r>
    </w:p>
    <w:p w:rsidR="003B560A" w:rsidRPr="00965D7E" w:rsidRDefault="003B560A" w:rsidP="009124FB">
      <w:pPr>
        <w:pStyle w:val="DPSEntryDetailIndentLev1"/>
      </w:pPr>
      <w:r w:rsidRPr="00965D7E">
        <w:t>Duties Act, Rates Act, Land Rent Act and Land Tax Act—Rates, Land Tax, Land Rent and Duties (Certificate and Statement Fees) Determination 2020—Disallowable Instrument DI2020-193 (LR, 30 June 2020).</w:t>
      </w:r>
    </w:p>
    <w:p w:rsidR="003B560A" w:rsidRPr="00965D7E" w:rsidRDefault="003B560A" w:rsidP="009124FB">
      <w:pPr>
        <w:pStyle w:val="DPSEntryDetailIndentLev1"/>
      </w:pPr>
      <w:r w:rsidRPr="00965D7E">
        <w:lastRenderedPageBreak/>
        <w:t>Electoral Act—Electoral (Fees) Determination 2020—Disallowable Instrument DI2020-148 (LR, 18 June 2020).</w:t>
      </w:r>
    </w:p>
    <w:p w:rsidR="003B560A" w:rsidRPr="00965D7E" w:rsidRDefault="003B560A" w:rsidP="009124FB">
      <w:pPr>
        <w:pStyle w:val="DPSEntryDetailIndentLev1"/>
      </w:pPr>
      <w:r w:rsidRPr="00965D7E">
        <w:t>Electricity Feed-in (Large-scale Renewable Energy Generation) Act—Electricity Feed-in (Large-scale Renewable Energy Generation) FiT Support Payment Assessment Method 2020—Disallowable Instrument DI2020-174 (LR, 25 June 2020).</w:t>
      </w:r>
    </w:p>
    <w:p w:rsidR="003B560A" w:rsidRPr="00965D7E" w:rsidRDefault="003B560A" w:rsidP="009124FB">
      <w:pPr>
        <w:pStyle w:val="DPSEntryDetailIndentLev1"/>
      </w:pPr>
      <w:r w:rsidRPr="00965D7E">
        <w:t>Environment Protection Act—Environment Protection (Fees) Determination 2020—Disallowable Instrument DI2020-197 (LR, 30 June 2020).</w:t>
      </w:r>
    </w:p>
    <w:p w:rsidR="003B560A" w:rsidRPr="00965D7E" w:rsidRDefault="003B560A" w:rsidP="009124FB">
      <w:pPr>
        <w:pStyle w:val="DPSEntryDetailIndentLev1"/>
      </w:pPr>
      <w:r w:rsidRPr="00965D7E">
        <w:t>Financial Management Act—</w:t>
      </w:r>
    </w:p>
    <w:p w:rsidR="003B560A" w:rsidRDefault="003B560A" w:rsidP="003B560A">
      <w:pPr>
        <w:pStyle w:val="DPSEntryDetailIndentLev2"/>
      </w:pPr>
      <w:r w:rsidRPr="007F3EAB">
        <w:t>Financial Management (Territory Authorities prescribed for Outputs) Guidelines 2020—Disallowable Instrument DI2020-</w:t>
      </w:r>
      <w:r>
        <w:t>183</w:t>
      </w:r>
      <w:r w:rsidRPr="007F3EAB">
        <w:t xml:space="preserve"> (LR, 30 June 2020).</w:t>
      </w:r>
    </w:p>
    <w:p w:rsidR="003B560A" w:rsidRPr="007F3EAB" w:rsidRDefault="003B560A" w:rsidP="003B560A">
      <w:pPr>
        <w:pStyle w:val="DPSEntryDetailIndentLev2"/>
      </w:pPr>
      <w:r w:rsidRPr="007F3EAB">
        <w:t>Financial Management (Territory Authorities) Guidelines 2020—Disallowable Instrument DI2020-182 (LR, 30 June 2020).</w:t>
      </w:r>
    </w:p>
    <w:p w:rsidR="003B560A" w:rsidRPr="00965D7E" w:rsidRDefault="003B560A" w:rsidP="009124FB">
      <w:pPr>
        <w:pStyle w:val="DPSEntryDetailIndentLev1"/>
      </w:pPr>
      <w:r w:rsidRPr="00965D7E">
        <w:t>Guardianship and Management of Property Act—Guardianship and Management of Property (Fees) Determination 2020—Disallowabl</w:t>
      </w:r>
      <w:r>
        <w:t>e Instrument DI2020-153 (LR, 22 </w:t>
      </w:r>
      <w:r w:rsidRPr="00965D7E">
        <w:t>June 2020).</w:t>
      </w:r>
    </w:p>
    <w:p w:rsidR="003B560A" w:rsidRPr="00965D7E" w:rsidRDefault="003B560A" w:rsidP="009124FB">
      <w:pPr>
        <w:pStyle w:val="DPSEntryDetailIndentLev1"/>
      </w:pPr>
      <w:r w:rsidRPr="00965D7E">
        <w:t>Health Act—Health (Fees) Determination 2020 (No 2)—Disallowable Instrument DI2020-195 (LR, 30 June 2020).</w:t>
      </w:r>
    </w:p>
    <w:p w:rsidR="003B560A" w:rsidRPr="00965D7E" w:rsidRDefault="003B560A" w:rsidP="009124FB">
      <w:pPr>
        <w:pStyle w:val="DPSEntryDetailIndentLev1"/>
      </w:pPr>
      <w:r w:rsidRPr="00965D7E">
        <w:t>Heritage Act—Heritage (Fees) Determination 2020—Disallowable Instrument DI2020-198 (LR, 30 June 2020).</w:t>
      </w:r>
    </w:p>
    <w:p w:rsidR="003B560A" w:rsidRPr="00965D7E" w:rsidRDefault="003B560A" w:rsidP="009124FB">
      <w:pPr>
        <w:pStyle w:val="DPSEntryDetailIndentLev1"/>
      </w:pPr>
      <w:r w:rsidRPr="00965D7E">
        <w:t>Legislative Assembly (Members</w:t>
      </w:r>
      <w:r w:rsidR="00F85F03">
        <w:t>’</w:t>
      </w:r>
      <w:r w:rsidRPr="00965D7E">
        <w:t xml:space="preserve"> Staff) Act—</w:t>
      </w:r>
    </w:p>
    <w:p w:rsidR="003B560A" w:rsidRDefault="003B560A" w:rsidP="003B560A">
      <w:pPr>
        <w:pStyle w:val="DPSEntryDetailIndentLev2"/>
      </w:pPr>
      <w:r w:rsidRPr="007F3EAB">
        <w:t>Legislative Assembly (Members</w:t>
      </w:r>
      <w:r w:rsidR="00F85F03">
        <w:t>’</w:t>
      </w:r>
      <w:r w:rsidRPr="007F3EAB">
        <w:t xml:space="preserve"> Staff) Members</w:t>
      </w:r>
      <w:r w:rsidR="00F85F03">
        <w:t>’</w:t>
      </w:r>
      <w:r w:rsidRPr="007F3EAB">
        <w:t xml:space="preserve"> Salary Cap Determination 2020 (No 1)—Disallowable Instrument DI2020-149 (LR, 18 June 2020).</w:t>
      </w:r>
    </w:p>
    <w:p w:rsidR="003B560A" w:rsidRPr="007F3EAB" w:rsidRDefault="003B560A" w:rsidP="003B560A">
      <w:pPr>
        <w:pStyle w:val="DPSEntryDetailIndentLev2"/>
      </w:pPr>
      <w:r w:rsidRPr="007F3EAB">
        <w:t>Legislative Assembly (Members</w:t>
      </w:r>
      <w:r w:rsidR="00F85F03">
        <w:t>’</w:t>
      </w:r>
      <w:r w:rsidRPr="007F3EAB">
        <w:t xml:space="preserve"> Staff) Members</w:t>
      </w:r>
      <w:r w:rsidR="00F85F03">
        <w:t>’</w:t>
      </w:r>
      <w:r w:rsidRPr="007F3EAB">
        <w:t xml:space="preserve"> Salary Cap Determination 2020 (No 2)—Disallowable Instrument DI2020-146 (LR, 19 June 2020).</w:t>
      </w:r>
    </w:p>
    <w:p w:rsidR="003B560A" w:rsidRPr="007F3EAB" w:rsidRDefault="003B560A" w:rsidP="003B560A">
      <w:pPr>
        <w:pStyle w:val="DPSEntryDetailIndentLev2"/>
      </w:pPr>
      <w:r w:rsidRPr="007F3EAB">
        <w:t>Legislative Assembly (Members</w:t>
      </w:r>
      <w:r w:rsidR="00F85F03">
        <w:t>’</w:t>
      </w:r>
      <w:r w:rsidRPr="007F3EAB">
        <w:t xml:space="preserve"> Staff) Speaker</w:t>
      </w:r>
      <w:r w:rsidR="00F85F03">
        <w:t>’</w:t>
      </w:r>
      <w:r w:rsidRPr="007F3EAB">
        <w:t>s Sa</w:t>
      </w:r>
      <w:r>
        <w:t>lary Cap Determination 2020 (No </w:t>
      </w:r>
      <w:r w:rsidRPr="007F3EAB">
        <w:t>1)—Disallowable Instrument DI2020-150 (LR, 18 June 2020).</w:t>
      </w:r>
    </w:p>
    <w:p w:rsidR="003B560A" w:rsidRPr="00965D7E" w:rsidRDefault="003B560A" w:rsidP="009124FB">
      <w:pPr>
        <w:pStyle w:val="DPSEntryDetailIndentLev1"/>
      </w:pPr>
      <w:r w:rsidRPr="00965D7E">
        <w:t>Lotteries Act—Lotteries (Fees) Determination 2020 (No 2)—Disallowable Instrument DI2020-171 (LR, 25 June 2020).</w:t>
      </w:r>
    </w:p>
    <w:p w:rsidR="003B560A" w:rsidRPr="00965D7E" w:rsidRDefault="003B560A" w:rsidP="009124FB">
      <w:pPr>
        <w:pStyle w:val="DPSEntryDetailIndentLev1"/>
      </w:pPr>
      <w:r w:rsidRPr="00965D7E">
        <w:t>Machinery Act—Machinery (Fees) Determination 2020—Disallowable Instrument DI2020-186 (LR, 30 June 2020).</w:t>
      </w:r>
    </w:p>
    <w:p w:rsidR="003B560A" w:rsidRPr="00965D7E" w:rsidRDefault="003B560A" w:rsidP="009124FB">
      <w:pPr>
        <w:pStyle w:val="DPSEntryDetailIndentLev1"/>
      </w:pPr>
      <w:r w:rsidRPr="00965D7E">
        <w:t>Medicines, Poisons and Therapeutic Goods Act—</w:t>
      </w:r>
    </w:p>
    <w:p w:rsidR="003B560A" w:rsidRDefault="003B560A" w:rsidP="003B560A">
      <w:pPr>
        <w:pStyle w:val="DPSEntryDetailIndentLev2"/>
      </w:pPr>
      <w:r w:rsidRPr="007F3EAB">
        <w:t>Medicines, Poisons and Therapeutic Goods Amendment Regulation 2020 (No 2)—Subordinate Law SL2020-21 (LR, 19 June 2020).</w:t>
      </w:r>
    </w:p>
    <w:p w:rsidR="003B560A" w:rsidRPr="007F3EAB" w:rsidRDefault="003B560A" w:rsidP="003B560A">
      <w:pPr>
        <w:pStyle w:val="DPSEntryDetailIndentLev2"/>
      </w:pPr>
      <w:r w:rsidRPr="007F3EAB">
        <w:t>Medicines, Poisons and Therapeutic Goods Amendment Regulation 2020 (No 3)—Subordinate Law SL2020-24 (LR, 26 June 2020).</w:t>
      </w:r>
    </w:p>
    <w:p w:rsidR="003B560A" w:rsidRPr="00965D7E" w:rsidRDefault="003B560A" w:rsidP="009124FB">
      <w:pPr>
        <w:pStyle w:val="DPSEntryDetailIndentLev1"/>
      </w:pPr>
      <w:r w:rsidRPr="00965D7E">
        <w:t>Nature Conservation Act—Nature Conservation (Fees) Determination 2020 (No 2)—Disallowable Instrument DI2020-199 (LR, 30 June 2020).</w:t>
      </w:r>
    </w:p>
    <w:p w:rsidR="003B560A" w:rsidRPr="00965D7E" w:rsidRDefault="003B560A" w:rsidP="009124FB">
      <w:pPr>
        <w:pStyle w:val="DPSEntryDetailIndentLev1"/>
      </w:pPr>
      <w:r w:rsidRPr="00965D7E">
        <w:t>Public Trustee and Guardian Act—Public Trustee and Guardian (Fees) Determination 2020—Disallowable Instrument DI2020-151 (LR, 22 June 2020).</w:t>
      </w:r>
    </w:p>
    <w:p w:rsidR="003B560A" w:rsidRPr="00965D7E" w:rsidRDefault="003B560A" w:rsidP="009124FB">
      <w:pPr>
        <w:pStyle w:val="DPSEntryDetailIndentLev1"/>
      </w:pPr>
      <w:r w:rsidRPr="00965D7E">
        <w:lastRenderedPageBreak/>
        <w:t>Public Unleased Land Act—Public Unleased Lan</w:t>
      </w:r>
      <w:r>
        <w:t>d (Fees) Determination 2020 (No </w:t>
      </w:r>
      <w:r w:rsidRPr="00965D7E">
        <w:t>2)—Disallowable Instrument DI2020-161 (LR, 25 June 2020).</w:t>
      </w:r>
    </w:p>
    <w:p w:rsidR="003B560A" w:rsidRPr="00965D7E" w:rsidRDefault="003B560A" w:rsidP="009124FB">
      <w:pPr>
        <w:pStyle w:val="DPSEntryDetailIndentLev1"/>
      </w:pPr>
      <w:r w:rsidRPr="00965D7E">
        <w:t>Race and Sports Bookmaking Act—</w:t>
      </w:r>
    </w:p>
    <w:p w:rsidR="003B560A" w:rsidRDefault="003B560A" w:rsidP="003B560A">
      <w:pPr>
        <w:pStyle w:val="DPSEntryDetailIndentLev2"/>
      </w:pPr>
      <w:r w:rsidRPr="007F3EAB">
        <w:t>Race and Sports Bookmaking (Fees) Determination 2020—Disallowable Instrument DI2020-156 (LR, 22 June 2020).</w:t>
      </w:r>
    </w:p>
    <w:p w:rsidR="003B560A" w:rsidRPr="007F3EAB" w:rsidRDefault="003B560A" w:rsidP="003B560A">
      <w:pPr>
        <w:pStyle w:val="DPSEntryDetailIndentLev2"/>
      </w:pPr>
      <w:r w:rsidRPr="007F3EAB">
        <w:t>Race and Sports Bookmaking (Sports Bookmaking</w:t>
      </w:r>
      <w:r>
        <w:t xml:space="preserve"> Venues) Determination 2020 (No </w:t>
      </w:r>
      <w:r w:rsidRPr="007F3EAB">
        <w:t>2)—Disallowable Instrument DI2020-144 (LR, 18 June 2020).</w:t>
      </w:r>
    </w:p>
    <w:p w:rsidR="003B560A" w:rsidRPr="00965D7E" w:rsidRDefault="003B560A" w:rsidP="009124FB">
      <w:pPr>
        <w:pStyle w:val="DPSEntryDetailIndentLev1"/>
      </w:pPr>
      <w:r>
        <w:t xml:space="preserve">Rates Act and </w:t>
      </w:r>
      <w:r w:rsidRPr="00965D7E">
        <w:t>Taxation Administration Act—Taxation Administration (Amounts Payable—Rates) Determination 2020—Disallowabl</w:t>
      </w:r>
      <w:r>
        <w:t>e Instrument DI2020-176 (LR, 29 </w:t>
      </w:r>
      <w:r w:rsidRPr="00965D7E">
        <w:t>June 2020).</w:t>
      </w:r>
    </w:p>
    <w:p w:rsidR="003B560A" w:rsidRDefault="003B560A" w:rsidP="009124FB">
      <w:pPr>
        <w:pStyle w:val="DPSEntryDetailIndentLev1"/>
      </w:pPr>
      <w:r w:rsidRPr="00F038AD">
        <w:t>Residential Tenancies Act—Residential Tenancies (COVID-19 Emergency Response) Declaration 2020 (No 2)—Disallowable Instrument DI2020-216 (LR, 21 July 2020).</w:t>
      </w:r>
    </w:p>
    <w:p w:rsidR="003B560A" w:rsidRPr="00965D7E" w:rsidRDefault="003B560A" w:rsidP="009124FB">
      <w:pPr>
        <w:pStyle w:val="DPSEntryDetailIndentLev1"/>
      </w:pPr>
      <w:r w:rsidRPr="00965D7E">
        <w:t>Retirement Villages Act—Retirement Villages (Fees) Determination 2020—Disallowable Instrument DI2020-140 (LR, 18 June 2020).</w:t>
      </w:r>
    </w:p>
    <w:p w:rsidR="003B560A" w:rsidRPr="00965D7E" w:rsidRDefault="003B560A" w:rsidP="009124FB">
      <w:pPr>
        <w:pStyle w:val="DPSEntryDetailIndentLev1"/>
      </w:pPr>
      <w:r w:rsidRPr="00965D7E">
        <w:t>Road Transport (General) Act—</w:t>
      </w:r>
    </w:p>
    <w:p w:rsidR="003B560A" w:rsidRDefault="003B560A" w:rsidP="003B560A">
      <w:pPr>
        <w:pStyle w:val="DPSEntryDetailIndentLev2"/>
      </w:pPr>
      <w:r w:rsidRPr="007F3EAB">
        <w:t>Road Transport (General) Application of Road Transport Legislation Declaration 2020 (No 4)—Disallowable Instrument DI2020-191 (LR, 30 June 2020).</w:t>
      </w:r>
    </w:p>
    <w:p w:rsidR="003B560A" w:rsidRPr="007F3EAB" w:rsidRDefault="003B560A" w:rsidP="003B560A">
      <w:pPr>
        <w:pStyle w:val="DPSEntryDetailIndentLev2"/>
      </w:pPr>
      <w:r w:rsidRPr="007F3EAB">
        <w:t>Road Transport (General) Application of Road Transport Legislation Declaration 2020 (No 5)—Disallowable Instrument DI2020-192 (LR, 30 June 2020).</w:t>
      </w:r>
    </w:p>
    <w:p w:rsidR="003B560A" w:rsidRPr="007F3EAB" w:rsidRDefault="003B560A" w:rsidP="003B560A">
      <w:pPr>
        <w:pStyle w:val="DPSEntryDetailIndentLev2"/>
        <w:keepNext/>
      </w:pPr>
      <w:r w:rsidRPr="007F3EAB">
        <w:t>Road Transport (General) Certificate of Inspection Application Order 2020 (No 1)—</w:t>
      </w:r>
      <w:r>
        <w:t>Disallowable Instrument</w:t>
      </w:r>
      <w:r w:rsidRPr="007F3EAB">
        <w:t xml:space="preserve"> DI2020-175 (LR, 2 July 2020).</w:t>
      </w:r>
    </w:p>
    <w:p w:rsidR="003B560A" w:rsidRPr="007F3EAB" w:rsidRDefault="003B560A" w:rsidP="003B560A">
      <w:pPr>
        <w:pStyle w:val="DPSEntryDetailIndentLev2"/>
      </w:pPr>
      <w:r w:rsidRPr="007F3EAB">
        <w:t>Road Transport (Offences) Amendment Regulation 2020 (No 2)—Subordinate Law SL2020-22 (LR, 25 June 2020).</w:t>
      </w:r>
    </w:p>
    <w:p w:rsidR="003B560A" w:rsidRPr="00965D7E" w:rsidRDefault="003B560A" w:rsidP="009124FB">
      <w:pPr>
        <w:pStyle w:val="DPSEntryDetailIndentLev1"/>
      </w:pPr>
      <w:r w:rsidRPr="00965D7E">
        <w:t>Scaffolding and Lifts Act—Scaffolding and Lifts (Fees) Determination 2020—Disallowable Instrument DI2020-187 (LR, 30 June 2020).</w:t>
      </w:r>
    </w:p>
    <w:p w:rsidR="003B560A" w:rsidRPr="00965D7E" w:rsidRDefault="003B560A" w:rsidP="009124FB">
      <w:pPr>
        <w:pStyle w:val="DPSEntryDetailIndentLev1"/>
      </w:pPr>
      <w:r w:rsidRPr="00965D7E">
        <w:t>Security Industry Act—Security Industry Amendment Regulation 2020</w:t>
      </w:r>
      <w:r w:rsidR="00D55D4F">
        <w:t xml:space="preserve"> (No</w:t>
      </w:r>
      <w:r w:rsidRPr="00965D7E">
        <w:t xml:space="preserve"> 1)—Subordinate Law SL2020-25 (LR, 1 January 1900).</w:t>
      </w:r>
    </w:p>
    <w:p w:rsidR="003B560A" w:rsidRPr="00965D7E" w:rsidRDefault="003B560A" w:rsidP="009124FB">
      <w:pPr>
        <w:pStyle w:val="DPSEntryDetailIndentLev1"/>
      </w:pPr>
      <w:r w:rsidRPr="00965D7E">
        <w:t>Stock Act—</w:t>
      </w:r>
    </w:p>
    <w:p w:rsidR="003B560A" w:rsidRDefault="003B560A" w:rsidP="003B560A">
      <w:pPr>
        <w:pStyle w:val="DPSEntryDetailIndentLev2"/>
      </w:pPr>
      <w:r w:rsidRPr="00970E8F">
        <w:rPr>
          <w:spacing w:val="-2"/>
        </w:rPr>
        <w:t>Stock (Fees) Determination 2020—Disallowable Instrument DI2020-201 (LR, 30 June</w:t>
      </w:r>
      <w:r w:rsidRPr="007F3EAB">
        <w:t xml:space="preserve"> 2020).</w:t>
      </w:r>
    </w:p>
    <w:p w:rsidR="003B560A" w:rsidRPr="007F3EAB" w:rsidRDefault="003B560A" w:rsidP="003B560A">
      <w:pPr>
        <w:pStyle w:val="DPSEntryDetailIndentLev2"/>
      </w:pPr>
      <w:r w:rsidRPr="00970E8F">
        <w:rPr>
          <w:spacing w:val="-2"/>
        </w:rPr>
        <w:t>Stock (Levy) Determination 2020—Disallowable Instrument DI2020-203 (LR, 30 June</w:t>
      </w:r>
      <w:r w:rsidRPr="007F3EAB">
        <w:t xml:space="preserve"> 2020).</w:t>
      </w:r>
    </w:p>
    <w:p w:rsidR="003B560A" w:rsidRPr="007F3EAB" w:rsidRDefault="003B560A" w:rsidP="003B560A">
      <w:pPr>
        <w:pStyle w:val="DPSEntryDetailIndentLev2"/>
      </w:pPr>
      <w:r w:rsidRPr="007F3EAB">
        <w:t>Stock (Minimum Stock Levy) Determination 2020—Disallowable Instrument DI2020</w:t>
      </w:r>
      <w:r>
        <w:noBreakHyphen/>
      </w:r>
      <w:r w:rsidRPr="007F3EAB">
        <w:t>202 (LR, 30 June 2020).</w:t>
      </w:r>
    </w:p>
    <w:p w:rsidR="003B560A" w:rsidRPr="00965D7E" w:rsidRDefault="003B560A" w:rsidP="009124FB">
      <w:pPr>
        <w:pStyle w:val="DPSEntryDetailIndentLev1"/>
      </w:pPr>
      <w:r w:rsidRPr="00965D7E">
        <w:t>Surveyors Act—Surveyors (Fees) Determination 2020—Disallowable Instrument DI2020-204 (LR, 30 June 2020).</w:t>
      </w:r>
    </w:p>
    <w:p w:rsidR="003B560A" w:rsidRPr="00965D7E" w:rsidRDefault="003B560A" w:rsidP="009124FB">
      <w:pPr>
        <w:pStyle w:val="DPSEntryDetailIndentLev1"/>
      </w:pPr>
      <w:r w:rsidRPr="00965D7E">
        <w:t>Taxation Administration Act—</w:t>
      </w:r>
    </w:p>
    <w:p w:rsidR="003B560A" w:rsidRDefault="003B560A" w:rsidP="003B560A">
      <w:pPr>
        <w:pStyle w:val="DPSEntryDetailIndentLev2"/>
      </w:pPr>
      <w:r w:rsidRPr="007F3EAB">
        <w:t>Taxation Administration (Amounts Payable—Land Tax) Determination 2020—Disallowable Instrument DI2020-194 (LR, 30 June 2020).</w:t>
      </w:r>
    </w:p>
    <w:p w:rsidR="003B560A" w:rsidRPr="007F3EAB" w:rsidRDefault="003B560A" w:rsidP="003B560A">
      <w:pPr>
        <w:pStyle w:val="DPSEntryDetailIndentLev2"/>
      </w:pPr>
      <w:r w:rsidRPr="007F3EAB">
        <w:lastRenderedPageBreak/>
        <w:t>Taxation Administration (Amounts Payable—Land Tax) Determination 2020—Disallowable Instrument DI2020-177 (LR, 29 June 2020).</w:t>
      </w:r>
    </w:p>
    <w:p w:rsidR="003B560A" w:rsidRPr="007F3EAB" w:rsidRDefault="003B560A" w:rsidP="003B560A">
      <w:pPr>
        <w:pStyle w:val="DPSEntryDetailIndentLev2"/>
      </w:pPr>
      <w:r w:rsidRPr="007F3EAB">
        <w:t>Taxation Administration (Amounts Payable—Pensioner Duty Concession Scheme) Determination 2020—Disallowable Instrument DI2020-178 (LR, 29 June 2020).</w:t>
      </w:r>
    </w:p>
    <w:p w:rsidR="003B560A" w:rsidRPr="007F3EAB" w:rsidRDefault="003B560A" w:rsidP="003B560A">
      <w:pPr>
        <w:pStyle w:val="DPSEntryDetailIndentLev2"/>
      </w:pPr>
      <w:r w:rsidRPr="007F3EAB">
        <w:t>Taxation Administration (Owner Occupier Duty) COVID-19 Exemption Scheme Determination 2020—Disallowable Instrument DI2020-205 (LR, 2 July 2020).</w:t>
      </w:r>
    </w:p>
    <w:p w:rsidR="003B560A" w:rsidRPr="00965D7E" w:rsidRDefault="003B560A" w:rsidP="009124FB">
      <w:pPr>
        <w:pStyle w:val="DPSEntryDetailIndentLev1"/>
      </w:pPr>
      <w:r w:rsidRPr="00965D7E">
        <w:t>Tree Protection Act—Tree Protection (Fees) Determination 2020 (No 1)—Disallowable Instrument DI2020-162 (LR, 25 June 2020).</w:t>
      </w:r>
    </w:p>
    <w:p w:rsidR="003B560A" w:rsidRPr="00965D7E" w:rsidRDefault="003B560A" w:rsidP="009124FB">
      <w:pPr>
        <w:pStyle w:val="DPSEntryDetailIndentLev1"/>
      </w:pPr>
      <w:r w:rsidRPr="00965D7E">
        <w:t>Unit Titles (Management) Act—Unit Titles (Management) (Fees) Determination 2020—Disallowable Instrument DI2020-155 (LR, 22 June 2020).</w:t>
      </w:r>
    </w:p>
    <w:p w:rsidR="003B560A" w:rsidRPr="00965D7E" w:rsidRDefault="003B560A" w:rsidP="009124FB">
      <w:pPr>
        <w:pStyle w:val="DPSEntryDetailIndentLev1"/>
      </w:pPr>
      <w:r w:rsidRPr="00965D7E">
        <w:t>University of Canberra Act—</w:t>
      </w:r>
    </w:p>
    <w:p w:rsidR="003B560A" w:rsidRDefault="003B560A" w:rsidP="003B560A">
      <w:pPr>
        <w:pStyle w:val="DPSEntryDetailIndentLev2"/>
      </w:pPr>
      <w:r w:rsidRPr="007F3EAB">
        <w:t>University of Canberra Council Appointment 2020 (No 1)—Disallowable Instrument DI2020-206 (LR, 2 July 2020).</w:t>
      </w:r>
    </w:p>
    <w:p w:rsidR="003B560A" w:rsidRPr="007F3EAB" w:rsidRDefault="003B560A" w:rsidP="003B560A">
      <w:pPr>
        <w:pStyle w:val="DPSEntryDetailIndentLev2"/>
      </w:pPr>
      <w:r w:rsidRPr="007F3EAB">
        <w:t>University of Canberra Council Appointment 2020 (No 2)—Disallowable Instrument DI2020-207 (LR, 2 July 2020).</w:t>
      </w:r>
    </w:p>
    <w:p w:rsidR="003B560A" w:rsidRPr="007F3EAB" w:rsidRDefault="003B560A" w:rsidP="003B560A">
      <w:pPr>
        <w:pStyle w:val="DPSEntryDetailIndentLev2"/>
      </w:pPr>
      <w:r w:rsidRPr="007F3EAB">
        <w:t>University of Canberra Council Appointment 2020 (No 3)—Disallowable Instrument DI2020-208 (LR, 2 July 2020).</w:t>
      </w:r>
    </w:p>
    <w:p w:rsidR="003B560A" w:rsidRPr="00965D7E" w:rsidRDefault="003B560A" w:rsidP="009124FB">
      <w:pPr>
        <w:pStyle w:val="DPSEntryDetailIndentLev1"/>
      </w:pPr>
      <w:r w:rsidRPr="00965D7E">
        <w:t>Unlawful Gambling Act—Unlawful Gambling (Charitable Gaming Application Fees) Determination 2020—Disallowable Instrument DI2020-158 (LR, 22 June 2020).</w:t>
      </w:r>
    </w:p>
    <w:p w:rsidR="003B560A" w:rsidRPr="00965D7E" w:rsidRDefault="003B560A" w:rsidP="009124FB">
      <w:pPr>
        <w:pStyle w:val="DPSEntryDetailIndentLev1"/>
      </w:pPr>
      <w:r w:rsidRPr="00965D7E">
        <w:t>Victims of Crime (Financial Assistance) Act—Victims of Crime (Financial Assistance) Amendment Regulation 2020 (No 1)—Subordinate Law SL2020-23 (LR, 29 June 2020).</w:t>
      </w:r>
    </w:p>
    <w:p w:rsidR="003B560A" w:rsidRPr="00965D7E" w:rsidRDefault="003B560A" w:rsidP="009124FB">
      <w:pPr>
        <w:pStyle w:val="DPSEntryDetailIndentLev1"/>
      </w:pPr>
      <w:r w:rsidRPr="00965D7E">
        <w:t>Victims of Crime Act—Victims of Crime (Victims Advisory Board) Appointment 2020 (No 3)—Disallowable Instrument DI2020-196 (LR, 30 June 2020).</w:t>
      </w:r>
    </w:p>
    <w:p w:rsidR="003B560A" w:rsidRPr="00965D7E" w:rsidRDefault="003B560A" w:rsidP="009124FB">
      <w:pPr>
        <w:pStyle w:val="DPSEntryDetailIndentLev1"/>
      </w:pPr>
      <w:r w:rsidRPr="00965D7E">
        <w:t>Victims of Crime Regulation—Victims of Crime (Fees) Determination 2020 (No 1)—Disallowable Instrument DI2020-172 (LR, 25 June 2020).</w:t>
      </w:r>
    </w:p>
    <w:p w:rsidR="003B560A" w:rsidRPr="00965D7E" w:rsidRDefault="003B560A" w:rsidP="009124FB">
      <w:pPr>
        <w:pStyle w:val="DPSEntryDetailIndentLev1"/>
      </w:pPr>
      <w:r w:rsidRPr="00965D7E">
        <w:t>Waste Management and Resource Recovery Act—Waste Management and Resource Recovery (Fees) Determination 2020 (No 1)—Disallowable Instrume</w:t>
      </w:r>
      <w:r>
        <w:t>nt DI2020-163</w:t>
      </w:r>
      <w:r w:rsidRPr="00965D7E">
        <w:t xml:space="preserve"> (LR, 25 June 2020).</w:t>
      </w:r>
    </w:p>
    <w:p w:rsidR="003B560A" w:rsidRPr="00965D7E" w:rsidRDefault="003B560A" w:rsidP="009124FB">
      <w:pPr>
        <w:pStyle w:val="DPSEntryDetailIndentLev1"/>
      </w:pPr>
      <w:r w:rsidRPr="00965D7E">
        <w:t>Water Resources Act—Water Resources (Fees) Determination 2020—Disallowable Instrument DI2020-200 (LR, 30 June 2020).</w:t>
      </w:r>
    </w:p>
    <w:p w:rsidR="003B560A" w:rsidRPr="00965D7E" w:rsidRDefault="003B560A" w:rsidP="009124FB">
      <w:pPr>
        <w:pStyle w:val="DPSEntryDetailIndentLev1"/>
      </w:pPr>
      <w:r w:rsidRPr="00965D7E">
        <w:t>Work Health and Safety Act—</w:t>
      </w:r>
    </w:p>
    <w:p w:rsidR="003B560A" w:rsidRDefault="003B560A" w:rsidP="003B560A">
      <w:pPr>
        <w:pStyle w:val="DPSEntryDetailIndentLev2"/>
      </w:pPr>
      <w:r w:rsidRPr="007F3EAB">
        <w:t>Work Health and Safety (Fees) Determination 2020—Disallowable Instrument DI2020-188 (LR, 30 June 2020).</w:t>
      </w:r>
    </w:p>
    <w:p w:rsidR="003B560A" w:rsidRPr="007F3EAB" w:rsidRDefault="003B560A" w:rsidP="003B560A">
      <w:pPr>
        <w:pStyle w:val="DPSEntryDetailIndentLev2"/>
      </w:pPr>
      <w:r w:rsidRPr="007F3EAB">
        <w:t>Work Health and Safety Amendment Regulations 2020 (No 1)—Subordinate Law SL2020-27 (LR, 30 June 2020).</w:t>
      </w:r>
    </w:p>
    <w:p w:rsidR="003B560A" w:rsidRPr="00965D7E" w:rsidRDefault="003B560A" w:rsidP="009124FB">
      <w:pPr>
        <w:pStyle w:val="DPSEntryDetailIndentLev1"/>
      </w:pPr>
      <w:r w:rsidRPr="00965D7E">
        <w:t>Workers Compensation Act—Workers Compensation (Fees) Determination 2020—Disallowable Instrument DI2020-189 (LR, 30 June 2020).</w:t>
      </w:r>
    </w:p>
    <w:p w:rsidR="00CB3F75" w:rsidRPr="00B24A73" w:rsidRDefault="00CB3F75" w:rsidP="00251162">
      <w:pPr>
        <w:keepNext/>
        <w:keepLines/>
        <w:tabs>
          <w:tab w:val="right" w:pos="339"/>
          <w:tab w:val="left" w:pos="720"/>
        </w:tabs>
        <w:spacing w:before="240"/>
        <w:ind w:left="720" w:hanging="720"/>
        <w:jc w:val="both"/>
        <w:rPr>
          <w:rFonts w:ascii="Calibri" w:hAnsi="Calibri"/>
          <w:b/>
          <w:caps/>
          <w:lang w:val="en-AU"/>
        </w:rPr>
      </w:pPr>
      <w:r w:rsidRPr="00B24A73">
        <w:rPr>
          <w:rFonts w:ascii="Calibri" w:hAnsi="Calibri"/>
          <w:b/>
          <w:caps/>
          <w:lang w:val="en-AU"/>
        </w:rPr>
        <w:lastRenderedPageBreak/>
        <w:tab/>
      </w:r>
      <w:r w:rsidR="00271E6D">
        <w:rPr>
          <w:rFonts w:ascii="Calibri" w:hAnsi="Calibri"/>
          <w:b/>
          <w:bCs/>
          <w:caps/>
          <w:lang w:val="en-AU"/>
        </w:rPr>
        <w:fldChar w:fldCharType="begin"/>
      </w:r>
      <w:r w:rsidR="00271E6D">
        <w:rPr>
          <w:rFonts w:ascii="Calibri" w:hAnsi="Calibri"/>
          <w:b/>
          <w:bCs/>
          <w:caps/>
          <w:lang w:val="en-AU"/>
        </w:rPr>
        <w:instrText xml:space="preserve"> SEQ A \* MERGEFORMAT </w:instrText>
      </w:r>
      <w:r w:rsidR="00271E6D">
        <w:rPr>
          <w:rFonts w:ascii="Calibri" w:hAnsi="Calibri"/>
          <w:b/>
          <w:bCs/>
          <w:caps/>
          <w:lang w:val="en-AU"/>
        </w:rPr>
        <w:fldChar w:fldCharType="separate"/>
      </w:r>
      <w:r w:rsidR="003D6726">
        <w:rPr>
          <w:rFonts w:ascii="Calibri" w:hAnsi="Calibri"/>
          <w:b/>
          <w:bCs/>
          <w:caps/>
          <w:noProof/>
          <w:lang w:val="en-AU"/>
        </w:rPr>
        <w:t>19</w:t>
      </w:r>
      <w:r w:rsidR="00271E6D">
        <w:rPr>
          <w:rFonts w:ascii="Calibri" w:hAnsi="Calibri"/>
          <w:b/>
          <w:bCs/>
          <w:caps/>
          <w:lang w:val="en-AU"/>
        </w:rPr>
        <w:fldChar w:fldCharType="end"/>
      </w:r>
      <w:r w:rsidRPr="00B24A73">
        <w:rPr>
          <w:rFonts w:ascii="Calibri" w:hAnsi="Calibri"/>
          <w:b/>
          <w:caps/>
          <w:lang w:val="en-AU"/>
        </w:rPr>
        <w:tab/>
      </w:r>
      <w:r>
        <w:rPr>
          <w:rFonts w:ascii="Calibri" w:hAnsi="Calibri"/>
          <w:b/>
          <w:caps/>
          <w:lang w:val="en-AU"/>
        </w:rPr>
        <w:t>Affordable Land RElease</w:t>
      </w:r>
    </w:p>
    <w:p w:rsidR="00CB3F75" w:rsidRPr="00B24A73" w:rsidRDefault="00CB3F75" w:rsidP="00251162">
      <w:pPr>
        <w:keepNext/>
        <w:spacing w:before="120"/>
        <w:ind w:left="720"/>
        <w:jc w:val="both"/>
        <w:rPr>
          <w:rFonts w:ascii="Calibri" w:hAnsi="Calibri"/>
          <w:color w:val="000000"/>
          <w:lang w:val="en-AU"/>
        </w:rPr>
      </w:pPr>
      <w:r>
        <w:rPr>
          <w:rFonts w:ascii="Calibri" w:hAnsi="Calibri"/>
          <w:color w:val="000000"/>
          <w:lang w:val="en-AU"/>
        </w:rPr>
        <w:t>Mr Coe (Leader of the Opposition)</w:t>
      </w:r>
      <w:r w:rsidRPr="00B24A73">
        <w:rPr>
          <w:rFonts w:ascii="Calibri" w:hAnsi="Calibri"/>
          <w:color w:val="000000"/>
          <w:lang w:val="en-AU"/>
        </w:rPr>
        <w:t>, pursuant to notice, moved—That this Assembly:</w:t>
      </w:r>
    </w:p>
    <w:p w:rsidR="00CB3F75" w:rsidRPr="007C5CDF" w:rsidRDefault="00CB3F75" w:rsidP="00CB3F75">
      <w:pPr>
        <w:pStyle w:val="DPSEntryIndents"/>
        <w:numPr>
          <w:ilvl w:val="0"/>
          <w:numId w:val="6"/>
        </w:numPr>
        <w:rPr>
          <w:lang w:eastAsia="en-US"/>
        </w:rPr>
      </w:pPr>
      <w:r w:rsidRPr="007C5CDF">
        <w:rPr>
          <w:lang w:eastAsia="en-US"/>
        </w:rPr>
        <w:t>notes:</w:t>
      </w:r>
    </w:p>
    <w:p w:rsidR="00CB3F75" w:rsidRPr="007C5CDF" w:rsidRDefault="00CB3F75" w:rsidP="00CB3F75">
      <w:pPr>
        <w:pStyle w:val="DPSEntryIndents"/>
        <w:numPr>
          <w:ilvl w:val="1"/>
          <w:numId w:val="3"/>
        </w:numPr>
        <w:rPr>
          <w:lang w:eastAsia="en-US"/>
        </w:rPr>
      </w:pPr>
      <w:r w:rsidRPr="007C5CDF">
        <w:rPr>
          <w:lang w:eastAsia="en-US"/>
        </w:rPr>
        <w:t>that very few ACT families are going to be able to take advantage of the Commonwealth Government</w:t>
      </w:r>
      <w:r w:rsidR="00F85F03">
        <w:rPr>
          <w:lang w:eastAsia="en-US"/>
        </w:rPr>
        <w:t>’</w:t>
      </w:r>
      <w:r w:rsidRPr="007C5CDF">
        <w:rPr>
          <w:lang w:eastAsia="en-US"/>
        </w:rPr>
        <w:t>s HomeBuilder program for free-standing homes because of a lack of affordable land in Canberra;</w:t>
      </w:r>
    </w:p>
    <w:p w:rsidR="00CB3F75" w:rsidRPr="007C5CDF" w:rsidRDefault="00CB3F75" w:rsidP="00CB3F75">
      <w:pPr>
        <w:pStyle w:val="DPSEntryIndents"/>
        <w:numPr>
          <w:ilvl w:val="1"/>
          <w:numId w:val="3"/>
        </w:numPr>
        <w:rPr>
          <w:lang w:eastAsia="en-US"/>
        </w:rPr>
      </w:pPr>
      <w:r w:rsidRPr="007C5CDF">
        <w:rPr>
          <w:lang w:eastAsia="en-US"/>
        </w:rPr>
        <w:t>the Commonwealth Government</w:t>
      </w:r>
      <w:r w:rsidR="00F85F03">
        <w:rPr>
          <w:lang w:eastAsia="en-US"/>
        </w:rPr>
        <w:t>’</w:t>
      </w:r>
      <w:r w:rsidRPr="007C5CDF">
        <w:rPr>
          <w:lang w:eastAsia="en-US"/>
        </w:rPr>
        <w:t>s HomeBuilder scheme grants $25 000 for house and land packages valued at less than $750 000; and</w:t>
      </w:r>
    </w:p>
    <w:p w:rsidR="00CB3F75" w:rsidRPr="007C5CDF" w:rsidRDefault="00CB3F75" w:rsidP="00CB3F75">
      <w:pPr>
        <w:pStyle w:val="DPSEntryIndents"/>
        <w:numPr>
          <w:ilvl w:val="1"/>
          <w:numId w:val="3"/>
        </w:numPr>
        <w:rPr>
          <w:lang w:eastAsia="en-US"/>
        </w:rPr>
      </w:pPr>
      <w:r w:rsidRPr="007C5CDF">
        <w:rPr>
          <w:lang w:eastAsia="en-US"/>
        </w:rPr>
        <w:t>the ACT Government took weeks to sign on to the National Partnership Agreement; and</w:t>
      </w:r>
    </w:p>
    <w:p w:rsidR="00CB3F75" w:rsidRPr="00B24A73" w:rsidRDefault="00CB3F75" w:rsidP="00CB3F75">
      <w:pPr>
        <w:pStyle w:val="DPSEntryIndents"/>
        <w:rPr>
          <w:color w:val="000000"/>
        </w:rPr>
      </w:pPr>
      <w:r w:rsidRPr="007C5CDF">
        <w:rPr>
          <w:lang w:eastAsia="en-US"/>
        </w:rPr>
        <w:t>calls on the Government to release more affordable land so that Canberrans can buy a house and land for a combined cost of less than $750 000.</w:t>
      </w:r>
    </w:p>
    <w:p w:rsidR="009124FB" w:rsidRDefault="009124FB" w:rsidP="00CB3F75">
      <w:pPr>
        <w:spacing w:before="120"/>
        <w:ind w:left="720" w:right="-35"/>
        <w:jc w:val="both"/>
        <w:rPr>
          <w:rFonts w:ascii="Calibri" w:hAnsi="Calibri"/>
          <w:color w:val="000000"/>
          <w:lang w:val="en-AU"/>
        </w:rPr>
      </w:pPr>
      <w:r>
        <w:rPr>
          <w:rFonts w:ascii="Calibri" w:hAnsi="Calibri"/>
          <w:color w:val="000000"/>
          <w:lang w:val="en-AU"/>
        </w:rPr>
        <w:t>M</w:t>
      </w:r>
      <w:r w:rsidR="00737CCB">
        <w:rPr>
          <w:rFonts w:ascii="Calibri" w:hAnsi="Calibri"/>
          <w:color w:val="000000"/>
          <w:lang w:val="en-AU"/>
        </w:rPr>
        <w:t>s Berry</w:t>
      </w:r>
      <w:r>
        <w:rPr>
          <w:rFonts w:ascii="Calibri" w:hAnsi="Calibri"/>
          <w:color w:val="000000"/>
          <w:lang w:val="en-AU"/>
        </w:rPr>
        <w:t xml:space="preserve"> (</w:t>
      </w:r>
      <w:r w:rsidR="00737CCB">
        <w:rPr>
          <w:rFonts w:ascii="Calibri" w:hAnsi="Calibri"/>
          <w:color w:val="000000"/>
          <w:lang w:val="en-AU"/>
        </w:rPr>
        <w:t>Minister for Housing and Suburban Development</w:t>
      </w:r>
      <w:r>
        <w:rPr>
          <w:rFonts w:ascii="Calibri" w:hAnsi="Calibri"/>
          <w:color w:val="000000"/>
          <w:lang w:val="en-AU"/>
        </w:rPr>
        <w:t>) moved the following amendment: Omit all text after “That this Assembly”, substitute:</w:t>
      </w:r>
    </w:p>
    <w:p w:rsidR="00496C80" w:rsidRPr="004F5293" w:rsidRDefault="00496C80" w:rsidP="00496C80">
      <w:pPr>
        <w:pStyle w:val="DPSEntryIndents"/>
        <w:numPr>
          <w:ilvl w:val="0"/>
          <w:numId w:val="0"/>
        </w:numPr>
        <w:tabs>
          <w:tab w:val="left" w:pos="1350"/>
        </w:tabs>
        <w:ind w:left="720"/>
      </w:pPr>
      <w:r>
        <w:t>“(1)</w:t>
      </w:r>
      <w:r>
        <w:tab/>
        <w:t>n</w:t>
      </w:r>
      <w:r w:rsidRPr="004F5293">
        <w:t>otes</w:t>
      </w:r>
      <w:r>
        <w:t>:</w:t>
      </w:r>
    </w:p>
    <w:p w:rsidR="00496C80" w:rsidRPr="006A4D07" w:rsidRDefault="00496C80" w:rsidP="00496C80">
      <w:pPr>
        <w:pStyle w:val="DPSEntryIndents"/>
        <w:numPr>
          <w:ilvl w:val="1"/>
          <w:numId w:val="3"/>
        </w:numPr>
      </w:pPr>
      <w:r>
        <w:t>t</w:t>
      </w:r>
      <w:r w:rsidRPr="006A4D07">
        <w:t>he Commonwealth Government’</w:t>
      </w:r>
      <w:r>
        <w:t xml:space="preserve">s HomeBuilder scheme grants $25 </w:t>
      </w:r>
      <w:r w:rsidRPr="006A4D07">
        <w:t>000 for house and land pa</w:t>
      </w:r>
      <w:r>
        <w:t xml:space="preserve">ckages valued at less than $750 </w:t>
      </w:r>
      <w:r w:rsidRPr="006A4D07">
        <w:t>000;</w:t>
      </w:r>
    </w:p>
    <w:p w:rsidR="00496C80" w:rsidRPr="006A4D07" w:rsidRDefault="00496C80" w:rsidP="00496C80">
      <w:pPr>
        <w:pStyle w:val="DPSEntryIndents"/>
        <w:numPr>
          <w:ilvl w:val="1"/>
          <w:numId w:val="3"/>
        </w:numPr>
      </w:pPr>
      <w:r w:rsidRPr="006A4D07">
        <w:t>there are 346 single residential blocks available over the counter through the Suburban Land Agency and the Ginninderry development as at 20 July 2020</w:t>
      </w:r>
      <w:r>
        <w:t>,</w:t>
      </w:r>
      <w:r w:rsidRPr="006A4D07">
        <w:t xml:space="preserve"> ranging in price between $197</w:t>
      </w:r>
      <w:r>
        <w:t xml:space="preserve"> </w:t>
      </w:r>
      <w:r w:rsidRPr="006A4D07">
        <w:t>000 and $640</w:t>
      </w:r>
      <w:r>
        <w:t xml:space="preserve"> </w:t>
      </w:r>
      <w:r w:rsidRPr="006A4D07">
        <w:t>000;</w:t>
      </w:r>
    </w:p>
    <w:p w:rsidR="00496C80" w:rsidRPr="006A4D07" w:rsidRDefault="00496C80" w:rsidP="00496C80">
      <w:pPr>
        <w:pStyle w:val="DPSEntryIndents"/>
        <w:numPr>
          <w:ilvl w:val="1"/>
          <w:numId w:val="3"/>
        </w:numPr>
      </w:pPr>
      <w:r w:rsidRPr="006A4D07">
        <w:t xml:space="preserve">the average </w:t>
      </w:r>
      <w:r>
        <w:t xml:space="preserve">cost to build an average sized three </w:t>
      </w:r>
      <w:r w:rsidRPr="006A4D07">
        <w:t>bedroom home, which would suit most first home buyers</w:t>
      </w:r>
      <w:r>
        <w:t>,</w:t>
      </w:r>
      <w:r w:rsidRPr="006A4D07">
        <w:t xml:space="preserve"> is $330</w:t>
      </w:r>
      <w:r>
        <w:t xml:space="preserve"> </w:t>
      </w:r>
      <w:r w:rsidRPr="006A4D07">
        <w:t>000;</w:t>
      </w:r>
    </w:p>
    <w:p w:rsidR="00496C80" w:rsidRPr="006A4D07" w:rsidRDefault="00496C80" w:rsidP="00496C80">
      <w:pPr>
        <w:pStyle w:val="DPSEntryIndents"/>
        <w:numPr>
          <w:ilvl w:val="1"/>
          <w:numId w:val="3"/>
        </w:numPr>
      </w:pPr>
      <w:r w:rsidRPr="006A4D07">
        <w:t>there are 188 blocks available through the Suburban Land Agency and from the Ginninderry development as at 20 July 2020</w:t>
      </w:r>
      <w:r>
        <w:t>,</w:t>
      </w:r>
      <w:r w:rsidRPr="006A4D07">
        <w:t xml:space="preserve"> which are priced below $420,000 and could meet the combined thresholds under HomeBuilder; and</w:t>
      </w:r>
    </w:p>
    <w:p w:rsidR="00496C80" w:rsidRPr="006A4D07" w:rsidRDefault="00496C80" w:rsidP="00496C80">
      <w:pPr>
        <w:pStyle w:val="DPSEntryIndents"/>
        <w:numPr>
          <w:ilvl w:val="1"/>
          <w:numId w:val="3"/>
        </w:numPr>
      </w:pPr>
      <w:bookmarkStart w:id="0" w:name="_Hlk46327584"/>
      <w:r w:rsidRPr="006A4D07">
        <w:t>the ACT Government</w:t>
      </w:r>
      <w:r>
        <w:t>:</w:t>
      </w:r>
    </w:p>
    <w:p w:rsidR="00496C80" w:rsidRPr="006A4D07" w:rsidRDefault="00496C80" w:rsidP="00496C80">
      <w:pPr>
        <w:pStyle w:val="DPSEntryIndents"/>
        <w:numPr>
          <w:ilvl w:val="2"/>
          <w:numId w:val="3"/>
        </w:numPr>
      </w:pPr>
      <w:r w:rsidRPr="006A4D07">
        <w:rPr>
          <w:color w:val="000000"/>
        </w:rPr>
        <w:t>was not consulted prior to the Commonwealth Government’s HomeBuilder announcement;</w:t>
      </w:r>
    </w:p>
    <w:p w:rsidR="00496C80" w:rsidRPr="00187446" w:rsidRDefault="00496C80" w:rsidP="00496C80">
      <w:pPr>
        <w:pStyle w:val="DPSEntryIndents"/>
        <w:numPr>
          <w:ilvl w:val="2"/>
          <w:numId w:val="3"/>
        </w:numPr>
      </w:pPr>
      <w:r>
        <w:rPr>
          <w:color w:val="000000"/>
        </w:rPr>
        <w:t>worked with the Commonwealth Government following the announcement of HomeBuilder to ensure those in the Territory who could meet the eligibility criteria would gain access to the Commonwealth scheme; and</w:t>
      </w:r>
    </w:p>
    <w:p w:rsidR="00496C80" w:rsidRPr="006A4D07" w:rsidRDefault="00496C80" w:rsidP="00496C80">
      <w:pPr>
        <w:pStyle w:val="DPSEntryIndents"/>
        <w:numPr>
          <w:ilvl w:val="2"/>
          <w:numId w:val="3"/>
        </w:numPr>
      </w:pPr>
      <w:r>
        <w:rPr>
          <w:color w:val="000000"/>
        </w:rPr>
        <w:t>since the announcement, worked with Commonwealth officials to address implementation issues associated with definitions, compliance and monitoring;</w:t>
      </w:r>
    </w:p>
    <w:bookmarkEnd w:id="0"/>
    <w:p w:rsidR="00496C80" w:rsidRPr="006A4D07" w:rsidRDefault="00496C80" w:rsidP="00496C80">
      <w:pPr>
        <w:pStyle w:val="DPSEntryIndents"/>
        <w:numPr>
          <w:ilvl w:val="0"/>
          <w:numId w:val="12"/>
        </w:numPr>
      </w:pPr>
      <w:r>
        <w:t>f</w:t>
      </w:r>
      <w:r w:rsidRPr="006A4D07">
        <w:t>urther notes that the ACT Government:</w:t>
      </w:r>
    </w:p>
    <w:p w:rsidR="00496C80" w:rsidRPr="006A4D07" w:rsidRDefault="00496C80" w:rsidP="00496C80">
      <w:pPr>
        <w:pStyle w:val="DPSEntryIndents"/>
        <w:numPr>
          <w:ilvl w:val="1"/>
          <w:numId w:val="3"/>
        </w:numPr>
      </w:pPr>
      <w:r w:rsidRPr="006A4D07">
        <w:t>has removed stamp duty for eligible owner occupier home buyers until 30 June 2021</w:t>
      </w:r>
      <w:r>
        <w:t>,</w:t>
      </w:r>
      <w:r w:rsidRPr="006A4D07">
        <w:t xml:space="preserve"> with no stamp duty on single residential dwelling blocks and no stamp duty on off-the-plan unit titled purchases up to $500</w:t>
      </w:r>
      <w:r>
        <w:t xml:space="preserve"> </w:t>
      </w:r>
      <w:r w:rsidRPr="006A4D07">
        <w:t>000;</w:t>
      </w:r>
    </w:p>
    <w:p w:rsidR="00496C80" w:rsidRPr="006A4D07" w:rsidRDefault="00496C80" w:rsidP="00496C80">
      <w:pPr>
        <w:pStyle w:val="DPSEntryIndents"/>
        <w:numPr>
          <w:ilvl w:val="1"/>
          <w:numId w:val="3"/>
        </w:numPr>
      </w:pPr>
      <w:r w:rsidRPr="006A4D07">
        <w:lastRenderedPageBreak/>
        <w:t>has significantly reduced stamp duty for eligible owner occupier home buyers until 30 June 2021</w:t>
      </w:r>
      <w:r>
        <w:t>,</w:t>
      </w:r>
      <w:r w:rsidRPr="006A4D07">
        <w:t xml:space="preserve"> with an $11</w:t>
      </w:r>
      <w:r>
        <w:t xml:space="preserve"> </w:t>
      </w:r>
      <w:r w:rsidRPr="006A4D07">
        <w:t>4</w:t>
      </w:r>
      <w:r w:rsidR="00F65266">
        <w:t>00 stamp duty reduction for off</w:t>
      </w:r>
      <w:r w:rsidR="00F65266">
        <w:noBreakHyphen/>
      </w:r>
      <w:r w:rsidRPr="006A4D07">
        <w:t>the-plan unit titled purchases between $500</w:t>
      </w:r>
      <w:r>
        <w:t xml:space="preserve"> </w:t>
      </w:r>
      <w:r w:rsidRPr="006A4D07">
        <w:t>000 and $750</w:t>
      </w:r>
      <w:r>
        <w:t xml:space="preserve"> </w:t>
      </w:r>
      <w:r w:rsidRPr="006A4D07">
        <w:t>000;</w:t>
      </w:r>
    </w:p>
    <w:p w:rsidR="00496C80" w:rsidRPr="00CF0386" w:rsidRDefault="00496C80" w:rsidP="00496C80">
      <w:pPr>
        <w:pStyle w:val="DPSEntryIndents"/>
        <w:numPr>
          <w:ilvl w:val="1"/>
          <w:numId w:val="3"/>
        </w:numPr>
      </w:pPr>
      <w:r w:rsidRPr="006A4D07">
        <w:t>prices land according to its market value as determined by multiple independent valuations to ensure transparency</w:t>
      </w:r>
      <w:r w:rsidRPr="001167F7">
        <w:t xml:space="preserve"> and probity</w:t>
      </w:r>
      <w:r>
        <w:t>; and</w:t>
      </w:r>
    </w:p>
    <w:p w:rsidR="00496C80" w:rsidRPr="001167F7" w:rsidRDefault="00496C80" w:rsidP="00496C80">
      <w:pPr>
        <w:pStyle w:val="DPSEntryIndents"/>
        <w:numPr>
          <w:ilvl w:val="1"/>
          <w:numId w:val="3"/>
        </w:numPr>
      </w:pPr>
      <w:r w:rsidRPr="001167F7">
        <w:t xml:space="preserve">uses the revenue </w:t>
      </w:r>
      <w:r>
        <w:t>from</w:t>
      </w:r>
      <w:r w:rsidRPr="001167F7">
        <w:t xml:space="preserve"> the sale of scarce land to fund</w:t>
      </w:r>
      <w:r>
        <w:t xml:space="preserve"> infrastructure and</w:t>
      </w:r>
      <w:r w:rsidRPr="001167F7">
        <w:t xml:space="preserve"> services for Canberrans</w:t>
      </w:r>
      <w:r>
        <w:t>; and</w:t>
      </w:r>
    </w:p>
    <w:p w:rsidR="009124FB" w:rsidRPr="00496C80" w:rsidRDefault="00496C80" w:rsidP="00496C80">
      <w:pPr>
        <w:pStyle w:val="DPSEntryIndents"/>
        <w:rPr>
          <w:color w:val="000000"/>
        </w:rPr>
      </w:pPr>
      <w:r>
        <w:t>c</w:t>
      </w:r>
      <w:r w:rsidRPr="00496C80">
        <w:t xml:space="preserve">alls on the ACT Government to continue to implement its affordable housing agenda and work towards further diversifying housing choice consistent with the </w:t>
      </w:r>
      <w:r w:rsidRPr="00436498">
        <w:rPr>
          <w:iCs/>
        </w:rPr>
        <w:t>ACT Housing Strategy</w:t>
      </w:r>
      <w:r w:rsidRPr="00436498">
        <w:t>.”</w:t>
      </w:r>
      <w:r>
        <w:t>.</w:t>
      </w:r>
    </w:p>
    <w:p w:rsidR="00C4505A" w:rsidRPr="00B24A73" w:rsidRDefault="009124FB" w:rsidP="001B36A1">
      <w:pPr>
        <w:spacing w:before="120"/>
        <w:ind w:left="720" w:right="-35"/>
        <w:jc w:val="both"/>
        <w:rPr>
          <w:rFonts w:ascii="Calibri" w:hAnsi="Calibri"/>
          <w:color w:val="000000"/>
          <w:lang w:val="en-AU"/>
        </w:rPr>
      </w:pPr>
      <w:r>
        <w:rPr>
          <w:rFonts w:ascii="Calibri" w:hAnsi="Calibri"/>
          <w:color w:val="000000"/>
          <w:lang w:val="en-AU"/>
        </w:rPr>
        <w:t>Debate continued.</w:t>
      </w:r>
    </w:p>
    <w:p w:rsidR="00CB3F75" w:rsidRDefault="00CB3F75" w:rsidP="00CB3F75">
      <w:pPr>
        <w:spacing w:before="120"/>
        <w:ind w:left="720"/>
        <w:jc w:val="both"/>
        <w:rPr>
          <w:rFonts w:ascii="Calibri" w:hAnsi="Calibri"/>
          <w:color w:val="000000"/>
          <w:lang w:val="en-AU"/>
        </w:rPr>
      </w:pPr>
      <w:r w:rsidRPr="00B24A73">
        <w:rPr>
          <w:rFonts w:ascii="Calibri" w:hAnsi="Calibri"/>
          <w:color w:val="000000"/>
          <w:lang w:val="en-AU"/>
        </w:rPr>
        <w:t>Question—</w:t>
      </w:r>
      <w:r w:rsidR="006462DD">
        <w:rPr>
          <w:rFonts w:ascii="Calibri" w:hAnsi="Calibri"/>
          <w:color w:val="000000"/>
          <w:lang w:val="en-AU"/>
        </w:rPr>
        <w:t>T</w:t>
      </w:r>
      <w:r w:rsidR="001B36A1">
        <w:rPr>
          <w:rFonts w:ascii="Calibri" w:hAnsi="Calibri"/>
          <w:color w:val="000000"/>
          <w:lang w:val="en-AU"/>
        </w:rPr>
        <w:t>hat the amendment be agreed to—put.</w:t>
      </w:r>
    </w:p>
    <w:p w:rsidR="00216B15" w:rsidRDefault="00216B15" w:rsidP="00216B15">
      <w:pPr>
        <w:spacing w:before="120" w:after="120"/>
        <w:ind w:left="720"/>
        <w:rPr>
          <w:rFonts w:ascii="Calibri" w:hAnsi="Calibri"/>
          <w:color w:val="000000"/>
          <w:lang w:val="en-AU"/>
        </w:rPr>
      </w:pPr>
      <w:r>
        <w:rPr>
          <w:rFonts w:ascii="Calibri" w:hAnsi="Calibri"/>
          <w:color w:val="000000"/>
          <w:lang w:val="en-AU"/>
        </w:rPr>
        <w:t>The Assembly voted—</w:t>
      </w:r>
    </w:p>
    <w:tbl>
      <w:tblPr>
        <w:tblpPr w:rightFromText="180" w:vertAnchor="text" w:tblpY="1"/>
        <w:tblOverlap w:val="never"/>
        <w:tblW w:w="9331" w:type="dxa"/>
        <w:tblLayout w:type="fixed"/>
        <w:tblCellMar>
          <w:left w:w="0" w:type="dxa"/>
          <w:right w:w="56" w:type="dxa"/>
        </w:tblCellMar>
        <w:tblLook w:val="0000" w:firstRow="0" w:lastRow="0" w:firstColumn="0" w:lastColumn="0" w:noHBand="0" w:noVBand="0"/>
      </w:tblPr>
      <w:tblGrid>
        <w:gridCol w:w="720"/>
        <w:gridCol w:w="1980"/>
        <w:gridCol w:w="1382"/>
        <w:gridCol w:w="624"/>
        <w:gridCol w:w="35"/>
        <w:gridCol w:w="389"/>
        <w:gridCol w:w="2160"/>
        <w:gridCol w:w="1498"/>
        <w:gridCol w:w="543"/>
      </w:tblGrid>
      <w:tr w:rsidR="00216B15" w:rsidTr="00216B15">
        <w:trPr>
          <w:gridAfter w:val="1"/>
          <w:wAfter w:w="543" w:type="dxa"/>
        </w:trPr>
        <w:tc>
          <w:tcPr>
            <w:tcW w:w="4082" w:type="dxa"/>
            <w:gridSpan w:val="3"/>
            <w:shd w:val="clear" w:color="auto" w:fill="auto"/>
          </w:tcPr>
          <w:p w:rsidR="00216B15" w:rsidRDefault="00216B15" w:rsidP="00737CCB">
            <w:pPr>
              <w:tabs>
                <w:tab w:val="center" w:pos="2340"/>
              </w:tabs>
              <w:spacing w:before="120"/>
              <w:rPr>
                <w:rFonts w:ascii="Calibri" w:hAnsi="Calibri"/>
                <w:color w:val="000000"/>
                <w:lang w:val="en-AU"/>
              </w:rPr>
            </w:pPr>
            <w:r>
              <w:rPr>
                <w:rFonts w:ascii="Calibri" w:hAnsi="Calibri"/>
                <w:color w:val="000000"/>
                <w:lang w:val="en-AU"/>
              </w:rPr>
              <w:tab/>
              <w:t>AYES, 12</w:t>
            </w:r>
          </w:p>
        </w:tc>
        <w:tc>
          <w:tcPr>
            <w:tcW w:w="624" w:type="dxa"/>
            <w:shd w:val="clear" w:color="auto" w:fill="auto"/>
          </w:tcPr>
          <w:p w:rsidR="00216B15" w:rsidRDefault="00216B15" w:rsidP="00216B15">
            <w:pPr>
              <w:spacing w:before="120"/>
              <w:rPr>
                <w:rFonts w:ascii="Calibri" w:hAnsi="Calibri"/>
                <w:color w:val="000000"/>
                <w:lang w:val="en-AU"/>
              </w:rPr>
            </w:pPr>
          </w:p>
        </w:tc>
        <w:tc>
          <w:tcPr>
            <w:tcW w:w="4082" w:type="dxa"/>
            <w:gridSpan w:val="4"/>
            <w:shd w:val="clear" w:color="auto" w:fill="auto"/>
          </w:tcPr>
          <w:p w:rsidR="00216B15" w:rsidRDefault="00216B15" w:rsidP="00737CCB">
            <w:pPr>
              <w:tabs>
                <w:tab w:val="center" w:pos="2224"/>
              </w:tabs>
              <w:spacing w:before="120"/>
              <w:rPr>
                <w:rFonts w:ascii="Calibri" w:hAnsi="Calibri"/>
                <w:color w:val="000000"/>
                <w:lang w:val="en-AU"/>
              </w:rPr>
            </w:pPr>
            <w:r>
              <w:rPr>
                <w:rFonts w:ascii="Calibri" w:hAnsi="Calibri"/>
                <w:color w:val="000000"/>
                <w:lang w:val="en-AU"/>
              </w:rPr>
              <w:tab/>
              <w:t>NOES, 9</w:t>
            </w:r>
          </w:p>
        </w:tc>
      </w:tr>
      <w:tr w:rsidR="00216B15" w:rsidTr="00216B15">
        <w:trPr>
          <w:gridBefore w:val="1"/>
          <w:wBefore w:w="720" w:type="dxa"/>
          <w:trHeight w:hRule="exact" w:val="312"/>
        </w:trPr>
        <w:tc>
          <w:tcPr>
            <w:tcW w:w="1980" w:type="dxa"/>
            <w:shd w:val="clear" w:color="auto" w:fill="auto"/>
          </w:tcPr>
          <w:p w:rsidR="00216B15" w:rsidRDefault="00216B15" w:rsidP="00216B15">
            <w:pPr>
              <w:rPr>
                <w:rFonts w:ascii="Calibri" w:hAnsi="Calibri"/>
                <w:color w:val="000000"/>
                <w:lang w:val="en-AU"/>
              </w:rPr>
            </w:pPr>
            <w:r>
              <w:rPr>
                <w:rFonts w:ascii="Calibri" w:hAnsi="Calibri"/>
                <w:color w:val="000000"/>
                <w:lang w:val="en-AU"/>
              </w:rPr>
              <w:t>Ms Berry</w:t>
            </w:r>
          </w:p>
        </w:tc>
        <w:tc>
          <w:tcPr>
            <w:tcW w:w="2041" w:type="dxa"/>
            <w:gridSpan w:val="3"/>
            <w:shd w:val="clear" w:color="auto" w:fill="auto"/>
          </w:tcPr>
          <w:p w:rsidR="00216B15" w:rsidRDefault="00216B15" w:rsidP="00216B15">
            <w:pPr>
              <w:rPr>
                <w:rFonts w:ascii="Calibri" w:hAnsi="Calibri"/>
                <w:color w:val="000000"/>
                <w:lang w:val="en-AU"/>
              </w:rPr>
            </w:pPr>
            <w:r>
              <w:rPr>
                <w:rFonts w:ascii="Calibri" w:hAnsi="Calibri"/>
                <w:color w:val="000000"/>
                <w:lang w:val="en-AU"/>
              </w:rPr>
              <w:t>Mr Pettersson</w:t>
            </w:r>
          </w:p>
        </w:tc>
        <w:tc>
          <w:tcPr>
            <w:tcW w:w="389" w:type="dxa"/>
            <w:shd w:val="clear" w:color="auto" w:fill="auto"/>
          </w:tcPr>
          <w:p w:rsidR="00216B15" w:rsidRDefault="00216B15" w:rsidP="00216B15">
            <w:pPr>
              <w:spacing w:before="120"/>
              <w:rPr>
                <w:rFonts w:ascii="Calibri" w:hAnsi="Calibri"/>
                <w:color w:val="000000"/>
                <w:lang w:val="en-AU"/>
              </w:rPr>
            </w:pPr>
          </w:p>
        </w:tc>
        <w:tc>
          <w:tcPr>
            <w:tcW w:w="2160" w:type="dxa"/>
            <w:shd w:val="clear" w:color="auto" w:fill="auto"/>
          </w:tcPr>
          <w:p w:rsidR="00216B15" w:rsidRDefault="00216B15" w:rsidP="00216B15">
            <w:pPr>
              <w:rPr>
                <w:rFonts w:ascii="Calibri" w:hAnsi="Calibri"/>
                <w:color w:val="000000"/>
                <w:lang w:val="en-AU"/>
              </w:rPr>
            </w:pPr>
            <w:r>
              <w:rPr>
                <w:rFonts w:ascii="Calibri" w:hAnsi="Calibri"/>
                <w:color w:val="000000"/>
                <w:lang w:val="en-AU"/>
              </w:rPr>
              <w:t>Miss C. Burch</w:t>
            </w:r>
          </w:p>
        </w:tc>
        <w:tc>
          <w:tcPr>
            <w:tcW w:w="2041" w:type="dxa"/>
            <w:gridSpan w:val="2"/>
            <w:shd w:val="clear" w:color="auto" w:fill="auto"/>
          </w:tcPr>
          <w:p w:rsidR="00216B15" w:rsidRDefault="00216B15" w:rsidP="00216B15">
            <w:pPr>
              <w:rPr>
                <w:rFonts w:ascii="Calibri" w:hAnsi="Calibri"/>
                <w:color w:val="000000"/>
                <w:lang w:val="en-AU"/>
              </w:rPr>
            </w:pPr>
            <w:r>
              <w:rPr>
                <w:rFonts w:ascii="Calibri" w:hAnsi="Calibri"/>
                <w:color w:val="000000"/>
                <w:lang w:val="en-AU"/>
              </w:rPr>
              <w:t>Mr Milligan</w:t>
            </w:r>
          </w:p>
        </w:tc>
      </w:tr>
      <w:tr w:rsidR="00216B15" w:rsidTr="00216B15">
        <w:trPr>
          <w:gridBefore w:val="1"/>
          <w:wBefore w:w="720" w:type="dxa"/>
          <w:trHeight w:hRule="exact" w:val="312"/>
        </w:trPr>
        <w:tc>
          <w:tcPr>
            <w:tcW w:w="1980" w:type="dxa"/>
            <w:shd w:val="clear" w:color="auto" w:fill="auto"/>
          </w:tcPr>
          <w:p w:rsidR="00216B15" w:rsidRDefault="00216B15" w:rsidP="00216B15">
            <w:pPr>
              <w:rPr>
                <w:rFonts w:ascii="Calibri" w:hAnsi="Calibri"/>
                <w:color w:val="000000"/>
                <w:lang w:val="en-AU"/>
              </w:rPr>
            </w:pPr>
            <w:r>
              <w:rPr>
                <w:rFonts w:ascii="Calibri" w:hAnsi="Calibri"/>
                <w:color w:val="000000"/>
                <w:lang w:val="en-AU"/>
              </w:rPr>
              <w:t>Ms J. Burch</w:t>
            </w:r>
          </w:p>
        </w:tc>
        <w:tc>
          <w:tcPr>
            <w:tcW w:w="2041" w:type="dxa"/>
            <w:gridSpan w:val="3"/>
            <w:shd w:val="clear" w:color="auto" w:fill="auto"/>
          </w:tcPr>
          <w:p w:rsidR="00216B15" w:rsidRDefault="00216B15" w:rsidP="00216B15">
            <w:pPr>
              <w:rPr>
                <w:rFonts w:ascii="Calibri" w:hAnsi="Calibri"/>
                <w:color w:val="000000"/>
                <w:lang w:val="en-AU"/>
              </w:rPr>
            </w:pPr>
            <w:r>
              <w:rPr>
                <w:rFonts w:ascii="Calibri" w:hAnsi="Calibri"/>
                <w:color w:val="000000"/>
                <w:lang w:val="en-AU"/>
              </w:rPr>
              <w:t>Mr Ramsay</w:t>
            </w:r>
          </w:p>
        </w:tc>
        <w:tc>
          <w:tcPr>
            <w:tcW w:w="389" w:type="dxa"/>
            <w:shd w:val="clear" w:color="auto" w:fill="auto"/>
          </w:tcPr>
          <w:p w:rsidR="00216B15" w:rsidRDefault="00216B15" w:rsidP="00216B15">
            <w:pPr>
              <w:spacing w:before="120"/>
              <w:rPr>
                <w:rFonts w:ascii="Calibri" w:hAnsi="Calibri"/>
                <w:color w:val="000000"/>
                <w:lang w:val="en-AU"/>
              </w:rPr>
            </w:pPr>
          </w:p>
        </w:tc>
        <w:tc>
          <w:tcPr>
            <w:tcW w:w="2160" w:type="dxa"/>
            <w:shd w:val="clear" w:color="auto" w:fill="auto"/>
          </w:tcPr>
          <w:p w:rsidR="00216B15" w:rsidRDefault="00216B15" w:rsidP="00216B15">
            <w:pPr>
              <w:rPr>
                <w:rFonts w:ascii="Calibri" w:hAnsi="Calibri"/>
                <w:color w:val="000000"/>
                <w:lang w:val="en-AU"/>
              </w:rPr>
            </w:pPr>
            <w:r>
              <w:rPr>
                <w:rFonts w:ascii="Calibri" w:hAnsi="Calibri"/>
                <w:color w:val="000000"/>
                <w:lang w:val="en-AU"/>
              </w:rPr>
              <w:t>Mr Coe</w:t>
            </w:r>
          </w:p>
        </w:tc>
        <w:tc>
          <w:tcPr>
            <w:tcW w:w="2041" w:type="dxa"/>
            <w:gridSpan w:val="2"/>
            <w:shd w:val="clear" w:color="auto" w:fill="auto"/>
          </w:tcPr>
          <w:p w:rsidR="00216B15" w:rsidRDefault="00216B15" w:rsidP="00216B15">
            <w:pPr>
              <w:rPr>
                <w:rFonts w:ascii="Calibri" w:hAnsi="Calibri"/>
                <w:color w:val="000000"/>
                <w:lang w:val="en-AU"/>
              </w:rPr>
            </w:pPr>
            <w:r>
              <w:rPr>
                <w:rFonts w:ascii="Calibri" w:hAnsi="Calibri"/>
                <w:color w:val="000000"/>
                <w:lang w:val="en-AU"/>
              </w:rPr>
              <w:t>Mr Parton</w:t>
            </w:r>
          </w:p>
        </w:tc>
      </w:tr>
      <w:tr w:rsidR="00216B15" w:rsidTr="00216B15">
        <w:trPr>
          <w:gridBefore w:val="1"/>
          <w:wBefore w:w="720" w:type="dxa"/>
          <w:trHeight w:hRule="exact" w:val="312"/>
        </w:trPr>
        <w:tc>
          <w:tcPr>
            <w:tcW w:w="1980" w:type="dxa"/>
            <w:shd w:val="clear" w:color="auto" w:fill="auto"/>
          </w:tcPr>
          <w:p w:rsidR="00216B15" w:rsidRDefault="00216B15" w:rsidP="00216B15">
            <w:pPr>
              <w:rPr>
                <w:rFonts w:ascii="Calibri" w:hAnsi="Calibri"/>
                <w:color w:val="000000"/>
                <w:lang w:val="en-AU"/>
              </w:rPr>
            </w:pPr>
            <w:r>
              <w:rPr>
                <w:rFonts w:ascii="Calibri" w:hAnsi="Calibri"/>
                <w:color w:val="000000"/>
                <w:lang w:val="en-AU"/>
              </w:rPr>
              <w:t>Ms Cheyne</w:t>
            </w:r>
          </w:p>
        </w:tc>
        <w:tc>
          <w:tcPr>
            <w:tcW w:w="2041" w:type="dxa"/>
            <w:gridSpan w:val="3"/>
            <w:shd w:val="clear" w:color="auto" w:fill="auto"/>
          </w:tcPr>
          <w:p w:rsidR="00216B15" w:rsidRDefault="00216B15" w:rsidP="00216B15">
            <w:pPr>
              <w:rPr>
                <w:rFonts w:ascii="Calibri" w:hAnsi="Calibri"/>
                <w:color w:val="000000"/>
                <w:lang w:val="en-AU"/>
              </w:rPr>
            </w:pPr>
            <w:r>
              <w:rPr>
                <w:rFonts w:ascii="Calibri" w:hAnsi="Calibri"/>
                <w:color w:val="000000"/>
                <w:lang w:val="en-AU"/>
              </w:rPr>
              <w:t>Mr Rattenbury</w:t>
            </w:r>
          </w:p>
        </w:tc>
        <w:tc>
          <w:tcPr>
            <w:tcW w:w="389" w:type="dxa"/>
            <w:shd w:val="clear" w:color="auto" w:fill="auto"/>
          </w:tcPr>
          <w:p w:rsidR="00216B15" w:rsidRDefault="00216B15" w:rsidP="00216B15">
            <w:pPr>
              <w:spacing w:before="120"/>
              <w:rPr>
                <w:rFonts w:ascii="Calibri" w:hAnsi="Calibri"/>
                <w:color w:val="000000"/>
                <w:lang w:val="en-AU"/>
              </w:rPr>
            </w:pPr>
          </w:p>
        </w:tc>
        <w:tc>
          <w:tcPr>
            <w:tcW w:w="2160" w:type="dxa"/>
            <w:shd w:val="clear" w:color="auto" w:fill="auto"/>
          </w:tcPr>
          <w:p w:rsidR="00216B15" w:rsidRDefault="00216B15" w:rsidP="00216B15">
            <w:pPr>
              <w:rPr>
                <w:rFonts w:ascii="Calibri" w:hAnsi="Calibri"/>
                <w:color w:val="000000"/>
                <w:lang w:val="en-AU"/>
              </w:rPr>
            </w:pPr>
            <w:r>
              <w:rPr>
                <w:rFonts w:ascii="Calibri" w:hAnsi="Calibri"/>
                <w:color w:val="000000"/>
                <w:lang w:val="en-AU"/>
              </w:rPr>
              <w:t>Mrs Dunne</w:t>
            </w:r>
          </w:p>
        </w:tc>
        <w:tc>
          <w:tcPr>
            <w:tcW w:w="2041" w:type="dxa"/>
            <w:gridSpan w:val="2"/>
            <w:shd w:val="clear" w:color="auto" w:fill="auto"/>
          </w:tcPr>
          <w:p w:rsidR="00216B15" w:rsidRDefault="00216B15" w:rsidP="00216B15">
            <w:pPr>
              <w:spacing w:before="120"/>
              <w:rPr>
                <w:rFonts w:ascii="Calibri" w:hAnsi="Calibri"/>
                <w:color w:val="000000"/>
                <w:lang w:val="en-AU"/>
              </w:rPr>
            </w:pPr>
          </w:p>
        </w:tc>
      </w:tr>
      <w:tr w:rsidR="00216B15" w:rsidTr="00216B15">
        <w:trPr>
          <w:gridBefore w:val="1"/>
          <w:wBefore w:w="720" w:type="dxa"/>
          <w:trHeight w:hRule="exact" w:val="312"/>
        </w:trPr>
        <w:tc>
          <w:tcPr>
            <w:tcW w:w="1980" w:type="dxa"/>
            <w:shd w:val="clear" w:color="auto" w:fill="auto"/>
          </w:tcPr>
          <w:p w:rsidR="00216B15" w:rsidRDefault="00216B15" w:rsidP="00216B15">
            <w:pPr>
              <w:rPr>
                <w:rFonts w:ascii="Calibri" w:hAnsi="Calibri"/>
                <w:color w:val="000000"/>
                <w:lang w:val="en-AU"/>
              </w:rPr>
            </w:pPr>
            <w:r>
              <w:rPr>
                <w:rFonts w:ascii="Calibri" w:hAnsi="Calibri"/>
                <w:color w:val="000000"/>
                <w:lang w:val="en-AU"/>
              </w:rPr>
              <w:t>Mr Gentleman</w:t>
            </w:r>
          </w:p>
        </w:tc>
        <w:tc>
          <w:tcPr>
            <w:tcW w:w="2041" w:type="dxa"/>
            <w:gridSpan w:val="3"/>
            <w:shd w:val="clear" w:color="auto" w:fill="auto"/>
          </w:tcPr>
          <w:p w:rsidR="00216B15" w:rsidRDefault="00216B15" w:rsidP="00216B15">
            <w:pPr>
              <w:rPr>
                <w:rFonts w:ascii="Calibri" w:hAnsi="Calibri"/>
                <w:color w:val="000000"/>
                <w:lang w:val="en-AU"/>
              </w:rPr>
            </w:pPr>
            <w:r>
              <w:rPr>
                <w:rFonts w:ascii="Calibri" w:hAnsi="Calibri"/>
                <w:color w:val="000000"/>
                <w:lang w:val="en-AU"/>
              </w:rPr>
              <w:t>Mr Steel</w:t>
            </w:r>
          </w:p>
        </w:tc>
        <w:tc>
          <w:tcPr>
            <w:tcW w:w="389" w:type="dxa"/>
            <w:shd w:val="clear" w:color="auto" w:fill="auto"/>
          </w:tcPr>
          <w:p w:rsidR="00216B15" w:rsidRDefault="00216B15" w:rsidP="00216B15">
            <w:pPr>
              <w:spacing w:before="120"/>
              <w:rPr>
                <w:rFonts w:ascii="Calibri" w:hAnsi="Calibri"/>
                <w:color w:val="000000"/>
                <w:lang w:val="en-AU"/>
              </w:rPr>
            </w:pPr>
          </w:p>
        </w:tc>
        <w:tc>
          <w:tcPr>
            <w:tcW w:w="2160" w:type="dxa"/>
            <w:shd w:val="clear" w:color="auto" w:fill="auto"/>
          </w:tcPr>
          <w:p w:rsidR="00216B15" w:rsidRDefault="00216B15" w:rsidP="00216B15">
            <w:pPr>
              <w:rPr>
                <w:rFonts w:ascii="Calibri" w:hAnsi="Calibri"/>
                <w:color w:val="000000"/>
                <w:lang w:val="en-AU"/>
              </w:rPr>
            </w:pPr>
            <w:r>
              <w:rPr>
                <w:rFonts w:ascii="Calibri" w:hAnsi="Calibri"/>
                <w:color w:val="000000"/>
                <w:lang w:val="en-AU"/>
              </w:rPr>
              <w:t>Mr Hanson</w:t>
            </w:r>
          </w:p>
        </w:tc>
        <w:tc>
          <w:tcPr>
            <w:tcW w:w="2041" w:type="dxa"/>
            <w:gridSpan w:val="2"/>
            <w:shd w:val="clear" w:color="auto" w:fill="auto"/>
          </w:tcPr>
          <w:p w:rsidR="00216B15" w:rsidRDefault="00216B15" w:rsidP="00216B15">
            <w:pPr>
              <w:spacing w:before="120"/>
              <w:rPr>
                <w:rFonts w:ascii="Calibri" w:hAnsi="Calibri"/>
                <w:color w:val="000000"/>
                <w:lang w:val="en-AU"/>
              </w:rPr>
            </w:pPr>
          </w:p>
        </w:tc>
      </w:tr>
      <w:tr w:rsidR="00216B15" w:rsidTr="00216B15">
        <w:trPr>
          <w:gridBefore w:val="1"/>
          <w:wBefore w:w="720" w:type="dxa"/>
          <w:trHeight w:hRule="exact" w:val="312"/>
        </w:trPr>
        <w:tc>
          <w:tcPr>
            <w:tcW w:w="1980" w:type="dxa"/>
            <w:shd w:val="clear" w:color="auto" w:fill="auto"/>
          </w:tcPr>
          <w:p w:rsidR="00216B15" w:rsidRDefault="00216B15" w:rsidP="00216B15">
            <w:pPr>
              <w:rPr>
                <w:rFonts w:ascii="Calibri" w:hAnsi="Calibri"/>
                <w:color w:val="000000"/>
                <w:lang w:val="en-AU"/>
              </w:rPr>
            </w:pPr>
            <w:r>
              <w:rPr>
                <w:rFonts w:ascii="Calibri" w:hAnsi="Calibri"/>
                <w:color w:val="000000"/>
                <w:lang w:val="en-AU"/>
              </w:rPr>
              <w:t>Mr Gupta</w:t>
            </w:r>
          </w:p>
        </w:tc>
        <w:tc>
          <w:tcPr>
            <w:tcW w:w="2041" w:type="dxa"/>
            <w:gridSpan w:val="3"/>
            <w:shd w:val="clear" w:color="auto" w:fill="auto"/>
          </w:tcPr>
          <w:p w:rsidR="00216B15" w:rsidRDefault="00216B15" w:rsidP="00216B15">
            <w:pPr>
              <w:rPr>
                <w:rFonts w:ascii="Calibri" w:hAnsi="Calibri"/>
                <w:color w:val="000000"/>
                <w:lang w:val="en-AU"/>
              </w:rPr>
            </w:pPr>
            <w:r>
              <w:rPr>
                <w:rFonts w:ascii="Calibri" w:hAnsi="Calibri"/>
                <w:color w:val="000000"/>
                <w:lang w:val="en-AU"/>
              </w:rPr>
              <w:t>Ms Stephen-Smith</w:t>
            </w:r>
          </w:p>
        </w:tc>
        <w:tc>
          <w:tcPr>
            <w:tcW w:w="389" w:type="dxa"/>
            <w:shd w:val="clear" w:color="auto" w:fill="auto"/>
          </w:tcPr>
          <w:p w:rsidR="00216B15" w:rsidRDefault="00216B15" w:rsidP="00216B15">
            <w:pPr>
              <w:spacing w:before="120"/>
              <w:rPr>
                <w:rFonts w:ascii="Calibri" w:hAnsi="Calibri"/>
                <w:color w:val="000000"/>
                <w:lang w:val="en-AU"/>
              </w:rPr>
            </w:pPr>
          </w:p>
        </w:tc>
        <w:tc>
          <w:tcPr>
            <w:tcW w:w="2160" w:type="dxa"/>
            <w:shd w:val="clear" w:color="auto" w:fill="auto"/>
          </w:tcPr>
          <w:p w:rsidR="00216B15" w:rsidRDefault="00216B15" w:rsidP="00216B15">
            <w:pPr>
              <w:rPr>
                <w:rFonts w:ascii="Calibri" w:hAnsi="Calibri"/>
                <w:color w:val="000000"/>
                <w:lang w:val="en-AU"/>
              </w:rPr>
            </w:pPr>
            <w:r>
              <w:rPr>
                <w:rFonts w:ascii="Calibri" w:hAnsi="Calibri"/>
                <w:color w:val="000000"/>
                <w:lang w:val="en-AU"/>
              </w:rPr>
              <w:t>Mrs Kikkert</w:t>
            </w:r>
          </w:p>
        </w:tc>
        <w:tc>
          <w:tcPr>
            <w:tcW w:w="2041" w:type="dxa"/>
            <w:gridSpan w:val="2"/>
            <w:shd w:val="clear" w:color="auto" w:fill="auto"/>
          </w:tcPr>
          <w:p w:rsidR="00216B15" w:rsidRDefault="00216B15" w:rsidP="00216B15">
            <w:pPr>
              <w:spacing w:before="120"/>
              <w:rPr>
                <w:rFonts w:ascii="Calibri" w:hAnsi="Calibri"/>
                <w:color w:val="000000"/>
                <w:lang w:val="en-AU"/>
              </w:rPr>
            </w:pPr>
          </w:p>
        </w:tc>
      </w:tr>
      <w:tr w:rsidR="00216B15" w:rsidTr="00216B15">
        <w:trPr>
          <w:gridBefore w:val="1"/>
          <w:wBefore w:w="720" w:type="dxa"/>
          <w:trHeight w:hRule="exact" w:val="312"/>
        </w:trPr>
        <w:tc>
          <w:tcPr>
            <w:tcW w:w="1980" w:type="dxa"/>
            <w:shd w:val="clear" w:color="auto" w:fill="auto"/>
          </w:tcPr>
          <w:p w:rsidR="00216B15" w:rsidRDefault="00216B15" w:rsidP="00216B15">
            <w:pPr>
              <w:rPr>
                <w:rFonts w:ascii="Calibri" w:hAnsi="Calibri"/>
                <w:color w:val="000000"/>
                <w:lang w:val="en-AU"/>
              </w:rPr>
            </w:pPr>
            <w:r>
              <w:rPr>
                <w:rFonts w:ascii="Calibri" w:hAnsi="Calibri"/>
                <w:color w:val="000000"/>
                <w:lang w:val="en-AU"/>
              </w:rPr>
              <w:t>Ms Le Couteur</w:t>
            </w:r>
          </w:p>
        </w:tc>
        <w:tc>
          <w:tcPr>
            <w:tcW w:w="2041" w:type="dxa"/>
            <w:gridSpan w:val="3"/>
            <w:shd w:val="clear" w:color="auto" w:fill="auto"/>
          </w:tcPr>
          <w:p w:rsidR="00216B15" w:rsidRDefault="00216B15" w:rsidP="00216B15">
            <w:pPr>
              <w:spacing w:before="120"/>
              <w:rPr>
                <w:rFonts w:ascii="Calibri" w:hAnsi="Calibri"/>
                <w:color w:val="000000"/>
                <w:lang w:val="en-AU"/>
              </w:rPr>
            </w:pPr>
          </w:p>
        </w:tc>
        <w:tc>
          <w:tcPr>
            <w:tcW w:w="389" w:type="dxa"/>
            <w:shd w:val="clear" w:color="auto" w:fill="auto"/>
          </w:tcPr>
          <w:p w:rsidR="00216B15" w:rsidRDefault="00216B15" w:rsidP="00216B15">
            <w:pPr>
              <w:spacing w:before="120"/>
              <w:rPr>
                <w:rFonts w:ascii="Calibri" w:hAnsi="Calibri"/>
                <w:color w:val="000000"/>
                <w:lang w:val="en-AU"/>
              </w:rPr>
            </w:pPr>
          </w:p>
        </w:tc>
        <w:tc>
          <w:tcPr>
            <w:tcW w:w="2160" w:type="dxa"/>
            <w:shd w:val="clear" w:color="auto" w:fill="auto"/>
          </w:tcPr>
          <w:p w:rsidR="00216B15" w:rsidRDefault="00216B15" w:rsidP="00216B15">
            <w:pPr>
              <w:rPr>
                <w:rFonts w:ascii="Calibri" w:hAnsi="Calibri"/>
                <w:color w:val="000000"/>
                <w:lang w:val="en-AU"/>
              </w:rPr>
            </w:pPr>
            <w:r>
              <w:rPr>
                <w:rFonts w:ascii="Calibri" w:hAnsi="Calibri"/>
                <w:color w:val="000000"/>
                <w:lang w:val="en-AU"/>
              </w:rPr>
              <w:t>Ms Lawder</w:t>
            </w:r>
          </w:p>
        </w:tc>
        <w:tc>
          <w:tcPr>
            <w:tcW w:w="2041" w:type="dxa"/>
            <w:gridSpan w:val="2"/>
            <w:shd w:val="clear" w:color="auto" w:fill="auto"/>
          </w:tcPr>
          <w:p w:rsidR="00216B15" w:rsidRDefault="00216B15" w:rsidP="00216B15">
            <w:pPr>
              <w:spacing w:before="120"/>
              <w:rPr>
                <w:rFonts w:ascii="Calibri" w:hAnsi="Calibri"/>
                <w:color w:val="000000"/>
                <w:lang w:val="en-AU"/>
              </w:rPr>
            </w:pPr>
          </w:p>
        </w:tc>
      </w:tr>
      <w:tr w:rsidR="00216B15" w:rsidTr="00216B15">
        <w:trPr>
          <w:gridBefore w:val="1"/>
          <w:wBefore w:w="720" w:type="dxa"/>
          <w:trHeight w:hRule="exact" w:val="312"/>
        </w:trPr>
        <w:tc>
          <w:tcPr>
            <w:tcW w:w="1980" w:type="dxa"/>
            <w:shd w:val="clear" w:color="auto" w:fill="auto"/>
          </w:tcPr>
          <w:p w:rsidR="00216B15" w:rsidRDefault="00216B15" w:rsidP="00216B15">
            <w:pPr>
              <w:rPr>
                <w:rFonts w:ascii="Calibri" w:hAnsi="Calibri"/>
                <w:color w:val="000000"/>
                <w:lang w:val="en-AU"/>
              </w:rPr>
            </w:pPr>
            <w:r>
              <w:rPr>
                <w:rFonts w:ascii="Calibri" w:hAnsi="Calibri"/>
                <w:color w:val="000000"/>
                <w:lang w:val="en-AU"/>
              </w:rPr>
              <w:t>Ms Orr</w:t>
            </w:r>
          </w:p>
        </w:tc>
        <w:tc>
          <w:tcPr>
            <w:tcW w:w="2041" w:type="dxa"/>
            <w:gridSpan w:val="3"/>
            <w:shd w:val="clear" w:color="auto" w:fill="auto"/>
          </w:tcPr>
          <w:p w:rsidR="00216B15" w:rsidRDefault="00216B15" w:rsidP="00216B15">
            <w:pPr>
              <w:spacing w:before="120"/>
              <w:rPr>
                <w:rFonts w:ascii="Calibri" w:hAnsi="Calibri"/>
                <w:color w:val="000000"/>
                <w:lang w:val="en-AU"/>
              </w:rPr>
            </w:pPr>
          </w:p>
        </w:tc>
        <w:tc>
          <w:tcPr>
            <w:tcW w:w="389" w:type="dxa"/>
            <w:shd w:val="clear" w:color="auto" w:fill="auto"/>
          </w:tcPr>
          <w:p w:rsidR="00216B15" w:rsidRDefault="00216B15" w:rsidP="00216B15">
            <w:pPr>
              <w:spacing w:before="120"/>
              <w:rPr>
                <w:rFonts w:ascii="Calibri" w:hAnsi="Calibri"/>
                <w:color w:val="000000"/>
                <w:lang w:val="en-AU"/>
              </w:rPr>
            </w:pPr>
          </w:p>
        </w:tc>
        <w:tc>
          <w:tcPr>
            <w:tcW w:w="2160" w:type="dxa"/>
            <w:shd w:val="clear" w:color="auto" w:fill="auto"/>
          </w:tcPr>
          <w:p w:rsidR="00216B15" w:rsidRDefault="00216B15" w:rsidP="00216B15">
            <w:pPr>
              <w:rPr>
                <w:rFonts w:ascii="Calibri" w:hAnsi="Calibri"/>
                <w:color w:val="000000"/>
                <w:lang w:val="en-AU"/>
              </w:rPr>
            </w:pPr>
            <w:r>
              <w:rPr>
                <w:rFonts w:ascii="Calibri" w:hAnsi="Calibri"/>
                <w:color w:val="000000"/>
                <w:lang w:val="en-AU"/>
              </w:rPr>
              <w:t>Ms Lee</w:t>
            </w:r>
          </w:p>
        </w:tc>
        <w:tc>
          <w:tcPr>
            <w:tcW w:w="2041" w:type="dxa"/>
            <w:gridSpan w:val="2"/>
            <w:shd w:val="clear" w:color="auto" w:fill="auto"/>
          </w:tcPr>
          <w:p w:rsidR="00216B15" w:rsidRDefault="00216B15" w:rsidP="00216B15">
            <w:pPr>
              <w:spacing w:before="120"/>
              <w:rPr>
                <w:rFonts w:ascii="Calibri" w:hAnsi="Calibri"/>
                <w:color w:val="000000"/>
                <w:lang w:val="en-AU"/>
              </w:rPr>
            </w:pPr>
          </w:p>
        </w:tc>
      </w:tr>
    </w:tbl>
    <w:p w:rsidR="00216B15" w:rsidRDefault="00216B15" w:rsidP="00216B15">
      <w:pPr>
        <w:spacing w:before="120"/>
        <w:ind w:left="720"/>
        <w:rPr>
          <w:rFonts w:ascii="Calibri" w:hAnsi="Calibri"/>
          <w:color w:val="000000"/>
          <w:lang w:val="en-AU"/>
        </w:rPr>
      </w:pPr>
      <w:r>
        <w:rPr>
          <w:rFonts w:ascii="Calibri" w:hAnsi="Calibri"/>
          <w:color w:val="000000"/>
          <w:lang w:val="en-AU"/>
        </w:rPr>
        <w:t>And so it was resolved in the affirmative.</w:t>
      </w:r>
    </w:p>
    <w:p w:rsidR="00216B15" w:rsidRDefault="00216B15" w:rsidP="00216B15">
      <w:pPr>
        <w:spacing w:before="120"/>
        <w:ind w:left="720"/>
        <w:rPr>
          <w:rFonts w:ascii="Calibri" w:hAnsi="Calibri"/>
          <w:color w:val="000000"/>
          <w:lang w:val="en-AU"/>
        </w:rPr>
      </w:pPr>
      <w:r>
        <w:rPr>
          <w:rFonts w:ascii="Calibri" w:hAnsi="Calibri"/>
          <w:color w:val="000000"/>
          <w:lang w:val="en-AU"/>
        </w:rPr>
        <w:t>Question—That the motion, as amendment, viz:</w:t>
      </w:r>
    </w:p>
    <w:p w:rsidR="00216B15" w:rsidRDefault="00216B15" w:rsidP="00216B15">
      <w:pPr>
        <w:spacing w:before="120"/>
        <w:ind w:left="720"/>
        <w:rPr>
          <w:rFonts w:ascii="Calibri" w:hAnsi="Calibri"/>
          <w:color w:val="000000"/>
          <w:lang w:val="en-AU"/>
        </w:rPr>
      </w:pPr>
      <w:r>
        <w:rPr>
          <w:rFonts w:ascii="Calibri" w:hAnsi="Calibri"/>
          <w:color w:val="000000"/>
          <w:lang w:val="en-AU"/>
        </w:rPr>
        <w:t>“That this Assembly:</w:t>
      </w:r>
    </w:p>
    <w:p w:rsidR="0008781F" w:rsidRPr="004F5293" w:rsidRDefault="0008781F" w:rsidP="0008781F">
      <w:pPr>
        <w:pStyle w:val="DPSEntryIndents"/>
        <w:numPr>
          <w:ilvl w:val="0"/>
          <w:numId w:val="13"/>
        </w:numPr>
      </w:pPr>
      <w:r>
        <w:t>n</w:t>
      </w:r>
      <w:r w:rsidRPr="004F5293">
        <w:t>otes</w:t>
      </w:r>
      <w:r>
        <w:t>:</w:t>
      </w:r>
    </w:p>
    <w:p w:rsidR="0008781F" w:rsidRPr="006A4D07" w:rsidRDefault="0008781F" w:rsidP="0008781F">
      <w:pPr>
        <w:pStyle w:val="DPSEntryIndents"/>
        <w:numPr>
          <w:ilvl w:val="1"/>
          <w:numId w:val="3"/>
        </w:numPr>
      </w:pPr>
      <w:r>
        <w:t>t</w:t>
      </w:r>
      <w:r w:rsidRPr="006A4D07">
        <w:t>he Commonwealth Government’</w:t>
      </w:r>
      <w:r>
        <w:t xml:space="preserve">s HomeBuilder scheme grants $25 </w:t>
      </w:r>
      <w:r w:rsidRPr="006A4D07">
        <w:t>000 for house and land pa</w:t>
      </w:r>
      <w:r>
        <w:t xml:space="preserve">ckages valued at less than $750 </w:t>
      </w:r>
      <w:r w:rsidRPr="006A4D07">
        <w:t>000;</w:t>
      </w:r>
    </w:p>
    <w:p w:rsidR="0008781F" w:rsidRPr="006A4D07" w:rsidRDefault="0008781F" w:rsidP="0008781F">
      <w:pPr>
        <w:pStyle w:val="DPSEntryIndents"/>
        <w:numPr>
          <w:ilvl w:val="1"/>
          <w:numId w:val="3"/>
        </w:numPr>
      </w:pPr>
      <w:r w:rsidRPr="006A4D07">
        <w:t>there are 346 single residential blocks available over the counter through the Suburban Land Agency and the Ginninderry development as at 20 July 2020</w:t>
      </w:r>
      <w:r>
        <w:t>,</w:t>
      </w:r>
      <w:r w:rsidRPr="006A4D07">
        <w:t xml:space="preserve"> ranging in price between $197</w:t>
      </w:r>
      <w:r>
        <w:t xml:space="preserve"> </w:t>
      </w:r>
      <w:r w:rsidRPr="006A4D07">
        <w:t>000 and $640</w:t>
      </w:r>
      <w:r>
        <w:t xml:space="preserve"> </w:t>
      </w:r>
      <w:r w:rsidRPr="006A4D07">
        <w:t>000;</w:t>
      </w:r>
    </w:p>
    <w:p w:rsidR="0008781F" w:rsidRPr="006A4D07" w:rsidRDefault="0008781F" w:rsidP="0008781F">
      <w:pPr>
        <w:pStyle w:val="DPSEntryIndents"/>
        <w:numPr>
          <w:ilvl w:val="1"/>
          <w:numId w:val="3"/>
        </w:numPr>
      </w:pPr>
      <w:r w:rsidRPr="006A4D07">
        <w:t xml:space="preserve">the average </w:t>
      </w:r>
      <w:r>
        <w:t xml:space="preserve">cost to build an average sized three </w:t>
      </w:r>
      <w:r w:rsidRPr="006A4D07">
        <w:t>bedroom home, which would suit most first home buyers</w:t>
      </w:r>
      <w:r>
        <w:t>,</w:t>
      </w:r>
      <w:r w:rsidRPr="006A4D07">
        <w:t xml:space="preserve"> is $330</w:t>
      </w:r>
      <w:r>
        <w:t xml:space="preserve"> </w:t>
      </w:r>
      <w:r w:rsidRPr="006A4D07">
        <w:t>000;</w:t>
      </w:r>
    </w:p>
    <w:p w:rsidR="0008781F" w:rsidRPr="006A4D07" w:rsidRDefault="0008781F" w:rsidP="0008781F">
      <w:pPr>
        <w:pStyle w:val="DPSEntryIndents"/>
        <w:numPr>
          <w:ilvl w:val="1"/>
          <w:numId w:val="3"/>
        </w:numPr>
      </w:pPr>
      <w:r w:rsidRPr="006A4D07">
        <w:t>there are 188 blocks available through the Suburban Land Agency and from the Ginninderry development as at 20 July 2020</w:t>
      </w:r>
      <w:r>
        <w:t>,</w:t>
      </w:r>
      <w:r w:rsidRPr="006A4D07">
        <w:t xml:space="preserve"> which are priced below $420,000 and could meet the combined thresholds under HomeBuilder; and</w:t>
      </w:r>
    </w:p>
    <w:p w:rsidR="0008781F" w:rsidRPr="006A4D07" w:rsidRDefault="0008781F" w:rsidP="0008781F">
      <w:pPr>
        <w:pStyle w:val="DPSEntryIndents"/>
        <w:numPr>
          <w:ilvl w:val="1"/>
          <w:numId w:val="3"/>
        </w:numPr>
      </w:pPr>
      <w:r w:rsidRPr="006A4D07">
        <w:t>the ACT Government</w:t>
      </w:r>
      <w:r>
        <w:t>:</w:t>
      </w:r>
    </w:p>
    <w:p w:rsidR="0008781F" w:rsidRPr="006A4D07" w:rsidRDefault="0008781F" w:rsidP="0008781F">
      <w:pPr>
        <w:pStyle w:val="DPSEntryIndents"/>
        <w:numPr>
          <w:ilvl w:val="2"/>
          <w:numId w:val="3"/>
        </w:numPr>
      </w:pPr>
      <w:r w:rsidRPr="006A4D07">
        <w:rPr>
          <w:color w:val="000000"/>
        </w:rPr>
        <w:t>was not consulted prior to the Commonwealth Government’s HomeBuilder announcement;</w:t>
      </w:r>
    </w:p>
    <w:p w:rsidR="0008781F" w:rsidRPr="00187446" w:rsidRDefault="0008781F" w:rsidP="0008781F">
      <w:pPr>
        <w:pStyle w:val="DPSEntryIndents"/>
        <w:numPr>
          <w:ilvl w:val="2"/>
          <w:numId w:val="3"/>
        </w:numPr>
      </w:pPr>
      <w:r>
        <w:rPr>
          <w:color w:val="000000"/>
        </w:rPr>
        <w:lastRenderedPageBreak/>
        <w:t>worked with the Commonwealth Government following the announcement of HomeBuilder to ensure those in the Territory who could meet the eligibility criteria would gain access to the Commonwealth scheme; and</w:t>
      </w:r>
    </w:p>
    <w:p w:rsidR="0008781F" w:rsidRPr="006A4D07" w:rsidRDefault="0008781F" w:rsidP="0008781F">
      <w:pPr>
        <w:pStyle w:val="DPSEntryIndents"/>
        <w:numPr>
          <w:ilvl w:val="2"/>
          <w:numId w:val="3"/>
        </w:numPr>
      </w:pPr>
      <w:r>
        <w:rPr>
          <w:color w:val="000000"/>
        </w:rPr>
        <w:t>since the announcement, worked with Commonwealth officials to address implementation issues associated with definitions, compliance and monitoring;</w:t>
      </w:r>
    </w:p>
    <w:p w:rsidR="0008781F" w:rsidRPr="006A4D07" w:rsidRDefault="0008781F" w:rsidP="0008781F">
      <w:pPr>
        <w:pStyle w:val="DPSEntryIndents"/>
        <w:numPr>
          <w:ilvl w:val="0"/>
          <w:numId w:val="12"/>
        </w:numPr>
      </w:pPr>
      <w:r>
        <w:t>f</w:t>
      </w:r>
      <w:r w:rsidRPr="006A4D07">
        <w:t>urther notes that the ACT Government:</w:t>
      </w:r>
    </w:p>
    <w:p w:rsidR="0008781F" w:rsidRPr="006A4D07" w:rsidRDefault="0008781F" w:rsidP="0008781F">
      <w:pPr>
        <w:pStyle w:val="DPSEntryIndents"/>
        <w:numPr>
          <w:ilvl w:val="1"/>
          <w:numId w:val="3"/>
        </w:numPr>
      </w:pPr>
      <w:r w:rsidRPr="006A4D07">
        <w:t>has removed stamp duty for eligible owner occupier home buyers until 30 June 2021</w:t>
      </w:r>
      <w:r>
        <w:t>,</w:t>
      </w:r>
      <w:r w:rsidRPr="006A4D07">
        <w:t xml:space="preserve"> with no stamp duty on single residential dwelling blocks and no stamp duty on off-the-plan unit titled purchases up to $500</w:t>
      </w:r>
      <w:r>
        <w:t xml:space="preserve"> </w:t>
      </w:r>
      <w:r w:rsidRPr="006A4D07">
        <w:t>000;</w:t>
      </w:r>
    </w:p>
    <w:p w:rsidR="0008781F" w:rsidRPr="006A4D07" w:rsidRDefault="0008781F" w:rsidP="0008781F">
      <w:pPr>
        <w:pStyle w:val="DPSEntryIndents"/>
        <w:numPr>
          <w:ilvl w:val="1"/>
          <w:numId w:val="3"/>
        </w:numPr>
      </w:pPr>
      <w:r w:rsidRPr="006A4D07">
        <w:t>has significantly reduced stamp duty for eligible owner occupier home buyers until 30 June 2021</w:t>
      </w:r>
      <w:r>
        <w:t>,</w:t>
      </w:r>
      <w:r w:rsidRPr="006A4D07">
        <w:t xml:space="preserve"> with an $11</w:t>
      </w:r>
      <w:r>
        <w:t xml:space="preserve"> </w:t>
      </w:r>
      <w:r w:rsidRPr="006A4D07">
        <w:t>4</w:t>
      </w:r>
      <w:r w:rsidR="00F65266">
        <w:t>00 stamp duty reduction for off</w:t>
      </w:r>
      <w:r w:rsidR="00F65266">
        <w:noBreakHyphen/>
      </w:r>
      <w:r w:rsidRPr="006A4D07">
        <w:t>the-plan unit titled purchases between $500</w:t>
      </w:r>
      <w:r>
        <w:t xml:space="preserve"> </w:t>
      </w:r>
      <w:r w:rsidRPr="006A4D07">
        <w:t>000 and $750</w:t>
      </w:r>
      <w:r>
        <w:t xml:space="preserve"> </w:t>
      </w:r>
      <w:r w:rsidRPr="006A4D07">
        <w:t>000;</w:t>
      </w:r>
    </w:p>
    <w:p w:rsidR="0008781F" w:rsidRPr="00CF0386" w:rsidRDefault="0008781F" w:rsidP="0008781F">
      <w:pPr>
        <w:pStyle w:val="DPSEntryIndents"/>
        <w:numPr>
          <w:ilvl w:val="1"/>
          <w:numId w:val="3"/>
        </w:numPr>
      </w:pPr>
      <w:r w:rsidRPr="006A4D07">
        <w:t>prices land according to its market value as determined by multiple independent valuations to ensure transparency</w:t>
      </w:r>
      <w:r w:rsidRPr="001167F7">
        <w:t xml:space="preserve"> and probity</w:t>
      </w:r>
      <w:r>
        <w:t>; and</w:t>
      </w:r>
    </w:p>
    <w:p w:rsidR="0008781F" w:rsidRPr="001167F7" w:rsidRDefault="0008781F" w:rsidP="0008781F">
      <w:pPr>
        <w:pStyle w:val="DPSEntryIndents"/>
        <w:numPr>
          <w:ilvl w:val="1"/>
          <w:numId w:val="3"/>
        </w:numPr>
      </w:pPr>
      <w:r w:rsidRPr="001167F7">
        <w:t xml:space="preserve">uses the revenue </w:t>
      </w:r>
      <w:r>
        <w:t>from</w:t>
      </w:r>
      <w:r w:rsidRPr="001167F7">
        <w:t xml:space="preserve"> the sale of scarce land to fund</w:t>
      </w:r>
      <w:r>
        <w:t xml:space="preserve"> infrastructure and</w:t>
      </w:r>
      <w:r w:rsidRPr="001167F7">
        <w:t xml:space="preserve"> services for Canberrans</w:t>
      </w:r>
      <w:r>
        <w:t>; and</w:t>
      </w:r>
    </w:p>
    <w:p w:rsidR="00216B15" w:rsidRPr="001804DC" w:rsidRDefault="0008781F" w:rsidP="001804DC">
      <w:pPr>
        <w:pStyle w:val="DPSEntryIndents"/>
        <w:numPr>
          <w:ilvl w:val="0"/>
          <w:numId w:val="12"/>
        </w:numPr>
      </w:pPr>
      <w:r>
        <w:t>c</w:t>
      </w:r>
      <w:r w:rsidRPr="00496C80">
        <w:t xml:space="preserve">alls on the ACT Government to continue to implement its affordable housing agenda and work towards further diversifying housing choice consistent with the </w:t>
      </w:r>
      <w:r w:rsidRPr="001804DC">
        <w:t>ACT Housing Strategy</w:t>
      </w:r>
      <w:r w:rsidRPr="00436498">
        <w:t>.”</w:t>
      </w:r>
      <w:r>
        <w:t>—</w:t>
      </w:r>
    </w:p>
    <w:p w:rsidR="00216B15" w:rsidRPr="00B24A73" w:rsidRDefault="0008781F" w:rsidP="0008781F">
      <w:pPr>
        <w:spacing w:before="120"/>
        <w:ind w:left="720"/>
        <w:rPr>
          <w:rFonts w:ascii="Calibri" w:hAnsi="Calibri"/>
          <w:color w:val="000000"/>
          <w:lang w:val="en-AU"/>
        </w:rPr>
      </w:pPr>
      <w:r>
        <w:rPr>
          <w:rFonts w:ascii="Calibri" w:hAnsi="Calibri"/>
          <w:color w:val="000000"/>
          <w:lang w:val="en-AU"/>
        </w:rPr>
        <w:t>be agreed to—put and passed.</w:t>
      </w:r>
    </w:p>
    <w:p w:rsidR="00CB3F75" w:rsidRPr="006E2354" w:rsidRDefault="00CB3F75" w:rsidP="00CB3F75">
      <w:pPr>
        <w:keepNext/>
        <w:keepLines/>
        <w:tabs>
          <w:tab w:val="right" w:pos="339"/>
          <w:tab w:val="left" w:pos="720"/>
        </w:tabs>
        <w:spacing w:before="240"/>
        <w:ind w:left="720" w:hanging="720"/>
        <w:jc w:val="both"/>
        <w:rPr>
          <w:rFonts w:ascii="Calibri" w:hAnsi="Calibri"/>
          <w:b/>
          <w:caps/>
          <w:lang w:val="en-AU"/>
        </w:rPr>
      </w:pPr>
      <w:r w:rsidRPr="006E2354">
        <w:rPr>
          <w:rFonts w:ascii="Calibri" w:hAnsi="Calibri"/>
          <w:b/>
          <w:caps/>
          <w:lang w:val="en-AU"/>
        </w:rPr>
        <w:tab/>
      </w:r>
      <w:r w:rsidR="00271E6D">
        <w:rPr>
          <w:rFonts w:ascii="Calibri" w:hAnsi="Calibri"/>
          <w:b/>
          <w:bCs/>
          <w:caps/>
          <w:lang w:val="en-AU"/>
        </w:rPr>
        <w:fldChar w:fldCharType="begin"/>
      </w:r>
      <w:r w:rsidR="00271E6D">
        <w:rPr>
          <w:rFonts w:ascii="Calibri" w:hAnsi="Calibri"/>
          <w:b/>
          <w:bCs/>
          <w:caps/>
          <w:lang w:val="en-AU"/>
        </w:rPr>
        <w:instrText xml:space="preserve"> SEQ A \* MERGEFORMAT </w:instrText>
      </w:r>
      <w:r w:rsidR="00271E6D">
        <w:rPr>
          <w:rFonts w:ascii="Calibri" w:hAnsi="Calibri"/>
          <w:b/>
          <w:bCs/>
          <w:caps/>
          <w:lang w:val="en-AU"/>
        </w:rPr>
        <w:fldChar w:fldCharType="separate"/>
      </w:r>
      <w:r w:rsidR="003D6726">
        <w:rPr>
          <w:rFonts w:ascii="Calibri" w:hAnsi="Calibri"/>
          <w:b/>
          <w:bCs/>
          <w:caps/>
          <w:noProof/>
          <w:lang w:val="en-AU"/>
        </w:rPr>
        <w:t>20</w:t>
      </w:r>
      <w:r w:rsidR="00271E6D">
        <w:rPr>
          <w:rFonts w:ascii="Calibri" w:hAnsi="Calibri"/>
          <w:b/>
          <w:bCs/>
          <w:caps/>
          <w:lang w:val="en-AU"/>
        </w:rPr>
        <w:fldChar w:fldCharType="end"/>
      </w:r>
      <w:r w:rsidRPr="006E2354">
        <w:rPr>
          <w:rFonts w:ascii="Calibri" w:hAnsi="Calibri"/>
          <w:b/>
          <w:caps/>
          <w:lang w:val="en-AU"/>
        </w:rPr>
        <w:tab/>
      </w:r>
      <w:r w:rsidR="00500E30">
        <w:rPr>
          <w:rFonts w:ascii="Calibri" w:hAnsi="Calibri"/>
          <w:b/>
          <w:caps/>
          <w:lang w:val="en-AU"/>
        </w:rPr>
        <w:t>outlaw motorcycle gang violence—legislative approach</w:t>
      </w:r>
    </w:p>
    <w:p w:rsidR="00CB3F75" w:rsidRPr="006E2354" w:rsidRDefault="00CB3F75" w:rsidP="00CB3F75">
      <w:pPr>
        <w:spacing w:before="120"/>
        <w:ind w:left="720"/>
        <w:jc w:val="both"/>
        <w:rPr>
          <w:rFonts w:ascii="Calibri" w:hAnsi="Calibri"/>
          <w:color w:val="000000"/>
          <w:lang w:val="en-AU"/>
        </w:rPr>
      </w:pPr>
      <w:r>
        <w:rPr>
          <w:rFonts w:ascii="Calibri" w:hAnsi="Calibri"/>
          <w:color w:val="000000"/>
          <w:lang w:val="en-AU"/>
        </w:rPr>
        <w:t>Mr Hanson</w:t>
      </w:r>
      <w:r w:rsidRPr="006E2354">
        <w:rPr>
          <w:rFonts w:ascii="Calibri" w:hAnsi="Calibri"/>
          <w:color w:val="000000"/>
          <w:lang w:val="en-AU"/>
        </w:rPr>
        <w:t>, pursuant to notice, moved—That this Assembly</w:t>
      </w:r>
      <w:r>
        <w:rPr>
          <w:rFonts w:ascii="Calibri" w:hAnsi="Calibri"/>
          <w:color w:val="000000"/>
          <w:lang w:val="en-AU"/>
        </w:rPr>
        <w:t xml:space="preserve"> </w:t>
      </w:r>
      <w:r w:rsidRPr="007C5CDF">
        <w:rPr>
          <w:lang w:val="en-AU"/>
        </w:rPr>
        <w:t>calls on the ACT Government to urgently introduce anti-consorting legislation, consistent with NSW, to help prevent outlaw motorcycle gang violence in Canberra.</w:t>
      </w:r>
    </w:p>
    <w:p w:rsidR="00CB3F75" w:rsidRDefault="00CB3F75" w:rsidP="00CB3F75">
      <w:pPr>
        <w:spacing w:before="120"/>
        <w:ind w:left="720" w:right="-35"/>
        <w:jc w:val="both"/>
        <w:rPr>
          <w:rFonts w:ascii="Calibri" w:hAnsi="Calibri"/>
          <w:color w:val="000000"/>
          <w:lang w:val="en-AU"/>
        </w:rPr>
      </w:pPr>
      <w:r>
        <w:rPr>
          <w:rFonts w:ascii="Calibri" w:hAnsi="Calibri"/>
          <w:color w:val="000000"/>
          <w:lang w:val="en-AU"/>
        </w:rPr>
        <w:t xml:space="preserve">Mr Ramsay (Attorney-General) moved the following amendment:  Omit all text after </w:t>
      </w:r>
      <w:r w:rsidR="00F85F03">
        <w:rPr>
          <w:rFonts w:ascii="Calibri" w:hAnsi="Calibri"/>
          <w:color w:val="000000"/>
          <w:lang w:val="en-AU"/>
        </w:rPr>
        <w:t>“</w:t>
      </w:r>
      <w:r>
        <w:rPr>
          <w:rFonts w:ascii="Calibri" w:hAnsi="Calibri"/>
          <w:color w:val="000000"/>
          <w:lang w:val="en-AU"/>
        </w:rPr>
        <w:t>That this Assembly</w:t>
      </w:r>
      <w:r w:rsidR="00F85F03">
        <w:rPr>
          <w:rFonts w:ascii="Calibri" w:hAnsi="Calibri"/>
          <w:color w:val="000000"/>
          <w:lang w:val="en-AU"/>
        </w:rPr>
        <w:t>”</w:t>
      </w:r>
      <w:r>
        <w:rPr>
          <w:rFonts w:ascii="Calibri" w:hAnsi="Calibri"/>
          <w:color w:val="000000"/>
          <w:lang w:val="en-AU"/>
        </w:rPr>
        <w:t>, substitute:</w:t>
      </w:r>
    </w:p>
    <w:p w:rsidR="00CB3F75" w:rsidRDefault="00F85F03" w:rsidP="00CB3F75">
      <w:pPr>
        <w:tabs>
          <w:tab w:val="left" w:pos="1350"/>
        </w:tabs>
        <w:spacing w:before="120"/>
        <w:ind w:left="720" w:right="-35"/>
        <w:jc w:val="both"/>
        <w:rPr>
          <w:rFonts w:ascii="Calibri" w:hAnsi="Calibri"/>
          <w:color w:val="000000"/>
          <w:lang w:val="en-AU"/>
        </w:rPr>
      </w:pPr>
      <w:r>
        <w:rPr>
          <w:rFonts w:ascii="Calibri" w:hAnsi="Calibri"/>
          <w:color w:val="000000"/>
          <w:lang w:val="en-AU"/>
        </w:rPr>
        <w:t>“</w:t>
      </w:r>
      <w:r w:rsidR="00CB3F75">
        <w:rPr>
          <w:rFonts w:ascii="Calibri" w:hAnsi="Calibri"/>
          <w:color w:val="000000"/>
          <w:lang w:val="en-AU"/>
        </w:rPr>
        <w:t>(1)</w:t>
      </w:r>
      <w:r w:rsidR="00CB3F75">
        <w:rPr>
          <w:rFonts w:ascii="Calibri" w:hAnsi="Calibri"/>
          <w:color w:val="000000"/>
          <w:lang w:val="en-AU"/>
        </w:rPr>
        <w:tab/>
        <w:t>notes the:</w:t>
      </w:r>
    </w:p>
    <w:p w:rsidR="00CB3F75" w:rsidRDefault="00CB3F75" w:rsidP="00CB3F75">
      <w:pPr>
        <w:pStyle w:val="DPSEntryIndents"/>
        <w:numPr>
          <w:ilvl w:val="1"/>
          <w:numId w:val="3"/>
        </w:numPr>
      </w:pPr>
      <w:r>
        <w:t>importance of evidence-based policy and laws;</w:t>
      </w:r>
    </w:p>
    <w:p w:rsidR="00CB3F75" w:rsidRDefault="00CB3F75" w:rsidP="00CB3F75">
      <w:pPr>
        <w:pStyle w:val="DPSEntryIndents"/>
        <w:numPr>
          <w:ilvl w:val="1"/>
          <w:numId w:val="3"/>
        </w:numPr>
      </w:pPr>
      <w:r>
        <w:t>need for proactive measures which are proven to undermine the criminal profits of criminal gangs;</w:t>
      </w:r>
    </w:p>
    <w:p w:rsidR="00CB3F75" w:rsidRDefault="00CB3F75" w:rsidP="00CB3F75">
      <w:pPr>
        <w:pStyle w:val="DPSEntryIndents"/>
        <w:numPr>
          <w:ilvl w:val="1"/>
          <w:numId w:val="3"/>
        </w:numPr>
      </w:pPr>
      <w:r>
        <w:t>anti-consorting laws have not prevented the operation of serious criminal gangs in other States; and</w:t>
      </w:r>
    </w:p>
    <w:p w:rsidR="00CB3F75" w:rsidRDefault="00CB3F75" w:rsidP="00CB3F75">
      <w:pPr>
        <w:pStyle w:val="DPSEntryIndents"/>
        <w:numPr>
          <w:ilvl w:val="1"/>
          <w:numId w:val="3"/>
        </w:numPr>
      </w:pPr>
      <w:r>
        <w:t>independent reviews of anti-consorting laws have found these disproportionately target vulnerable people, including young people and Aboriginal and Torres Strait Islanders, and their freedom of movement and other human rights;</w:t>
      </w:r>
    </w:p>
    <w:p w:rsidR="00CB3F75" w:rsidRDefault="003A261E" w:rsidP="00CB3F75">
      <w:pPr>
        <w:pStyle w:val="DPSEntryIndents"/>
        <w:numPr>
          <w:ilvl w:val="0"/>
          <w:numId w:val="10"/>
        </w:numPr>
      </w:pPr>
      <w:r>
        <w:t>further notes</w:t>
      </w:r>
      <w:r w:rsidR="00CB3F75">
        <w:t>:</w:t>
      </w:r>
    </w:p>
    <w:p w:rsidR="00CB3F75" w:rsidRDefault="003A261E" w:rsidP="00CB3F75">
      <w:pPr>
        <w:pStyle w:val="DPSEntryIndents"/>
        <w:numPr>
          <w:ilvl w:val="1"/>
          <w:numId w:val="10"/>
        </w:numPr>
      </w:pPr>
      <w:r>
        <w:t xml:space="preserve">the </w:t>
      </w:r>
      <w:r w:rsidR="00CB3F75">
        <w:t>report of former police officer and Associate Professor Goldsworthy tabled in this place in February 2020, which finds:</w:t>
      </w:r>
    </w:p>
    <w:p w:rsidR="00CB3F75" w:rsidRDefault="00CB3F75" w:rsidP="00CB3F75">
      <w:pPr>
        <w:pStyle w:val="DPSEntryIndents"/>
        <w:numPr>
          <w:ilvl w:val="2"/>
          <w:numId w:val="10"/>
        </w:numPr>
      </w:pPr>
      <w:r>
        <w:lastRenderedPageBreak/>
        <w:t>anti-consorting laws are not evidence-based;</w:t>
      </w:r>
    </w:p>
    <w:p w:rsidR="00CB3F75" w:rsidRDefault="00CB3F75" w:rsidP="00CB3F75">
      <w:pPr>
        <w:pStyle w:val="DPSEntryIndents"/>
        <w:numPr>
          <w:ilvl w:val="2"/>
          <w:numId w:val="10"/>
        </w:numPr>
      </w:pPr>
      <w:r>
        <w:t>anti-consorting laws do not operate to target outlaw motorcycle gangs;</w:t>
      </w:r>
    </w:p>
    <w:p w:rsidR="00CB3F75" w:rsidRDefault="00CB3F75" w:rsidP="00CB3F75">
      <w:pPr>
        <w:pStyle w:val="DPSEntryIndents"/>
        <w:numPr>
          <w:ilvl w:val="2"/>
          <w:numId w:val="10"/>
        </w:numPr>
      </w:pPr>
      <w:r>
        <w:t>anti-consorting laws are not effective; and</w:t>
      </w:r>
    </w:p>
    <w:p w:rsidR="00CB3F75" w:rsidRDefault="00CB3F75" w:rsidP="00CB3F75">
      <w:pPr>
        <w:pStyle w:val="DPSEntryIndents"/>
        <w:numPr>
          <w:ilvl w:val="2"/>
          <w:numId w:val="10"/>
        </w:numPr>
      </w:pPr>
      <w:r>
        <w:t>measures which target unexplained wealth are effective;</w:t>
      </w:r>
    </w:p>
    <w:p w:rsidR="00CB3F75" w:rsidRDefault="003A261E" w:rsidP="00CB3F75">
      <w:pPr>
        <w:pStyle w:val="DPSEntryIndents"/>
        <w:numPr>
          <w:ilvl w:val="1"/>
          <w:numId w:val="10"/>
        </w:numPr>
      </w:pPr>
      <w:r>
        <w:t xml:space="preserve">the </w:t>
      </w:r>
      <w:r w:rsidR="00CB3F75">
        <w:t>recommendations in the Goldsworthy Report that the Government has used evidence-based policy and legislation to address the risks and reality of organised crime, including</w:t>
      </w:r>
      <w:r w:rsidR="00F23118">
        <w:t>:</w:t>
      </w:r>
    </w:p>
    <w:p w:rsidR="00F23118" w:rsidRDefault="00F23118" w:rsidP="00F23118">
      <w:pPr>
        <w:pStyle w:val="DPSEntryIndents"/>
        <w:numPr>
          <w:ilvl w:val="2"/>
          <w:numId w:val="10"/>
        </w:numPr>
      </w:pPr>
      <w:r>
        <w:t>since 2016, providing $11 770 000 to police and the Office of the Director of Public Prosecutions to target, disrupt, deter, prevent and prosecute organised crime;</w:t>
      </w:r>
      <w:r w:rsidR="00542739">
        <w:t xml:space="preserve"> and</w:t>
      </w:r>
    </w:p>
    <w:p w:rsidR="00F23118" w:rsidRDefault="00F23118" w:rsidP="00F23118">
      <w:pPr>
        <w:pStyle w:val="DPSEntryIndents"/>
        <w:numPr>
          <w:ilvl w:val="2"/>
          <w:numId w:val="10"/>
        </w:numPr>
      </w:pPr>
      <w:r>
        <w:t>introducing law reform which appropriate</w:t>
      </w:r>
      <w:r w:rsidR="005023DD">
        <w:t>ly</w:t>
      </w:r>
      <w:r>
        <w:t xml:space="preserve"> targets and punishes the criminal and profit-making activities </w:t>
      </w:r>
      <w:r w:rsidR="00FD552A">
        <w:t xml:space="preserve">of </w:t>
      </w:r>
      <w:r>
        <w:t>organised crime, including:</w:t>
      </w:r>
    </w:p>
    <w:p w:rsidR="00F23118" w:rsidRDefault="00542739" w:rsidP="00F23118">
      <w:pPr>
        <w:pStyle w:val="DPSEntryIndents"/>
        <w:numPr>
          <w:ilvl w:val="3"/>
          <w:numId w:val="10"/>
        </w:numPr>
      </w:pPr>
      <w:r>
        <w:t>increased penalties for drive-by shootings, fighting and offensive behaviour;</w:t>
      </w:r>
    </w:p>
    <w:p w:rsidR="00542739" w:rsidRDefault="00542739" w:rsidP="00F23118">
      <w:pPr>
        <w:pStyle w:val="DPSEntryIndents"/>
        <w:numPr>
          <w:ilvl w:val="3"/>
          <w:numId w:val="10"/>
        </w:numPr>
      </w:pPr>
      <w:r>
        <w:t>increased penalties for specified offences committed in connection with a criminal group or committed by a person associated with a criminal group;</w:t>
      </w:r>
    </w:p>
    <w:p w:rsidR="00542739" w:rsidRDefault="00542739" w:rsidP="00F23118">
      <w:pPr>
        <w:pStyle w:val="DPSEntryIndents"/>
        <w:numPr>
          <w:ilvl w:val="3"/>
          <w:numId w:val="10"/>
        </w:numPr>
      </w:pPr>
      <w:r>
        <w:t>new powers to ACT Policing to preserve evidence in a timely manner at crime scenes;</w:t>
      </w:r>
    </w:p>
    <w:p w:rsidR="00542739" w:rsidRDefault="00542739" w:rsidP="00F23118">
      <w:pPr>
        <w:pStyle w:val="DPSEntryIndents"/>
        <w:numPr>
          <w:ilvl w:val="3"/>
          <w:numId w:val="10"/>
        </w:numPr>
      </w:pPr>
      <w:r>
        <w:t>new powers to permit ACT Policing to remove structures or devices which attempt to defeat the proper</w:t>
      </w:r>
      <w:r w:rsidR="00FD552A">
        <w:t xml:space="preserve"> exe</w:t>
      </w:r>
      <w:r>
        <w:t>cution of search warrants;</w:t>
      </w:r>
    </w:p>
    <w:p w:rsidR="00542739" w:rsidRDefault="00542739" w:rsidP="00F23118">
      <w:pPr>
        <w:pStyle w:val="DPSEntryIndents"/>
        <w:numPr>
          <w:ilvl w:val="3"/>
          <w:numId w:val="10"/>
        </w:numPr>
      </w:pPr>
      <w:r>
        <w:t>tiered offences of serious affray;</w:t>
      </w:r>
    </w:p>
    <w:p w:rsidR="00542739" w:rsidRDefault="00542739" w:rsidP="00F23118">
      <w:pPr>
        <w:pStyle w:val="DPSEntryIndents"/>
        <w:numPr>
          <w:ilvl w:val="3"/>
          <w:numId w:val="10"/>
        </w:numPr>
      </w:pPr>
      <w:r>
        <w:t>introducing an exclusion order scheme to exclude certain people from specified licensed premises through a civil mechanism; and</w:t>
      </w:r>
    </w:p>
    <w:p w:rsidR="00542739" w:rsidRDefault="00542739" w:rsidP="00F23118">
      <w:pPr>
        <w:pStyle w:val="DPSEntryIndents"/>
        <w:numPr>
          <w:ilvl w:val="3"/>
          <w:numId w:val="10"/>
        </w:numPr>
      </w:pPr>
      <w:r>
        <w:t xml:space="preserve">introducing cancellation of a licence under the </w:t>
      </w:r>
      <w:r>
        <w:rPr>
          <w:i/>
        </w:rPr>
        <w:t>Liquor Act 2010</w:t>
      </w:r>
      <w:r>
        <w:t xml:space="preserve"> or the </w:t>
      </w:r>
      <w:r>
        <w:rPr>
          <w:i/>
        </w:rPr>
        <w:t>Construction Occupations (Licensing) Act 2004</w:t>
      </w:r>
      <w:r>
        <w:t xml:space="preserve"> on the basis on a person</w:t>
      </w:r>
      <w:r w:rsidR="00F85F03">
        <w:t>’</w:t>
      </w:r>
      <w:r>
        <w:t>s criminal activities;</w:t>
      </w:r>
    </w:p>
    <w:p w:rsidR="00542739" w:rsidRDefault="003A261E" w:rsidP="00542739">
      <w:pPr>
        <w:pStyle w:val="DPSEntryIndents"/>
        <w:numPr>
          <w:ilvl w:val="1"/>
          <w:numId w:val="10"/>
        </w:numPr>
      </w:pPr>
      <w:r>
        <w:t xml:space="preserve">the </w:t>
      </w:r>
      <w:r w:rsidR="00542739">
        <w:t>effectiveness of the Government</w:t>
      </w:r>
      <w:r w:rsidR="00F85F03">
        <w:t>’</w:t>
      </w:r>
      <w:r w:rsidR="00542739">
        <w:t>s response to organised crime evidenced in police data showing the total number of members associated with ACT chapters of serious criminal gangs is estimated at approximately 30-40 people, a decrease from the previously reported numbers of approximately 70 members in 2018-19; and</w:t>
      </w:r>
    </w:p>
    <w:p w:rsidR="00542739" w:rsidRDefault="003A261E" w:rsidP="00542739">
      <w:pPr>
        <w:pStyle w:val="DPSEntryIndents"/>
        <w:numPr>
          <w:ilvl w:val="1"/>
          <w:numId w:val="10"/>
        </w:numPr>
      </w:pPr>
      <w:r>
        <w:t xml:space="preserve">that </w:t>
      </w:r>
      <w:r w:rsidR="00542739">
        <w:t>countering serious and organised crime by criminal gangs and maintaining public safety is a primary focus of ACT Policing. Through Taskforce</w:t>
      </w:r>
      <w:r w:rsidR="00FD552A">
        <w:t xml:space="preserve"> Nemesis, ACT Policing continues</w:t>
      </w:r>
      <w:r w:rsidR="00542739">
        <w:t xml:space="preserve"> to proactively disrupt criminal gang members to deter and detect criminal activity. ACT Policing has and w</w:t>
      </w:r>
      <w:r w:rsidR="00FD552A">
        <w:t>ill</w:t>
      </w:r>
      <w:r w:rsidR="00542739">
        <w:t xml:space="preserve"> continue to deploy resources to target and disrupt those seeking to cause harm in our community; and</w:t>
      </w:r>
    </w:p>
    <w:p w:rsidR="00542739" w:rsidRDefault="00542739" w:rsidP="00542739">
      <w:pPr>
        <w:pStyle w:val="DPSEntryIndents"/>
        <w:numPr>
          <w:ilvl w:val="0"/>
          <w:numId w:val="10"/>
        </w:numPr>
      </w:pPr>
      <w:r>
        <w:lastRenderedPageBreak/>
        <w:t>calls on the Government to:</w:t>
      </w:r>
    </w:p>
    <w:p w:rsidR="00542739" w:rsidRDefault="002B665B" w:rsidP="002B665B">
      <w:pPr>
        <w:pStyle w:val="DPSEntryIndents"/>
        <w:numPr>
          <w:ilvl w:val="1"/>
          <w:numId w:val="10"/>
        </w:numPr>
      </w:pPr>
      <w:r>
        <w:t>continue to use evidence to lead its policy and legislative approach to crime;</w:t>
      </w:r>
    </w:p>
    <w:p w:rsidR="002B665B" w:rsidRDefault="002B665B" w:rsidP="002B665B">
      <w:pPr>
        <w:pStyle w:val="DPSEntryIndents"/>
        <w:numPr>
          <w:ilvl w:val="1"/>
          <w:numId w:val="10"/>
        </w:numPr>
      </w:pPr>
      <w:r>
        <w:t>ensure adequate consultation with the community in the development of its policy and legislative approach to crime; and</w:t>
      </w:r>
    </w:p>
    <w:p w:rsidR="002B665B" w:rsidRDefault="002B665B" w:rsidP="002B665B">
      <w:pPr>
        <w:pStyle w:val="DPSEntryIndents"/>
        <w:numPr>
          <w:ilvl w:val="1"/>
          <w:numId w:val="10"/>
        </w:numPr>
      </w:pPr>
      <w:r>
        <w:t>implement further measures, which target the profit of criminal gangs through the Confiscation of Criminal Assets (Unexplained Wealth) Amendment Bill 2020, as a matter of urgency.</w:t>
      </w:r>
      <w:r w:rsidR="00F85F03">
        <w:t>”</w:t>
      </w:r>
      <w:r>
        <w:t>.</w:t>
      </w:r>
    </w:p>
    <w:p w:rsidR="00CB3F75" w:rsidRPr="006E2354" w:rsidRDefault="00CB3F75" w:rsidP="00CB3F75">
      <w:pPr>
        <w:spacing w:before="120"/>
        <w:ind w:left="720" w:right="-35"/>
        <w:jc w:val="both"/>
        <w:rPr>
          <w:rFonts w:ascii="Calibri" w:hAnsi="Calibri"/>
          <w:color w:val="000000"/>
          <w:lang w:val="en-AU"/>
        </w:rPr>
      </w:pPr>
      <w:r w:rsidRPr="006E2354">
        <w:rPr>
          <w:rFonts w:ascii="Calibri" w:hAnsi="Calibri"/>
          <w:color w:val="000000"/>
          <w:lang w:val="en-AU"/>
        </w:rPr>
        <w:t xml:space="preserve">Debate </w:t>
      </w:r>
      <w:r>
        <w:rPr>
          <w:rFonts w:ascii="Calibri" w:hAnsi="Calibri"/>
          <w:color w:val="000000"/>
          <w:lang w:val="en-AU"/>
        </w:rPr>
        <w:t>continued</w:t>
      </w:r>
      <w:r w:rsidRPr="006E2354">
        <w:rPr>
          <w:rFonts w:ascii="Calibri" w:hAnsi="Calibri"/>
          <w:color w:val="000000"/>
          <w:lang w:val="en-AU"/>
        </w:rPr>
        <w:t>.</w:t>
      </w:r>
    </w:p>
    <w:p w:rsidR="009142CA" w:rsidRDefault="009142CA" w:rsidP="009142CA">
      <w:pPr>
        <w:spacing w:before="120"/>
        <w:ind w:left="720"/>
        <w:jc w:val="both"/>
        <w:rPr>
          <w:rFonts w:ascii="Calibri" w:hAnsi="Calibri"/>
          <w:color w:val="000000"/>
          <w:lang w:val="en-AU"/>
        </w:rPr>
      </w:pPr>
      <w:r w:rsidRPr="00B24A73">
        <w:rPr>
          <w:rFonts w:ascii="Calibri" w:hAnsi="Calibri"/>
          <w:color w:val="000000"/>
          <w:lang w:val="en-AU"/>
        </w:rPr>
        <w:t>Question—</w:t>
      </w:r>
      <w:r w:rsidR="006A5CA7">
        <w:rPr>
          <w:rFonts w:ascii="Calibri" w:hAnsi="Calibri"/>
          <w:color w:val="000000"/>
          <w:lang w:val="en-AU"/>
        </w:rPr>
        <w:t>T</w:t>
      </w:r>
      <w:r>
        <w:rPr>
          <w:rFonts w:ascii="Calibri" w:hAnsi="Calibri"/>
          <w:color w:val="000000"/>
          <w:lang w:val="en-AU"/>
        </w:rPr>
        <w:t>hat the amendment be agreed to—put.</w:t>
      </w:r>
    </w:p>
    <w:p w:rsidR="00B03565" w:rsidRDefault="00B03565" w:rsidP="00B03565">
      <w:pPr>
        <w:spacing w:before="120" w:after="120"/>
        <w:ind w:left="720"/>
        <w:rPr>
          <w:rFonts w:ascii="Calibri" w:hAnsi="Calibri"/>
          <w:color w:val="000000"/>
          <w:lang w:val="en-AU"/>
        </w:rPr>
      </w:pPr>
      <w:r>
        <w:rPr>
          <w:rFonts w:ascii="Calibri" w:hAnsi="Calibri"/>
          <w:color w:val="000000"/>
          <w:lang w:val="en-AU"/>
        </w:rPr>
        <w:t>The Assembly voted—</w:t>
      </w:r>
    </w:p>
    <w:tbl>
      <w:tblPr>
        <w:tblpPr w:rightFromText="180" w:vertAnchor="text" w:tblpY="1"/>
        <w:tblOverlap w:val="never"/>
        <w:tblW w:w="10009" w:type="dxa"/>
        <w:tblLayout w:type="fixed"/>
        <w:tblCellMar>
          <w:left w:w="0" w:type="dxa"/>
          <w:right w:w="56" w:type="dxa"/>
        </w:tblCellMar>
        <w:tblLook w:val="0000" w:firstRow="0" w:lastRow="0" w:firstColumn="0" w:lastColumn="0" w:noHBand="0" w:noVBand="0"/>
      </w:tblPr>
      <w:tblGrid>
        <w:gridCol w:w="720"/>
        <w:gridCol w:w="1980"/>
        <w:gridCol w:w="2102"/>
        <w:gridCol w:w="148"/>
        <w:gridCol w:w="450"/>
        <w:gridCol w:w="2568"/>
        <w:gridCol w:w="1064"/>
        <w:gridCol w:w="977"/>
      </w:tblGrid>
      <w:tr w:rsidR="00B03565" w:rsidTr="00897C7D">
        <w:trPr>
          <w:gridBefore w:val="1"/>
          <w:gridAfter w:val="1"/>
          <w:wBefore w:w="720" w:type="dxa"/>
          <w:wAfter w:w="977" w:type="dxa"/>
        </w:trPr>
        <w:tc>
          <w:tcPr>
            <w:tcW w:w="4082" w:type="dxa"/>
            <w:gridSpan w:val="2"/>
            <w:shd w:val="clear" w:color="auto" w:fill="auto"/>
          </w:tcPr>
          <w:p w:rsidR="00B03565" w:rsidRDefault="00B03565" w:rsidP="00897C7D">
            <w:pPr>
              <w:tabs>
                <w:tab w:val="center" w:pos="1800"/>
              </w:tabs>
              <w:spacing w:before="120"/>
              <w:rPr>
                <w:rFonts w:ascii="Calibri" w:hAnsi="Calibri"/>
                <w:color w:val="000000"/>
                <w:lang w:val="en-AU"/>
              </w:rPr>
            </w:pPr>
            <w:r>
              <w:rPr>
                <w:rFonts w:ascii="Calibri" w:hAnsi="Calibri"/>
                <w:color w:val="000000"/>
                <w:lang w:val="en-AU"/>
              </w:rPr>
              <w:tab/>
              <w:t>AYES, 12</w:t>
            </w:r>
          </w:p>
        </w:tc>
        <w:tc>
          <w:tcPr>
            <w:tcW w:w="148" w:type="dxa"/>
            <w:shd w:val="clear" w:color="auto" w:fill="auto"/>
          </w:tcPr>
          <w:p w:rsidR="00B03565" w:rsidRDefault="00B03565" w:rsidP="00B03565">
            <w:pPr>
              <w:spacing w:before="120"/>
              <w:rPr>
                <w:rFonts w:ascii="Calibri" w:hAnsi="Calibri"/>
                <w:color w:val="000000"/>
                <w:lang w:val="en-AU"/>
              </w:rPr>
            </w:pPr>
          </w:p>
        </w:tc>
        <w:tc>
          <w:tcPr>
            <w:tcW w:w="4082" w:type="dxa"/>
            <w:gridSpan w:val="3"/>
            <w:shd w:val="clear" w:color="auto" w:fill="auto"/>
          </w:tcPr>
          <w:p w:rsidR="00B03565" w:rsidRDefault="00B03565" w:rsidP="00897C7D">
            <w:pPr>
              <w:tabs>
                <w:tab w:val="center" w:pos="2610"/>
              </w:tabs>
              <w:spacing w:before="120"/>
              <w:rPr>
                <w:rFonts w:ascii="Calibri" w:hAnsi="Calibri"/>
                <w:color w:val="000000"/>
                <w:lang w:val="en-AU"/>
              </w:rPr>
            </w:pPr>
            <w:r>
              <w:rPr>
                <w:rFonts w:ascii="Calibri" w:hAnsi="Calibri"/>
                <w:color w:val="000000"/>
                <w:lang w:val="en-AU"/>
              </w:rPr>
              <w:tab/>
              <w:t>NOES, 9</w:t>
            </w:r>
          </w:p>
        </w:tc>
      </w:tr>
      <w:tr w:rsidR="00B03565" w:rsidTr="00897C7D">
        <w:trPr>
          <w:trHeight w:hRule="exact" w:val="312"/>
        </w:trPr>
        <w:tc>
          <w:tcPr>
            <w:tcW w:w="2700" w:type="dxa"/>
            <w:gridSpan w:val="2"/>
            <w:shd w:val="clear" w:color="auto" w:fill="auto"/>
          </w:tcPr>
          <w:p w:rsidR="00B03565" w:rsidRDefault="00B03565" w:rsidP="00897C7D">
            <w:pPr>
              <w:ind w:left="810" w:right="124"/>
              <w:rPr>
                <w:rFonts w:ascii="Calibri" w:hAnsi="Calibri"/>
                <w:color w:val="000000"/>
                <w:lang w:val="en-AU"/>
              </w:rPr>
            </w:pPr>
            <w:r>
              <w:rPr>
                <w:rFonts w:ascii="Calibri" w:hAnsi="Calibri"/>
                <w:color w:val="000000"/>
                <w:lang w:val="en-AU"/>
              </w:rPr>
              <w:t>Ms J. Burch</w:t>
            </w:r>
          </w:p>
        </w:tc>
        <w:tc>
          <w:tcPr>
            <w:tcW w:w="2250" w:type="dxa"/>
            <w:gridSpan w:val="2"/>
            <w:shd w:val="clear" w:color="auto" w:fill="auto"/>
          </w:tcPr>
          <w:p w:rsidR="00B03565" w:rsidRDefault="00B03565" w:rsidP="00897C7D">
            <w:pPr>
              <w:ind w:left="180" w:right="124"/>
              <w:rPr>
                <w:rFonts w:ascii="Calibri" w:hAnsi="Calibri"/>
                <w:color w:val="000000"/>
                <w:lang w:val="en-AU"/>
              </w:rPr>
            </w:pPr>
            <w:r>
              <w:rPr>
                <w:rFonts w:ascii="Calibri" w:hAnsi="Calibri"/>
                <w:color w:val="000000"/>
                <w:lang w:val="en-AU"/>
              </w:rPr>
              <w:t>Mr Pettersson</w:t>
            </w:r>
          </w:p>
        </w:tc>
        <w:tc>
          <w:tcPr>
            <w:tcW w:w="450" w:type="dxa"/>
            <w:shd w:val="clear" w:color="auto" w:fill="auto"/>
          </w:tcPr>
          <w:p w:rsidR="00B03565" w:rsidRDefault="00B03565" w:rsidP="00897C7D">
            <w:pPr>
              <w:spacing w:before="120"/>
              <w:ind w:left="810" w:right="124"/>
              <w:rPr>
                <w:rFonts w:ascii="Calibri" w:hAnsi="Calibri"/>
                <w:color w:val="000000"/>
                <w:lang w:val="en-AU"/>
              </w:rPr>
            </w:pPr>
          </w:p>
        </w:tc>
        <w:tc>
          <w:tcPr>
            <w:tcW w:w="2568" w:type="dxa"/>
            <w:shd w:val="clear" w:color="auto" w:fill="auto"/>
          </w:tcPr>
          <w:p w:rsidR="00B03565" w:rsidRDefault="00B03565" w:rsidP="00897C7D">
            <w:pPr>
              <w:ind w:left="270" w:right="124" w:hanging="6"/>
              <w:rPr>
                <w:rFonts w:ascii="Calibri" w:hAnsi="Calibri"/>
                <w:color w:val="000000"/>
                <w:lang w:val="en-AU"/>
              </w:rPr>
            </w:pPr>
            <w:r>
              <w:rPr>
                <w:rFonts w:ascii="Calibri" w:hAnsi="Calibri"/>
                <w:color w:val="000000"/>
                <w:lang w:val="en-AU"/>
              </w:rPr>
              <w:t>Miss C. Burch</w:t>
            </w:r>
          </w:p>
        </w:tc>
        <w:tc>
          <w:tcPr>
            <w:tcW w:w="2041" w:type="dxa"/>
            <w:gridSpan w:val="2"/>
            <w:shd w:val="clear" w:color="auto" w:fill="auto"/>
          </w:tcPr>
          <w:p w:rsidR="00B03565" w:rsidRDefault="00B03565" w:rsidP="00897C7D">
            <w:pPr>
              <w:ind w:left="77" w:right="-72"/>
              <w:rPr>
                <w:rFonts w:ascii="Calibri" w:hAnsi="Calibri"/>
                <w:color w:val="000000"/>
                <w:lang w:val="en-AU"/>
              </w:rPr>
            </w:pPr>
            <w:r>
              <w:rPr>
                <w:rFonts w:ascii="Calibri" w:hAnsi="Calibri"/>
                <w:color w:val="000000"/>
                <w:lang w:val="en-AU"/>
              </w:rPr>
              <w:t>Mr Milligan</w:t>
            </w:r>
          </w:p>
        </w:tc>
      </w:tr>
      <w:tr w:rsidR="00B03565" w:rsidTr="00897C7D">
        <w:trPr>
          <w:trHeight w:hRule="exact" w:val="312"/>
        </w:trPr>
        <w:tc>
          <w:tcPr>
            <w:tcW w:w="2700" w:type="dxa"/>
            <w:gridSpan w:val="2"/>
            <w:shd w:val="clear" w:color="auto" w:fill="auto"/>
          </w:tcPr>
          <w:p w:rsidR="00B03565" w:rsidRDefault="00B03565" w:rsidP="00897C7D">
            <w:pPr>
              <w:ind w:left="810" w:right="124"/>
              <w:rPr>
                <w:rFonts w:ascii="Calibri" w:hAnsi="Calibri"/>
                <w:color w:val="000000"/>
                <w:lang w:val="en-AU"/>
              </w:rPr>
            </w:pPr>
            <w:r>
              <w:rPr>
                <w:rFonts w:ascii="Calibri" w:hAnsi="Calibri"/>
                <w:color w:val="000000"/>
                <w:lang w:val="en-AU"/>
              </w:rPr>
              <w:t>Ms Cheyne</w:t>
            </w:r>
          </w:p>
        </w:tc>
        <w:tc>
          <w:tcPr>
            <w:tcW w:w="2250" w:type="dxa"/>
            <w:gridSpan w:val="2"/>
            <w:shd w:val="clear" w:color="auto" w:fill="auto"/>
          </w:tcPr>
          <w:p w:rsidR="00B03565" w:rsidRDefault="00B03565" w:rsidP="00897C7D">
            <w:pPr>
              <w:ind w:left="180" w:right="124"/>
              <w:rPr>
                <w:rFonts w:ascii="Calibri" w:hAnsi="Calibri"/>
                <w:color w:val="000000"/>
                <w:lang w:val="en-AU"/>
              </w:rPr>
            </w:pPr>
            <w:r>
              <w:rPr>
                <w:rFonts w:ascii="Calibri" w:hAnsi="Calibri"/>
                <w:color w:val="000000"/>
                <w:lang w:val="en-AU"/>
              </w:rPr>
              <w:t>Mr Ramsay</w:t>
            </w:r>
          </w:p>
        </w:tc>
        <w:tc>
          <w:tcPr>
            <w:tcW w:w="450" w:type="dxa"/>
            <w:shd w:val="clear" w:color="auto" w:fill="auto"/>
          </w:tcPr>
          <w:p w:rsidR="00B03565" w:rsidRDefault="00B03565" w:rsidP="00897C7D">
            <w:pPr>
              <w:spacing w:before="120"/>
              <w:ind w:left="810" w:right="124"/>
              <w:rPr>
                <w:rFonts w:ascii="Calibri" w:hAnsi="Calibri"/>
                <w:color w:val="000000"/>
                <w:lang w:val="en-AU"/>
              </w:rPr>
            </w:pPr>
          </w:p>
        </w:tc>
        <w:tc>
          <w:tcPr>
            <w:tcW w:w="2568" w:type="dxa"/>
            <w:shd w:val="clear" w:color="auto" w:fill="auto"/>
          </w:tcPr>
          <w:p w:rsidR="00B03565" w:rsidRDefault="00B03565" w:rsidP="00897C7D">
            <w:pPr>
              <w:ind w:left="270" w:right="124" w:hanging="6"/>
              <w:rPr>
                <w:rFonts w:ascii="Calibri" w:hAnsi="Calibri"/>
                <w:color w:val="000000"/>
                <w:lang w:val="en-AU"/>
              </w:rPr>
            </w:pPr>
            <w:r>
              <w:rPr>
                <w:rFonts w:ascii="Calibri" w:hAnsi="Calibri"/>
                <w:color w:val="000000"/>
                <w:lang w:val="en-AU"/>
              </w:rPr>
              <w:t>Mr Coe</w:t>
            </w:r>
          </w:p>
        </w:tc>
        <w:tc>
          <w:tcPr>
            <w:tcW w:w="2041" w:type="dxa"/>
            <w:gridSpan w:val="2"/>
            <w:shd w:val="clear" w:color="auto" w:fill="auto"/>
          </w:tcPr>
          <w:p w:rsidR="00B03565" w:rsidRDefault="00B03565" w:rsidP="00897C7D">
            <w:pPr>
              <w:ind w:left="77" w:right="-72"/>
              <w:rPr>
                <w:rFonts w:ascii="Calibri" w:hAnsi="Calibri"/>
                <w:color w:val="000000"/>
                <w:lang w:val="en-AU"/>
              </w:rPr>
            </w:pPr>
            <w:r>
              <w:rPr>
                <w:rFonts w:ascii="Calibri" w:hAnsi="Calibri"/>
                <w:color w:val="000000"/>
                <w:lang w:val="en-AU"/>
              </w:rPr>
              <w:t>Mr Parton</w:t>
            </w:r>
          </w:p>
        </w:tc>
      </w:tr>
      <w:tr w:rsidR="00B03565" w:rsidTr="00897C7D">
        <w:trPr>
          <w:trHeight w:hRule="exact" w:val="312"/>
        </w:trPr>
        <w:tc>
          <w:tcPr>
            <w:tcW w:w="2700" w:type="dxa"/>
            <w:gridSpan w:val="2"/>
            <w:shd w:val="clear" w:color="auto" w:fill="auto"/>
          </w:tcPr>
          <w:p w:rsidR="00B03565" w:rsidRDefault="00B03565" w:rsidP="00897C7D">
            <w:pPr>
              <w:ind w:left="810" w:right="124"/>
              <w:rPr>
                <w:rFonts w:ascii="Calibri" w:hAnsi="Calibri"/>
                <w:color w:val="000000"/>
                <w:lang w:val="en-AU"/>
              </w:rPr>
            </w:pPr>
            <w:r>
              <w:rPr>
                <w:rFonts w:ascii="Calibri" w:hAnsi="Calibri"/>
                <w:color w:val="000000"/>
                <w:lang w:val="en-AU"/>
              </w:rPr>
              <w:t>Ms Cody</w:t>
            </w:r>
          </w:p>
        </w:tc>
        <w:tc>
          <w:tcPr>
            <w:tcW w:w="2250" w:type="dxa"/>
            <w:gridSpan w:val="2"/>
            <w:shd w:val="clear" w:color="auto" w:fill="auto"/>
          </w:tcPr>
          <w:p w:rsidR="00B03565" w:rsidRDefault="00B03565" w:rsidP="00897C7D">
            <w:pPr>
              <w:ind w:left="180" w:right="124"/>
              <w:rPr>
                <w:rFonts w:ascii="Calibri" w:hAnsi="Calibri"/>
                <w:color w:val="000000"/>
                <w:lang w:val="en-AU"/>
              </w:rPr>
            </w:pPr>
            <w:r>
              <w:rPr>
                <w:rFonts w:ascii="Calibri" w:hAnsi="Calibri"/>
                <w:color w:val="000000"/>
                <w:lang w:val="en-AU"/>
              </w:rPr>
              <w:t>Mr Rattenbury</w:t>
            </w:r>
          </w:p>
        </w:tc>
        <w:tc>
          <w:tcPr>
            <w:tcW w:w="450" w:type="dxa"/>
            <w:shd w:val="clear" w:color="auto" w:fill="auto"/>
          </w:tcPr>
          <w:p w:rsidR="00B03565" w:rsidRDefault="00B03565" w:rsidP="00897C7D">
            <w:pPr>
              <w:spacing w:before="120"/>
              <w:ind w:left="810" w:right="124"/>
              <w:rPr>
                <w:rFonts w:ascii="Calibri" w:hAnsi="Calibri"/>
                <w:color w:val="000000"/>
                <w:lang w:val="en-AU"/>
              </w:rPr>
            </w:pPr>
          </w:p>
        </w:tc>
        <w:tc>
          <w:tcPr>
            <w:tcW w:w="2568" w:type="dxa"/>
            <w:shd w:val="clear" w:color="auto" w:fill="auto"/>
          </w:tcPr>
          <w:p w:rsidR="00B03565" w:rsidRDefault="00B03565" w:rsidP="00897C7D">
            <w:pPr>
              <w:ind w:left="270" w:right="124" w:hanging="6"/>
              <w:rPr>
                <w:rFonts w:ascii="Calibri" w:hAnsi="Calibri"/>
                <w:color w:val="000000"/>
                <w:lang w:val="en-AU"/>
              </w:rPr>
            </w:pPr>
            <w:r>
              <w:rPr>
                <w:rFonts w:ascii="Calibri" w:hAnsi="Calibri"/>
                <w:color w:val="000000"/>
                <w:lang w:val="en-AU"/>
              </w:rPr>
              <w:t>Mrs Dunne</w:t>
            </w:r>
          </w:p>
        </w:tc>
        <w:tc>
          <w:tcPr>
            <w:tcW w:w="2041" w:type="dxa"/>
            <w:gridSpan w:val="2"/>
            <w:shd w:val="clear" w:color="auto" w:fill="auto"/>
          </w:tcPr>
          <w:p w:rsidR="00B03565" w:rsidRDefault="00B03565" w:rsidP="00897C7D">
            <w:pPr>
              <w:spacing w:before="120"/>
              <w:ind w:left="77" w:right="-72"/>
              <w:rPr>
                <w:rFonts w:ascii="Calibri" w:hAnsi="Calibri"/>
                <w:color w:val="000000"/>
                <w:lang w:val="en-AU"/>
              </w:rPr>
            </w:pPr>
          </w:p>
        </w:tc>
      </w:tr>
      <w:tr w:rsidR="00B03565" w:rsidTr="00897C7D">
        <w:trPr>
          <w:trHeight w:hRule="exact" w:val="312"/>
        </w:trPr>
        <w:tc>
          <w:tcPr>
            <w:tcW w:w="2700" w:type="dxa"/>
            <w:gridSpan w:val="2"/>
            <w:shd w:val="clear" w:color="auto" w:fill="auto"/>
          </w:tcPr>
          <w:p w:rsidR="00B03565" w:rsidRDefault="00B03565" w:rsidP="00897C7D">
            <w:pPr>
              <w:ind w:left="810" w:right="124"/>
              <w:rPr>
                <w:rFonts w:ascii="Calibri" w:hAnsi="Calibri"/>
                <w:color w:val="000000"/>
                <w:lang w:val="en-AU"/>
              </w:rPr>
            </w:pPr>
            <w:r>
              <w:rPr>
                <w:rFonts w:ascii="Calibri" w:hAnsi="Calibri"/>
                <w:color w:val="000000"/>
                <w:lang w:val="en-AU"/>
              </w:rPr>
              <w:t>Mr Gentleman</w:t>
            </w:r>
          </w:p>
        </w:tc>
        <w:tc>
          <w:tcPr>
            <w:tcW w:w="2250" w:type="dxa"/>
            <w:gridSpan w:val="2"/>
            <w:shd w:val="clear" w:color="auto" w:fill="auto"/>
          </w:tcPr>
          <w:p w:rsidR="00B03565" w:rsidRDefault="00B03565" w:rsidP="00897C7D">
            <w:pPr>
              <w:ind w:left="180" w:right="124"/>
              <w:rPr>
                <w:rFonts w:ascii="Calibri" w:hAnsi="Calibri"/>
                <w:color w:val="000000"/>
                <w:lang w:val="en-AU"/>
              </w:rPr>
            </w:pPr>
            <w:r>
              <w:rPr>
                <w:rFonts w:ascii="Calibri" w:hAnsi="Calibri"/>
                <w:color w:val="000000"/>
                <w:lang w:val="en-AU"/>
              </w:rPr>
              <w:t>Mr Steel</w:t>
            </w:r>
          </w:p>
        </w:tc>
        <w:tc>
          <w:tcPr>
            <w:tcW w:w="450" w:type="dxa"/>
            <w:shd w:val="clear" w:color="auto" w:fill="auto"/>
          </w:tcPr>
          <w:p w:rsidR="00B03565" w:rsidRDefault="00B03565" w:rsidP="00897C7D">
            <w:pPr>
              <w:spacing w:before="120"/>
              <w:ind w:left="810" w:right="124"/>
              <w:rPr>
                <w:rFonts w:ascii="Calibri" w:hAnsi="Calibri"/>
                <w:color w:val="000000"/>
                <w:lang w:val="en-AU"/>
              </w:rPr>
            </w:pPr>
          </w:p>
        </w:tc>
        <w:tc>
          <w:tcPr>
            <w:tcW w:w="2568" w:type="dxa"/>
            <w:shd w:val="clear" w:color="auto" w:fill="auto"/>
          </w:tcPr>
          <w:p w:rsidR="00B03565" w:rsidRDefault="00B03565" w:rsidP="00897C7D">
            <w:pPr>
              <w:ind w:left="270" w:right="124" w:hanging="6"/>
              <w:rPr>
                <w:rFonts w:ascii="Calibri" w:hAnsi="Calibri"/>
                <w:color w:val="000000"/>
                <w:lang w:val="en-AU"/>
              </w:rPr>
            </w:pPr>
            <w:r>
              <w:rPr>
                <w:rFonts w:ascii="Calibri" w:hAnsi="Calibri"/>
                <w:color w:val="000000"/>
                <w:lang w:val="en-AU"/>
              </w:rPr>
              <w:t>Mr Hanson</w:t>
            </w:r>
          </w:p>
        </w:tc>
        <w:tc>
          <w:tcPr>
            <w:tcW w:w="2041" w:type="dxa"/>
            <w:gridSpan w:val="2"/>
            <w:shd w:val="clear" w:color="auto" w:fill="auto"/>
          </w:tcPr>
          <w:p w:rsidR="00B03565" w:rsidRDefault="00B03565" w:rsidP="00897C7D">
            <w:pPr>
              <w:spacing w:before="120"/>
              <w:ind w:left="810" w:right="124"/>
              <w:rPr>
                <w:rFonts w:ascii="Calibri" w:hAnsi="Calibri"/>
                <w:color w:val="000000"/>
                <w:lang w:val="en-AU"/>
              </w:rPr>
            </w:pPr>
          </w:p>
        </w:tc>
      </w:tr>
      <w:tr w:rsidR="00B03565" w:rsidTr="00897C7D">
        <w:trPr>
          <w:trHeight w:hRule="exact" w:val="312"/>
        </w:trPr>
        <w:tc>
          <w:tcPr>
            <w:tcW w:w="2700" w:type="dxa"/>
            <w:gridSpan w:val="2"/>
            <w:shd w:val="clear" w:color="auto" w:fill="auto"/>
          </w:tcPr>
          <w:p w:rsidR="00B03565" w:rsidRDefault="00B03565" w:rsidP="00897C7D">
            <w:pPr>
              <w:ind w:left="810" w:right="124"/>
              <w:rPr>
                <w:rFonts w:ascii="Calibri" w:hAnsi="Calibri"/>
                <w:color w:val="000000"/>
                <w:lang w:val="en-AU"/>
              </w:rPr>
            </w:pPr>
            <w:r>
              <w:rPr>
                <w:rFonts w:ascii="Calibri" w:hAnsi="Calibri"/>
                <w:color w:val="000000"/>
                <w:lang w:val="en-AU"/>
              </w:rPr>
              <w:t>Mr Gupta</w:t>
            </w:r>
          </w:p>
        </w:tc>
        <w:tc>
          <w:tcPr>
            <w:tcW w:w="2250" w:type="dxa"/>
            <w:gridSpan w:val="2"/>
            <w:shd w:val="clear" w:color="auto" w:fill="auto"/>
          </w:tcPr>
          <w:p w:rsidR="00B03565" w:rsidRDefault="00B03565" w:rsidP="00897C7D">
            <w:pPr>
              <w:ind w:left="180" w:right="124"/>
              <w:rPr>
                <w:rFonts w:ascii="Calibri" w:hAnsi="Calibri"/>
                <w:color w:val="000000"/>
                <w:lang w:val="en-AU"/>
              </w:rPr>
            </w:pPr>
            <w:r>
              <w:rPr>
                <w:rFonts w:ascii="Calibri" w:hAnsi="Calibri"/>
                <w:color w:val="000000"/>
                <w:lang w:val="en-AU"/>
              </w:rPr>
              <w:t>Ms Stephen-Smith</w:t>
            </w:r>
          </w:p>
        </w:tc>
        <w:tc>
          <w:tcPr>
            <w:tcW w:w="450" w:type="dxa"/>
            <w:shd w:val="clear" w:color="auto" w:fill="auto"/>
          </w:tcPr>
          <w:p w:rsidR="00B03565" w:rsidRDefault="00B03565" w:rsidP="00897C7D">
            <w:pPr>
              <w:spacing w:before="120"/>
              <w:ind w:left="810" w:right="124"/>
              <w:rPr>
                <w:rFonts w:ascii="Calibri" w:hAnsi="Calibri"/>
                <w:color w:val="000000"/>
                <w:lang w:val="en-AU"/>
              </w:rPr>
            </w:pPr>
          </w:p>
        </w:tc>
        <w:tc>
          <w:tcPr>
            <w:tcW w:w="2568" w:type="dxa"/>
            <w:shd w:val="clear" w:color="auto" w:fill="auto"/>
          </w:tcPr>
          <w:p w:rsidR="00B03565" w:rsidRDefault="00B03565" w:rsidP="00897C7D">
            <w:pPr>
              <w:ind w:left="270" w:right="124" w:hanging="6"/>
              <w:rPr>
                <w:rFonts w:ascii="Calibri" w:hAnsi="Calibri"/>
                <w:color w:val="000000"/>
                <w:lang w:val="en-AU"/>
              </w:rPr>
            </w:pPr>
            <w:r>
              <w:rPr>
                <w:rFonts w:ascii="Calibri" w:hAnsi="Calibri"/>
                <w:color w:val="000000"/>
                <w:lang w:val="en-AU"/>
              </w:rPr>
              <w:t>Mrs Kikkert</w:t>
            </w:r>
          </w:p>
        </w:tc>
        <w:tc>
          <w:tcPr>
            <w:tcW w:w="2041" w:type="dxa"/>
            <w:gridSpan w:val="2"/>
            <w:shd w:val="clear" w:color="auto" w:fill="auto"/>
          </w:tcPr>
          <w:p w:rsidR="00B03565" w:rsidRDefault="00B03565" w:rsidP="00897C7D">
            <w:pPr>
              <w:spacing w:before="120"/>
              <w:ind w:left="810" w:right="124"/>
              <w:rPr>
                <w:rFonts w:ascii="Calibri" w:hAnsi="Calibri"/>
                <w:color w:val="000000"/>
                <w:lang w:val="en-AU"/>
              </w:rPr>
            </w:pPr>
          </w:p>
        </w:tc>
      </w:tr>
      <w:tr w:rsidR="00B03565" w:rsidTr="00897C7D">
        <w:trPr>
          <w:trHeight w:hRule="exact" w:val="312"/>
        </w:trPr>
        <w:tc>
          <w:tcPr>
            <w:tcW w:w="2700" w:type="dxa"/>
            <w:gridSpan w:val="2"/>
            <w:shd w:val="clear" w:color="auto" w:fill="auto"/>
          </w:tcPr>
          <w:p w:rsidR="00B03565" w:rsidRDefault="00B03565" w:rsidP="00897C7D">
            <w:pPr>
              <w:ind w:left="810" w:right="124"/>
              <w:rPr>
                <w:rFonts w:ascii="Calibri" w:hAnsi="Calibri"/>
                <w:color w:val="000000"/>
                <w:lang w:val="en-AU"/>
              </w:rPr>
            </w:pPr>
            <w:r>
              <w:rPr>
                <w:rFonts w:ascii="Calibri" w:hAnsi="Calibri"/>
                <w:color w:val="000000"/>
                <w:lang w:val="en-AU"/>
              </w:rPr>
              <w:t>Ms Le Couteur</w:t>
            </w:r>
          </w:p>
        </w:tc>
        <w:tc>
          <w:tcPr>
            <w:tcW w:w="2250" w:type="dxa"/>
            <w:gridSpan w:val="2"/>
            <w:shd w:val="clear" w:color="auto" w:fill="auto"/>
          </w:tcPr>
          <w:p w:rsidR="00B03565" w:rsidRDefault="00B03565" w:rsidP="00897C7D">
            <w:pPr>
              <w:spacing w:before="120"/>
              <w:ind w:left="180" w:right="124"/>
              <w:rPr>
                <w:rFonts w:ascii="Calibri" w:hAnsi="Calibri"/>
                <w:color w:val="000000"/>
                <w:lang w:val="en-AU"/>
              </w:rPr>
            </w:pPr>
          </w:p>
        </w:tc>
        <w:tc>
          <w:tcPr>
            <w:tcW w:w="450" w:type="dxa"/>
            <w:shd w:val="clear" w:color="auto" w:fill="auto"/>
          </w:tcPr>
          <w:p w:rsidR="00B03565" w:rsidRDefault="00B03565" w:rsidP="00897C7D">
            <w:pPr>
              <w:spacing w:before="120"/>
              <w:ind w:left="810" w:right="124"/>
              <w:rPr>
                <w:rFonts w:ascii="Calibri" w:hAnsi="Calibri"/>
                <w:color w:val="000000"/>
                <w:lang w:val="en-AU"/>
              </w:rPr>
            </w:pPr>
          </w:p>
        </w:tc>
        <w:tc>
          <w:tcPr>
            <w:tcW w:w="2568" w:type="dxa"/>
            <w:shd w:val="clear" w:color="auto" w:fill="auto"/>
          </w:tcPr>
          <w:p w:rsidR="00B03565" w:rsidRDefault="00B03565" w:rsidP="00897C7D">
            <w:pPr>
              <w:ind w:left="270" w:right="124" w:hanging="6"/>
              <w:rPr>
                <w:rFonts w:ascii="Calibri" w:hAnsi="Calibri"/>
                <w:color w:val="000000"/>
                <w:lang w:val="en-AU"/>
              </w:rPr>
            </w:pPr>
            <w:r>
              <w:rPr>
                <w:rFonts w:ascii="Calibri" w:hAnsi="Calibri"/>
                <w:color w:val="000000"/>
                <w:lang w:val="en-AU"/>
              </w:rPr>
              <w:t>Ms Lawder</w:t>
            </w:r>
          </w:p>
        </w:tc>
        <w:tc>
          <w:tcPr>
            <w:tcW w:w="2041" w:type="dxa"/>
            <w:gridSpan w:val="2"/>
            <w:shd w:val="clear" w:color="auto" w:fill="auto"/>
          </w:tcPr>
          <w:p w:rsidR="00B03565" w:rsidRDefault="00B03565" w:rsidP="00897C7D">
            <w:pPr>
              <w:spacing w:before="120"/>
              <w:ind w:left="810" w:right="124"/>
              <w:rPr>
                <w:rFonts w:ascii="Calibri" w:hAnsi="Calibri"/>
                <w:color w:val="000000"/>
                <w:lang w:val="en-AU"/>
              </w:rPr>
            </w:pPr>
          </w:p>
        </w:tc>
      </w:tr>
      <w:tr w:rsidR="00B03565" w:rsidTr="00897C7D">
        <w:trPr>
          <w:trHeight w:hRule="exact" w:val="312"/>
        </w:trPr>
        <w:tc>
          <w:tcPr>
            <w:tcW w:w="2700" w:type="dxa"/>
            <w:gridSpan w:val="2"/>
            <w:shd w:val="clear" w:color="auto" w:fill="auto"/>
          </w:tcPr>
          <w:p w:rsidR="00B03565" w:rsidRDefault="00B03565" w:rsidP="00897C7D">
            <w:pPr>
              <w:ind w:left="810" w:right="124"/>
              <w:rPr>
                <w:rFonts w:ascii="Calibri" w:hAnsi="Calibri"/>
                <w:color w:val="000000"/>
                <w:lang w:val="en-AU"/>
              </w:rPr>
            </w:pPr>
            <w:r>
              <w:rPr>
                <w:rFonts w:ascii="Calibri" w:hAnsi="Calibri"/>
                <w:color w:val="000000"/>
                <w:lang w:val="en-AU"/>
              </w:rPr>
              <w:t>Ms Orr</w:t>
            </w:r>
          </w:p>
        </w:tc>
        <w:tc>
          <w:tcPr>
            <w:tcW w:w="2250" w:type="dxa"/>
            <w:gridSpan w:val="2"/>
            <w:shd w:val="clear" w:color="auto" w:fill="auto"/>
          </w:tcPr>
          <w:p w:rsidR="00B03565" w:rsidRDefault="00B03565" w:rsidP="00897C7D">
            <w:pPr>
              <w:spacing w:before="120"/>
              <w:ind w:left="810" w:right="124"/>
              <w:rPr>
                <w:rFonts w:ascii="Calibri" w:hAnsi="Calibri"/>
                <w:color w:val="000000"/>
                <w:lang w:val="en-AU"/>
              </w:rPr>
            </w:pPr>
          </w:p>
        </w:tc>
        <w:tc>
          <w:tcPr>
            <w:tcW w:w="450" w:type="dxa"/>
            <w:shd w:val="clear" w:color="auto" w:fill="auto"/>
          </w:tcPr>
          <w:p w:rsidR="00B03565" w:rsidRDefault="00B03565" w:rsidP="00897C7D">
            <w:pPr>
              <w:spacing w:before="120"/>
              <w:ind w:left="810" w:right="124"/>
              <w:rPr>
                <w:rFonts w:ascii="Calibri" w:hAnsi="Calibri"/>
                <w:color w:val="000000"/>
                <w:lang w:val="en-AU"/>
              </w:rPr>
            </w:pPr>
          </w:p>
        </w:tc>
        <w:tc>
          <w:tcPr>
            <w:tcW w:w="2568" w:type="dxa"/>
            <w:shd w:val="clear" w:color="auto" w:fill="auto"/>
          </w:tcPr>
          <w:p w:rsidR="00B03565" w:rsidRDefault="00B03565" w:rsidP="00897C7D">
            <w:pPr>
              <w:ind w:left="270" w:right="124" w:hanging="6"/>
              <w:rPr>
                <w:rFonts w:ascii="Calibri" w:hAnsi="Calibri"/>
                <w:color w:val="000000"/>
                <w:lang w:val="en-AU"/>
              </w:rPr>
            </w:pPr>
            <w:r>
              <w:rPr>
                <w:rFonts w:ascii="Calibri" w:hAnsi="Calibri"/>
                <w:color w:val="000000"/>
                <w:lang w:val="en-AU"/>
              </w:rPr>
              <w:t>Ms Lee</w:t>
            </w:r>
          </w:p>
        </w:tc>
        <w:tc>
          <w:tcPr>
            <w:tcW w:w="2041" w:type="dxa"/>
            <w:gridSpan w:val="2"/>
            <w:shd w:val="clear" w:color="auto" w:fill="auto"/>
          </w:tcPr>
          <w:p w:rsidR="00B03565" w:rsidRDefault="00B03565" w:rsidP="00897C7D">
            <w:pPr>
              <w:spacing w:before="120"/>
              <w:ind w:left="810" w:right="124"/>
              <w:rPr>
                <w:rFonts w:ascii="Calibri" w:hAnsi="Calibri"/>
                <w:color w:val="000000"/>
                <w:lang w:val="en-AU"/>
              </w:rPr>
            </w:pPr>
          </w:p>
        </w:tc>
      </w:tr>
    </w:tbl>
    <w:p w:rsidR="00B03565" w:rsidRDefault="00B03565" w:rsidP="00236AE3">
      <w:pPr>
        <w:spacing w:before="120"/>
        <w:ind w:left="720"/>
        <w:jc w:val="both"/>
        <w:rPr>
          <w:rFonts w:ascii="Calibri" w:hAnsi="Calibri"/>
          <w:color w:val="000000"/>
          <w:lang w:val="en-AU"/>
        </w:rPr>
      </w:pPr>
      <w:r>
        <w:rPr>
          <w:rFonts w:ascii="Calibri" w:hAnsi="Calibri"/>
          <w:color w:val="000000"/>
          <w:lang w:val="en-AU"/>
        </w:rPr>
        <w:t>And so it was resolved in the affirmative.</w:t>
      </w:r>
    </w:p>
    <w:p w:rsidR="00372447" w:rsidRDefault="00372447" w:rsidP="00372447">
      <w:pPr>
        <w:spacing w:before="120"/>
        <w:ind w:left="720"/>
        <w:rPr>
          <w:rFonts w:ascii="Calibri" w:hAnsi="Calibri"/>
          <w:color w:val="000000"/>
          <w:lang w:val="en-AU"/>
        </w:rPr>
      </w:pPr>
      <w:r>
        <w:rPr>
          <w:rFonts w:ascii="Calibri" w:hAnsi="Calibri"/>
          <w:color w:val="000000"/>
          <w:lang w:val="en-AU"/>
        </w:rPr>
        <w:t>Question</w:t>
      </w:r>
      <w:r w:rsidR="00B20B7F">
        <w:rPr>
          <w:rFonts w:ascii="Calibri" w:hAnsi="Calibri"/>
          <w:color w:val="000000"/>
          <w:lang w:val="en-AU"/>
        </w:rPr>
        <w:t>—That the motion, as amended</w:t>
      </w:r>
      <w:r>
        <w:rPr>
          <w:rFonts w:ascii="Calibri" w:hAnsi="Calibri"/>
          <w:color w:val="000000"/>
          <w:lang w:val="en-AU"/>
        </w:rPr>
        <w:t>, viz:</w:t>
      </w:r>
    </w:p>
    <w:p w:rsidR="00372447" w:rsidRDefault="00372447" w:rsidP="00372447">
      <w:pPr>
        <w:spacing w:before="120"/>
        <w:ind w:left="720"/>
        <w:rPr>
          <w:rFonts w:ascii="Calibri" w:hAnsi="Calibri"/>
          <w:color w:val="000000"/>
          <w:lang w:val="en-AU"/>
        </w:rPr>
      </w:pPr>
      <w:r>
        <w:rPr>
          <w:rFonts w:ascii="Calibri" w:hAnsi="Calibri"/>
          <w:color w:val="000000"/>
          <w:lang w:val="en-AU"/>
        </w:rPr>
        <w:t>“That this Assembly:</w:t>
      </w:r>
    </w:p>
    <w:p w:rsidR="00372447" w:rsidRPr="00372447" w:rsidRDefault="00372447" w:rsidP="00372447">
      <w:pPr>
        <w:pStyle w:val="DPSEntryIndents"/>
        <w:numPr>
          <w:ilvl w:val="0"/>
          <w:numId w:val="14"/>
        </w:numPr>
        <w:tabs>
          <w:tab w:val="clear" w:pos="1368"/>
          <w:tab w:val="left" w:pos="1350"/>
        </w:tabs>
        <w:ind w:right="-35"/>
        <w:rPr>
          <w:color w:val="000000"/>
        </w:rPr>
      </w:pPr>
      <w:r w:rsidRPr="00372447">
        <w:rPr>
          <w:color w:val="000000"/>
        </w:rPr>
        <w:t>notes the:</w:t>
      </w:r>
    </w:p>
    <w:p w:rsidR="00372447" w:rsidRDefault="00372447" w:rsidP="00372447">
      <w:pPr>
        <w:pStyle w:val="DPSEntryIndents"/>
        <w:numPr>
          <w:ilvl w:val="1"/>
          <w:numId w:val="3"/>
        </w:numPr>
      </w:pPr>
      <w:r>
        <w:t>importance of evidence-based policy and laws;</w:t>
      </w:r>
    </w:p>
    <w:p w:rsidR="00372447" w:rsidRDefault="00372447" w:rsidP="00372447">
      <w:pPr>
        <w:pStyle w:val="DPSEntryIndents"/>
        <w:numPr>
          <w:ilvl w:val="1"/>
          <w:numId w:val="3"/>
        </w:numPr>
      </w:pPr>
      <w:r>
        <w:t>need for proactive measures which are proven to undermine the criminal profits of criminal gangs;</w:t>
      </w:r>
    </w:p>
    <w:p w:rsidR="00372447" w:rsidRDefault="00372447" w:rsidP="00372447">
      <w:pPr>
        <w:pStyle w:val="DPSEntryIndents"/>
        <w:numPr>
          <w:ilvl w:val="1"/>
          <w:numId w:val="3"/>
        </w:numPr>
      </w:pPr>
      <w:r>
        <w:t>anti-consorting laws have not prevented the operation of serious criminal gangs in other States; and</w:t>
      </w:r>
    </w:p>
    <w:p w:rsidR="00372447" w:rsidRDefault="00372447" w:rsidP="00372447">
      <w:pPr>
        <w:pStyle w:val="DPSEntryIndents"/>
        <w:numPr>
          <w:ilvl w:val="1"/>
          <w:numId w:val="3"/>
        </w:numPr>
      </w:pPr>
      <w:r>
        <w:t>independent reviews of anti-consorting laws have found these disproportionately target vulnerable people, including young people and Aboriginal and Torres Strait Islanders, and their freedom of movement and other human rights;</w:t>
      </w:r>
    </w:p>
    <w:p w:rsidR="00372447" w:rsidRDefault="00372447" w:rsidP="00372447">
      <w:pPr>
        <w:pStyle w:val="DPSEntryIndents"/>
        <w:numPr>
          <w:ilvl w:val="0"/>
          <w:numId w:val="10"/>
        </w:numPr>
      </w:pPr>
      <w:r>
        <w:t>further notes:</w:t>
      </w:r>
    </w:p>
    <w:p w:rsidR="00372447" w:rsidRDefault="00372447" w:rsidP="00372447">
      <w:pPr>
        <w:pStyle w:val="DPSEntryIndents"/>
        <w:numPr>
          <w:ilvl w:val="1"/>
          <w:numId w:val="10"/>
        </w:numPr>
      </w:pPr>
      <w:r>
        <w:t>the report of former police officer and Associate Professor Goldsworthy tabled in this place in February 2020, which finds:</w:t>
      </w:r>
    </w:p>
    <w:p w:rsidR="00372447" w:rsidRDefault="00372447" w:rsidP="00372447">
      <w:pPr>
        <w:pStyle w:val="DPSEntryIndents"/>
        <w:numPr>
          <w:ilvl w:val="2"/>
          <w:numId w:val="10"/>
        </w:numPr>
      </w:pPr>
      <w:r>
        <w:t>anti-consorting laws are not evidence-based;</w:t>
      </w:r>
    </w:p>
    <w:p w:rsidR="00372447" w:rsidRDefault="00372447" w:rsidP="00372447">
      <w:pPr>
        <w:pStyle w:val="DPSEntryIndents"/>
        <w:numPr>
          <w:ilvl w:val="2"/>
          <w:numId w:val="10"/>
        </w:numPr>
      </w:pPr>
      <w:r>
        <w:t>anti-consorting laws do not operate to target outlaw motorcycle gangs;</w:t>
      </w:r>
    </w:p>
    <w:p w:rsidR="00372447" w:rsidRDefault="00372447" w:rsidP="000A48D1">
      <w:pPr>
        <w:pStyle w:val="DPSEntryIndents"/>
        <w:keepNext/>
        <w:numPr>
          <w:ilvl w:val="2"/>
          <w:numId w:val="10"/>
        </w:numPr>
      </w:pPr>
      <w:r>
        <w:lastRenderedPageBreak/>
        <w:t>anti-consorting laws are not effective; and</w:t>
      </w:r>
    </w:p>
    <w:p w:rsidR="00372447" w:rsidRDefault="00372447" w:rsidP="00372447">
      <w:pPr>
        <w:pStyle w:val="DPSEntryIndents"/>
        <w:numPr>
          <w:ilvl w:val="2"/>
          <w:numId w:val="10"/>
        </w:numPr>
      </w:pPr>
      <w:r>
        <w:t>measures which target unexplained wealth are effective;</w:t>
      </w:r>
    </w:p>
    <w:p w:rsidR="00372447" w:rsidRDefault="00372447" w:rsidP="00372447">
      <w:pPr>
        <w:pStyle w:val="DPSEntryIndents"/>
        <w:numPr>
          <w:ilvl w:val="1"/>
          <w:numId w:val="10"/>
        </w:numPr>
      </w:pPr>
      <w:r>
        <w:t>the recommendations in the Goldsworthy Report that the Government has used evidence-based policy and legislation to address the risks and reality of organised crime, including:</w:t>
      </w:r>
    </w:p>
    <w:p w:rsidR="00372447" w:rsidRDefault="00372447" w:rsidP="00372447">
      <w:pPr>
        <w:pStyle w:val="DPSEntryIndents"/>
        <w:numPr>
          <w:ilvl w:val="2"/>
          <w:numId w:val="10"/>
        </w:numPr>
      </w:pPr>
      <w:r>
        <w:t>since 2016, providing $11 770 000 to police and the Office of the Director of Public Prosecutions to target, disrupt, deter, prevent and prosecute organised crime; and</w:t>
      </w:r>
    </w:p>
    <w:p w:rsidR="00372447" w:rsidRDefault="00372447" w:rsidP="00372447">
      <w:pPr>
        <w:pStyle w:val="DPSEntryIndents"/>
        <w:numPr>
          <w:ilvl w:val="2"/>
          <w:numId w:val="10"/>
        </w:numPr>
      </w:pPr>
      <w:r>
        <w:t xml:space="preserve">introducing law reform which appropriately targets and punishes the criminal and profit-making activities </w:t>
      </w:r>
      <w:r w:rsidR="00FD552A">
        <w:t xml:space="preserve">of </w:t>
      </w:r>
      <w:r>
        <w:t>organised crime, including:</w:t>
      </w:r>
    </w:p>
    <w:p w:rsidR="00372447" w:rsidRDefault="00372447" w:rsidP="00372447">
      <w:pPr>
        <w:pStyle w:val="DPSEntryIndents"/>
        <w:numPr>
          <w:ilvl w:val="3"/>
          <w:numId w:val="10"/>
        </w:numPr>
      </w:pPr>
      <w:r>
        <w:t>increased penalties for drive-by shootings, fighting and offensive behaviour;</w:t>
      </w:r>
    </w:p>
    <w:p w:rsidR="00372447" w:rsidRDefault="00372447" w:rsidP="00372447">
      <w:pPr>
        <w:pStyle w:val="DPSEntryIndents"/>
        <w:numPr>
          <w:ilvl w:val="3"/>
          <w:numId w:val="10"/>
        </w:numPr>
      </w:pPr>
      <w:r>
        <w:t>increased penalties for specified offences committed in connection with a criminal group or committed by a person associated with a criminal group;</w:t>
      </w:r>
    </w:p>
    <w:p w:rsidR="00372447" w:rsidRDefault="00372447" w:rsidP="00372447">
      <w:pPr>
        <w:pStyle w:val="DPSEntryIndents"/>
        <w:numPr>
          <w:ilvl w:val="3"/>
          <w:numId w:val="10"/>
        </w:numPr>
      </w:pPr>
      <w:r>
        <w:t>new powers to ACT Policing to preserve evidence in a timely manner at crime scenes;</w:t>
      </w:r>
    </w:p>
    <w:p w:rsidR="00372447" w:rsidRDefault="00372447" w:rsidP="00372447">
      <w:pPr>
        <w:pStyle w:val="DPSEntryIndents"/>
        <w:numPr>
          <w:ilvl w:val="3"/>
          <w:numId w:val="10"/>
        </w:numPr>
      </w:pPr>
      <w:r>
        <w:t xml:space="preserve">new powers to permit ACT Policing to remove structures or devices which attempt to defeat the proper </w:t>
      </w:r>
      <w:r w:rsidR="00FD552A">
        <w:t>ex</w:t>
      </w:r>
      <w:r>
        <w:t>ecution of search warrants;</w:t>
      </w:r>
    </w:p>
    <w:p w:rsidR="00372447" w:rsidRDefault="00372447" w:rsidP="00372447">
      <w:pPr>
        <w:pStyle w:val="DPSEntryIndents"/>
        <w:numPr>
          <w:ilvl w:val="3"/>
          <w:numId w:val="10"/>
        </w:numPr>
      </w:pPr>
      <w:r>
        <w:t>tiered offences of serious affray;</w:t>
      </w:r>
    </w:p>
    <w:p w:rsidR="00372447" w:rsidRDefault="00372447" w:rsidP="00372447">
      <w:pPr>
        <w:pStyle w:val="DPSEntryIndents"/>
        <w:numPr>
          <w:ilvl w:val="3"/>
          <w:numId w:val="10"/>
        </w:numPr>
      </w:pPr>
      <w:r>
        <w:t>introducing an exclusion order scheme to exclude certain people from specified licensed premises through a civil mechanism; and</w:t>
      </w:r>
    </w:p>
    <w:p w:rsidR="00372447" w:rsidRDefault="00372447" w:rsidP="00372447">
      <w:pPr>
        <w:pStyle w:val="DPSEntryIndents"/>
        <w:numPr>
          <w:ilvl w:val="3"/>
          <w:numId w:val="10"/>
        </w:numPr>
      </w:pPr>
      <w:r>
        <w:t xml:space="preserve">introducing cancellation of a licence under the </w:t>
      </w:r>
      <w:r>
        <w:rPr>
          <w:i/>
        </w:rPr>
        <w:t>Liquor Act 2010</w:t>
      </w:r>
      <w:r>
        <w:t xml:space="preserve"> or the </w:t>
      </w:r>
      <w:r>
        <w:rPr>
          <w:i/>
        </w:rPr>
        <w:t>Construction Occupations (Licensing) Act 2004</w:t>
      </w:r>
      <w:r>
        <w:t xml:space="preserve"> on the basis on a person’s criminal activities;</w:t>
      </w:r>
    </w:p>
    <w:p w:rsidR="00372447" w:rsidRDefault="00372447" w:rsidP="00372447">
      <w:pPr>
        <w:pStyle w:val="DPSEntryIndents"/>
        <w:numPr>
          <w:ilvl w:val="1"/>
          <w:numId w:val="10"/>
        </w:numPr>
      </w:pPr>
      <w:r>
        <w:t>the effectiveness of the Government’s response to organised crime evidenced in police data showing the total number of members associated with ACT chapters of serious criminal gangs is estimated at approximately 30-40 people, a decrease from the previously reported numbers of approximately 70 members in 2018-19; and</w:t>
      </w:r>
    </w:p>
    <w:p w:rsidR="00372447" w:rsidRDefault="00372447" w:rsidP="00372447">
      <w:pPr>
        <w:pStyle w:val="DPSEntryIndents"/>
        <w:numPr>
          <w:ilvl w:val="1"/>
          <w:numId w:val="10"/>
        </w:numPr>
      </w:pPr>
      <w:r>
        <w:t>that countering serious and organised crime by criminal gangs and maintaining public safety is a primary focus of ACT Policing. Through Taskforce</w:t>
      </w:r>
      <w:r w:rsidR="00FD552A">
        <w:t xml:space="preserve"> Nemesis, ACT Policing continues</w:t>
      </w:r>
      <w:r>
        <w:t xml:space="preserve"> to proactively disrupt criminal gang members to deter and detect crim</w:t>
      </w:r>
      <w:r w:rsidR="00FD552A">
        <w:t>inal activity. ACT Policing has</w:t>
      </w:r>
      <w:r>
        <w:t xml:space="preserve"> and will continue to deploy resources to target and disrupt those seeking to cause harm in our community; and</w:t>
      </w:r>
    </w:p>
    <w:p w:rsidR="00372447" w:rsidRDefault="00372447" w:rsidP="00372447">
      <w:pPr>
        <w:pStyle w:val="DPSEntryIndents"/>
        <w:numPr>
          <w:ilvl w:val="0"/>
          <w:numId w:val="10"/>
        </w:numPr>
      </w:pPr>
      <w:r>
        <w:t>calls on the Government to:</w:t>
      </w:r>
    </w:p>
    <w:p w:rsidR="00372447" w:rsidRDefault="00372447" w:rsidP="00372447">
      <w:pPr>
        <w:pStyle w:val="DPSEntryIndents"/>
        <w:numPr>
          <w:ilvl w:val="1"/>
          <w:numId w:val="10"/>
        </w:numPr>
      </w:pPr>
      <w:r>
        <w:t>continue to use evidence to lead its policy and legislative approach to crime;</w:t>
      </w:r>
    </w:p>
    <w:p w:rsidR="00372447" w:rsidRDefault="00372447" w:rsidP="00372447">
      <w:pPr>
        <w:pStyle w:val="DPSEntryIndents"/>
        <w:numPr>
          <w:ilvl w:val="1"/>
          <w:numId w:val="10"/>
        </w:numPr>
      </w:pPr>
      <w:r>
        <w:lastRenderedPageBreak/>
        <w:t>ensure adequate consultation with the community in the development of its policy and legislative approach to crime; and</w:t>
      </w:r>
    </w:p>
    <w:p w:rsidR="00372447" w:rsidRPr="00480283" w:rsidRDefault="00372447" w:rsidP="00EF3354">
      <w:pPr>
        <w:pStyle w:val="DPSEntryIndents"/>
        <w:numPr>
          <w:ilvl w:val="1"/>
          <w:numId w:val="10"/>
        </w:numPr>
      </w:pPr>
      <w:r>
        <w:t>implement further measures, which target the profit of criminal gangs through the Confiscation of Criminal Assets (Unexplained Wealth) Amendment Bill 2020, as a matter of urgency.”—</w:t>
      </w:r>
    </w:p>
    <w:p w:rsidR="00372447" w:rsidRPr="00B24A73" w:rsidRDefault="00372447" w:rsidP="00372447">
      <w:pPr>
        <w:spacing w:before="120"/>
        <w:ind w:left="720"/>
        <w:rPr>
          <w:rFonts w:ascii="Calibri" w:hAnsi="Calibri"/>
          <w:color w:val="000000"/>
          <w:lang w:val="en-AU"/>
        </w:rPr>
      </w:pPr>
      <w:r>
        <w:rPr>
          <w:rFonts w:ascii="Calibri" w:hAnsi="Calibri"/>
          <w:color w:val="000000"/>
          <w:lang w:val="en-AU"/>
        </w:rPr>
        <w:t>be agreed to—put and passed.</w:t>
      </w:r>
    </w:p>
    <w:p w:rsidR="009E3DB5" w:rsidRPr="00A75F65" w:rsidRDefault="009E3DB5" w:rsidP="009E3DB5">
      <w:pPr>
        <w:keepNext/>
        <w:keepLines/>
        <w:tabs>
          <w:tab w:val="right" w:pos="339"/>
          <w:tab w:val="left" w:pos="720"/>
        </w:tabs>
        <w:spacing w:before="240"/>
        <w:ind w:left="720" w:hanging="720"/>
        <w:jc w:val="both"/>
        <w:rPr>
          <w:rFonts w:ascii="Calibri" w:hAnsi="Calibri"/>
          <w:b/>
          <w:caps/>
          <w:lang w:val="en-AU"/>
        </w:rPr>
      </w:pPr>
      <w:r w:rsidRPr="00A75F65">
        <w:rPr>
          <w:rFonts w:ascii="Calibri" w:hAnsi="Calibri"/>
          <w:b/>
          <w:caps/>
          <w:lang w:val="en-AU"/>
        </w:rPr>
        <w:tab/>
      </w:r>
      <w:r>
        <w:rPr>
          <w:rFonts w:ascii="Calibri" w:hAnsi="Calibri"/>
          <w:b/>
          <w:bCs/>
          <w:caps/>
          <w:lang w:val="en-AU"/>
        </w:rPr>
        <w:fldChar w:fldCharType="begin"/>
      </w:r>
      <w:r>
        <w:rPr>
          <w:rFonts w:ascii="Calibri" w:hAnsi="Calibri"/>
          <w:b/>
          <w:bCs/>
          <w:caps/>
          <w:lang w:val="en-AU"/>
        </w:rPr>
        <w:instrText xml:space="preserve"> SEQ A \* MERGEFORMAT </w:instrText>
      </w:r>
      <w:r>
        <w:rPr>
          <w:rFonts w:ascii="Calibri" w:hAnsi="Calibri"/>
          <w:b/>
          <w:bCs/>
          <w:caps/>
          <w:lang w:val="en-AU"/>
        </w:rPr>
        <w:fldChar w:fldCharType="separate"/>
      </w:r>
      <w:r w:rsidR="003D6726">
        <w:rPr>
          <w:rFonts w:ascii="Calibri" w:hAnsi="Calibri"/>
          <w:b/>
          <w:bCs/>
          <w:caps/>
          <w:noProof/>
          <w:lang w:val="en-AU"/>
        </w:rPr>
        <w:t>21</w:t>
      </w:r>
      <w:r>
        <w:rPr>
          <w:rFonts w:ascii="Calibri" w:hAnsi="Calibri"/>
          <w:b/>
          <w:bCs/>
          <w:caps/>
          <w:lang w:val="en-AU"/>
        </w:rPr>
        <w:fldChar w:fldCharType="end"/>
      </w:r>
      <w:r w:rsidRPr="00A75F65">
        <w:rPr>
          <w:rFonts w:ascii="Calibri" w:hAnsi="Calibri"/>
          <w:b/>
          <w:caps/>
          <w:lang w:val="en-AU"/>
        </w:rPr>
        <w:tab/>
      </w:r>
      <w:r>
        <w:rPr>
          <w:rFonts w:ascii="Calibri" w:hAnsi="Calibri"/>
          <w:b/>
          <w:caps/>
          <w:lang w:val="en-AU"/>
        </w:rPr>
        <w:t>P</w:t>
      </w:r>
      <w:r w:rsidR="00AF7AE6">
        <w:rPr>
          <w:rFonts w:ascii="Calibri" w:hAnsi="Calibri"/>
          <w:b/>
          <w:caps/>
          <w:lang w:val="en-AU"/>
        </w:rPr>
        <w:t>roblem gambling—Harm minimisation</w:t>
      </w:r>
    </w:p>
    <w:p w:rsidR="009E3DB5" w:rsidRDefault="009E3DB5" w:rsidP="009E3DB5">
      <w:pPr>
        <w:spacing w:before="120"/>
        <w:ind w:left="720"/>
        <w:jc w:val="both"/>
        <w:rPr>
          <w:rFonts w:ascii="Calibri" w:hAnsi="Calibri"/>
          <w:color w:val="000000"/>
          <w:lang w:val="en-AU"/>
        </w:rPr>
      </w:pPr>
      <w:r>
        <w:rPr>
          <w:rFonts w:ascii="Calibri" w:hAnsi="Calibri"/>
          <w:color w:val="000000"/>
          <w:lang w:val="en-AU"/>
        </w:rPr>
        <w:t>The order of the day having been read for the resumption of the debate on the motion of Mr Rattenbury (</w:t>
      </w:r>
      <w:r>
        <w:rPr>
          <w:rFonts w:ascii="Calibri" w:hAnsi="Calibri"/>
          <w:i/>
          <w:color w:val="000000"/>
          <w:lang w:val="en-AU"/>
        </w:rPr>
        <w:t>see</w:t>
      </w:r>
      <w:r>
        <w:rPr>
          <w:rFonts w:ascii="Calibri" w:hAnsi="Calibri"/>
          <w:color w:val="000000"/>
          <w:lang w:val="en-AU"/>
        </w:rPr>
        <w:t xml:space="preserve"> </w:t>
      </w:r>
      <w:hyperlink w:anchor="Entry14" w:history="1">
        <w:r w:rsidRPr="00913563">
          <w:rPr>
            <w:rStyle w:val="Hyperlink"/>
            <w:rFonts w:ascii="Calibri" w:hAnsi="Calibri"/>
            <w:lang w:val="en-AU"/>
          </w:rPr>
          <w:t>entry 14</w:t>
        </w:r>
      </w:hyperlink>
      <w:r>
        <w:rPr>
          <w:rFonts w:ascii="Calibri" w:hAnsi="Calibri"/>
          <w:color w:val="000000"/>
          <w:lang w:val="en-AU"/>
        </w:rPr>
        <w:t>)—</w:t>
      </w:r>
    </w:p>
    <w:p w:rsidR="00D20154" w:rsidRPr="00913563" w:rsidRDefault="00C4172D" w:rsidP="009E3DB5">
      <w:pPr>
        <w:spacing w:before="120"/>
        <w:ind w:left="720"/>
        <w:jc w:val="both"/>
        <w:rPr>
          <w:rFonts w:ascii="Calibri" w:hAnsi="Calibri"/>
          <w:color w:val="000000"/>
          <w:lang w:val="en-AU"/>
        </w:rPr>
      </w:pPr>
      <w:r>
        <w:rPr>
          <w:rFonts w:ascii="Calibri" w:hAnsi="Calibri"/>
          <w:color w:val="000000"/>
          <w:lang w:val="en-AU"/>
        </w:rPr>
        <w:t>Debate resumed.</w:t>
      </w:r>
    </w:p>
    <w:p w:rsidR="009E3DB5" w:rsidRDefault="009E3DB5" w:rsidP="009E3DB5">
      <w:pPr>
        <w:spacing w:before="120"/>
        <w:ind w:left="720"/>
        <w:jc w:val="both"/>
        <w:rPr>
          <w:rFonts w:ascii="Calibri" w:hAnsi="Calibri"/>
          <w:color w:val="000000"/>
          <w:lang w:val="en-AU"/>
        </w:rPr>
      </w:pPr>
      <w:r>
        <w:rPr>
          <w:rFonts w:ascii="Calibri" w:hAnsi="Calibri"/>
          <w:color w:val="000000"/>
          <w:lang w:val="en-AU"/>
        </w:rPr>
        <w:t>M</w:t>
      </w:r>
      <w:r w:rsidR="00D20154">
        <w:rPr>
          <w:rFonts w:ascii="Calibri" w:hAnsi="Calibri"/>
          <w:color w:val="000000"/>
          <w:lang w:val="en-AU"/>
        </w:rPr>
        <w:t>r Ramsay (Attorney-General),</w:t>
      </w:r>
      <w:r>
        <w:rPr>
          <w:rFonts w:ascii="Calibri" w:hAnsi="Calibri"/>
          <w:color w:val="000000"/>
          <w:lang w:val="en-AU"/>
        </w:rPr>
        <w:t xml:space="preserve"> moved the following amendment:</w:t>
      </w:r>
    </w:p>
    <w:p w:rsidR="009E3DB5" w:rsidRDefault="009E3DB5" w:rsidP="009E3DB5">
      <w:pPr>
        <w:spacing w:before="120"/>
        <w:ind w:left="720"/>
        <w:jc w:val="both"/>
        <w:rPr>
          <w:rFonts w:ascii="Calibri" w:hAnsi="Calibri"/>
          <w:color w:val="000000"/>
          <w:lang w:val="en-AU"/>
        </w:rPr>
      </w:pPr>
      <w:r>
        <w:rPr>
          <w:rFonts w:ascii="Calibri" w:hAnsi="Calibri"/>
          <w:color w:val="000000"/>
          <w:lang w:val="en-AU"/>
        </w:rPr>
        <w:t xml:space="preserve">Omit all text after </w:t>
      </w:r>
      <w:r w:rsidR="00F85F03">
        <w:rPr>
          <w:rFonts w:ascii="Calibri" w:hAnsi="Calibri"/>
          <w:color w:val="000000"/>
          <w:lang w:val="en-AU"/>
        </w:rPr>
        <w:t>“</w:t>
      </w:r>
      <w:r>
        <w:rPr>
          <w:rFonts w:ascii="Calibri" w:hAnsi="Calibri"/>
          <w:color w:val="000000"/>
          <w:lang w:val="en-AU"/>
        </w:rPr>
        <w:t>That this Assembly</w:t>
      </w:r>
      <w:r w:rsidR="00F85F03">
        <w:rPr>
          <w:rFonts w:ascii="Calibri" w:hAnsi="Calibri"/>
          <w:color w:val="000000"/>
          <w:lang w:val="en-AU"/>
        </w:rPr>
        <w:t>”</w:t>
      </w:r>
      <w:r>
        <w:rPr>
          <w:rFonts w:ascii="Calibri" w:hAnsi="Calibri"/>
          <w:color w:val="000000"/>
          <w:lang w:val="en-AU"/>
        </w:rPr>
        <w:t>, substitute:</w:t>
      </w:r>
    </w:p>
    <w:p w:rsidR="009E3DB5" w:rsidRPr="00B2646F" w:rsidRDefault="00F85F03" w:rsidP="009E3DB5">
      <w:pPr>
        <w:pStyle w:val="DPSEntryIndents"/>
        <w:numPr>
          <w:ilvl w:val="0"/>
          <w:numId w:val="0"/>
        </w:numPr>
        <w:tabs>
          <w:tab w:val="left" w:pos="1350"/>
        </w:tabs>
        <w:ind w:left="720"/>
        <w:rPr>
          <w:lang w:eastAsia="en-US"/>
        </w:rPr>
      </w:pPr>
      <w:r>
        <w:rPr>
          <w:lang w:eastAsia="en-US"/>
        </w:rPr>
        <w:t>“</w:t>
      </w:r>
      <w:r w:rsidR="009E3DB5">
        <w:rPr>
          <w:lang w:eastAsia="en-US"/>
        </w:rPr>
        <w:t>(1)</w:t>
      </w:r>
      <w:r w:rsidR="009E3DB5">
        <w:rPr>
          <w:lang w:eastAsia="en-US"/>
        </w:rPr>
        <w:tab/>
      </w:r>
      <w:r w:rsidR="009E3DB5" w:rsidRPr="00B2646F">
        <w:rPr>
          <w:lang w:eastAsia="en-US"/>
        </w:rPr>
        <w:t xml:space="preserve">notes that the ACT Government: </w:t>
      </w:r>
    </w:p>
    <w:p w:rsidR="009E3DB5" w:rsidRPr="00B2646F" w:rsidRDefault="009E3DB5" w:rsidP="006A5CA7">
      <w:pPr>
        <w:pStyle w:val="DPSEntryIndents"/>
        <w:numPr>
          <w:ilvl w:val="1"/>
          <w:numId w:val="17"/>
        </w:numPr>
      </w:pPr>
      <w:r w:rsidRPr="00B2646F">
        <w:t xml:space="preserve">recognises </w:t>
      </w:r>
      <w:r>
        <w:t>that:</w:t>
      </w:r>
    </w:p>
    <w:p w:rsidR="009E3DB5" w:rsidRPr="00B2646F" w:rsidRDefault="009E3DB5" w:rsidP="009E3DB5">
      <w:pPr>
        <w:pStyle w:val="DPSEntryIndents"/>
        <w:numPr>
          <w:ilvl w:val="2"/>
          <w:numId w:val="3"/>
        </w:numPr>
      </w:pPr>
      <w:r w:rsidRPr="00B2646F">
        <w:t>clubs play an important role in the social life of many Canberrans, as meeting places, employers of around 1745 people, and supporting essential community groups, sporting codes and our rich multicultural community</w:t>
      </w:r>
      <w:r>
        <w:t>; and</w:t>
      </w:r>
    </w:p>
    <w:p w:rsidR="009E3DB5" w:rsidRPr="00B2646F" w:rsidRDefault="009E3DB5" w:rsidP="009E3DB5">
      <w:pPr>
        <w:pStyle w:val="DPSEntryIndents"/>
        <w:numPr>
          <w:ilvl w:val="2"/>
          <w:numId w:val="3"/>
        </w:numPr>
      </w:pPr>
      <w:r w:rsidRPr="00B2646F">
        <w:t>clubs have gone through a period of significant reform over the past five years;</w:t>
      </w:r>
    </w:p>
    <w:p w:rsidR="009E3DB5" w:rsidRPr="00B2646F" w:rsidRDefault="009E3DB5" w:rsidP="009E3DB5">
      <w:pPr>
        <w:pStyle w:val="DPSEntryIndents"/>
        <w:numPr>
          <w:ilvl w:val="1"/>
          <w:numId w:val="3"/>
        </w:numPr>
      </w:pPr>
      <w:r w:rsidRPr="00B2646F">
        <w:t>takes seriously the need to protect members of our community experiencing gambling harm, ensure there are rigorous and well-enforced safeguards in place, and continue to assist clubs to move away from reliance on gaming revenue; and</w:t>
      </w:r>
    </w:p>
    <w:p w:rsidR="009E3DB5" w:rsidRPr="00B2646F" w:rsidRDefault="009E3DB5" w:rsidP="009E3DB5">
      <w:pPr>
        <w:pStyle w:val="DPSEntryIndents"/>
        <w:numPr>
          <w:ilvl w:val="1"/>
          <w:numId w:val="3"/>
        </w:numPr>
      </w:pPr>
      <w:r w:rsidRPr="00B2646F">
        <w:t>acknowledges the pressure that clubs have been under to remain viable, keep people employed, and support their communities during the C</w:t>
      </w:r>
      <w:r>
        <w:t>OVID</w:t>
      </w:r>
      <w:r>
        <w:noBreakHyphen/>
      </w:r>
      <w:r w:rsidRPr="00B2646F">
        <w:t>19 pandemic, and the importance for clubs to survive, recover and thrive</w:t>
      </w:r>
      <w:r>
        <w:t>;</w:t>
      </w:r>
    </w:p>
    <w:p w:rsidR="009E3DB5" w:rsidRPr="00B2646F" w:rsidRDefault="009E3DB5" w:rsidP="009E3DB5">
      <w:pPr>
        <w:pStyle w:val="DPSEntryIndents"/>
        <w:numPr>
          <w:ilvl w:val="0"/>
          <w:numId w:val="9"/>
        </w:numPr>
        <w:rPr>
          <w:lang w:eastAsia="en-US"/>
        </w:rPr>
      </w:pPr>
      <w:r w:rsidRPr="00B2646F">
        <w:rPr>
          <w:lang w:eastAsia="en-US"/>
        </w:rPr>
        <w:t>notes that t</w:t>
      </w:r>
      <w:r>
        <w:rPr>
          <w:lang w:eastAsia="en-US"/>
        </w:rPr>
        <w:t>he ACT Government has this term:</w:t>
      </w:r>
    </w:p>
    <w:p w:rsidR="009E3DB5" w:rsidRPr="00B2646F" w:rsidRDefault="009E3DB5" w:rsidP="009E3DB5">
      <w:pPr>
        <w:pStyle w:val="DPSEntryIndents"/>
        <w:numPr>
          <w:ilvl w:val="1"/>
          <w:numId w:val="3"/>
        </w:numPr>
        <w:rPr>
          <w:lang w:eastAsia="en-US"/>
        </w:rPr>
      </w:pPr>
      <w:r w:rsidRPr="00B2646F">
        <w:t>reduced the number of poker machine authorisations from 4938 to 3888</w:t>
      </w:r>
      <w:r>
        <w:t>, which represents a 20 percent reduction in this term of government</w:t>
      </w:r>
      <w:r w:rsidRPr="00B2646F">
        <w:t>;</w:t>
      </w:r>
    </w:p>
    <w:p w:rsidR="009E3DB5" w:rsidRPr="00B2646F" w:rsidRDefault="009E3DB5" w:rsidP="009E3DB5">
      <w:pPr>
        <w:pStyle w:val="DPSEntryIndents"/>
        <w:numPr>
          <w:ilvl w:val="1"/>
          <w:numId w:val="3"/>
        </w:numPr>
        <w:rPr>
          <w:lang w:eastAsia="en-US"/>
        </w:rPr>
      </w:pPr>
      <w:r w:rsidRPr="00B2646F">
        <w:rPr>
          <w:lang w:eastAsia="en-US"/>
        </w:rPr>
        <w:t>adopted a public health approach to addressing gambling harm</w:t>
      </w:r>
      <w:r w:rsidR="003E6AB6">
        <w:rPr>
          <w:lang w:eastAsia="en-US"/>
        </w:rPr>
        <w:t>,</w:t>
      </w:r>
      <w:r w:rsidRPr="00B2646F">
        <w:rPr>
          <w:lang w:eastAsia="en-US"/>
        </w:rPr>
        <w:t xml:space="preserve"> which has included targeted education campaigns, increasing funding to the Gambling Harm Prevention and Mitigation Fund, and introducing restrictions </w:t>
      </w:r>
      <w:r>
        <w:rPr>
          <w:lang w:eastAsia="en-US"/>
        </w:rPr>
        <w:t>on EFTPOS withdrawals in clubs;</w:t>
      </w:r>
    </w:p>
    <w:p w:rsidR="009E3DB5" w:rsidRPr="00B2646F" w:rsidRDefault="009E3DB5" w:rsidP="009E3DB5">
      <w:pPr>
        <w:pStyle w:val="DPSEntryIndents"/>
        <w:numPr>
          <w:ilvl w:val="1"/>
          <w:numId w:val="3"/>
        </w:numPr>
        <w:rPr>
          <w:lang w:eastAsia="en-US"/>
        </w:rPr>
      </w:pPr>
      <w:r w:rsidRPr="00B2646F">
        <w:t xml:space="preserve">implemented a range of measures, including </w:t>
      </w:r>
      <w:r w:rsidRPr="00B2646F">
        <w:rPr>
          <w:lang w:eastAsia="en-US"/>
        </w:rPr>
        <w:t>establishing the Diversification and Sustainability Support Fund,</w:t>
      </w:r>
      <w:r w:rsidRPr="00B2646F">
        <w:t xml:space="preserve"> which are assisting clubs to diversify their revenue streams and move away from reliance on gaming revenue while still being able to fulfil their role in the </w:t>
      </w:r>
      <w:r>
        <w:t xml:space="preserve">community, supporting around 10 </w:t>
      </w:r>
      <w:r w:rsidR="003E6AB6">
        <w:t>000 community, sport</w:t>
      </w:r>
      <w:r w:rsidRPr="00B2646F">
        <w:t xml:space="preserve"> and multicultural groups;</w:t>
      </w:r>
      <w:r>
        <w:t xml:space="preserve"> and</w:t>
      </w:r>
    </w:p>
    <w:p w:rsidR="009E3DB5" w:rsidRPr="00B2646F" w:rsidRDefault="009E3DB5" w:rsidP="009E3DB5">
      <w:pPr>
        <w:pStyle w:val="DPSEntryIndents"/>
        <w:numPr>
          <w:ilvl w:val="1"/>
          <w:numId w:val="3"/>
        </w:numPr>
      </w:pPr>
      <w:r w:rsidRPr="00B2646F">
        <w:lastRenderedPageBreak/>
        <w:t>reviewed the Community Contributions scheme to improve transparency of funding by clubs to community support and to maximise this benefit to the community</w:t>
      </w:r>
      <w:r>
        <w:t>;</w:t>
      </w:r>
    </w:p>
    <w:p w:rsidR="009E3DB5" w:rsidRPr="00B2646F" w:rsidRDefault="009E3DB5" w:rsidP="009E3DB5">
      <w:pPr>
        <w:pStyle w:val="DPSEntryIndents"/>
        <w:rPr>
          <w:lang w:eastAsia="en-US"/>
        </w:rPr>
      </w:pPr>
      <w:r w:rsidRPr="00B2646F">
        <w:rPr>
          <w:lang w:eastAsia="en-US"/>
        </w:rPr>
        <w:t>notes that</w:t>
      </w:r>
      <w:r>
        <w:rPr>
          <w:lang w:eastAsia="en-US"/>
        </w:rPr>
        <w:t>:</w:t>
      </w:r>
    </w:p>
    <w:p w:rsidR="009E3DB5" w:rsidRPr="00B2646F" w:rsidRDefault="009E3DB5" w:rsidP="009E3DB5">
      <w:pPr>
        <w:pStyle w:val="DPSEntryIndents"/>
        <w:numPr>
          <w:ilvl w:val="1"/>
          <w:numId w:val="3"/>
        </w:numPr>
        <w:rPr>
          <w:lang w:eastAsia="en-US"/>
        </w:rPr>
      </w:pPr>
      <w:r w:rsidRPr="00B2646F">
        <w:rPr>
          <w:lang w:eastAsia="en-US"/>
        </w:rPr>
        <w:t>in the ACT</w:t>
      </w:r>
      <w:r>
        <w:rPr>
          <w:lang w:eastAsia="en-US"/>
        </w:rPr>
        <w:t>, people can lose more than $1</w:t>
      </w:r>
      <w:r w:rsidRPr="00B2646F">
        <w:rPr>
          <w:lang w:eastAsia="en-US"/>
        </w:rPr>
        <w:t>000 an hour playing poker machines;</w:t>
      </w:r>
    </w:p>
    <w:p w:rsidR="009E3DB5" w:rsidRPr="00B2646F" w:rsidRDefault="009E3DB5" w:rsidP="009E3DB5">
      <w:pPr>
        <w:pStyle w:val="DPSEntryIndents"/>
        <w:numPr>
          <w:ilvl w:val="1"/>
          <w:numId w:val="3"/>
        </w:numPr>
        <w:rPr>
          <w:lang w:eastAsia="en-US"/>
        </w:rPr>
      </w:pPr>
      <w:r w:rsidRPr="00B2646F">
        <w:rPr>
          <w:lang w:eastAsia="en-US"/>
        </w:rPr>
        <w:t>all Australian jurisdictions</w:t>
      </w:r>
      <w:r>
        <w:rPr>
          <w:lang w:eastAsia="en-US"/>
        </w:rPr>
        <w:t>,</w:t>
      </w:r>
      <w:r w:rsidRPr="00B2646F">
        <w:rPr>
          <w:lang w:eastAsia="en-US"/>
        </w:rPr>
        <w:t xml:space="preserve"> except for the ACT and NSW</w:t>
      </w:r>
      <w:r>
        <w:rPr>
          <w:lang w:eastAsia="en-US"/>
        </w:rPr>
        <w:t>,</w:t>
      </w:r>
      <w:r w:rsidRPr="00B2646F">
        <w:rPr>
          <w:lang w:eastAsia="en-US"/>
        </w:rPr>
        <w:t xml:space="preserve"> have bet limits of $5 per spin for poker machines in c</w:t>
      </w:r>
      <w:r w:rsidR="003E6AB6">
        <w:rPr>
          <w:lang w:eastAsia="en-US"/>
        </w:rPr>
        <w:t>l</w:t>
      </w:r>
      <w:r w:rsidRPr="00B2646F">
        <w:rPr>
          <w:lang w:eastAsia="en-US"/>
        </w:rPr>
        <w:t>ubs and hotels;</w:t>
      </w:r>
    </w:p>
    <w:p w:rsidR="009E3DB5" w:rsidRPr="00B2646F" w:rsidRDefault="009E3DB5" w:rsidP="009E3DB5">
      <w:pPr>
        <w:pStyle w:val="DPSEntryIndents"/>
        <w:numPr>
          <w:ilvl w:val="1"/>
          <w:numId w:val="3"/>
        </w:numPr>
        <w:rPr>
          <w:lang w:eastAsia="en-US"/>
        </w:rPr>
      </w:pPr>
      <w:r w:rsidRPr="00B2646F">
        <w:rPr>
          <w:lang w:eastAsia="en-US"/>
        </w:rPr>
        <w:t>all Australian jurisdictions, where poker machines accept banknotes, except for the ACT</w:t>
      </w:r>
      <w:r>
        <w:rPr>
          <w:lang w:eastAsia="en-US"/>
        </w:rPr>
        <w:t>,</w:t>
      </w:r>
      <w:r w:rsidRPr="00B2646F">
        <w:rPr>
          <w:lang w:eastAsia="en-US"/>
        </w:rPr>
        <w:t xml:space="preserve"> have load limits in clubs and hotels, and Queensland has introduced a load up limit of $100;</w:t>
      </w:r>
    </w:p>
    <w:p w:rsidR="009E3DB5" w:rsidRPr="00B2646F" w:rsidRDefault="009E3DB5" w:rsidP="009E3DB5">
      <w:pPr>
        <w:pStyle w:val="DPSEntryIndents"/>
        <w:numPr>
          <w:ilvl w:val="1"/>
          <w:numId w:val="3"/>
        </w:numPr>
        <w:rPr>
          <w:lang w:eastAsia="en-US"/>
        </w:rPr>
      </w:pPr>
      <w:r w:rsidRPr="00B2646F">
        <w:rPr>
          <w:lang w:eastAsia="en-US"/>
        </w:rPr>
        <w:t>reports indicate that the COVID-19 shutdown period has been a relief for some people experiencing gambling harm;</w:t>
      </w:r>
    </w:p>
    <w:p w:rsidR="009E3DB5" w:rsidRPr="00B2646F" w:rsidRDefault="009E3DB5" w:rsidP="009E3DB5">
      <w:pPr>
        <w:pStyle w:val="DPSEntryIndents"/>
        <w:numPr>
          <w:ilvl w:val="1"/>
          <w:numId w:val="3"/>
        </w:numPr>
        <w:rPr>
          <w:lang w:eastAsia="en-US"/>
        </w:rPr>
      </w:pPr>
      <w:r w:rsidRPr="00B2646F">
        <w:rPr>
          <w:lang w:eastAsia="en-US"/>
        </w:rPr>
        <w:t>in 2014-15</w:t>
      </w:r>
      <w:r>
        <w:rPr>
          <w:lang w:eastAsia="en-US"/>
        </w:rPr>
        <w:t>,</w:t>
      </w:r>
      <w:r w:rsidRPr="00B2646F">
        <w:rPr>
          <w:lang w:eastAsia="en-US"/>
        </w:rPr>
        <w:t xml:space="preserve"> almost 20 percent of ACT adults played the pokies at least once, with losses totalling $37.48 million. Non-problem gamblers accounted for 37 percent of all money l</w:t>
      </w:r>
      <w:r>
        <w:rPr>
          <w:lang w:eastAsia="en-US"/>
        </w:rPr>
        <w:t>ost on poker machines, while 63 </w:t>
      </w:r>
      <w:r w:rsidRPr="00B2646F">
        <w:rPr>
          <w:lang w:eastAsia="en-US"/>
        </w:rPr>
        <w:t>percent came from people with some problem gambling behaviours;</w:t>
      </w:r>
    </w:p>
    <w:p w:rsidR="009E3DB5" w:rsidRPr="00B2646F" w:rsidRDefault="009E3DB5" w:rsidP="009E3DB5">
      <w:pPr>
        <w:pStyle w:val="DPSEntryIndents"/>
        <w:numPr>
          <w:ilvl w:val="1"/>
          <w:numId w:val="3"/>
        </w:numPr>
        <w:rPr>
          <w:lang w:eastAsia="en-US"/>
        </w:rPr>
      </w:pPr>
      <w:r w:rsidRPr="00B2646F">
        <w:rPr>
          <w:lang w:eastAsia="en-US"/>
        </w:rPr>
        <w:t>the ACT Gambling Survey 2019 (Commissioned by the ACT Gambling and Racing Commission, undertaken by Australian National University) found that:</w:t>
      </w:r>
    </w:p>
    <w:p w:rsidR="009E3DB5" w:rsidRPr="00B2646F" w:rsidRDefault="009E3DB5" w:rsidP="009E3DB5">
      <w:pPr>
        <w:pStyle w:val="DPSEntryIndents"/>
        <w:numPr>
          <w:ilvl w:val="2"/>
          <w:numId w:val="3"/>
        </w:numPr>
        <w:rPr>
          <w:lang w:eastAsia="en-US"/>
        </w:rPr>
      </w:pPr>
      <w:r w:rsidRPr="00B2646F">
        <w:rPr>
          <w:lang w:eastAsia="en-US"/>
        </w:rPr>
        <w:t>9.6 percent of the ACT adult population (approximately 31 000 adults) experienced gambling harm in the past 12 months; and</w:t>
      </w:r>
    </w:p>
    <w:p w:rsidR="009E3DB5" w:rsidRPr="00B2646F" w:rsidRDefault="009E3DB5" w:rsidP="009E3DB5">
      <w:pPr>
        <w:pStyle w:val="DPSEntryIndents"/>
        <w:numPr>
          <w:ilvl w:val="2"/>
          <w:numId w:val="3"/>
        </w:numPr>
        <w:rPr>
          <w:lang w:eastAsia="en-US"/>
        </w:rPr>
      </w:pPr>
      <w:r w:rsidRPr="00B2646F">
        <w:rPr>
          <w:lang w:eastAsia="en-US"/>
        </w:rPr>
        <w:t>64.3 percent of respondents agreed that poker machines do more harm than good for the community; and</w:t>
      </w:r>
    </w:p>
    <w:p w:rsidR="009E3DB5" w:rsidRDefault="009E3DB5" w:rsidP="009E3DB5">
      <w:pPr>
        <w:pStyle w:val="DPSEntryIndents"/>
        <w:numPr>
          <w:ilvl w:val="1"/>
          <w:numId w:val="3"/>
        </w:numPr>
        <w:rPr>
          <w:lang w:eastAsia="en-US"/>
        </w:rPr>
      </w:pPr>
      <w:r w:rsidRPr="00B2646F">
        <w:rPr>
          <w:lang w:eastAsia="en-US"/>
        </w:rPr>
        <w:t>the 2010 Productivity Commission inquiry report on gambling found the significant social cost of problem gamblin</w:t>
      </w:r>
      <w:r>
        <w:rPr>
          <w:lang w:eastAsia="en-US"/>
        </w:rPr>
        <w:t>g—estimated to be at least $4.7 </w:t>
      </w:r>
      <w:r w:rsidRPr="00B2646F">
        <w:rPr>
          <w:lang w:eastAsia="en-US"/>
        </w:rPr>
        <w:t>billion a year—means that even policy measures with modest efficacy in reducing harm will often be worthwhile; and</w:t>
      </w:r>
    </w:p>
    <w:p w:rsidR="009E3DB5" w:rsidRPr="00B2646F" w:rsidRDefault="009E3DB5" w:rsidP="009E3DB5">
      <w:pPr>
        <w:pStyle w:val="DPSEntryIndents"/>
        <w:rPr>
          <w:lang w:eastAsia="en-US"/>
        </w:rPr>
      </w:pPr>
      <w:r w:rsidRPr="00B2646F">
        <w:rPr>
          <w:lang w:eastAsia="en-US"/>
        </w:rPr>
        <w:t xml:space="preserve">calls on the ACT Government to: </w:t>
      </w:r>
    </w:p>
    <w:p w:rsidR="009E3DB5" w:rsidRPr="00B2646F" w:rsidRDefault="009E3DB5" w:rsidP="009E3DB5">
      <w:pPr>
        <w:pStyle w:val="DPSEntryIndents"/>
        <w:numPr>
          <w:ilvl w:val="1"/>
          <w:numId w:val="3"/>
        </w:numPr>
      </w:pPr>
      <w:r w:rsidRPr="00B2646F">
        <w:rPr>
          <w:lang w:eastAsia="en-US"/>
        </w:rPr>
        <w:t xml:space="preserve">continue to work alongside the clubs to help them </w:t>
      </w:r>
      <w:r w:rsidRPr="00B2646F">
        <w:t xml:space="preserve">secure their future over the long </w:t>
      </w:r>
      <w:r w:rsidR="003E6AB6">
        <w:t>term, support their communities and</w:t>
      </w:r>
      <w:r w:rsidRPr="00B2646F">
        <w:t xml:space="preserve"> protect their patrons, and </w:t>
      </w:r>
      <w:bookmarkStart w:id="1" w:name="_Hlk45554811"/>
      <w:r w:rsidRPr="00B2646F">
        <w:t>to help them to continue to move to other income-generating activities; and</w:t>
      </w:r>
    </w:p>
    <w:bookmarkEnd w:id="1"/>
    <w:p w:rsidR="009E3DB5" w:rsidRDefault="009E3DB5" w:rsidP="009E3DB5">
      <w:pPr>
        <w:pStyle w:val="DPSEntryIndents"/>
        <w:numPr>
          <w:ilvl w:val="1"/>
          <w:numId w:val="3"/>
        </w:numPr>
        <w:rPr>
          <w:color w:val="000000"/>
        </w:rPr>
      </w:pPr>
      <w:r w:rsidRPr="00B2646F">
        <w:rPr>
          <w:lang w:eastAsia="en-US"/>
        </w:rPr>
        <w:t xml:space="preserve">work in </w:t>
      </w:r>
      <w:r w:rsidRPr="00B2646F">
        <w:t>close consultation with clubs, experts, the community, and people with lived experience on further evidence-based harm minimisation measures</w:t>
      </w:r>
      <w:r>
        <w:t>.</w:t>
      </w:r>
      <w:r w:rsidR="00F85F03">
        <w:t>”</w:t>
      </w:r>
      <w:r>
        <w:t>.</w:t>
      </w:r>
    </w:p>
    <w:p w:rsidR="009E3DB5" w:rsidRDefault="009E3DB5" w:rsidP="009E3DB5">
      <w:pPr>
        <w:pStyle w:val="DPSEntryIndents"/>
        <w:numPr>
          <w:ilvl w:val="0"/>
          <w:numId w:val="0"/>
        </w:numPr>
        <w:ind w:left="720"/>
        <w:rPr>
          <w:color w:val="000000"/>
        </w:rPr>
      </w:pPr>
      <w:r w:rsidRPr="00A75F65">
        <w:rPr>
          <w:color w:val="000000"/>
        </w:rPr>
        <w:t xml:space="preserve">Debate </w:t>
      </w:r>
      <w:r>
        <w:rPr>
          <w:color w:val="000000"/>
        </w:rPr>
        <w:t>continued</w:t>
      </w:r>
      <w:r w:rsidRPr="00A75F65">
        <w:rPr>
          <w:color w:val="000000"/>
        </w:rPr>
        <w:t>.</w:t>
      </w:r>
    </w:p>
    <w:p w:rsidR="00D25ECB" w:rsidRPr="00D25ECB" w:rsidRDefault="00D25ECB" w:rsidP="00D25ECB">
      <w:pPr>
        <w:tabs>
          <w:tab w:val="left" w:pos="1197"/>
          <w:tab w:val="left" w:pos="1767"/>
        </w:tabs>
        <w:spacing w:before="120"/>
        <w:ind w:left="720"/>
        <w:jc w:val="both"/>
        <w:rPr>
          <w:rFonts w:ascii="Calibri" w:hAnsi="Calibri"/>
          <w:lang w:val="en-AU"/>
        </w:rPr>
      </w:pPr>
      <w:r>
        <w:rPr>
          <w:rFonts w:ascii="Calibri" w:hAnsi="Calibri"/>
          <w:lang w:val="en-AU"/>
        </w:rPr>
        <w:t>Mr Rattenbury</w:t>
      </w:r>
      <w:r w:rsidRPr="00D25ECB">
        <w:rPr>
          <w:rFonts w:ascii="Calibri" w:hAnsi="Calibri"/>
          <w:lang w:val="en-AU"/>
        </w:rPr>
        <w:t xml:space="preserve"> addressing the Assembly—</w:t>
      </w:r>
    </w:p>
    <w:p w:rsidR="00D25ECB" w:rsidRPr="00D25ECB" w:rsidRDefault="00D25ECB" w:rsidP="00294401">
      <w:pPr>
        <w:keepNext/>
        <w:tabs>
          <w:tab w:val="left" w:pos="1197"/>
          <w:tab w:val="left" w:pos="1767"/>
        </w:tabs>
        <w:jc w:val="center"/>
        <w:rPr>
          <w:rFonts w:ascii="Calibri" w:hAnsi="Calibri"/>
          <w:lang w:val="en-AU"/>
        </w:rPr>
      </w:pPr>
      <w:r w:rsidRPr="00D25ECB">
        <w:rPr>
          <w:rFonts w:ascii="Calibri" w:hAnsi="Calibri"/>
          <w:lang w:val="en-AU"/>
        </w:rPr>
        <w:lastRenderedPageBreak/>
        <w:t>__________________</w:t>
      </w:r>
    </w:p>
    <w:p w:rsidR="00D25ECB" w:rsidRPr="00D25ECB" w:rsidRDefault="00D25ECB" w:rsidP="00294401">
      <w:pPr>
        <w:keepNext/>
        <w:tabs>
          <w:tab w:val="left" w:pos="1197"/>
          <w:tab w:val="left" w:pos="1767"/>
        </w:tabs>
        <w:spacing w:before="180"/>
        <w:ind w:left="720"/>
        <w:jc w:val="both"/>
        <w:rPr>
          <w:rFonts w:ascii="Calibri" w:hAnsi="Calibri"/>
          <w:lang w:val="en-AU"/>
        </w:rPr>
      </w:pPr>
      <w:r w:rsidRPr="00D25ECB">
        <w:rPr>
          <w:rFonts w:ascii="Calibri" w:hAnsi="Calibri"/>
          <w:lang w:val="en-AU"/>
        </w:rPr>
        <w:t xml:space="preserve">It being 45 minutes after the commencement of </w:t>
      </w:r>
      <w:r w:rsidR="003E6AB6">
        <w:rPr>
          <w:rFonts w:ascii="Calibri" w:hAnsi="Calibri"/>
          <w:lang w:val="en-AU"/>
        </w:rPr>
        <w:t>Crossbench Executive Member</w:t>
      </w:r>
      <w:r>
        <w:rPr>
          <w:rFonts w:ascii="Calibri" w:hAnsi="Calibri"/>
          <w:lang w:val="en-AU"/>
        </w:rPr>
        <w:t>s</w:t>
      </w:r>
      <w:r w:rsidR="003E6AB6">
        <w:rPr>
          <w:rFonts w:ascii="Calibri" w:hAnsi="Calibri"/>
          <w:lang w:val="en-AU"/>
        </w:rPr>
        <w:t>’</w:t>
      </w:r>
      <w:r w:rsidRPr="00D25ECB">
        <w:rPr>
          <w:rFonts w:ascii="Calibri" w:hAnsi="Calibri"/>
          <w:lang w:val="en-AU"/>
        </w:rPr>
        <w:t xml:space="preserve"> business—</w:t>
      </w:r>
    </w:p>
    <w:p w:rsidR="00D25ECB" w:rsidRPr="00D25ECB" w:rsidRDefault="00D25ECB" w:rsidP="00D25ECB">
      <w:pPr>
        <w:tabs>
          <w:tab w:val="left" w:pos="1197"/>
          <w:tab w:val="left" w:pos="1767"/>
        </w:tabs>
        <w:spacing w:before="120"/>
        <w:ind w:left="720"/>
        <w:jc w:val="both"/>
        <w:rPr>
          <w:rFonts w:ascii="Calibri" w:hAnsi="Calibri"/>
          <w:lang w:val="en-AU"/>
        </w:rPr>
      </w:pPr>
      <w:r w:rsidRPr="00D25ECB">
        <w:rPr>
          <w:rFonts w:ascii="Calibri" w:hAnsi="Calibri"/>
          <w:lang w:val="en-AU"/>
        </w:rPr>
        <w:t xml:space="preserve">Ordered—That the time allotted to </w:t>
      </w:r>
      <w:r w:rsidR="003E6AB6">
        <w:rPr>
          <w:rFonts w:ascii="Calibri" w:hAnsi="Calibri"/>
          <w:lang w:val="en-AU"/>
        </w:rPr>
        <w:t>Crossbench Executive Members’</w:t>
      </w:r>
      <w:r w:rsidRPr="00D25ECB">
        <w:rPr>
          <w:rFonts w:ascii="Calibri" w:hAnsi="Calibri"/>
          <w:lang w:val="en-AU"/>
        </w:rPr>
        <w:t xml:space="preserve"> business be extended by 30 minutes.</w:t>
      </w:r>
    </w:p>
    <w:p w:rsidR="00D25ECB" w:rsidRPr="00D25ECB" w:rsidRDefault="00D25ECB" w:rsidP="00D25ECB">
      <w:pPr>
        <w:tabs>
          <w:tab w:val="left" w:pos="1197"/>
          <w:tab w:val="left" w:pos="1767"/>
        </w:tabs>
        <w:jc w:val="center"/>
        <w:rPr>
          <w:rFonts w:ascii="Calibri" w:hAnsi="Calibri"/>
          <w:lang w:val="en-AU"/>
        </w:rPr>
      </w:pPr>
      <w:r w:rsidRPr="00D25ECB">
        <w:rPr>
          <w:rFonts w:ascii="Calibri" w:hAnsi="Calibri"/>
          <w:lang w:val="en-AU"/>
        </w:rPr>
        <w:t>__________________</w:t>
      </w:r>
    </w:p>
    <w:p w:rsidR="00D25ECB" w:rsidRPr="00D25ECB" w:rsidRDefault="00D25ECB" w:rsidP="00D25ECB">
      <w:pPr>
        <w:tabs>
          <w:tab w:val="left" w:pos="1197"/>
          <w:tab w:val="left" w:pos="1767"/>
        </w:tabs>
        <w:spacing w:before="120"/>
        <w:ind w:left="720"/>
        <w:jc w:val="both"/>
        <w:rPr>
          <w:rFonts w:ascii="Calibri" w:hAnsi="Calibri"/>
          <w:lang w:val="en-AU"/>
        </w:rPr>
      </w:pPr>
      <w:r>
        <w:rPr>
          <w:rFonts w:ascii="Calibri" w:hAnsi="Calibri"/>
          <w:lang w:val="en-AU"/>
        </w:rPr>
        <w:t>Mr Rattenbury c</w:t>
      </w:r>
      <w:r w:rsidRPr="00D25ECB">
        <w:rPr>
          <w:rFonts w:ascii="Calibri" w:hAnsi="Calibri"/>
          <w:lang w:val="en-AU"/>
        </w:rPr>
        <w:t>ontinued.</w:t>
      </w:r>
    </w:p>
    <w:p w:rsidR="00D25ECB" w:rsidRDefault="00D25ECB" w:rsidP="009E3DB5">
      <w:pPr>
        <w:pStyle w:val="DPSEntryIndents"/>
        <w:numPr>
          <w:ilvl w:val="0"/>
          <w:numId w:val="0"/>
        </w:numPr>
        <w:ind w:left="720"/>
        <w:rPr>
          <w:color w:val="000000"/>
        </w:rPr>
      </w:pPr>
      <w:r>
        <w:rPr>
          <w:color w:val="000000"/>
        </w:rPr>
        <w:t>Ordered—That the question be divided.</w:t>
      </w:r>
    </w:p>
    <w:p w:rsidR="009E3DB5" w:rsidRDefault="00C2454B" w:rsidP="009E3DB5">
      <w:pPr>
        <w:spacing w:before="120"/>
        <w:ind w:left="720"/>
        <w:jc w:val="both"/>
        <w:rPr>
          <w:rFonts w:ascii="Calibri" w:hAnsi="Calibri"/>
          <w:color w:val="000000"/>
          <w:lang w:val="en-AU"/>
        </w:rPr>
      </w:pPr>
      <w:r>
        <w:rPr>
          <w:rFonts w:ascii="Calibri" w:hAnsi="Calibri"/>
          <w:color w:val="000000"/>
          <w:lang w:val="en-AU"/>
        </w:rPr>
        <w:t>P</w:t>
      </w:r>
      <w:r w:rsidR="00D25ECB">
        <w:rPr>
          <w:rFonts w:ascii="Calibri" w:hAnsi="Calibri"/>
          <w:color w:val="000000"/>
          <w:lang w:val="en-AU"/>
        </w:rPr>
        <w:t>aragraphs (1) to (</w:t>
      </w:r>
      <w:r w:rsidR="00060608">
        <w:rPr>
          <w:rFonts w:ascii="Calibri" w:hAnsi="Calibri"/>
          <w:color w:val="000000"/>
          <w:lang w:val="en-AU"/>
        </w:rPr>
        <w:t>3</w:t>
      </w:r>
      <w:r w:rsidR="00D25ECB">
        <w:rPr>
          <w:rFonts w:ascii="Calibri" w:hAnsi="Calibri"/>
          <w:color w:val="000000"/>
          <w:lang w:val="en-AU"/>
        </w:rPr>
        <w:t xml:space="preserve">) </w:t>
      </w:r>
      <w:r>
        <w:rPr>
          <w:rFonts w:ascii="Calibri" w:hAnsi="Calibri"/>
          <w:color w:val="000000"/>
          <w:lang w:val="en-AU"/>
        </w:rPr>
        <w:t>agreed to.</w:t>
      </w:r>
    </w:p>
    <w:p w:rsidR="00D25ECB" w:rsidRDefault="003E6AB6" w:rsidP="009E3DB5">
      <w:pPr>
        <w:spacing w:before="120"/>
        <w:ind w:left="720"/>
        <w:jc w:val="both"/>
        <w:rPr>
          <w:rFonts w:ascii="Calibri" w:hAnsi="Calibri"/>
          <w:color w:val="000000"/>
          <w:lang w:val="en-AU"/>
        </w:rPr>
      </w:pPr>
      <w:r>
        <w:rPr>
          <w:rFonts w:ascii="Calibri" w:hAnsi="Calibri"/>
          <w:color w:val="000000"/>
          <w:lang w:val="en-AU"/>
        </w:rPr>
        <w:t>P</w:t>
      </w:r>
      <w:r w:rsidR="00C2454B">
        <w:rPr>
          <w:rFonts w:ascii="Calibri" w:hAnsi="Calibri"/>
          <w:color w:val="000000"/>
          <w:lang w:val="en-AU"/>
        </w:rPr>
        <w:t>aragraph (</w:t>
      </w:r>
      <w:r w:rsidR="00060608">
        <w:rPr>
          <w:rFonts w:ascii="Calibri" w:hAnsi="Calibri"/>
          <w:color w:val="000000"/>
          <w:lang w:val="en-AU"/>
        </w:rPr>
        <w:t>4</w:t>
      </w:r>
      <w:r w:rsidR="00C2454B">
        <w:rPr>
          <w:rFonts w:ascii="Calibri" w:hAnsi="Calibri"/>
          <w:color w:val="000000"/>
          <w:lang w:val="en-AU"/>
        </w:rPr>
        <w:t>)</w:t>
      </w:r>
      <w:r>
        <w:rPr>
          <w:rFonts w:ascii="Calibri" w:hAnsi="Calibri"/>
          <w:color w:val="000000"/>
          <w:lang w:val="en-AU"/>
        </w:rPr>
        <w:t>—</w:t>
      </w:r>
    </w:p>
    <w:p w:rsidR="003E6AB6" w:rsidRDefault="003E6AB6" w:rsidP="009E3DB5">
      <w:pPr>
        <w:spacing w:before="120"/>
        <w:ind w:left="720"/>
        <w:jc w:val="both"/>
        <w:rPr>
          <w:rFonts w:ascii="Calibri" w:hAnsi="Calibri"/>
          <w:color w:val="000000"/>
          <w:lang w:val="en-AU"/>
        </w:rPr>
      </w:pPr>
      <w:r>
        <w:rPr>
          <w:rFonts w:ascii="Calibri" w:hAnsi="Calibri"/>
          <w:color w:val="000000"/>
          <w:lang w:val="en-AU"/>
        </w:rPr>
        <w:t>Question—put.</w:t>
      </w:r>
    </w:p>
    <w:p w:rsidR="00C2454B" w:rsidRDefault="00C2454B" w:rsidP="00C2454B">
      <w:pPr>
        <w:spacing w:before="120" w:after="120"/>
        <w:ind w:left="720"/>
        <w:jc w:val="both"/>
        <w:rPr>
          <w:rFonts w:ascii="Calibri" w:hAnsi="Calibri"/>
          <w:color w:val="000000"/>
          <w:lang w:val="en-AU"/>
        </w:rPr>
      </w:pPr>
      <w:r>
        <w:rPr>
          <w:rFonts w:ascii="Calibri" w:hAnsi="Calibri"/>
          <w:color w:val="000000"/>
          <w:lang w:val="en-AU"/>
        </w:rPr>
        <w:t>The Assembly voted—</w:t>
      </w:r>
    </w:p>
    <w:tbl>
      <w:tblPr>
        <w:tblpPr w:rightFromText="180" w:vertAnchor="text" w:tblpY="1"/>
        <w:tblOverlap w:val="never"/>
        <w:tblW w:w="10016" w:type="dxa"/>
        <w:tblLayout w:type="fixed"/>
        <w:tblCellMar>
          <w:left w:w="0" w:type="dxa"/>
          <w:right w:w="56" w:type="dxa"/>
        </w:tblCellMar>
        <w:tblLook w:val="0000" w:firstRow="0" w:lastRow="0" w:firstColumn="0" w:lastColumn="0" w:noHBand="0" w:noVBand="0"/>
      </w:tblPr>
      <w:tblGrid>
        <w:gridCol w:w="720"/>
        <w:gridCol w:w="2160"/>
        <w:gridCol w:w="1202"/>
        <w:gridCol w:w="624"/>
        <w:gridCol w:w="604"/>
        <w:gridCol w:w="624"/>
        <w:gridCol w:w="2041"/>
        <w:gridCol w:w="813"/>
        <w:gridCol w:w="1228"/>
      </w:tblGrid>
      <w:tr w:rsidR="00C2454B" w:rsidTr="00C2454B">
        <w:trPr>
          <w:gridAfter w:val="1"/>
          <w:wAfter w:w="1228" w:type="dxa"/>
        </w:trPr>
        <w:tc>
          <w:tcPr>
            <w:tcW w:w="4082" w:type="dxa"/>
            <w:gridSpan w:val="3"/>
            <w:shd w:val="clear" w:color="auto" w:fill="auto"/>
          </w:tcPr>
          <w:p w:rsidR="00C2454B" w:rsidRDefault="00C2454B" w:rsidP="00C2454B">
            <w:pPr>
              <w:tabs>
                <w:tab w:val="center" w:pos="2520"/>
              </w:tabs>
              <w:spacing w:before="120"/>
              <w:rPr>
                <w:rFonts w:ascii="Calibri" w:hAnsi="Calibri"/>
                <w:color w:val="000000"/>
                <w:lang w:val="en-AU"/>
              </w:rPr>
            </w:pPr>
            <w:r>
              <w:rPr>
                <w:rFonts w:ascii="Calibri" w:hAnsi="Calibri"/>
                <w:color w:val="000000"/>
                <w:lang w:val="en-AU"/>
              </w:rPr>
              <w:tab/>
              <w:t>AYES, 17</w:t>
            </w:r>
          </w:p>
        </w:tc>
        <w:tc>
          <w:tcPr>
            <w:tcW w:w="624" w:type="dxa"/>
            <w:shd w:val="clear" w:color="auto" w:fill="auto"/>
          </w:tcPr>
          <w:p w:rsidR="00C2454B" w:rsidRDefault="00C2454B" w:rsidP="00C2454B">
            <w:pPr>
              <w:spacing w:before="120"/>
              <w:rPr>
                <w:rFonts w:ascii="Calibri" w:hAnsi="Calibri"/>
                <w:color w:val="000000"/>
                <w:lang w:val="en-AU"/>
              </w:rPr>
            </w:pPr>
          </w:p>
        </w:tc>
        <w:tc>
          <w:tcPr>
            <w:tcW w:w="4082" w:type="dxa"/>
            <w:gridSpan w:val="4"/>
            <w:shd w:val="clear" w:color="auto" w:fill="auto"/>
          </w:tcPr>
          <w:p w:rsidR="00C2454B" w:rsidRDefault="00C2454B" w:rsidP="00C2454B">
            <w:pPr>
              <w:tabs>
                <w:tab w:val="center" w:pos="3034"/>
              </w:tabs>
              <w:spacing w:before="120"/>
              <w:rPr>
                <w:rFonts w:ascii="Calibri" w:hAnsi="Calibri"/>
                <w:color w:val="000000"/>
                <w:lang w:val="en-AU"/>
              </w:rPr>
            </w:pPr>
            <w:r>
              <w:rPr>
                <w:rFonts w:ascii="Calibri" w:hAnsi="Calibri"/>
                <w:color w:val="000000"/>
                <w:lang w:val="en-AU"/>
              </w:rPr>
              <w:tab/>
              <w:t>NOES, 2</w:t>
            </w:r>
          </w:p>
        </w:tc>
      </w:tr>
      <w:tr w:rsidR="00C2454B" w:rsidTr="00C2454B">
        <w:trPr>
          <w:gridBefore w:val="1"/>
          <w:wBefore w:w="720" w:type="dxa"/>
          <w:trHeight w:hRule="exact" w:val="312"/>
        </w:trPr>
        <w:tc>
          <w:tcPr>
            <w:tcW w:w="2160" w:type="dxa"/>
            <w:shd w:val="clear" w:color="auto" w:fill="auto"/>
          </w:tcPr>
          <w:p w:rsidR="00C2454B" w:rsidRDefault="00C2454B" w:rsidP="00C2454B">
            <w:pPr>
              <w:rPr>
                <w:rFonts w:ascii="Calibri" w:hAnsi="Calibri"/>
                <w:color w:val="000000"/>
                <w:lang w:val="en-AU"/>
              </w:rPr>
            </w:pPr>
            <w:r>
              <w:rPr>
                <w:rFonts w:ascii="Calibri" w:hAnsi="Calibri"/>
                <w:color w:val="000000"/>
                <w:lang w:val="en-AU"/>
              </w:rPr>
              <w:t>Miss C. Burch</w:t>
            </w:r>
          </w:p>
        </w:tc>
        <w:tc>
          <w:tcPr>
            <w:tcW w:w="2430" w:type="dxa"/>
            <w:gridSpan w:val="3"/>
            <w:shd w:val="clear" w:color="auto" w:fill="auto"/>
          </w:tcPr>
          <w:p w:rsidR="00C2454B" w:rsidRDefault="00C2454B" w:rsidP="00C2454B">
            <w:pPr>
              <w:rPr>
                <w:rFonts w:ascii="Calibri" w:hAnsi="Calibri"/>
                <w:color w:val="000000"/>
                <w:lang w:val="en-AU"/>
              </w:rPr>
            </w:pPr>
            <w:r>
              <w:rPr>
                <w:rFonts w:ascii="Calibri" w:hAnsi="Calibri"/>
                <w:color w:val="000000"/>
                <w:lang w:val="en-AU"/>
              </w:rPr>
              <w:t>Ms Lee</w:t>
            </w:r>
          </w:p>
        </w:tc>
        <w:tc>
          <w:tcPr>
            <w:tcW w:w="624" w:type="dxa"/>
            <w:shd w:val="clear" w:color="auto" w:fill="auto"/>
          </w:tcPr>
          <w:p w:rsidR="00C2454B" w:rsidRDefault="00C2454B" w:rsidP="00C2454B">
            <w:pPr>
              <w:spacing w:before="120"/>
              <w:rPr>
                <w:rFonts w:ascii="Calibri" w:hAnsi="Calibri"/>
                <w:color w:val="000000"/>
                <w:lang w:val="en-AU"/>
              </w:rPr>
            </w:pPr>
          </w:p>
        </w:tc>
        <w:tc>
          <w:tcPr>
            <w:tcW w:w="2041" w:type="dxa"/>
            <w:shd w:val="clear" w:color="auto" w:fill="auto"/>
          </w:tcPr>
          <w:p w:rsidR="00C2454B" w:rsidRDefault="00C2454B" w:rsidP="00C2454B">
            <w:pPr>
              <w:rPr>
                <w:rFonts w:ascii="Calibri" w:hAnsi="Calibri"/>
                <w:color w:val="000000"/>
                <w:lang w:val="en-AU"/>
              </w:rPr>
            </w:pPr>
            <w:r>
              <w:rPr>
                <w:rFonts w:ascii="Calibri" w:hAnsi="Calibri"/>
                <w:color w:val="000000"/>
                <w:lang w:val="en-AU"/>
              </w:rPr>
              <w:t>Ms Le Couteur</w:t>
            </w:r>
          </w:p>
        </w:tc>
        <w:tc>
          <w:tcPr>
            <w:tcW w:w="2041" w:type="dxa"/>
            <w:gridSpan w:val="2"/>
            <w:shd w:val="clear" w:color="auto" w:fill="auto"/>
          </w:tcPr>
          <w:p w:rsidR="00C2454B" w:rsidRDefault="00C2454B" w:rsidP="00C2454B">
            <w:pPr>
              <w:spacing w:before="120"/>
              <w:rPr>
                <w:rFonts w:ascii="Calibri" w:hAnsi="Calibri"/>
                <w:color w:val="000000"/>
                <w:lang w:val="en-AU"/>
              </w:rPr>
            </w:pPr>
          </w:p>
        </w:tc>
      </w:tr>
      <w:tr w:rsidR="00C2454B" w:rsidTr="00C2454B">
        <w:trPr>
          <w:gridBefore w:val="1"/>
          <w:wBefore w:w="720" w:type="dxa"/>
          <w:trHeight w:hRule="exact" w:val="312"/>
        </w:trPr>
        <w:tc>
          <w:tcPr>
            <w:tcW w:w="2160" w:type="dxa"/>
            <w:shd w:val="clear" w:color="auto" w:fill="auto"/>
          </w:tcPr>
          <w:p w:rsidR="00C2454B" w:rsidRDefault="00C2454B" w:rsidP="00C2454B">
            <w:pPr>
              <w:rPr>
                <w:rFonts w:ascii="Calibri" w:hAnsi="Calibri"/>
                <w:color w:val="000000"/>
                <w:lang w:val="en-AU"/>
              </w:rPr>
            </w:pPr>
            <w:r>
              <w:rPr>
                <w:rFonts w:ascii="Calibri" w:hAnsi="Calibri"/>
                <w:color w:val="000000"/>
                <w:lang w:val="en-AU"/>
              </w:rPr>
              <w:t>Ms J. Burch</w:t>
            </w:r>
          </w:p>
        </w:tc>
        <w:tc>
          <w:tcPr>
            <w:tcW w:w="2430" w:type="dxa"/>
            <w:gridSpan w:val="3"/>
            <w:shd w:val="clear" w:color="auto" w:fill="auto"/>
          </w:tcPr>
          <w:p w:rsidR="00C2454B" w:rsidRDefault="00C2454B" w:rsidP="00C2454B">
            <w:pPr>
              <w:rPr>
                <w:rFonts w:ascii="Calibri" w:hAnsi="Calibri"/>
                <w:color w:val="000000"/>
                <w:lang w:val="en-AU"/>
              </w:rPr>
            </w:pPr>
            <w:r>
              <w:rPr>
                <w:rFonts w:ascii="Calibri" w:hAnsi="Calibri"/>
                <w:color w:val="000000"/>
                <w:lang w:val="en-AU"/>
              </w:rPr>
              <w:t>Mr Milligan</w:t>
            </w:r>
          </w:p>
        </w:tc>
        <w:tc>
          <w:tcPr>
            <w:tcW w:w="624" w:type="dxa"/>
            <w:shd w:val="clear" w:color="auto" w:fill="auto"/>
          </w:tcPr>
          <w:p w:rsidR="00C2454B" w:rsidRDefault="00C2454B" w:rsidP="00C2454B">
            <w:pPr>
              <w:spacing w:before="120"/>
              <w:rPr>
                <w:rFonts w:ascii="Calibri" w:hAnsi="Calibri"/>
                <w:color w:val="000000"/>
                <w:lang w:val="en-AU"/>
              </w:rPr>
            </w:pPr>
          </w:p>
        </w:tc>
        <w:tc>
          <w:tcPr>
            <w:tcW w:w="2041" w:type="dxa"/>
            <w:shd w:val="clear" w:color="auto" w:fill="auto"/>
          </w:tcPr>
          <w:p w:rsidR="00C2454B" w:rsidRDefault="00C2454B" w:rsidP="00C2454B">
            <w:pPr>
              <w:rPr>
                <w:rFonts w:ascii="Calibri" w:hAnsi="Calibri"/>
                <w:color w:val="000000"/>
                <w:lang w:val="en-AU"/>
              </w:rPr>
            </w:pPr>
            <w:r>
              <w:rPr>
                <w:rFonts w:ascii="Calibri" w:hAnsi="Calibri"/>
                <w:color w:val="000000"/>
                <w:lang w:val="en-AU"/>
              </w:rPr>
              <w:t>Mr Rattenbury</w:t>
            </w:r>
          </w:p>
        </w:tc>
        <w:tc>
          <w:tcPr>
            <w:tcW w:w="2041" w:type="dxa"/>
            <w:gridSpan w:val="2"/>
            <w:shd w:val="clear" w:color="auto" w:fill="auto"/>
          </w:tcPr>
          <w:p w:rsidR="00C2454B" w:rsidRDefault="00C2454B" w:rsidP="00C2454B">
            <w:pPr>
              <w:spacing w:before="120"/>
              <w:rPr>
                <w:rFonts w:ascii="Calibri" w:hAnsi="Calibri"/>
                <w:color w:val="000000"/>
                <w:lang w:val="en-AU"/>
              </w:rPr>
            </w:pPr>
          </w:p>
        </w:tc>
      </w:tr>
      <w:tr w:rsidR="00C2454B" w:rsidTr="00C2454B">
        <w:trPr>
          <w:gridBefore w:val="1"/>
          <w:wBefore w:w="720" w:type="dxa"/>
          <w:trHeight w:hRule="exact" w:val="312"/>
        </w:trPr>
        <w:tc>
          <w:tcPr>
            <w:tcW w:w="2160" w:type="dxa"/>
            <w:shd w:val="clear" w:color="auto" w:fill="auto"/>
          </w:tcPr>
          <w:p w:rsidR="00C2454B" w:rsidRDefault="00C2454B" w:rsidP="00C2454B">
            <w:pPr>
              <w:rPr>
                <w:rFonts w:ascii="Calibri" w:hAnsi="Calibri"/>
                <w:color w:val="000000"/>
                <w:lang w:val="en-AU"/>
              </w:rPr>
            </w:pPr>
            <w:r>
              <w:rPr>
                <w:rFonts w:ascii="Calibri" w:hAnsi="Calibri"/>
                <w:color w:val="000000"/>
                <w:lang w:val="en-AU"/>
              </w:rPr>
              <w:t>Ms Cheyne</w:t>
            </w:r>
          </w:p>
        </w:tc>
        <w:tc>
          <w:tcPr>
            <w:tcW w:w="2430" w:type="dxa"/>
            <w:gridSpan w:val="3"/>
            <w:shd w:val="clear" w:color="auto" w:fill="auto"/>
          </w:tcPr>
          <w:p w:rsidR="00C2454B" w:rsidRDefault="00C2454B" w:rsidP="00C2454B">
            <w:pPr>
              <w:rPr>
                <w:rFonts w:ascii="Calibri" w:hAnsi="Calibri"/>
                <w:color w:val="000000"/>
                <w:lang w:val="en-AU"/>
              </w:rPr>
            </w:pPr>
            <w:r>
              <w:rPr>
                <w:rFonts w:ascii="Calibri" w:hAnsi="Calibri"/>
                <w:color w:val="000000"/>
                <w:lang w:val="en-AU"/>
              </w:rPr>
              <w:t>Ms Orr</w:t>
            </w:r>
          </w:p>
        </w:tc>
        <w:tc>
          <w:tcPr>
            <w:tcW w:w="624" w:type="dxa"/>
            <w:shd w:val="clear" w:color="auto" w:fill="auto"/>
          </w:tcPr>
          <w:p w:rsidR="00C2454B" w:rsidRDefault="00C2454B" w:rsidP="00C2454B">
            <w:pPr>
              <w:spacing w:before="120"/>
              <w:rPr>
                <w:rFonts w:ascii="Calibri" w:hAnsi="Calibri"/>
                <w:color w:val="000000"/>
                <w:lang w:val="en-AU"/>
              </w:rPr>
            </w:pPr>
          </w:p>
        </w:tc>
        <w:tc>
          <w:tcPr>
            <w:tcW w:w="2041" w:type="dxa"/>
            <w:shd w:val="clear" w:color="auto" w:fill="auto"/>
          </w:tcPr>
          <w:p w:rsidR="00C2454B" w:rsidRDefault="00C2454B" w:rsidP="00C2454B">
            <w:pPr>
              <w:spacing w:before="120"/>
              <w:rPr>
                <w:rFonts w:ascii="Calibri" w:hAnsi="Calibri"/>
                <w:color w:val="000000"/>
                <w:lang w:val="en-AU"/>
              </w:rPr>
            </w:pPr>
          </w:p>
        </w:tc>
        <w:tc>
          <w:tcPr>
            <w:tcW w:w="2041" w:type="dxa"/>
            <w:gridSpan w:val="2"/>
            <w:shd w:val="clear" w:color="auto" w:fill="auto"/>
          </w:tcPr>
          <w:p w:rsidR="00C2454B" w:rsidRDefault="00C2454B" w:rsidP="00C2454B">
            <w:pPr>
              <w:spacing w:before="120"/>
              <w:rPr>
                <w:rFonts w:ascii="Calibri" w:hAnsi="Calibri"/>
                <w:color w:val="000000"/>
                <w:lang w:val="en-AU"/>
              </w:rPr>
            </w:pPr>
          </w:p>
        </w:tc>
      </w:tr>
      <w:tr w:rsidR="00C2454B" w:rsidTr="00C2454B">
        <w:trPr>
          <w:gridBefore w:val="1"/>
          <w:wBefore w:w="720" w:type="dxa"/>
          <w:trHeight w:hRule="exact" w:val="312"/>
        </w:trPr>
        <w:tc>
          <w:tcPr>
            <w:tcW w:w="2160" w:type="dxa"/>
            <w:shd w:val="clear" w:color="auto" w:fill="auto"/>
          </w:tcPr>
          <w:p w:rsidR="00C2454B" w:rsidRDefault="00C2454B" w:rsidP="00C2454B">
            <w:pPr>
              <w:rPr>
                <w:rFonts w:ascii="Calibri" w:hAnsi="Calibri"/>
                <w:color w:val="000000"/>
                <w:lang w:val="en-AU"/>
              </w:rPr>
            </w:pPr>
            <w:r>
              <w:rPr>
                <w:rFonts w:ascii="Calibri" w:hAnsi="Calibri"/>
                <w:color w:val="000000"/>
                <w:lang w:val="en-AU"/>
              </w:rPr>
              <w:t>Mrs Dunne</w:t>
            </w:r>
          </w:p>
        </w:tc>
        <w:tc>
          <w:tcPr>
            <w:tcW w:w="2430" w:type="dxa"/>
            <w:gridSpan w:val="3"/>
            <w:shd w:val="clear" w:color="auto" w:fill="auto"/>
          </w:tcPr>
          <w:p w:rsidR="00C2454B" w:rsidRDefault="00C2454B" w:rsidP="00C2454B">
            <w:pPr>
              <w:rPr>
                <w:rFonts w:ascii="Calibri" w:hAnsi="Calibri"/>
                <w:color w:val="000000"/>
                <w:lang w:val="en-AU"/>
              </w:rPr>
            </w:pPr>
            <w:r>
              <w:rPr>
                <w:rFonts w:ascii="Calibri" w:hAnsi="Calibri"/>
                <w:color w:val="000000"/>
                <w:lang w:val="en-AU"/>
              </w:rPr>
              <w:t>Mr Parton</w:t>
            </w:r>
          </w:p>
        </w:tc>
        <w:tc>
          <w:tcPr>
            <w:tcW w:w="624" w:type="dxa"/>
            <w:shd w:val="clear" w:color="auto" w:fill="auto"/>
          </w:tcPr>
          <w:p w:rsidR="00C2454B" w:rsidRDefault="00C2454B" w:rsidP="00C2454B">
            <w:pPr>
              <w:spacing w:before="120"/>
              <w:rPr>
                <w:rFonts w:ascii="Calibri" w:hAnsi="Calibri"/>
                <w:color w:val="000000"/>
                <w:lang w:val="en-AU"/>
              </w:rPr>
            </w:pPr>
          </w:p>
        </w:tc>
        <w:tc>
          <w:tcPr>
            <w:tcW w:w="2041" w:type="dxa"/>
            <w:shd w:val="clear" w:color="auto" w:fill="auto"/>
          </w:tcPr>
          <w:p w:rsidR="00C2454B" w:rsidRDefault="00C2454B" w:rsidP="00C2454B">
            <w:pPr>
              <w:spacing w:before="120"/>
              <w:rPr>
                <w:rFonts w:ascii="Calibri" w:hAnsi="Calibri"/>
                <w:color w:val="000000"/>
                <w:lang w:val="en-AU"/>
              </w:rPr>
            </w:pPr>
          </w:p>
        </w:tc>
        <w:tc>
          <w:tcPr>
            <w:tcW w:w="2041" w:type="dxa"/>
            <w:gridSpan w:val="2"/>
            <w:shd w:val="clear" w:color="auto" w:fill="auto"/>
          </w:tcPr>
          <w:p w:rsidR="00C2454B" w:rsidRDefault="00C2454B" w:rsidP="00C2454B">
            <w:pPr>
              <w:spacing w:before="120"/>
              <w:rPr>
                <w:rFonts w:ascii="Calibri" w:hAnsi="Calibri"/>
                <w:color w:val="000000"/>
                <w:lang w:val="en-AU"/>
              </w:rPr>
            </w:pPr>
          </w:p>
        </w:tc>
      </w:tr>
      <w:tr w:rsidR="00C2454B" w:rsidTr="00C2454B">
        <w:trPr>
          <w:gridBefore w:val="1"/>
          <w:wBefore w:w="720" w:type="dxa"/>
          <w:trHeight w:hRule="exact" w:val="312"/>
        </w:trPr>
        <w:tc>
          <w:tcPr>
            <w:tcW w:w="2160" w:type="dxa"/>
            <w:shd w:val="clear" w:color="auto" w:fill="auto"/>
          </w:tcPr>
          <w:p w:rsidR="00C2454B" w:rsidRDefault="00C2454B" w:rsidP="00C2454B">
            <w:pPr>
              <w:rPr>
                <w:rFonts w:ascii="Calibri" w:hAnsi="Calibri"/>
                <w:color w:val="000000"/>
                <w:lang w:val="en-AU"/>
              </w:rPr>
            </w:pPr>
            <w:r>
              <w:rPr>
                <w:rFonts w:ascii="Calibri" w:hAnsi="Calibri"/>
                <w:color w:val="000000"/>
                <w:lang w:val="en-AU"/>
              </w:rPr>
              <w:t>Mr Gentleman</w:t>
            </w:r>
          </w:p>
        </w:tc>
        <w:tc>
          <w:tcPr>
            <w:tcW w:w="2430" w:type="dxa"/>
            <w:gridSpan w:val="3"/>
            <w:shd w:val="clear" w:color="auto" w:fill="auto"/>
          </w:tcPr>
          <w:p w:rsidR="00C2454B" w:rsidRDefault="00C2454B" w:rsidP="00C2454B">
            <w:pPr>
              <w:rPr>
                <w:rFonts w:ascii="Calibri" w:hAnsi="Calibri"/>
                <w:color w:val="000000"/>
                <w:lang w:val="en-AU"/>
              </w:rPr>
            </w:pPr>
            <w:r>
              <w:rPr>
                <w:rFonts w:ascii="Calibri" w:hAnsi="Calibri"/>
                <w:color w:val="000000"/>
                <w:lang w:val="en-AU"/>
              </w:rPr>
              <w:t>Mr Pettersson</w:t>
            </w:r>
          </w:p>
        </w:tc>
        <w:tc>
          <w:tcPr>
            <w:tcW w:w="624" w:type="dxa"/>
            <w:shd w:val="clear" w:color="auto" w:fill="auto"/>
          </w:tcPr>
          <w:p w:rsidR="00C2454B" w:rsidRDefault="00C2454B" w:rsidP="00C2454B">
            <w:pPr>
              <w:spacing w:before="120"/>
              <w:rPr>
                <w:rFonts w:ascii="Calibri" w:hAnsi="Calibri"/>
                <w:color w:val="000000"/>
                <w:lang w:val="en-AU"/>
              </w:rPr>
            </w:pPr>
          </w:p>
        </w:tc>
        <w:tc>
          <w:tcPr>
            <w:tcW w:w="2041" w:type="dxa"/>
            <w:shd w:val="clear" w:color="auto" w:fill="auto"/>
          </w:tcPr>
          <w:p w:rsidR="00C2454B" w:rsidRDefault="00C2454B" w:rsidP="00C2454B">
            <w:pPr>
              <w:spacing w:before="120"/>
              <w:rPr>
                <w:rFonts w:ascii="Calibri" w:hAnsi="Calibri"/>
                <w:color w:val="000000"/>
                <w:lang w:val="en-AU"/>
              </w:rPr>
            </w:pPr>
          </w:p>
        </w:tc>
        <w:tc>
          <w:tcPr>
            <w:tcW w:w="2041" w:type="dxa"/>
            <w:gridSpan w:val="2"/>
            <w:shd w:val="clear" w:color="auto" w:fill="auto"/>
          </w:tcPr>
          <w:p w:rsidR="00C2454B" w:rsidRDefault="00C2454B" w:rsidP="00C2454B">
            <w:pPr>
              <w:spacing w:before="120"/>
              <w:rPr>
                <w:rFonts w:ascii="Calibri" w:hAnsi="Calibri"/>
                <w:color w:val="000000"/>
                <w:lang w:val="en-AU"/>
              </w:rPr>
            </w:pPr>
          </w:p>
        </w:tc>
      </w:tr>
      <w:tr w:rsidR="00C2454B" w:rsidTr="00C2454B">
        <w:trPr>
          <w:gridBefore w:val="1"/>
          <w:wBefore w:w="720" w:type="dxa"/>
          <w:trHeight w:hRule="exact" w:val="312"/>
        </w:trPr>
        <w:tc>
          <w:tcPr>
            <w:tcW w:w="2160" w:type="dxa"/>
            <w:shd w:val="clear" w:color="auto" w:fill="auto"/>
          </w:tcPr>
          <w:p w:rsidR="00C2454B" w:rsidRDefault="00C2454B" w:rsidP="00C2454B">
            <w:pPr>
              <w:rPr>
                <w:rFonts w:ascii="Calibri" w:hAnsi="Calibri"/>
                <w:color w:val="000000"/>
                <w:lang w:val="en-AU"/>
              </w:rPr>
            </w:pPr>
            <w:r>
              <w:rPr>
                <w:rFonts w:ascii="Calibri" w:hAnsi="Calibri"/>
                <w:color w:val="000000"/>
                <w:lang w:val="en-AU"/>
              </w:rPr>
              <w:t>Mr Gupta</w:t>
            </w:r>
          </w:p>
        </w:tc>
        <w:tc>
          <w:tcPr>
            <w:tcW w:w="2430" w:type="dxa"/>
            <w:gridSpan w:val="3"/>
            <w:shd w:val="clear" w:color="auto" w:fill="auto"/>
          </w:tcPr>
          <w:p w:rsidR="00C2454B" w:rsidRDefault="00C2454B" w:rsidP="00C2454B">
            <w:pPr>
              <w:rPr>
                <w:rFonts w:ascii="Calibri" w:hAnsi="Calibri"/>
                <w:color w:val="000000"/>
                <w:lang w:val="en-AU"/>
              </w:rPr>
            </w:pPr>
            <w:r>
              <w:rPr>
                <w:rFonts w:ascii="Calibri" w:hAnsi="Calibri"/>
                <w:color w:val="000000"/>
                <w:lang w:val="en-AU"/>
              </w:rPr>
              <w:t>Mr Ramsay</w:t>
            </w:r>
          </w:p>
        </w:tc>
        <w:tc>
          <w:tcPr>
            <w:tcW w:w="624" w:type="dxa"/>
            <w:shd w:val="clear" w:color="auto" w:fill="auto"/>
          </w:tcPr>
          <w:p w:rsidR="00C2454B" w:rsidRDefault="00C2454B" w:rsidP="00C2454B">
            <w:pPr>
              <w:spacing w:before="120"/>
              <w:rPr>
                <w:rFonts w:ascii="Calibri" w:hAnsi="Calibri"/>
                <w:color w:val="000000"/>
                <w:lang w:val="en-AU"/>
              </w:rPr>
            </w:pPr>
          </w:p>
        </w:tc>
        <w:tc>
          <w:tcPr>
            <w:tcW w:w="2041" w:type="dxa"/>
            <w:shd w:val="clear" w:color="auto" w:fill="auto"/>
          </w:tcPr>
          <w:p w:rsidR="00C2454B" w:rsidRDefault="00C2454B" w:rsidP="00C2454B">
            <w:pPr>
              <w:spacing w:before="120"/>
              <w:rPr>
                <w:rFonts w:ascii="Calibri" w:hAnsi="Calibri"/>
                <w:color w:val="000000"/>
                <w:lang w:val="en-AU"/>
              </w:rPr>
            </w:pPr>
          </w:p>
        </w:tc>
        <w:tc>
          <w:tcPr>
            <w:tcW w:w="2041" w:type="dxa"/>
            <w:gridSpan w:val="2"/>
            <w:shd w:val="clear" w:color="auto" w:fill="auto"/>
          </w:tcPr>
          <w:p w:rsidR="00C2454B" w:rsidRDefault="00C2454B" w:rsidP="00C2454B">
            <w:pPr>
              <w:spacing w:before="120"/>
              <w:rPr>
                <w:rFonts w:ascii="Calibri" w:hAnsi="Calibri"/>
                <w:color w:val="000000"/>
                <w:lang w:val="en-AU"/>
              </w:rPr>
            </w:pPr>
          </w:p>
        </w:tc>
      </w:tr>
      <w:tr w:rsidR="00C2454B" w:rsidTr="00C2454B">
        <w:trPr>
          <w:gridBefore w:val="1"/>
          <w:wBefore w:w="720" w:type="dxa"/>
          <w:trHeight w:hRule="exact" w:val="312"/>
        </w:trPr>
        <w:tc>
          <w:tcPr>
            <w:tcW w:w="2160" w:type="dxa"/>
            <w:shd w:val="clear" w:color="auto" w:fill="auto"/>
          </w:tcPr>
          <w:p w:rsidR="00C2454B" w:rsidRDefault="00C2454B" w:rsidP="00C2454B">
            <w:pPr>
              <w:rPr>
                <w:rFonts w:ascii="Calibri" w:hAnsi="Calibri"/>
                <w:color w:val="000000"/>
                <w:lang w:val="en-AU"/>
              </w:rPr>
            </w:pPr>
            <w:r>
              <w:rPr>
                <w:rFonts w:ascii="Calibri" w:hAnsi="Calibri"/>
                <w:color w:val="000000"/>
                <w:lang w:val="en-AU"/>
              </w:rPr>
              <w:t>Mr Hanson</w:t>
            </w:r>
          </w:p>
        </w:tc>
        <w:tc>
          <w:tcPr>
            <w:tcW w:w="2430" w:type="dxa"/>
            <w:gridSpan w:val="3"/>
            <w:shd w:val="clear" w:color="auto" w:fill="auto"/>
          </w:tcPr>
          <w:p w:rsidR="00C2454B" w:rsidRDefault="00C2454B" w:rsidP="00C2454B">
            <w:pPr>
              <w:rPr>
                <w:rFonts w:ascii="Calibri" w:hAnsi="Calibri"/>
                <w:color w:val="000000"/>
                <w:lang w:val="en-AU"/>
              </w:rPr>
            </w:pPr>
            <w:r>
              <w:rPr>
                <w:rFonts w:ascii="Calibri" w:hAnsi="Calibri"/>
                <w:color w:val="000000"/>
                <w:lang w:val="en-AU"/>
              </w:rPr>
              <w:t>Mr Steel</w:t>
            </w:r>
          </w:p>
        </w:tc>
        <w:tc>
          <w:tcPr>
            <w:tcW w:w="624" w:type="dxa"/>
            <w:shd w:val="clear" w:color="auto" w:fill="auto"/>
          </w:tcPr>
          <w:p w:rsidR="00C2454B" w:rsidRDefault="00C2454B" w:rsidP="00C2454B">
            <w:pPr>
              <w:spacing w:before="120"/>
              <w:rPr>
                <w:rFonts w:ascii="Calibri" w:hAnsi="Calibri"/>
                <w:color w:val="000000"/>
                <w:lang w:val="en-AU"/>
              </w:rPr>
            </w:pPr>
          </w:p>
        </w:tc>
        <w:tc>
          <w:tcPr>
            <w:tcW w:w="2041" w:type="dxa"/>
            <w:shd w:val="clear" w:color="auto" w:fill="auto"/>
          </w:tcPr>
          <w:p w:rsidR="00C2454B" w:rsidRDefault="00C2454B" w:rsidP="00C2454B">
            <w:pPr>
              <w:spacing w:before="120"/>
              <w:rPr>
                <w:rFonts w:ascii="Calibri" w:hAnsi="Calibri"/>
                <w:color w:val="000000"/>
                <w:lang w:val="en-AU"/>
              </w:rPr>
            </w:pPr>
          </w:p>
        </w:tc>
        <w:tc>
          <w:tcPr>
            <w:tcW w:w="2041" w:type="dxa"/>
            <w:gridSpan w:val="2"/>
            <w:shd w:val="clear" w:color="auto" w:fill="auto"/>
          </w:tcPr>
          <w:p w:rsidR="00C2454B" w:rsidRDefault="00C2454B" w:rsidP="00C2454B">
            <w:pPr>
              <w:spacing w:before="120"/>
              <w:rPr>
                <w:rFonts w:ascii="Calibri" w:hAnsi="Calibri"/>
                <w:color w:val="000000"/>
                <w:lang w:val="en-AU"/>
              </w:rPr>
            </w:pPr>
          </w:p>
        </w:tc>
      </w:tr>
      <w:tr w:rsidR="00C2454B" w:rsidTr="00C2454B">
        <w:trPr>
          <w:gridBefore w:val="1"/>
          <w:wBefore w:w="720" w:type="dxa"/>
          <w:trHeight w:hRule="exact" w:val="312"/>
        </w:trPr>
        <w:tc>
          <w:tcPr>
            <w:tcW w:w="2160" w:type="dxa"/>
            <w:shd w:val="clear" w:color="auto" w:fill="auto"/>
          </w:tcPr>
          <w:p w:rsidR="00C2454B" w:rsidRDefault="00C2454B" w:rsidP="00C2454B">
            <w:pPr>
              <w:rPr>
                <w:rFonts w:ascii="Calibri" w:hAnsi="Calibri"/>
                <w:color w:val="000000"/>
                <w:lang w:val="en-AU"/>
              </w:rPr>
            </w:pPr>
            <w:r>
              <w:rPr>
                <w:rFonts w:ascii="Calibri" w:hAnsi="Calibri"/>
                <w:color w:val="000000"/>
                <w:lang w:val="en-AU"/>
              </w:rPr>
              <w:t>Mrs Kikkert</w:t>
            </w:r>
          </w:p>
        </w:tc>
        <w:tc>
          <w:tcPr>
            <w:tcW w:w="2430" w:type="dxa"/>
            <w:gridSpan w:val="3"/>
            <w:shd w:val="clear" w:color="auto" w:fill="auto"/>
          </w:tcPr>
          <w:p w:rsidR="00C2454B" w:rsidRDefault="00C2454B" w:rsidP="00C2454B">
            <w:pPr>
              <w:rPr>
                <w:rFonts w:ascii="Calibri" w:hAnsi="Calibri"/>
                <w:color w:val="000000"/>
                <w:lang w:val="en-AU"/>
              </w:rPr>
            </w:pPr>
            <w:r>
              <w:rPr>
                <w:rFonts w:ascii="Calibri" w:hAnsi="Calibri"/>
                <w:color w:val="000000"/>
                <w:lang w:val="en-AU"/>
              </w:rPr>
              <w:t>Ms Stephen-Smith</w:t>
            </w:r>
          </w:p>
        </w:tc>
        <w:tc>
          <w:tcPr>
            <w:tcW w:w="624" w:type="dxa"/>
            <w:shd w:val="clear" w:color="auto" w:fill="auto"/>
          </w:tcPr>
          <w:p w:rsidR="00C2454B" w:rsidRDefault="00C2454B" w:rsidP="00C2454B">
            <w:pPr>
              <w:spacing w:before="120"/>
              <w:rPr>
                <w:rFonts w:ascii="Calibri" w:hAnsi="Calibri"/>
                <w:color w:val="000000"/>
                <w:lang w:val="en-AU"/>
              </w:rPr>
            </w:pPr>
          </w:p>
        </w:tc>
        <w:tc>
          <w:tcPr>
            <w:tcW w:w="2041" w:type="dxa"/>
            <w:shd w:val="clear" w:color="auto" w:fill="auto"/>
          </w:tcPr>
          <w:p w:rsidR="00C2454B" w:rsidRDefault="00C2454B" w:rsidP="00C2454B">
            <w:pPr>
              <w:spacing w:before="120"/>
              <w:rPr>
                <w:rFonts w:ascii="Calibri" w:hAnsi="Calibri"/>
                <w:color w:val="000000"/>
                <w:lang w:val="en-AU"/>
              </w:rPr>
            </w:pPr>
          </w:p>
        </w:tc>
        <w:tc>
          <w:tcPr>
            <w:tcW w:w="2041" w:type="dxa"/>
            <w:gridSpan w:val="2"/>
            <w:shd w:val="clear" w:color="auto" w:fill="auto"/>
          </w:tcPr>
          <w:p w:rsidR="00C2454B" w:rsidRDefault="00C2454B" w:rsidP="00C2454B">
            <w:pPr>
              <w:spacing w:before="120"/>
              <w:rPr>
                <w:rFonts w:ascii="Calibri" w:hAnsi="Calibri"/>
                <w:color w:val="000000"/>
                <w:lang w:val="en-AU"/>
              </w:rPr>
            </w:pPr>
          </w:p>
        </w:tc>
      </w:tr>
      <w:tr w:rsidR="00C2454B" w:rsidTr="00C2454B">
        <w:trPr>
          <w:gridBefore w:val="1"/>
          <w:wBefore w:w="720" w:type="dxa"/>
          <w:trHeight w:hRule="exact" w:val="312"/>
        </w:trPr>
        <w:tc>
          <w:tcPr>
            <w:tcW w:w="2160" w:type="dxa"/>
            <w:shd w:val="clear" w:color="auto" w:fill="auto"/>
          </w:tcPr>
          <w:p w:rsidR="00C2454B" w:rsidRDefault="00C2454B" w:rsidP="00C2454B">
            <w:pPr>
              <w:rPr>
                <w:rFonts w:ascii="Calibri" w:hAnsi="Calibri"/>
                <w:color w:val="000000"/>
                <w:lang w:val="en-AU"/>
              </w:rPr>
            </w:pPr>
            <w:r>
              <w:rPr>
                <w:rFonts w:ascii="Calibri" w:hAnsi="Calibri"/>
                <w:color w:val="000000"/>
                <w:lang w:val="en-AU"/>
              </w:rPr>
              <w:t>Ms Lawder</w:t>
            </w:r>
          </w:p>
        </w:tc>
        <w:tc>
          <w:tcPr>
            <w:tcW w:w="2430" w:type="dxa"/>
            <w:gridSpan w:val="3"/>
            <w:shd w:val="clear" w:color="auto" w:fill="auto"/>
          </w:tcPr>
          <w:p w:rsidR="00C2454B" w:rsidRDefault="00C2454B" w:rsidP="00C2454B">
            <w:pPr>
              <w:spacing w:before="120"/>
              <w:rPr>
                <w:rFonts w:ascii="Calibri" w:hAnsi="Calibri"/>
                <w:color w:val="000000"/>
                <w:lang w:val="en-AU"/>
              </w:rPr>
            </w:pPr>
          </w:p>
        </w:tc>
        <w:tc>
          <w:tcPr>
            <w:tcW w:w="624" w:type="dxa"/>
            <w:shd w:val="clear" w:color="auto" w:fill="auto"/>
          </w:tcPr>
          <w:p w:rsidR="00C2454B" w:rsidRDefault="00C2454B" w:rsidP="00C2454B">
            <w:pPr>
              <w:spacing w:before="120"/>
              <w:rPr>
                <w:rFonts w:ascii="Calibri" w:hAnsi="Calibri"/>
                <w:color w:val="000000"/>
                <w:lang w:val="en-AU"/>
              </w:rPr>
            </w:pPr>
          </w:p>
        </w:tc>
        <w:tc>
          <w:tcPr>
            <w:tcW w:w="2041" w:type="dxa"/>
            <w:shd w:val="clear" w:color="auto" w:fill="auto"/>
          </w:tcPr>
          <w:p w:rsidR="00C2454B" w:rsidRDefault="00C2454B" w:rsidP="00C2454B">
            <w:pPr>
              <w:spacing w:before="120"/>
              <w:rPr>
                <w:rFonts w:ascii="Calibri" w:hAnsi="Calibri"/>
                <w:color w:val="000000"/>
                <w:lang w:val="en-AU"/>
              </w:rPr>
            </w:pPr>
          </w:p>
        </w:tc>
        <w:tc>
          <w:tcPr>
            <w:tcW w:w="2041" w:type="dxa"/>
            <w:gridSpan w:val="2"/>
            <w:shd w:val="clear" w:color="auto" w:fill="auto"/>
          </w:tcPr>
          <w:p w:rsidR="00C2454B" w:rsidRDefault="00C2454B" w:rsidP="00C2454B">
            <w:pPr>
              <w:spacing w:before="120"/>
              <w:rPr>
                <w:rFonts w:ascii="Calibri" w:hAnsi="Calibri"/>
                <w:color w:val="000000"/>
                <w:lang w:val="en-AU"/>
              </w:rPr>
            </w:pPr>
          </w:p>
        </w:tc>
      </w:tr>
    </w:tbl>
    <w:p w:rsidR="00C2454B" w:rsidRDefault="00C2454B" w:rsidP="00C2454B">
      <w:pPr>
        <w:spacing w:before="120"/>
        <w:ind w:left="720"/>
        <w:rPr>
          <w:rFonts w:ascii="Calibri" w:hAnsi="Calibri"/>
          <w:color w:val="000000"/>
          <w:lang w:val="en-AU"/>
        </w:rPr>
      </w:pPr>
      <w:r>
        <w:rPr>
          <w:rFonts w:ascii="Calibri" w:hAnsi="Calibri"/>
          <w:color w:val="000000"/>
          <w:lang w:val="en-AU"/>
        </w:rPr>
        <w:t>And so it was resolved in the affirmative.</w:t>
      </w:r>
    </w:p>
    <w:p w:rsidR="00AF7AE6" w:rsidRDefault="00AF7AE6" w:rsidP="00AF7AE6">
      <w:pPr>
        <w:spacing w:before="120"/>
        <w:ind w:left="720"/>
        <w:rPr>
          <w:rFonts w:ascii="Calibri" w:hAnsi="Calibri"/>
          <w:color w:val="000000"/>
          <w:lang w:val="en-AU"/>
        </w:rPr>
      </w:pPr>
      <w:r>
        <w:rPr>
          <w:rFonts w:ascii="Calibri" w:hAnsi="Calibri"/>
          <w:color w:val="000000"/>
          <w:lang w:val="en-AU"/>
        </w:rPr>
        <w:t>Question—That the motion, as amended, viz:</w:t>
      </w:r>
    </w:p>
    <w:p w:rsidR="00AF7AE6" w:rsidRDefault="00AF7AE6" w:rsidP="00AF7AE6">
      <w:pPr>
        <w:spacing w:before="120"/>
        <w:ind w:left="720"/>
        <w:rPr>
          <w:rFonts w:ascii="Calibri" w:hAnsi="Calibri"/>
          <w:color w:val="000000"/>
          <w:lang w:val="en-AU"/>
        </w:rPr>
      </w:pPr>
      <w:r>
        <w:rPr>
          <w:rFonts w:ascii="Calibri" w:hAnsi="Calibri"/>
          <w:color w:val="000000"/>
          <w:lang w:val="en-AU"/>
        </w:rPr>
        <w:t>“That this Assembly:</w:t>
      </w:r>
    </w:p>
    <w:p w:rsidR="001D4BA2" w:rsidRPr="00B2646F" w:rsidRDefault="001D4BA2" w:rsidP="001D4BA2">
      <w:pPr>
        <w:pStyle w:val="DPSEntryIndents"/>
        <w:numPr>
          <w:ilvl w:val="0"/>
          <w:numId w:val="15"/>
        </w:numPr>
        <w:tabs>
          <w:tab w:val="clear" w:pos="1368"/>
          <w:tab w:val="left" w:pos="1350"/>
        </w:tabs>
        <w:rPr>
          <w:lang w:eastAsia="en-US"/>
        </w:rPr>
      </w:pPr>
      <w:r w:rsidRPr="00B2646F">
        <w:rPr>
          <w:lang w:eastAsia="en-US"/>
        </w:rPr>
        <w:t xml:space="preserve">notes that the ACT Government: </w:t>
      </w:r>
    </w:p>
    <w:p w:rsidR="001D4BA2" w:rsidRPr="00B2646F" w:rsidRDefault="001D4BA2" w:rsidP="001D4BA2">
      <w:pPr>
        <w:pStyle w:val="DPSEntryIndents"/>
        <w:numPr>
          <w:ilvl w:val="1"/>
          <w:numId w:val="3"/>
        </w:numPr>
      </w:pPr>
      <w:r w:rsidRPr="00B2646F">
        <w:t xml:space="preserve">recognises </w:t>
      </w:r>
      <w:r>
        <w:t>that:</w:t>
      </w:r>
    </w:p>
    <w:p w:rsidR="001D4BA2" w:rsidRPr="00B2646F" w:rsidRDefault="001D4BA2" w:rsidP="001D4BA2">
      <w:pPr>
        <w:pStyle w:val="DPSEntryIndents"/>
        <w:numPr>
          <w:ilvl w:val="2"/>
          <w:numId w:val="3"/>
        </w:numPr>
      </w:pPr>
      <w:r w:rsidRPr="00B2646F">
        <w:t>clubs play an important role in the social life of many Canberrans, as meeting places, employers of around 1745 people, and supporting essential community groups, sporting codes and our rich multicultural community</w:t>
      </w:r>
      <w:r>
        <w:t>; and</w:t>
      </w:r>
    </w:p>
    <w:p w:rsidR="001D4BA2" w:rsidRPr="00B2646F" w:rsidRDefault="001D4BA2" w:rsidP="001D4BA2">
      <w:pPr>
        <w:pStyle w:val="DPSEntryIndents"/>
        <w:numPr>
          <w:ilvl w:val="2"/>
          <w:numId w:val="3"/>
        </w:numPr>
      </w:pPr>
      <w:r w:rsidRPr="00B2646F">
        <w:t>clubs have gone through a period of significant reform over the past five years;</w:t>
      </w:r>
    </w:p>
    <w:p w:rsidR="001D4BA2" w:rsidRPr="00B2646F" w:rsidRDefault="001D4BA2" w:rsidP="001D4BA2">
      <w:pPr>
        <w:pStyle w:val="DPSEntryIndents"/>
        <w:numPr>
          <w:ilvl w:val="1"/>
          <w:numId w:val="3"/>
        </w:numPr>
      </w:pPr>
      <w:r w:rsidRPr="00B2646F">
        <w:t>takes seriously the need to protect members of our community experiencing gambling harm, ensure there are rigorous and well-enforced safeguards in place, and continue to assist clubs to move away from reliance on gaming revenue; and</w:t>
      </w:r>
    </w:p>
    <w:p w:rsidR="001D4BA2" w:rsidRPr="00B2646F" w:rsidRDefault="001D4BA2" w:rsidP="001D4BA2">
      <w:pPr>
        <w:pStyle w:val="DPSEntryIndents"/>
        <w:numPr>
          <w:ilvl w:val="1"/>
          <w:numId w:val="3"/>
        </w:numPr>
      </w:pPr>
      <w:r w:rsidRPr="00B2646F">
        <w:t xml:space="preserve">acknowledges the pressure that clubs have been under to remain viable, keep people employed, and support their communities during the </w:t>
      </w:r>
      <w:r w:rsidRPr="00B2646F">
        <w:lastRenderedPageBreak/>
        <w:t>C</w:t>
      </w:r>
      <w:r>
        <w:t>OVID</w:t>
      </w:r>
      <w:r>
        <w:noBreakHyphen/>
      </w:r>
      <w:r w:rsidRPr="00B2646F">
        <w:t>19 pandemic, and the importance for clubs to survive, recover and thrive</w:t>
      </w:r>
      <w:r>
        <w:t>;</w:t>
      </w:r>
    </w:p>
    <w:p w:rsidR="001D4BA2" w:rsidRPr="00B2646F" w:rsidRDefault="001D4BA2" w:rsidP="001D4BA2">
      <w:pPr>
        <w:pStyle w:val="DPSEntryIndents"/>
        <w:numPr>
          <w:ilvl w:val="0"/>
          <w:numId w:val="9"/>
        </w:numPr>
        <w:rPr>
          <w:lang w:eastAsia="en-US"/>
        </w:rPr>
      </w:pPr>
      <w:r w:rsidRPr="00B2646F">
        <w:rPr>
          <w:lang w:eastAsia="en-US"/>
        </w:rPr>
        <w:t>notes that t</w:t>
      </w:r>
      <w:r>
        <w:rPr>
          <w:lang w:eastAsia="en-US"/>
        </w:rPr>
        <w:t>he ACT Government has this term:</w:t>
      </w:r>
    </w:p>
    <w:p w:rsidR="001D4BA2" w:rsidRPr="00B2646F" w:rsidRDefault="001D4BA2" w:rsidP="001D4BA2">
      <w:pPr>
        <w:pStyle w:val="DPSEntryIndents"/>
        <w:numPr>
          <w:ilvl w:val="1"/>
          <w:numId w:val="3"/>
        </w:numPr>
        <w:rPr>
          <w:lang w:eastAsia="en-US"/>
        </w:rPr>
      </w:pPr>
      <w:r w:rsidRPr="00B2646F">
        <w:t>reduced the number of poker machine authorisations from 4938 to 3888</w:t>
      </w:r>
      <w:r>
        <w:t>, which represents a 20 percent reduction in this term of government</w:t>
      </w:r>
      <w:r w:rsidRPr="00B2646F">
        <w:t>;</w:t>
      </w:r>
    </w:p>
    <w:p w:rsidR="001D4BA2" w:rsidRPr="00B2646F" w:rsidRDefault="001D4BA2" w:rsidP="001D4BA2">
      <w:pPr>
        <w:pStyle w:val="DPSEntryIndents"/>
        <w:numPr>
          <w:ilvl w:val="1"/>
          <w:numId w:val="3"/>
        </w:numPr>
        <w:rPr>
          <w:lang w:eastAsia="en-US"/>
        </w:rPr>
      </w:pPr>
      <w:r w:rsidRPr="00B2646F">
        <w:rPr>
          <w:lang w:eastAsia="en-US"/>
        </w:rPr>
        <w:t>adopted a public health approach to addressing gambling harm</w:t>
      </w:r>
      <w:r w:rsidR="003E6AB6">
        <w:rPr>
          <w:lang w:eastAsia="en-US"/>
        </w:rPr>
        <w:t>,</w:t>
      </w:r>
      <w:r w:rsidRPr="00B2646F">
        <w:rPr>
          <w:lang w:eastAsia="en-US"/>
        </w:rPr>
        <w:t xml:space="preserve"> which has included targeted education campaigns, increasing funding to the Gambling Harm Prevention and Mitigation Fund, and introducing restrictions </w:t>
      </w:r>
      <w:r>
        <w:rPr>
          <w:lang w:eastAsia="en-US"/>
        </w:rPr>
        <w:t>on EFTPOS withdrawals in clubs;</w:t>
      </w:r>
    </w:p>
    <w:p w:rsidR="001D4BA2" w:rsidRPr="00B2646F" w:rsidRDefault="001D4BA2" w:rsidP="001D4BA2">
      <w:pPr>
        <w:pStyle w:val="DPSEntryIndents"/>
        <w:numPr>
          <w:ilvl w:val="1"/>
          <w:numId w:val="3"/>
        </w:numPr>
        <w:rPr>
          <w:lang w:eastAsia="en-US"/>
        </w:rPr>
      </w:pPr>
      <w:r w:rsidRPr="00B2646F">
        <w:t xml:space="preserve">implemented a range of measures, including </w:t>
      </w:r>
      <w:r w:rsidRPr="00B2646F">
        <w:rPr>
          <w:lang w:eastAsia="en-US"/>
        </w:rPr>
        <w:t>establishing the Diversification and Sustainability Support Fund,</w:t>
      </w:r>
      <w:r w:rsidRPr="00B2646F">
        <w:t xml:space="preserve"> which are assisting clubs to diversify their revenue streams and move away from reliance on gaming revenue while still being able to fulfil their role in the </w:t>
      </w:r>
      <w:r>
        <w:t xml:space="preserve">community, supporting around 10 </w:t>
      </w:r>
      <w:r w:rsidR="003E6AB6">
        <w:t>000 community, sport</w:t>
      </w:r>
      <w:r w:rsidRPr="00B2646F">
        <w:t xml:space="preserve"> and multicultural groups;</w:t>
      </w:r>
      <w:r>
        <w:t xml:space="preserve"> and</w:t>
      </w:r>
    </w:p>
    <w:p w:rsidR="001D4BA2" w:rsidRPr="00B2646F" w:rsidRDefault="001D4BA2" w:rsidP="001D4BA2">
      <w:pPr>
        <w:pStyle w:val="DPSEntryIndents"/>
        <w:numPr>
          <w:ilvl w:val="1"/>
          <w:numId w:val="3"/>
        </w:numPr>
      </w:pPr>
      <w:r w:rsidRPr="00B2646F">
        <w:t>reviewed the Community Contributions scheme to improve transparency of funding by clubs to community support and to maximise this benefit to the community</w:t>
      </w:r>
      <w:r>
        <w:t>;</w:t>
      </w:r>
    </w:p>
    <w:p w:rsidR="001D4BA2" w:rsidRPr="00B2646F" w:rsidRDefault="001D4BA2" w:rsidP="001D4BA2">
      <w:pPr>
        <w:pStyle w:val="DPSEntryIndents"/>
        <w:rPr>
          <w:lang w:eastAsia="en-US"/>
        </w:rPr>
      </w:pPr>
      <w:r w:rsidRPr="00B2646F">
        <w:rPr>
          <w:lang w:eastAsia="en-US"/>
        </w:rPr>
        <w:t>notes that</w:t>
      </w:r>
      <w:r>
        <w:rPr>
          <w:lang w:eastAsia="en-US"/>
        </w:rPr>
        <w:t>:</w:t>
      </w:r>
    </w:p>
    <w:p w:rsidR="001D4BA2" w:rsidRPr="00B2646F" w:rsidRDefault="001D4BA2" w:rsidP="001D4BA2">
      <w:pPr>
        <w:pStyle w:val="DPSEntryIndents"/>
        <w:numPr>
          <w:ilvl w:val="1"/>
          <w:numId w:val="3"/>
        </w:numPr>
        <w:rPr>
          <w:lang w:eastAsia="en-US"/>
        </w:rPr>
      </w:pPr>
      <w:r w:rsidRPr="00B2646F">
        <w:rPr>
          <w:lang w:eastAsia="en-US"/>
        </w:rPr>
        <w:t>in the ACT</w:t>
      </w:r>
      <w:r>
        <w:rPr>
          <w:lang w:eastAsia="en-US"/>
        </w:rPr>
        <w:t>, people can lose more than $1</w:t>
      </w:r>
      <w:r w:rsidRPr="00B2646F">
        <w:rPr>
          <w:lang w:eastAsia="en-US"/>
        </w:rPr>
        <w:t>000 an hour playing poker machines;</w:t>
      </w:r>
    </w:p>
    <w:p w:rsidR="001D4BA2" w:rsidRPr="00B2646F" w:rsidRDefault="001D4BA2" w:rsidP="001D4BA2">
      <w:pPr>
        <w:pStyle w:val="DPSEntryIndents"/>
        <w:numPr>
          <w:ilvl w:val="1"/>
          <w:numId w:val="3"/>
        </w:numPr>
        <w:rPr>
          <w:lang w:eastAsia="en-US"/>
        </w:rPr>
      </w:pPr>
      <w:r w:rsidRPr="00B2646F">
        <w:rPr>
          <w:lang w:eastAsia="en-US"/>
        </w:rPr>
        <w:t>all Australian jurisdictions</w:t>
      </w:r>
      <w:r>
        <w:rPr>
          <w:lang w:eastAsia="en-US"/>
        </w:rPr>
        <w:t>,</w:t>
      </w:r>
      <w:r w:rsidRPr="00B2646F">
        <w:rPr>
          <w:lang w:eastAsia="en-US"/>
        </w:rPr>
        <w:t xml:space="preserve"> except for the ACT and NSW</w:t>
      </w:r>
      <w:r>
        <w:rPr>
          <w:lang w:eastAsia="en-US"/>
        </w:rPr>
        <w:t>,</w:t>
      </w:r>
      <w:r w:rsidRPr="00B2646F">
        <w:rPr>
          <w:lang w:eastAsia="en-US"/>
        </w:rPr>
        <w:t xml:space="preserve"> have bet limits of $5 per spin for poker machines in c</w:t>
      </w:r>
      <w:r w:rsidR="009005DE">
        <w:rPr>
          <w:lang w:eastAsia="en-US"/>
        </w:rPr>
        <w:t>l</w:t>
      </w:r>
      <w:r w:rsidRPr="00B2646F">
        <w:rPr>
          <w:lang w:eastAsia="en-US"/>
        </w:rPr>
        <w:t>ubs and hotels;</w:t>
      </w:r>
    </w:p>
    <w:p w:rsidR="001D4BA2" w:rsidRPr="00B2646F" w:rsidRDefault="001D4BA2" w:rsidP="001D4BA2">
      <w:pPr>
        <w:pStyle w:val="DPSEntryIndents"/>
        <w:numPr>
          <w:ilvl w:val="1"/>
          <w:numId w:val="3"/>
        </w:numPr>
        <w:rPr>
          <w:lang w:eastAsia="en-US"/>
        </w:rPr>
      </w:pPr>
      <w:r w:rsidRPr="00B2646F">
        <w:rPr>
          <w:lang w:eastAsia="en-US"/>
        </w:rPr>
        <w:t>all Australian jurisdictions, where poker machines accept banknotes, except for the ACT</w:t>
      </w:r>
      <w:r>
        <w:rPr>
          <w:lang w:eastAsia="en-US"/>
        </w:rPr>
        <w:t>,</w:t>
      </w:r>
      <w:r w:rsidRPr="00B2646F">
        <w:rPr>
          <w:lang w:eastAsia="en-US"/>
        </w:rPr>
        <w:t xml:space="preserve"> have load limits in clubs and hotels, and Queensland has introduced a load up limit of $100;</w:t>
      </w:r>
    </w:p>
    <w:p w:rsidR="001D4BA2" w:rsidRPr="00B2646F" w:rsidRDefault="001D4BA2" w:rsidP="001D4BA2">
      <w:pPr>
        <w:pStyle w:val="DPSEntryIndents"/>
        <w:numPr>
          <w:ilvl w:val="1"/>
          <w:numId w:val="3"/>
        </w:numPr>
        <w:rPr>
          <w:lang w:eastAsia="en-US"/>
        </w:rPr>
      </w:pPr>
      <w:r w:rsidRPr="00B2646F">
        <w:rPr>
          <w:lang w:eastAsia="en-US"/>
        </w:rPr>
        <w:t>reports indicate that the COVID-19 shutdown period has been a relief for some people experiencing gambling harm;</w:t>
      </w:r>
    </w:p>
    <w:p w:rsidR="001D4BA2" w:rsidRPr="00B2646F" w:rsidRDefault="001D4BA2" w:rsidP="001D4BA2">
      <w:pPr>
        <w:pStyle w:val="DPSEntryIndents"/>
        <w:numPr>
          <w:ilvl w:val="1"/>
          <w:numId w:val="3"/>
        </w:numPr>
        <w:rPr>
          <w:lang w:eastAsia="en-US"/>
        </w:rPr>
      </w:pPr>
      <w:r w:rsidRPr="00B2646F">
        <w:rPr>
          <w:lang w:eastAsia="en-US"/>
        </w:rPr>
        <w:t>in 2014-15</w:t>
      </w:r>
      <w:r>
        <w:rPr>
          <w:lang w:eastAsia="en-US"/>
        </w:rPr>
        <w:t>,</w:t>
      </w:r>
      <w:r w:rsidRPr="00B2646F">
        <w:rPr>
          <w:lang w:eastAsia="en-US"/>
        </w:rPr>
        <w:t xml:space="preserve"> almost 20 percent of ACT adults played the pokies at least once, with losses totalling $37.48 million. Non-problem gamblers accounted for 37 percent of all money l</w:t>
      </w:r>
      <w:r>
        <w:rPr>
          <w:lang w:eastAsia="en-US"/>
        </w:rPr>
        <w:t>ost on poker machines, while 63 </w:t>
      </w:r>
      <w:r w:rsidRPr="00B2646F">
        <w:rPr>
          <w:lang w:eastAsia="en-US"/>
        </w:rPr>
        <w:t>percent came from people with some problem gambling behaviours;</w:t>
      </w:r>
    </w:p>
    <w:p w:rsidR="001D4BA2" w:rsidRPr="00B2646F" w:rsidRDefault="001D4BA2" w:rsidP="001D4BA2">
      <w:pPr>
        <w:pStyle w:val="DPSEntryIndents"/>
        <w:numPr>
          <w:ilvl w:val="1"/>
          <w:numId w:val="3"/>
        </w:numPr>
        <w:rPr>
          <w:lang w:eastAsia="en-US"/>
        </w:rPr>
      </w:pPr>
      <w:r w:rsidRPr="00B2646F">
        <w:rPr>
          <w:lang w:eastAsia="en-US"/>
        </w:rPr>
        <w:t>the ACT Gambling Survey 2019 (Commissioned by the ACT Gambling and Racing Commission, undertaken by Australian National University) found that:</w:t>
      </w:r>
    </w:p>
    <w:p w:rsidR="001D4BA2" w:rsidRPr="00B2646F" w:rsidRDefault="001D4BA2" w:rsidP="001D4BA2">
      <w:pPr>
        <w:pStyle w:val="DPSEntryIndents"/>
        <w:numPr>
          <w:ilvl w:val="2"/>
          <w:numId w:val="3"/>
        </w:numPr>
        <w:rPr>
          <w:lang w:eastAsia="en-US"/>
        </w:rPr>
      </w:pPr>
      <w:r w:rsidRPr="00B2646F">
        <w:rPr>
          <w:lang w:eastAsia="en-US"/>
        </w:rPr>
        <w:t>9.6 percent of the ACT adult population (approximately 31 000 adults) experienced gambling harm in the past 12 months; and</w:t>
      </w:r>
    </w:p>
    <w:p w:rsidR="001D4BA2" w:rsidRPr="00B2646F" w:rsidRDefault="001D4BA2" w:rsidP="001D4BA2">
      <w:pPr>
        <w:pStyle w:val="DPSEntryIndents"/>
        <w:numPr>
          <w:ilvl w:val="2"/>
          <w:numId w:val="3"/>
        </w:numPr>
        <w:rPr>
          <w:lang w:eastAsia="en-US"/>
        </w:rPr>
      </w:pPr>
      <w:r w:rsidRPr="00B2646F">
        <w:rPr>
          <w:lang w:eastAsia="en-US"/>
        </w:rPr>
        <w:t>64.3 percent of respondents agreed that poker machines do more harm than good for the community; and</w:t>
      </w:r>
    </w:p>
    <w:p w:rsidR="001D4BA2" w:rsidRDefault="001D4BA2" w:rsidP="001D4BA2">
      <w:pPr>
        <w:pStyle w:val="DPSEntryIndents"/>
        <w:numPr>
          <w:ilvl w:val="1"/>
          <w:numId w:val="3"/>
        </w:numPr>
        <w:rPr>
          <w:lang w:eastAsia="en-US"/>
        </w:rPr>
      </w:pPr>
      <w:r w:rsidRPr="00B2646F">
        <w:rPr>
          <w:lang w:eastAsia="en-US"/>
        </w:rPr>
        <w:t>the 2010 Productivity Commission inquiry report on gambling found the significant social cost of problem gamblin</w:t>
      </w:r>
      <w:r>
        <w:rPr>
          <w:lang w:eastAsia="en-US"/>
        </w:rPr>
        <w:t>g—estimated to be at least $4.7 </w:t>
      </w:r>
      <w:r w:rsidRPr="00B2646F">
        <w:rPr>
          <w:lang w:eastAsia="en-US"/>
        </w:rPr>
        <w:t>billion a year—means that even policy measures with modest efficacy in reducing harm will often be worthwhile; and</w:t>
      </w:r>
    </w:p>
    <w:p w:rsidR="001D4BA2" w:rsidRPr="00B2646F" w:rsidRDefault="001D4BA2" w:rsidP="000A48D1">
      <w:pPr>
        <w:pStyle w:val="DPSEntryIndents"/>
        <w:keepNext/>
        <w:rPr>
          <w:lang w:eastAsia="en-US"/>
        </w:rPr>
      </w:pPr>
      <w:r w:rsidRPr="00B2646F">
        <w:rPr>
          <w:lang w:eastAsia="en-US"/>
        </w:rPr>
        <w:lastRenderedPageBreak/>
        <w:t xml:space="preserve">calls on the ACT Government to: </w:t>
      </w:r>
    </w:p>
    <w:p w:rsidR="001D4BA2" w:rsidRPr="00B2646F" w:rsidRDefault="001D4BA2" w:rsidP="001D4BA2">
      <w:pPr>
        <w:pStyle w:val="DPSEntryIndents"/>
        <w:numPr>
          <w:ilvl w:val="1"/>
          <w:numId w:val="3"/>
        </w:numPr>
      </w:pPr>
      <w:r w:rsidRPr="00B2646F">
        <w:rPr>
          <w:lang w:eastAsia="en-US"/>
        </w:rPr>
        <w:t xml:space="preserve">continue to work alongside the clubs to help them </w:t>
      </w:r>
      <w:r w:rsidRPr="00B2646F">
        <w:t xml:space="preserve">secure their future over the long </w:t>
      </w:r>
      <w:r w:rsidR="009005DE">
        <w:t>term, support their communities</w:t>
      </w:r>
      <w:r w:rsidRPr="00B2646F">
        <w:t xml:space="preserve"> and protect their patrons, and to help them to continue to move to other income-generating activities; and</w:t>
      </w:r>
    </w:p>
    <w:p w:rsidR="00C2454B" w:rsidRPr="001D4BA2" w:rsidRDefault="001D4BA2" w:rsidP="00FD0316">
      <w:pPr>
        <w:pStyle w:val="DPSEntryIndents"/>
        <w:numPr>
          <w:ilvl w:val="1"/>
          <w:numId w:val="3"/>
        </w:numPr>
        <w:rPr>
          <w:color w:val="000000"/>
        </w:rPr>
      </w:pPr>
      <w:r w:rsidRPr="00B2646F">
        <w:rPr>
          <w:lang w:eastAsia="en-US"/>
        </w:rPr>
        <w:t xml:space="preserve">work in </w:t>
      </w:r>
      <w:r w:rsidRPr="00B2646F">
        <w:t>close consultation with clubs, experts, the community, and people with lived experience on further evidence-based harm minimisation measures</w:t>
      </w:r>
      <w:r>
        <w:t>.”—</w:t>
      </w:r>
    </w:p>
    <w:p w:rsidR="001D4BA2" w:rsidRPr="00B24A73" w:rsidRDefault="001D4BA2" w:rsidP="001D4BA2">
      <w:pPr>
        <w:spacing w:before="120"/>
        <w:ind w:left="720"/>
        <w:rPr>
          <w:rFonts w:ascii="Calibri" w:hAnsi="Calibri"/>
          <w:color w:val="000000"/>
          <w:lang w:val="en-AU"/>
        </w:rPr>
      </w:pPr>
      <w:r>
        <w:rPr>
          <w:rFonts w:ascii="Calibri" w:hAnsi="Calibri"/>
          <w:color w:val="000000"/>
          <w:lang w:val="en-AU"/>
        </w:rPr>
        <w:t>be agreed to—put and passed.</w:t>
      </w:r>
    </w:p>
    <w:p w:rsidR="004A2D71" w:rsidRPr="003C63E6" w:rsidRDefault="004A2D71" w:rsidP="004A2D71">
      <w:pPr>
        <w:keepNext/>
        <w:keepLines/>
        <w:tabs>
          <w:tab w:val="right" w:pos="339"/>
          <w:tab w:val="left" w:pos="720"/>
        </w:tabs>
        <w:spacing w:before="240"/>
        <w:ind w:left="720" w:hanging="720"/>
        <w:jc w:val="both"/>
        <w:rPr>
          <w:rFonts w:ascii="Calibri" w:hAnsi="Calibri"/>
          <w:b/>
          <w:caps/>
        </w:rPr>
      </w:pPr>
      <w:r w:rsidRPr="003C63E6">
        <w:rPr>
          <w:rFonts w:ascii="Calibri" w:hAnsi="Calibri"/>
          <w:b/>
          <w:caps/>
        </w:rPr>
        <w:tab/>
      </w:r>
      <w:r w:rsidR="00271E6D">
        <w:rPr>
          <w:rFonts w:ascii="Calibri" w:hAnsi="Calibri"/>
          <w:b/>
          <w:bCs/>
          <w:caps/>
        </w:rPr>
        <w:fldChar w:fldCharType="begin"/>
      </w:r>
      <w:r w:rsidR="00271E6D">
        <w:rPr>
          <w:rFonts w:ascii="Calibri" w:hAnsi="Calibri"/>
          <w:b/>
          <w:bCs/>
          <w:caps/>
        </w:rPr>
        <w:instrText xml:space="preserve"> SEQ A \* MERGEFORMAT </w:instrText>
      </w:r>
      <w:r w:rsidR="00271E6D">
        <w:rPr>
          <w:rFonts w:ascii="Calibri" w:hAnsi="Calibri"/>
          <w:b/>
          <w:bCs/>
          <w:caps/>
        </w:rPr>
        <w:fldChar w:fldCharType="separate"/>
      </w:r>
      <w:r w:rsidR="003D6726">
        <w:rPr>
          <w:rFonts w:ascii="Calibri" w:hAnsi="Calibri"/>
          <w:b/>
          <w:bCs/>
          <w:caps/>
          <w:noProof/>
        </w:rPr>
        <w:t>22</w:t>
      </w:r>
      <w:r w:rsidR="00271E6D">
        <w:rPr>
          <w:rFonts w:ascii="Calibri" w:hAnsi="Calibri"/>
          <w:b/>
          <w:bCs/>
          <w:caps/>
        </w:rPr>
        <w:fldChar w:fldCharType="end"/>
      </w:r>
      <w:r w:rsidRPr="003C63E6">
        <w:rPr>
          <w:rFonts w:ascii="Calibri" w:hAnsi="Calibri"/>
          <w:b/>
          <w:caps/>
        </w:rPr>
        <w:tab/>
        <w:t>EXECUTIVE business—precedence</w:t>
      </w:r>
    </w:p>
    <w:p w:rsidR="004A2D71" w:rsidRDefault="004A2D71" w:rsidP="004A2D71">
      <w:pPr>
        <w:tabs>
          <w:tab w:val="left" w:pos="1197"/>
          <w:tab w:val="left" w:pos="1767"/>
        </w:tabs>
        <w:spacing w:before="120"/>
        <w:ind w:left="741"/>
        <w:jc w:val="both"/>
        <w:rPr>
          <w:rFonts w:ascii="Calibri" w:hAnsi="Calibri"/>
          <w:lang w:val="en-AU"/>
        </w:rPr>
      </w:pPr>
      <w:r w:rsidRPr="003C63E6">
        <w:rPr>
          <w:rFonts w:ascii="Calibri" w:hAnsi="Calibri"/>
          <w:lang w:val="en-AU"/>
        </w:rPr>
        <w:t>Ordered—That Executive business be called on forthwith.</w:t>
      </w:r>
    </w:p>
    <w:p w:rsidR="004A2D71" w:rsidRPr="00BD6C5C" w:rsidRDefault="004A2D71" w:rsidP="004A2D71">
      <w:pPr>
        <w:keepNext/>
        <w:keepLines/>
        <w:tabs>
          <w:tab w:val="right" w:pos="339"/>
          <w:tab w:val="left" w:pos="720"/>
        </w:tabs>
        <w:spacing w:before="240"/>
        <w:ind w:left="720" w:hanging="720"/>
        <w:jc w:val="both"/>
        <w:rPr>
          <w:rFonts w:ascii="Calibri" w:hAnsi="Calibri"/>
          <w:b/>
          <w:caps/>
          <w:lang w:val="en-AU"/>
        </w:rPr>
      </w:pPr>
      <w:r w:rsidRPr="00BD6C5C">
        <w:rPr>
          <w:rFonts w:ascii="Calibri" w:hAnsi="Calibri"/>
          <w:b/>
          <w:caps/>
          <w:lang w:val="en-AU"/>
        </w:rPr>
        <w:tab/>
      </w:r>
      <w:r w:rsidR="00271E6D">
        <w:rPr>
          <w:rFonts w:ascii="Calibri" w:hAnsi="Calibri"/>
          <w:b/>
          <w:bCs/>
          <w:caps/>
          <w:lang w:val="en-AU"/>
        </w:rPr>
        <w:fldChar w:fldCharType="begin"/>
      </w:r>
      <w:r w:rsidR="00271E6D">
        <w:rPr>
          <w:rFonts w:ascii="Calibri" w:hAnsi="Calibri"/>
          <w:b/>
          <w:bCs/>
          <w:caps/>
          <w:lang w:val="en-AU"/>
        </w:rPr>
        <w:instrText xml:space="preserve"> SEQ A \* MERGEFORMAT </w:instrText>
      </w:r>
      <w:r w:rsidR="00271E6D">
        <w:rPr>
          <w:rFonts w:ascii="Calibri" w:hAnsi="Calibri"/>
          <w:b/>
          <w:bCs/>
          <w:caps/>
          <w:lang w:val="en-AU"/>
        </w:rPr>
        <w:fldChar w:fldCharType="separate"/>
      </w:r>
      <w:r w:rsidR="003D6726">
        <w:rPr>
          <w:rFonts w:ascii="Calibri" w:hAnsi="Calibri"/>
          <w:b/>
          <w:bCs/>
          <w:caps/>
          <w:noProof/>
          <w:lang w:val="en-AU"/>
        </w:rPr>
        <w:t>23</w:t>
      </w:r>
      <w:r w:rsidR="00271E6D">
        <w:rPr>
          <w:rFonts w:ascii="Calibri" w:hAnsi="Calibri"/>
          <w:b/>
          <w:bCs/>
          <w:caps/>
          <w:lang w:val="en-AU"/>
        </w:rPr>
        <w:fldChar w:fldCharType="end"/>
      </w:r>
      <w:r w:rsidRPr="00BD6C5C">
        <w:rPr>
          <w:rFonts w:ascii="Calibri" w:hAnsi="Calibri"/>
          <w:b/>
          <w:caps/>
          <w:lang w:val="en-AU"/>
        </w:rPr>
        <w:tab/>
      </w:r>
      <w:r>
        <w:rPr>
          <w:rFonts w:ascii="Calibri" w:hAnsi="Calibri"/>
          <w:b/>
          <w:caps/>
          <w:lang w:val="en-AU"/>
        </w:rPr>
        <w:t>Royal Commission Criminal Justice Legislation Amendment Bill 2020</w:t>
      </w:r>
    </w:p>
    <w:p w:rsidR="004A2D71" w:rsidRPr="00BD6C5C" w:rsidRDefault="004A2D71" w:rsidP="000A48D1">
      <w:pPr>
        <w:spacing w:before="100"/>
        <w:ind w:left="720"/>
        <w:jc w:val="both"/>
        <w:rPr>
          <w:rFonts w:ascii="Calibri" w:hAnsi="Calibri"/>
          <w:lang w:val="en-AU"/>
        </w:rPr>
      </w:pPr>
      <w:r w:rsidRPr="00BD6C5C">
        <w:rPr>
          <w:rFonts w:ascii="Calibri" w:hAnsi="Calibri"/>
          <w:lang w:val="en-AU"/>
        </w:rPr>
        <w:t>The order of the day having been read for the resumption of the debate on the question—That this Bill be agreed to in principle—</w:t>
      </w:r>
    </w:p>
    <w:p w:rsidR="004A2D71" w:rsidRDefault="004A2D71" w:rsidP="000A48D1">
      <w:pPr>
        <w:spacing w:before="100"/>
        <w:ind w:left="720"/>
        <w:jc w:val="both"/>
        <w:rPr>
          <w:rFonts w:ascii="Calibri" w:hAnsi="Calibri"/>
          <w:iCs/>
          <w:lang w:val="en-AU"/>
        </w:rPr>
      </w:pPr>
      <w:r w:rsidRPr="00BD6C5C">
        <w:rPr>
          <w:rFonts w:ascii="Calibri" w:hAnsi="Calibri"/>
          <w:iCs/>
          <w:lang w:val="en-AU"/>
        </w:rPr>
        <w:t>Debate resumed.</w:t>
      </w:r>
    </w:p>
    <w:p w:rsidR="009C1E7D" w:rsidRDefault="009C1E7D" w:rsidP="000A48D1">
      <w:pPr>
        <w:spacing w:before="100"/>
        <w:ind w:left="720"/>
        <w:jc w:val="both"/>
        <w:rPr>
          <w:rFonts w:ascii="Calibri" w:hAnsi="Calibri"/>
          <w:iCs/>
          <w:lang w:val="en-AU"/>
        </w:rPr>
      </w:pPr>
      <w:r>
        <w:rPr>
          <w:rFonts w:ascii="Calibri" w:hAnsi="Calibri"/>
          <w:i/>
          <w:iCs/>
          <w:lang w:val="en-AU"/>
        </w:rPr>
        <w:t>Paper:</w:t>
      </w:r>
      <w:r>
        <w:rPr>
          <w:rFonts w:ascii="Calibri" w:hAnsi="Calibri"/>
          <w:iCs/>
          <w:lang w:val="en-AU"/>
        </w:rPr>
        <w:t xml:space="preserve">  Mr Hanson, by leave, presented the following paper:</w:t>
      </w:r>
    </w:p>
    <w:p w:rsidR="009C1E7D" w:rsidRDefault="009C1E7D" w:rsidP="000A48D1">
      <w:pPr>
        <w:spacing w:before="100"/>
        <w:ind w:left="720"/>
        <w:jc w:val="both"/>
        <w:rPr>
          <w:rFonts w:ascii="Calibri" w:hAnsi="Calibri"/>
          <w:iCs/>
          <w:lang w:val="en-AU"/>
        </w:rPr>
      </w:pPr>
      <w:r>
        <w:rPr>
          <w:rFonts w:ascii="Calibri" w:hAnsi="Calibri"/>
          <w:iCs/>
          <w:lang w:val="en-AU"/>
        </w:rPr>
        <w:t>Royal Commission into Institutional Responses to Child Sexual Abuse—Copy of letter to Honourable Members from David Hamer, Professor of Evidence Law, Sydney Law School.</w:t>
      </w:r>
    </w:p>
    <w:p w:rsidR="00000176" w:rsidRPr="009C1E7D" w:rsidRDefault="00000176" w:rsidP="000A48D1">
      <w:pPr>
        <w:spacing w:before="100"/>
        <w:ind w:left="720"/>
        <w:jc w:val="both"/>
        <w:rPr>
          <w:rFonts w:ascii="Calibri" w:hAnsi="Calibri"/>
          <w:iCs/>
          <w:lang w:val="en-AU"/>
        </w:rPr>
      </w:pPr>
      <w:r>
        <w:rPr>
          <w:rFonts w:ascii="Calibri" w:hAnsi="Calibri"/>
          <w:iCs/>
          <w:lang w:val="en-AU"/>
        </w:rPr>
        <w:t>Debate continued.</w:t>
      </w:r>
    </w:p>
    <w:p w:rsidR="004A2D71" w:rsidRPr="00BD6C5C" w:rsidRDefault="004A2D71" w:rsidP="000A48D1">
      <w:pPr>
        <w:spacing w:before="100"/>
        <w:ind w:left="720"/>
        <w:jc w:val="both"/>
        <w:rPr>
          <w:rFonts w:ascii="Calibri" w:hAnsi="Calibri"/>
          <w:iCs/>
          <w:lang w:val="en-AU"/>
        </w:rPr>
      </w:pPr>
      <w:r w:rsidRPr="00BD6C5C">
        <w:rPr>
          <w:rFonts w:ascii="Calibri" w:hAnsi="Calibri"/>
          <w:iCs/>
          <w:lang w:val="en-AU"/>
        </w:rPr>
        <w:t>Question—That this Bill be agreed to in principle—put and passed.</w:t>
      </w:r>
    </w:p>
    <w:p w:rsidR="004A2D71" w:rsidRPr="00BD6C5C" w:rsidRDefault="004A2D71" w:rsidP="000A48D1">
      <w:pPr>
        <w:spacing w:before="100"/>
        <w:ind w:left="720"/>
        <w:jc w:val="both"/>
        <w:rPr>
          <w:rFonts w:ascii="Calibri" w:hAnsi="Calibri"/>
          <w:iCs/>
          <w:lang w:val="en-AU"/>
        </w:rPr>
      </w:pPr>
      <w:r w:rsidRPr="00BD6C5C">
        <w:rPr>
          <w:rFonts w:ascii="Calibri" w:hAnsi="Calibri"/>
          <w:iCs/>
          <w:lang w:val="en-AU"/>
        </w:rPr>
        <w:t>Leave granted to dispense with the detail stage.</w:t>
      </w:r>
    </w:p>
    <w:p w:rsidR="004A2D71" w:rsidRPr="00BD6C5C" w:rsidRDefault="004A2D71" w:rsidP="000A48D1">
      <w:pPr>
        <w:spacing w:before="100"/>
        <w:ind w:left="720"/>
        <w:jc w:val="both"/>
        <w:rPr>
          <w:rFonts w:ascii="Calibri" w:hAnsi="Calibri"/>
          <w:lang w:val="en-AU"/>
        </w:rPr>
      </w:pPr>
      <w:r w:rsidRPr="00BD6C5C">
        <w:rPr>
          <w:rFonts w:ascii="Calibri" w:hAnsi="Calibri"/>
          <w:lang w:val="en-AU"/>
        </w:rPr>
        <w:t>Question—That this Bill be agreed to—put and passed.</w:t>
      </w:r>
    </w:p>
    <w:p w:rsidR="004A2D71" w:rsidRPr="008A0095" w:rsidRDefault="004A2D71" w:rsidP="004A2D71">
      <w:pPr>
        <w:keepNext/>
        <w:keepLines/>
        <w:tabs>
          <w:tab w:val="right" w:pos="339"/>
          <w:tab w:val="left" w:pos="720"/>
        </w:tabs>
        <w:spacing w:before="240"/>
        <w:ind w:left="720" w:hanging="720"/>
        <w:jc w:val="both"/>
        <w:rPr>
          <w:rFonts w:ascii="Calibri" w:hAnsi="Calibri"/>
          <w:b/>
          <w:caps/>
          <w:lang w:val="en-AU"/>
        </w:rPr>
      </w:pPr>
      <w:r w:rsidRPr="008A0095">
        <w:rPr>
          <w:rFonts w:ascii="Calibri" w:hAnsi="Calibri"/>
          <w:b/>
          <w:caps/>
          <w:lang w:val="en-AU"/>
        </w:rPr>
        <w:tab/>
      </w:r>
      <w:r w:rsidR="00271E6D">
        <w:rPr>
          <w:rFonts w:ascii="Calibri" w:hAnsi="Calibri"/>
          <w:b/>
          <w:bCs/>
          <w:caps/>
          <w:lang w:val="en-AU"/>
        </w:rPr>
        <w:fldChar w:fldCharType="begin"/>
      </w:r>
      <w:r w:rsidR="00271E6D">
        <w:rPr>
          <w:rFonts w:ascii="Calibri" w:hAnsi="Calibri"/>
          <w:b/>
          <w:bCs/>
          <w:caps/>
          <w:lang w:val="en-AU"/>
        </w:rPr>
        <w:instrText xml:space="preserve"> SEQ A \* MERGEFORMAT </w:instrText>
      </w:r>
      <w:r w:rsidR="00271E6D">
        <w:rPr>
          <w:rFonts w:ascii="Calibri" w:hAnsi="Calibri"/>
          <w:b/>
          <w:bCs/>
          <w:caps/>
          <w:lang w:val="en-AU"/>
        </w:rPr>
        <w:fldChar w:fldCharType="separate"/>
      </w:r>
      <w:r w:rsidR="003D6726">
        <w:rPr>
          <w:rFonts w:ascii="Calibri" w:hAnsi="Calibri"/>
          <w:b/>
          <w:bCs/>
          <w:caps/>
          <w:noProof/>
          <w:lang w:val="en-AU"/>
        </w:rPr>
        <w:t>24</w:t>
      </w:r>
      <w:r w:rsidR="00271E6D">
        <w:rPr>
          <w:rFonts w:ascii="Calibri" w:hAnsi="Calibri"/>
          <w:b/>
          <w:bCs/>
          <w:caps/>
          <w:lang w:val="en-AU"/>
        </w:rPr>
        <w:fldChar w:fldCharType="end"/>
      </w:r>
      <w:r w:rsidRPr="008A0095">
        <w:rPr>
          <w:rFonts w:ascii="Calibri" w:hAnsi="Calibri"/>
          <w:b/>
          <w:caps/>
          <w:lang w:val="en-AU"/>
        </w:rPr>
        <w:tab/>
      </w:r>
      <w:r>
        <w:rPr>
          <w:rFonts w:ascii="Calibri" w:hAnsi="Calibri"/>
          <w:b/>
          <w:caps/>
          <w:lang w:val="en-AU"/>
        </w:rPr>
        <w:t>Coroners Amendment Bill 2020</w:t>
      </w:r>
    </w:p>
    <w:p w:rsidR="004A2D71" w:rsidRPr="008A0095" w:rsidRDefault="004A2D71" w:rsidP="000A48D1">
      <w:pPr>
        <w:spacing w:before="100"/>
        <w:ind w:left="720"/>
        <w:jc w:val="both"/>
        <w:rPr>
          <w:rFonts w:ascii="Calibri" w:hAnsi="Calibri"/>
          <w:lang w:val="en-AU"/>
        </w:rPr>
      </w:pPr>
      <w:r w:rsidRPr="008A0095">
        <w:rPr>
          <w:rFonts w:ascii="Calibri" w:hAnsi="Calibri"/>
          <w:lang w:val="en-AU"/>
        </w:rPr>
        <w:t>The order of the day having been read for the resumption of the debate on the question—That this Bill be agreed to in principle—</w:t>
      </w:r>
    </w:p>
    <w:p w:rsidR="004A2D71" w:rsidRPr="008A0095" w:rsidRDefault="004A2D71" w:rsidP="000A48D1">
      <w:pPr>
        <w:spacing w:before="100"/>
        <w:ind w:left="720"/>
        <w:jc w:val="both"/>
        <w:rPr>
          <w:rFonts w:ascii="Calibri" w:hAnsi="Calibri"/>
          <w:iCs/>
          <w:lang w:val="en-AU"/>
        </w:rPr>
      </w:pPr>
      <w:r w:rsidRPr="008A0095">
        <w:rPr>
          <w:rFonts w:ascii="Calibri" w:hAnsi="Calibri"/>
          <w:iCs/>
          <w:lang w:val="en-AU"/>
        </w:rPr>
        <w:t>Debate resumed.</w:t>
      </w:r>
    </w:p>
    <w:p w:rsidR="004A2D71" w:rsidRPr="008A0095" w:rsidRDefault="004A2D71" w:rsidP="000A48D1">
      <w:pPr>
        <w:spacing w:before="100"/>
        <w:ind w:left="720"/>
        <w:jc w:val="both"/>
        <w:rPr>
          <w:rFonts w:ascii="Calibri" w:hAnsi="Calibri"/>
          <w:iCs/>
          <w:lang w:val="en-AU"/>
        </w:rPr>
      </w:pPr>
      <w:r w:rsidRPr="008A0095">
        <w:rPr>
          <w:rFonts w:ascii="Calibri" w:hAnsi="Calibri"/>
          <w:iCs/>
          <w:lang w:val="en-AU"/>
        </w:rPr>
        <w:t>Question—That this Bill be agreed to in principle—put and passed.</w:t>
      </w:r>
    </w:p>
    <w:p w:rsidR="004A2D71" w:rsidRPr="008A0095" w:rsidRDefault="004A2D71" w:rsidP="000A48D1">
      <w:pPr>
        <w:spacing w:before="100"/>
        <w:ind w:left="720"/>
        <w:jc w:val="both"/>
        <w:rPr>
          <w:rFonts w:ascii="Calibri" w:hAnsi="Calibri"/>
          <w:iCs/>
          <w:lang w:val="en-AU"/>
        </w:rPr>
      </w:pPr>
      <w:r w:rsidRPr="008A0095">
        <w:rPr>
          <w:rFonts w:ascii="Calibri" w:hAnsi="Calibri"/>
          <w:iCs/>
          <w:lang w:val="en-AU"/>
        </w:rPr>
        <w:t>Leave granted to dispense with the detail stage.</w:t>
      </w:r>
    </w:p>
    <w:p w:rsidR="004A2D71" w:rsidRPr="008A0095" w:rsidRDefault="004A2D71" w:rsidP="000A48D1">
      <w:pPr>
        <w:spacing w:before="100"/>
        <w:ind w:left="720"/>
        <w:jc w:val="both"/>
        <w:rPr>
          <w:rFonts w:ascii="Calibri" w:hAnsi="Calibri"/>
          <w:lang w:val="en-AU"/>
        </w:rPr>
      </w:pPr>
      <w:r w:rsidRPr="008A0095">
        <w:rPr>
          <w:rFonts w:ascii="Calibri" w:hAnsi="Calibri"/>
          <w:lang w:val="en-AU"/>
        </w:rPr>
        <w:t>Question—That this Bill be agreed to—put and passed.</w:t>
      </w:r>
    </w:p>
    <w:p w:rsidR="004A2D71" w:rsidRPr="008A0095" w:rsidRDefault="004A2D71" w:rsidP="004A2D71">
      <w:pPr>
        <w:keepNext/>
        <w:keepLines/>
        <w:tabs>
          <w:tab w:val="right" w:pos="339"/>
          <w:tab w:val="left" w:pos="720"/>
        </w:tabs>
        <w:spacing w:before="240"/>
        <w:ind w:left="720" w:hanging="720"/>
        <w:jc w:val="both"/>
        <w:rPr>
          <w:rFonts w:ascii="Calibri" w:hAnsi="Calibri"/>
          <w:b/>
          <w:caps/>
          <w:lang w:val="en-AU"/>
        </w:rPr>
      </w:pPr>
      <w:r w:rsidRPr="008A0095">
        <w:rPr>
          <w:rFonts w:ascii="Calibri" w:hAnsi="Calibri"/>
          <w:b/>
          <w:caps/>
          <w:lang w:val="en-AU"/>
        </w:rPr>
        <w:tab/>
      </w:r>
      <w:r w:rsidR="00271E6D">
        <w:rPr>
          <w:rFonts w:ascii="Calibri" w:hAnsi="Calibri"/>
          <w:b/>
          <w:bCs/>
          <w:caps/>
          <w:lang w:val="en-AU"/>
        </w:rPr>
        <w:fldChar w:fldCharType="begin"/>
      </w:r>
      <w:r w:rsidR="00271E6D">
        <w:rPr>
          <w:rFonts w:ascii="Calibri" w:hAnsi="Calibri"/>
          <w:b/>
          <w:bCs/>
          <w:caps/>
          <w:lang w:val="en-AU"/>
        </w:rPr>
        <w:instrText xml:space="preserve"> SEQ A \* MERGEFORMAT </w:instrText>
      </w:r>
      <w:r w:rsidR="00271E6D">
        <w:rPr>
          <w:rFonts w:ascii="Calibri" w:hAnsi="Calibri"/>
          <w:b/>
          <w:bCs/>
          <w:caps/>
          <w:lang w:val="en-AU"/>
        </w:rPr>
        <w:fldChar w:fldCharType="separate"/>
      </w:r>
      <w:r w:rsidR="003D6726">
        <w:rPr>
          <w:rFonts w:ascii="Calibri" w:hAnsi="Calibri"/>
          <w:b/>
          <w:bCs/>
          <w:caps/>
          <w:noProof/>
          <w:lang w:val="en-AU"/>
        </w:rPr>
        <w:t>25</w:t>
      </w:r>
      <w:r w:rsidR="00271E6D">
        <w:rPr>
          <w:rFonts w:ascii="Calibri" w:hAnsi="Calibri"/>
          <w:b/>
          <w:bCs/>
          <w:caps/>
          <w:lang w:val="en-AU"/>
        </w:rPr>
        <w:fldChar w:fldCharType="end"/>
      </w:r>
      <w:r w:rsidRPr="008A0095">
        <w:rPr>
          <w:rFonts w:ascii="Calibri" w:hAnsi="Calibri"/>
          <w:b/>
          <w:caps/>
          <w:lang w:val="en-AU"/>
        </w:rPr>
        <w:tab/>
      </w:r>
      <w:r>
        <w:rPr>
          <w:rFonts w:ascii="Calibri" w:hAnsi="Calibri"/>
          <w:b/>
          <w:caps/>
          <w:lang w:val="en-AU"/>
        </w:rPr>
        <w:t>Confiscation of Criminal Assets (Unexplained Wealth) Amendment Bill 2020</w:t>
      </w:r>
    </w:p>
    <w:p w:rsidR="004A2D71" w:rsidRPr="008A0095" w:rsidRDefault="004A2D71" w:rsidP="000A48D1">
      <w:pPr>
        <w:spacing w:before="100"/>
        <w:ind w:left="720"/>
        <w:jc w:val="both"/>
        <w:rPr>
          <w:rFonts w:ascii="Calibri" w:hAnsi="Calibri"/>
          <w:lang w:val="en-AU"/>
        </w:rPr>
      </w:pPr>
      <w:r w:rsidRPr="008A0095">
        <w:rPr>
          <w:rFonts w:ascii="Calibri" w:hAnsi="Calibri"/>
          <w:lang w:val="en-AU"/>
        </w:rPr>
        <w:t>The order of the day having been read for the resumption of the debate on the question—That this Bill be agreed to in principle—</w:t>
      </w:r>
    </w:p>
    <w:p w:rsidR="004A2D71" w:rsidRPr="008A0095" w:rsidRDefault="004A2D71" w:rsidP="000A48D1">
      <w:pPr>
        <w:spacing w:before="100"/>
        <w:ind w:left="720"/>
        <w:jc w:val="both"/>
        <w:rPr>
          <w:rFonts w:ascii="Calibri" w:hAnsi="Calibri"/>
          <w:iCs/>
          <w:lang w:val="en-AU"/>
        </w:rPr>
      </w:pPr>
      <w:r w:rsidRPr="008A0095">
        <w:rPr>
          <w:rFonts w:ascii="Calibri" w:hAnsi="Calibri"/>
          <w:iCs/>
          <w:lang w:val="en-AU"/>
        </w:rPr>
        <w:t>Debate resumed.</w:t>
      </w:r>
    </w:p>
    <w:p w:rsidR="004A2D71" w:rsidRPr="008A0095" w:rsidRDefault="004A2D71" w:rsidP="000A48D1">
      <w:pPr>
        <w:spacing w:before="100"/>
        <w:ind w:left="720"/>
        <w:jc w:val="both"/>
        <w:rPr>
          <w:rFonts w:ascii="Calibri" w:hAnsi="Calibri"/>
          <w:iCs/>
          <w:lang w:val="en-AU"/>
        </w:rPr>
      </w:pPr>
      <w:r w:rsidRPr="008A0095">
        <w:rPr>
          <w:rFonts w:ascii="Calibri" w:hAnsi="Calibri"/>
          <w:iCs/>
          <w:lang w:val="en-AU"/>
        </w:rPr>
        <w:t>Question—That this Bill be agreed to in principle—put and passed.</w:t>
      </w:r>
    </w:p>
    <w:p w:rsidR="004A2D71" w:rsidRPr="008A0095" w:rsidRDefault="004A2D71" w:rsidP="000A48D1">
      <w:pPr>
        <w:spacing w:before="100"/>
        <w:ind w:left="720"/>
        <w:jc w:val="both"/>
        <w:rPr>
          <w:rFonts w:ascii="Calibri" w:hAnsi="Calibri"/>
          <w:iCs/>
          <w:lang w:val="en-AU"/>
        </w:rPr>
      </w:pPr>
      <w:r w:rsidRPr="008A0095">
        <w:rPr>
          <w:rFonts w:ascii="Calibri" w:hAnsi="Calibri"/>
          <w:iCs/>
          <w:lang w:val="en-AU"/>
        </w:rPr>
        <w:t>Leave granted to dispense with the detail stage.</w:t>
      </w:r>
    </w:p>
    <w:p w:rsidR="004A2D71" w:rsidRPr="008A0095" w:rsidRDefault="004A2D71" w:rsidP="000A48D1">
      <w:pPr>
        <w:spacing w:before="100"/>
        <w:ind w:left="720"/>
        <w:jc w:val="both"/>
        <w:rPr>
          <w:rFonts w:ascii="Calibri" w:hAnsi="Calibri"/>
          <w:lang w:val="en-AU"/>
        </w:rPr>
      </w:pPr>
      <w:r w:rsidRPr="008A0095">
        <w:rPr>
          <w:rFonts w:ascii="Calibri" w:hAnsi="Calibri"/>
          <w:lang w:val="en-AU"/>
        </w:rPr>
        <w:t>Question—That this Bill be agreed to—put and passed.</w:t>
      </w:r>
    </w:p>
    <w:p w:rsidR="004A2D71" w:rsidRPr="0061777D" w:rsidRDefault="004A2D71" w:rsidP="004A2D71">
      <w:pPr>
        <w:keepNext/>
        <w:keepLines/>
        <w:tabs>
          <w:tab w:val="right" w:pos="339"/>
          <w:tab w:val="left" w:pos="720"/>
        </w:tabs>
        <w:spacing w:before="240"/>
        <w:ind w:left="720" w:hanging="720"/>
        <w:jc w:val="both"/>
        <w:rPr>
          <w:rFonts w:ascii="Calibri" w:hAnsi="Calibri"/>
          <w:b/>
          <w:caps/>
          <w:lang w:val="en-AU"/>
        </w:rPr>
      </w:pPr>
      <w:r w:rsidRPr="0061777D">
        <w:rPr>
          <w:rFonts w:ascii="Calibri" w:hAnsi="Calibri"/>
          <w:b/>
          <w:caps/>
          <w:lang w:val="en-AU"/>
        </w:rPr>
        <w:lastRenderedPageBreak/>
        <w:tab/>
      </w:r>
      <w:r w:rsidR="00271E6D">
        <w:rPr>
          <w:rFonts w:ascii="Calibri" w:hAnsi="Calibri"/>
          <w:b/>
          <w:bCs/>
          <w:caps/>
          <w:lang w:val="en-AU"/>
        </w:rPr>
        <w:fldChar w:fldCharType="begin"/>
      </w:r>
      <w:r w:rsidR="00271E6D">
        <w:rPr>
          <w:rFonts w:ascii="Calibri" w:hAnsi="Calibri"/>
          <w:b/>
          <w:bCs/>
          <w:caps/>
          <w:lang w:val="en-AU"/>
        </w:rPr>
        <w:instrText xml:space="preserve"> SEQ A \* MERGEFORMAT </w:instrText>
      </w:r>
      <w:r w:rsidR="00271E6D">
        <w:rPr>
          <w:rFonts w:ascii="Calibri" w:hAnsi="Calibri"/>
          <w:b/>
          <w:bCs/>
          <w:caps/>
          <w:lang w:val="en-AU"/>
        </w:rPr>
        <w:fldChar w:fldCharType="separate"/>
      </w:r>
      <w:r w:rsidR="003D6726">
        <w:rPr>
          <w:rFonts w:ascii="Calibri" w:hAnsi="Calibri"/>
          <w:b/>
          <w:bCs/>
          <w:caps/>
          <w:noProof/>
          <w:lang w:val="en-AU"/>
        </w:rPr>
        <w:t>26</w:t>
      </w:r>
      <w:r w:rsidR="00271E6D">
        <w:rPr>
          <w:rFonts w:ascii="Calibri" w:hAnsi="Calibri"/>
          <w:b/>
          <w:bCs/>
          <w:caps/>
          <w:lang w:val="en-AU"/>
        </w:rPr>
        <w:fldChar w:fldCharType="end"/>
      </w:r>
      <w:r w:rsidRPr="0061777D">
        <w:rPr>
          <w:rFonts w:ascii="Calibri" w:hAnsi="Calibri"/>
          <w:b/>
          <w:caps/>
          <w:lang w:val="en-AU"/>
        </w:rPr>
        <w:tab/>
      </w:r>
      <w:r>
        <w:rPr>
          <w:rFonts w:ascii="Calibri" w:hAnsi="Calibri"/>
          <w:b/>
          <w:caps/>
          <w:lang w:val="en-AU"/>
        </w:rPr>
        <w:t>Victims Rights Legislation Amendment Bill 2020</w:t>
      </w:r>
    </w:p>
    <w:p w:rsidR="004A2D71" w:rsidRPr="0061777D" w:rsidRDefault="004A2D71" w:rsidP="004A2D71">
      <w:pPr>
        <w:spacing w:before="120"/>
        <w:ind w:left="720"/>
        <w:jc w:val="both"/>
        <w:rPr>
          <w:rFonts w:ascii="Calibri" w:hAnsi="Calibri"/>
          <w:lang w:val="en-AU"/>
        </w:rPr>
      </w:pPr>
      <w:r w:rsidRPr="0061777D">
        <w:rPr>
          <w:rFonts w:ascii="Calibri" w:hAnsi="Calibri"/>
          <w:lang w:val="en-AU"/>
        </w:rPr>
        <w:t>The order of the day having been read for the resumption of the debate on the question—That this Bill be agreed to in principle—</w:t>
      </w:r>
    </w:p>
    <w:p w:rsidR="004A2D71" w:rsidRPr="0061777D" w:rsidRDefault="004A2D71" w:rsidP="004A2D71">
      <w:pPr>
        <w:spacing w:before="120"/>
        <w:ind w:left="720"/>
        <w:jc w:val="both"/>
        <w:rPr>
          <w:rFonts w:ascii="Calibri" w:hAnsi="Calibri"/>
          <w:iCs/>
          <w:lang w:val="en-AU"/>
        </w:rPr>
      </w:pPr>
      <w:r w:rsidRPr="0061777D">
        <w:rPr>
          <w:rFonts w:ascii="Calibri" w:hAnsi="Calibri"/>
          <w:iCs/>
          <w:lang w:val="en-AU"/>
        </w:rPr>
        <w:t>Debate resumed.</w:t>
      </w:r>
    </w:p>
    <w:p w:rsidR="004A2D71" w:rsidRPr="0061777D" w:rsidRDefault="004A2D71" w:rsidP="004A2D71">
      <w:pPr>
        <w:spacing w:before="120"/>
        <w:ind w:left="720"/>
        <w:jc w:val="both"/>
        <w:rPr>
          <w:rFonts w:ascii="Calibri" w:hAnsi="Calibri"/>
          <w:iCs/>
          <w:lang w:val="en-AU"/>
        </w:rPr>
      </w:pPr>
      <w:r w:rsidRPr="0061777D">
        <w:rPr>
          <w:rFonts w:ascii="Calibri" w:hAnsi="Calibri"/>
          <w:iCs/>
          <w:lang w:val="en-AU"/>
        </w:rPr>
        <w:t>Question—That this Bill be agreed to in principle—put and passed.</w:t>
      </w:r>
    </w:p>
    <w:p w:rsidR="004A2D71" w:rsidRPr="0061777D" w:rsidRDefault="004A2D71" w:rsidP="004A2D71">
      <w:pPr>
        <w:pBdr>
          <w:bottom w:val="thinThickLargeGap" w:sz="18" w:space="1" w:color="auto"/>
        </w:pBdr>
        <w:ind w:left="3427" w:right="3658"/>
        <w:jc w:val="center"/>
        <w:rPr>
          <w:rFonts w:ascii="Calibri" w:hAnsi="Calibri"/>
          <w:i/>
          <w:iCs/>
          <w:lang w:val="en-AU"/>
        </w:rPr>
      </w:pPr>
    </w:p>
    <w:p w:rsidR="004A2D71" w:rsidRPr="0061777D" w:rsidRDefault="004A2D71" w:rsidP="004A2D71">
      <w:pPr>
        <w:tabs>
          <w:tab w:val="left" w:pos="1197"/>
          <w:tab w:val="left" w:pos="1767"/>
        </w:tabs>
        <w:spacing w:before="120"/>
        <w:jc w:val="center"/>
        <w:rPr>
          <w:rFonts w:ascii="Calibri" w:hAnsi="Calibri"/>
          <w:i/>
          <w:iCs/>
          <w:lang w:val="en-AU"/>
        </w:rPr>
      </w:pPr>
      <w:r w:rsidRPr="0061777D">
        <w:rPr>
          <w:rFonts w:ascii="Calibri" w:hAnsi="Calibri"/>
          <w:i/>
          <w:iCs/>
          <w:lang w:val="en-AU"/>
        </w:rPr>
        <w:t>Detail Stage</w:t>
      </w:r>
    </w:p>
    <w:p w:rsidR="004A2D71" w:rsidRDefault="004A2D71" w:rsidP="004A2D71">
      <w:pPr>
        <w:spacing w:before="120"/>
        <w:ind w:left="720"/>
        <w:jc w:val="both"/>
        <w:rPr>
          <w:rFonts w:ascii="Calibri" w:hAnsi="Calibri"/>
          <w:iCs/>
          <w:lang w:val="en-AU"/>
        </w:rPr>
      </w:pPr>
      <w:r>
        <w:rPr>
          <w:rFonts w:ascii="Calibri" w:hAnsi="Calibri"/>
          <w:iCs/>
          <w:lang w:val="en-AU"/>
        </w:rPr>
        <w:t>Bill, by leave, taken as a whole—</w:t>
      </w:r>
    </w:p>
    <w:p w:rsidR="004A2D71" w:rsidRPr="00C02E47" w:rsidRDefault="004A2D71" w:rsidP="004A2D71">
      <w:pPr>
        <w:spacing w:before="120"/>
        <w:ind w:left="720"/>
        <w:jc w:val="both"/>
        <w:rPr>
          <w:rFonts w:ascii="Calibri" w:hAnsi="Calibri"/>
          <w:iCs/>
          <w:lang w:val="en-AU"/>
        </w:rPr>
      </w:pPr>
      <w:r>
        <w:rPr>
          <w:rFonts w:ascii="Calibri" w:hAnsi="Calibri"/>
          <w:iCs/>
          <w:lang w:val="en-AU"/>
        </w:rPr>
        <w:t>On the motion of Mr Rattenbury (Minister for Justice, Consumer Affairs and Road Safety), pursuant to standing order 182A</w:t>
      </w:r>
      <w:r w:rsidRPr="00ED1E95">
        <w:rPr>
          <w:rFonts w:ascii="Calibri" w:hAnsi="Calibri"/>
          <w:iCs/>
          <w:lang w:val="en-AU"/>
        </w:rPr>
        <w:t>(c)</w:t>
      </w:r>
      <w:r>
        <w:rPr>
          <w:rFonts w:ascii="Calibri" w:hAnsi="Calibri"/>
          <w:iCs/>
          <w:lang w:val="en-AU"/>
        </w:rPr>
        <w:t>, by leave, his amendments Nos 1 to 5 (</w:t>
      </w:r>
      <w:r>
        <w:rPr>
          <w:rFonts w:ascii="Calibri" w:hAnsi="Calibri"/>
          <w:i/>
          <w:iCs/>
          <w:lang w:val="en-AU"/>
        </w:rPr>
        <w:t>see</w:t>
      </w:r>
      <w:r>
        <w:rPr>
          <w:rFonts w:ascii="Calibri" w:hAnsi="Calibri"/>
          <w:iCs/>
          <w:lang w:val="en-AU"/>
        </w:rPr>
        <w:t xml:space="preserve"> </w:t>
      </w:r>
      <w:hyperlink w:anchor="Schedule1" w:history="1">
        <w:r w:rsidRPr="00ED1E95">
          <w:rPr>
            <w:rStyle w:val="Hyperlink"/>
            <w:rFonts w:ascii="Calibri" w:hAnsi="Calibri"/>
            <w:iCs/>
            <w:lang w:val="en-AU"/>
          </w:rPr>
          <w:t>Schedule 1</w:t>
        </w:r>
      </w:hyperlink>
      <w:r>
        <w:rPr>
          <w:rFonts w:ascii="Calibri" w:hAnsi="Calibri"/>
          <w:iCs/>
          <w:lang w:val="en-AU"/>
        </w:rPr>
        <w:t>), that had not been circulated in accordance with standing order 178A, were made together.</w:t>
      </w:r>
    </w:p>
    <w:p w:rsidR="004A2D71" w:rsidRDefault="004A2D71" w:rsidP="004A2D71">
      <w:pPr>
        <w:spacing w:before="120"/>
        <w:ind w:left="720"/>
        <w:jc w:val="both"/>
        <w:rPr>
          <w:rFonts w:ascii="Calibri" w:hAnsi="Calibri"/>
          <w:iCs/>
          <w:lang w:val="en-AU"/>
        </w:rPr>
      </w:pPr>
      <w:r>
        <w:rPr>
          <w:rFonts w:ascii="Calibri" w:hAnsi="Calibri"/>
          <w:i/>
          <w:iCs/>
          <w:lang w:val="en-AU"/>
        </w:rPr>
        <w:t xml:space="preserve">Paper:  </w:t>
      </w:r>
      <w:r>
        <w:rPr>
          <w:rFonts w:ascii="Calibri" w:hAnsi="Calibri"/>
          <w:iCs/>
          <w:lang w:val="en-AU"/>
        </w:rPr>
        <w:t>Mr Rattenbury presented a supplementary explanatory statement to the Government amendments.</w:t>
      </w:r>
    </w:p>
    <w:p w:rsidR="004A2D71" w:rsidRPr="00C02E47" w:rsidRDefault="004A2D71" w:rsidP="004A2D71">
      <w:pPr>
        <w:spacing w:before="120"/>
        <w:ind w:left="720"/>
        <w:jc w:val="both"/>
        <w:rPr>
          <w:rFonts w:ascii="Calibri" w:hAnsi="Calibri"/>
          <w:iCs/>
          <w:lang w:val="en-AU"/>
        </w:rPr>
      </w:pPr>
      <w:r>
        <w:rPr>
          <w:rFonts w:ascii="Calibri" w:hAnsi="Calibri"/>
          <w:iCs/>
          <w:lang w:val="en-AU"/>
        </w:rPr>
        <w:t>Bill, as a whole, as amended, agreed to.</w:t>
      </w:r>
    </w:p>
    <w:p w:rsidR="004A2D71" w:rsidRPr="0061777D" w:rsidRDefault="004A2D71" w:rsidP="004A2D71">
      <w:pPr>
        <w:pBdr>
          <w:top w:val="thickThinLargeGap" w:sz="18" w:space="1" w:color="auto"/>
        </w:pBdr>
        <w:spacing w:before="180"/>
        <w:ind w:left="3427" w:right="3658"/>
        <w:jc w:val="center"/>
        <w:rPr>
          <w:rFonts w:ascii="Calibri" w:hAnsi="Calibri"/>
          <w:lang w:val="en-AU"/>
        </w:rPr>
      </w:pPr>
    </w:p>
    <w:p w:rsidR="004A2D71" w:rsidRPr="0061777D" w:rsidRDefault="004A2D71" w:rsidP="004A2D71">
      <w:pPr>
        <w:ind w:left="720"/>
        <w:jc w:val="both"/>
        <w:rPr>
          <w:rFonts w:ascii="Calibri" w:hAnsi="Calibri"/>
          <w:lang w:val="en-AU"/>
        </w:rPr>
      </w:pPr>
      <w:r w:rsidRPr="0061777D">
        <w:rPr>
          <w:rFonts w:ascii="Calibri" w:hAnsi="Calibri"/>
          <w:lang w:val="en-AU"/>
        </w:rPr>
        <w:t>Question—That this Bill, as amended, be agreed to—put and passed.</w:t>
      </w:r>
    </w:p>
    <w:p w:rsidR="0001593D" w:rsidRPr="0001593D" w:rsidRDefault="0001593D" w:rsidP="0001593D">
      <w:pPr>
        <w:keepNext/>
        <w:keepLines/>
        <w:tabs>
          <w:tab w:val="right" w:pos="339"/>
          <w:tab w:val="left" w:pos="720"/>
        </w:tabs>
        <w:spacing w:before="240"/>
        <w:ind w:left="720" w:hanging="720"/>
        <w:jc w:val="both"/>
        <w:rPr>
          <w:rFonts w:ascii="Calibri" w:hAnsi="Calibri"/>
          <w:b/>
          <w:lang w:val="en-AU"/>
        </w:rPr>
      </w:pPr>
      <w:r w:rsidRPr="0001593D">
        <w:rPr>
          <w:rFonts w:ascii="Calibri" w:hAnsi="Calibri"/>
          <w:b/>
          <w:lang w:val="en-AU"/>
        </w:rPr>
        <w:tab/>
      </w:r>
      <w:r w:rsidR="00271E6D">
        <w:rPr>
          <w:rFonts w:ascii="Calibri" w:hAnsi="Calibri"/>
          <w:b/>
          <w:bCs/>
          <w:lang w:val="en-AU"/>
        </w:rPr>
        <w:fldChar w:fldCharType="begin"/>
      </w:r>
      <w:r w:rsidR="00271E6D">
        <w:rPr>
          <w:rFonts w:ascii="Calibri" w:hAnsi="Calibri"/>
          <w:b/>
          <w:bCs/>
          <w:lang w:val="en-AU"/>
        </w:rPr>
        <w:instrText xml:space="preserve"> SEQ A \* MERGEFORMAT </w:instrText>
      </w:r>
      <w:r w:rsidR="00271E6D">
        <w:rPr>
          <w:rFonts w:ascii="Calibri" w:hAnsi="Calibri"/>
          <w:b/>
          <w:bCs/>
          <w:lang w:val="en-AU"/>
        </w:rPr>
        <w:fldChar w:fldCharType="separate"/>
      </w:r>
      <w:r w:rsidR="003D6726">
        <w:rPr>
          <w:rFonts w:ascii="Calibri" w:hAnsi="Calibri"/>
          <w:b/>
          <w:bCs/>
          <w:noProof/>
          <w:lang w:val="en-AU"/>
        </w:rPr>
        <w:t>27</w:t>
      </w:r>
      <w:r w:rsidR="00271E6D">
        <w:rPr>
          <w:rFonts w:ascii="Calibri" w:hAnsi="Calibri"/>
          <w:b/>
          <w:bCs/>
          <w:lang w:val="en-AU"/>
        </w:rPr>
        <w:fldChar w:fldCharType="end"/>
      </w:r>
      <w:r w:rsidRPr="0001593D">
        <w:rPr>
          <w:rFonts w:ascii="Calibri" w:hAnsi="Calibri"/>
          <w:b/>
          <w:lang w:val="en-AU"/>
        </w:rPr>
        <w:tab/>
        <w:t>ADJOURNMENT</w:t>
      </w:r>
    </w:p>
    <w:p w:rsidR="0001593D" w:rsidRPr="0001593D" w:rsidRDefault="0001593D" w:rsidP="0001593D">
      <w:pPr>
        <w:spacing w:before="120"/>
        <w:ind w:left="720"/>
        <w:jc w:val="both"/>
        <w:rPr>
          <w:rFonts w:ascii="Calibri" w:hAnsi="Calibri"/>
          <w:lang w:val="en-AU"/>
        </w:rPr>
      </w:pPr>
      <w:r>
        <w:rPr>
          <w:rFonts w:ascii="Calibri" w:hAnsi="Calibri"/>
          <w:lang w:val="en-AU"/>
        </w:rPr>
        <w:t xml:space="preserve">Mr </w:t>
      </w:r>
      <w:r w:rsidR="00377F30">
        <w:rPr>
          <w:rFonts w:ascii="Calibri" w:hAnsi="Calibri"/>
          <w:lang w:val="en-AU"/>
        </w:rPr>
        <w:t>Ramsay</w:t>
      </w:r>
      <w:r w:rsidRPr="0001593D">
        <w:rPr>
          <w:rFonts w:ascii="Calibri" w:hAnsi="Calibri"/>
          <w:lang w:val="en-AU"/>
        </w:rPr>
        <w:t xml:space="preserve"> (</w:t>
      </w:r>
      <w:r w:rsidR="00377F30">
        <w:rPr>
          <w:rFonts w:ascii="Calibri" w:hAnsi="Calibri"/>
          <w:lang w:val="en-AU"/>
        </w:rPr>
        <w:t>Attorney-General</w:t>
      </w:r>
      <w:r w:rsidRPr="0001593D">
        <w:rPr>
          <w:rFonts w:ascii="Calibri" w:hAnsi="Calibri"/>
          <w:lang w:val="en-AU"/>
        </w:rPr>
        <w:t>) moved—That the Assembly do now adjourn.</w:t>
      </w:r>
    </w:p>
    <w:p w:rsidR="0001593D" w:rsidRPr="0001593D" w:rsidRDefault="0001593D" w:rsidP="0001593D">
      <w:pPr>
        <w:spacing w:before="120"/>
        <w:ind w:left="720"/>
        <w:jc w:val="both"/>
        <w:rPr>
          <w:rFonts w:ascii="Calibri" w:hAnsi="Calibri"/>
          <w:lang w:val="en-AU"/>
        </w:rPr>
      </w:pPr>
      <w:r w:rsidRPr="0001593D">
        <w:rPr>
          <w:rFonts w:ascii="Calibri" w:hAnsi="Calibri"/>
          <w:lang w:val="en-AU"/>
        </w:rPr>
        <w:t>Debate ensued.</w:t>
      </w:r>
    </w:p>
    <w:p w:rsidR="0001593D" w:rsidRPr="0001593D" w:rsidRDefault="0001593D" w:rsidP="0001593D">
      <w:pPr>
        <w:spacing w:before="120"/>
        <w:ind w:left="720"/>
        <w:jc w:val="both"/>
        <w:rPr>
          <w:rFonts w:ascii="Calibri" w:hAnsi="Calibri"/>
          <w:lang w:val="en-AU"/>
        </w:rPr>
      </w:pPr>
      <w:r w:rsidRPr="0001593D">
        <w:rPr>
          <w:rFonts w:ascii="Calibri" w:hAnsi="Calibri"/>
          <w:lang w:val="en-AU"/>
        </w:rPr>
        <w:t>Question—put and passed.</w:t>
      </w:r>
    </w:p>
    <w:p w:rsidR="0001593D" w:rsidRPr="0001593D" w:rsidRDefault="0001593D" w:rsidP="0001593D">
      <w:pPr>
        <w:spacing w:before="120"/>
        <w:ind w:left="720"/>
        <w:jc w:val="both"/>
        <w:rPr>
          <w:rFonts w:ascii="Calibri" w:hAnsi="Calibri"/>
          <w:lang w:val="en-AU"/>
        </w:rPr>
      </w:pPr>
      <w:bookmarkStart w:id="2" w:name="_GoBack"/>
      <w:bookmarkEnd w:id="2"/>
      <w:r w:rsidRPr="0001593D">
        <w:rPr>
          <w:rFonts w:ascii="Calibri" w:hAnsi="Calibri"/>
          <w:lang w:val="en-AU"/>
        </w:rPr>
        <w:t xml:space="preserve">And then the Assembly, at </w:t>
      </w:r>
      <w:r w:rsidR="00074849">
        <w:rPr>
          <w:rFonts w:ascii="Calibri" w:hAnsi="Calibri"/>
          <w:lang w:val="en-AU"/>
        </w:rPr>
        <w:t>6.</w:t>
      </w:r>
      <w:r w:rsidR="00791935">
        <w:rPr>
          <w:rFonts w:ascii="Calibri" w:hAnsi="Calibri"/>
          <w:lang w:val="en-AU"/>
        </w:rPr>
        <w:t>23</w:t>
      </w:r>
      <w:r w:rsidR="00074849">
        <w:rPr>
          <w:rFonts w:ascii="Calibri" w:hAnsi="Calibri"/>
          <w:lang w:val="en-AU"/>
        </w:rPr>
        <w:t xml:space="preserve"> pm</w:t>
      </w:r>
      <w:r w:rsidRPr="0001593D">
        <w:rPr>
          <w:rFonts w:ascii="Calibri" w:hAnsi="Calibri"/>
          <w:lang w:val="en-AU"/>
        </w:rPr>
        <w:t xml:space="preserve">, adjourned until </w:t>
      </w:r>
      <w:r w:rsidR="0013446A">
        <w:rPr>
          <w:rFonts w:ascii="Calibri" w:hAnsi="Calibri"/>
          <w:lang w:val="en-AU"/>
        </w:rPr>
        <w:t>Thursday</w:t>
      </w:r>
      <w:r w:rsidR="00A57F4E">
        <w:rPr>
          <w:rFonts w:ascii="Calibri" w:hAnsi="Calibri"/>
          <w:lang w:val="en-AU"/>
        </w:rPr>
        <w:t>,</w:t>
      </w:r>
      <w:r w:rsidR="0013446A">
        <w:rPr>
          <w:rFonts w:ascii="Calibri" w:hAnsi="Calibri"/>
          <w:lang w:val="en-AU"/>
        </w:rPr>
        <w:t xml:space="preserve"> 30 July</w:t>
      </w:r>
      <w:r w:rsidR="00A57F4E">
        <w:rPr>
          <w:rFonts w:ascii="Calibri" w:hAnsi="Calibri"/>
          <w:lang w:val="en-AU"/>
        </w:rPr>
        <w:t xml:space="preserve"> 2020</w:t>
      </w:r>
      <w:r w:rsidRPr="0001593D">
        <w:rPr>
          <w:rFonts w:ascii="Calibri" w:hAnsi="Calibri"/>
          <w:lang w:val="en-AU"/>
        </w:rPr>
        <w:t xml:space="preserve"> at 10 am.</w:t>
      </w:r>
    </w:p>
    <w:p w:rsidR="0001593D" w:rsidRPr="0001593D" w:rsidRDefault="0001593D" w:rsidP="0001593D">
      <w:pPr>
        <w:pBdr>
          <w:bottom w:val="thinThickLargeGap" w:sz="18" w:space="1" w:color="auto"/>
        </w:pBdr>
        <w:ind w:left="3427" w:right="3658"/>
        <w:jc w:val="center"/>
        <w:rPr>
          <w:rFonts w:ascii="Calibri" w:hAnsi="Calibri"/>
          <w:i/>
          <w:iCs/>
          <w:lang w:val="en-AU"/>
        </w:rPr>
      </w:pPr>
    </w:p>
    <w:p w:rsidR="0001593D" w:rsidRDefault="0001593D" w:rsidP="00F85F03">
      <w:pPr>
        <w:keepNext/>
        <w:keepLines/>
        <w:tabs>
          <w:tab w:val="left" w:pos="187"/>
        </w:tabs>
        <w:spacing w:before="240" w:after="120"/>
        <w:ind w:left="180" w:firstLine="7"/>
        <w:jc w:val="both"/>
        <w:rPr>
          <w:rFonts w:ascii="Calibri" w:hAnsi="Calibri"/>
        </w:rPr>
      </w:pPr>
      <w:r w:rsidRPr="0001593D">
        <w:rPr>
          <w:rFonts w:ascii="Calibri" w:hAnsi="Calibri"/>
          <w:b/>
          <w:caps/>
        </w:rPr>
        <w:t>MEMBERS</w:t>
      </w:r>
      <w:r w:rsidR="00F85F03">
        <w:rPr>
          <w:rFonts w:ascii="Calibri" w:hAnsi="Calibri"/>
          <w:b/>
          <w:caps/>
        </w:rPr>
        <w:t>’</w:t>
      </w:r>
      <w:r w:rsidRPr="0001593D">
        <w:rPr>
          <w:rFonts w:ascii="Calibri" w:hAnsi="Calibri"/>
          <w:b/>
          <w:caps/>
        </w:rPr>
        <w:t xml:space="preserve"> ATTENDANCE:  </w:t>
      </w:r>
      <w:r w:rsidRPr="0001593D">
        <w:rPr>
          <w:rFonts w:ascii="Calibri" w:hAnsi="Calibri"/>
        </w:rPr>
        <w:t>All Members were present at some time during the sitting</w:t>
      </w:r>
      <w:r>
        <w:rPr>
          <w:rFonts w:ascii="Calibri" w:hAnsi="Calibri"/>
        </w:rPr>
        <w:t>, except Mr Wall* and Mrs Jones*.</w:t>
      </w:r>
    </w:p>
    <w:p w:rsidR="0001593D" w:rsidRPr="0001593D" w:rsidRDefault="0001593D" w:rsidP="0001593D">
      <w:pPr>
        <w:keepNext/>
        <w:keepLines/>
        <w:tabs>
          <w:tab w:val="left" w:pos="342"/>
        </w:tabs>
        <w:spacing w:before="120" w:after="100" w:afterAutospacing="1"/>
        <w:ind w:left="403" w:hanging="216"/>
        <w:jc w:val="center"/>
        <w:rPr>
          <w:rFonts w:ascii="Calibri" w:hAnsi="Calibri"/>
        </w:rPr>
      </w:pPr>
      <w:r>
        <w:rPr>
          <w:rFonts w:ascii="Calibri" w:hAnsi="Calibri"/>
        </w:rPr>
        <w:t>*on leave</w:t>
      </w:r>
    </w:p>
    <w:p w:rsidR="0001593D" w:rsidRPr="0001593D" w:rsidRDefault="0001593D" w:rsidP="0001593D">
      <w:pPr>
        <w:pBdr>
          <w:top w:val="thickThinLargeGap" w:sz="18" w:space="1" w:color="auto"/>
        </w:pBdr>
        <w:spacing w:before="180"/>
        <w:ind w:left="3427" w:right="3658"/>
        <w:jc w:val="center"/>
        <w:rPr>
          <w:rFonts w:ascii="Calibri" w:hAnsi="Calibri"/>
          <w:lang w:val="en-AU"/>
        </w:rPr>
      </w:pPr>
    </w:p>
    <w:p w:rsidR="0001593D" w:rsidRPr="0001593D" w:rsidRDefault="0001593D" w:rsidP="002D3AF6">
      <w:pPr>
        <w:keepNext/>
        <w:keepLines/>
        <w:spacing w:before="720"/>
        <w:ind w:left="5670" w:right="-33"/>
        <w:jc w:val="center"/>
        <w:rPr>
          <w:rFonts w:ascii="Calibri" w:hAnsi="Calibri"/>
          <w:b/>
          <w:lang w:val="en-AU"/>
        </w:rPr>
      </w:pPr>
      <w:r w:rsidRPr="0001593D">
        <w:rPr>
          <w:rFonts w:ascii="Calibri" w:hAnsi="Calibri"/>
          <w:b/>
          <w:lang w:val="en-AU"/>
        </w:rPr>
        <w:t>Tom Duncan</w:t>
      </w:r>
    </w:p>
    <w:p w:rsidR="0001593D" w:rsidRPr="0001593D" w:rsidRDefault="0001593D" w:rsidP="0001593D">
      <w:pPr>
        <w:keepLines/>
        <w:tabs>
          <w:tab w:val="center" w:pos="9057"/>
        </w:tabs>
        <w:ind w:left="5670"/>
        <w:jc w:val="right"/>
        <w:rPr>
          <w:rFonts w:ascii="Calibri" w:hAnsi="Calibri"/>
          <w:lang w:val="en-AU"/>
        </w:rPr>
      </w:pPr>
      <w:r w:rsidRPr="0001593D">
        <w:rPr>
          <w:rFonts w:ascii="Calibri" w:hAnsi="Calibri"/>
          <w:lang w:val="en-AU"/>
        </w:rPr>
        <w:t>Clerk of the Legislative Assembly</w:t>
      </w:r>
    </w:p>
    <w:p w:rsidR="0001593D" w:rsidRPr="0001593D" w:rsidRDefault="0001593D" w:rsidP="0001593D">
      <w:pPr>
        <w:keepLines/>
        <w:tabs>
          <w:tab w:val="center" w:pos="9057"/>
        </w:tabs>
        <w:ind w:left="5670"/>
        <w:jc w:val="right"/>
        <w:rPr>
          <w:rFonts w:ascii="Calibri" w:hAnsi="Calibri"/>
          <w:lang w:val="en-AU"/>
        </w:rPr>
      </w:pPr>
    </w:p>
    <w:p w:rsidR="0061777D" w:rsidRDefault="0061777D">
      <w:pPr>
        <w:spacing w:after="160" w:line="259" w:lineRule="auto"/>
        <w:rPr>
          <w:lang w:val="en-AU"/>
        </w:rPr>
      </w:pPr>
      <w:r>
        <w:br w:type="page"/>
      </w:r>
    </w:p>
    <w:p w:rsidR="003B560A" w:rsidRDefault="0061777D" w:rsidP="0061777D">
      <w:pPr>
        <w:pStyle w:val="DPSEntryDetail"/>
        <w:spacing w:before="240"/>
        <w:ind w:left="0"/>
        <w:jc w:val="center"/>
        <w:rPr>
          <w:rFonts w:asciiTheme="minorHAnsi" w:hAnsiTheme="minorHAnsi"/>
          <w:b/>
          <w:sz w:val="36"/>
          <w:szCs w:val="36"/>
        </w:rPr>
      </w:pPr>
      <w:r w:rsidRPr="0061777D">
        <w:rPr>
          <w:rFonts w:asciiTheme="minorHAnsi" w:hAnsiTheme="minorHAnsi"/>
          <w:b/>
          <w:sz w:val="36"/>
          <w:szCs w:val="36"/>
        </w:rPr>
        <w:lastRenderedPageBreak/>
        <w:t>SCHEDULE OF AMENDMENTS</w:t>
      </w:r>
    </w:p>
    <w:p w:rsidR="007332DF" w:rsidRDefault="007332DF" w:rsidP="0061777D">
      <w:pPr>
        <w:pStyle w:val="DPSEntryDetail"/>
        <w:spacing w:before="100"/>
        <w:ind w:left="0"/>
        <w:jc w:val="center"/>
        <w:rPr>
          <w:rFonts w:asciiTheme="minorHAnsi" w:hAnsiTheme="minorHAnsi"/>
          <w:b/>
          <w:sz w:val="36"/>
          <w:szCs w:val="36"/>
        </w:rPr>
        <w:sectPr w:rsidR="007332DF" w:rsidSect="00271E6D">
          <w:headerReference w:type="even" r:id="rId12"/>
          <w:headerReference w:type="default" r:id="rId13"/>
          <w:headerReference w:type="first" r:id="rId14"/>
          <w:footerReference w:type="first" r:id="rId15"/>
          <w:pgSz w:w="11906" w:h="16838"/>
          <w:pgMar w:top="1368" w:right="1714" w:bottom="1080" w:left="1138" w:header="634" w:footer="569" w:gutter="0"/>
          <w:pgNumType w:start="2039"/>
          <w:cols w:space="708"/>
          <w:titlePg/>
          <w:docGrid w:linePitch="360"/>
        </w:sectPr>
      </w:pPr>
    </w:p>
    <w:p w:rsidR="0061777D" w:rsidRDefault="0061777D" w:rsidP="0061777D">
      <w:pPr>
        <w:pStyle w:val="DPSEntryDetail"/>
        <w:spacing w:before="100"/>
        <w:ind w:left="0"/>
        <w:jc w:val="center"/>
        <w:rPr>
          <w:rFonts w:asciiTheme="minorHAnsi" w:hAnsiTheme="minorHAnsi"/>
          <w:b/>
          <w:sz w:val="36"/>
          <w:szCs w:val="36"/>
        </w:rPr>
      </w:pPr>
    </w:p>
    <w:p w:rsidR="007332DF" w:rsidRDefault="007332DF" w:rsidP="007332DF">
      <w:pPr>
        <w:pStyle w:val="DPSEntryDetail"/>
        <w:spacing w:before="100"/>
        <w:ind w:left="0"/>
        <w:rPr>
          <w:rFonts w:asciiTheme="minorHAnsi" w:hAnsiTheme="minorHAnsi"/>
          <w:b/>
          <w:sz w:val="28"/>
          <w:szCs w:val="28"/>
          <w:u w:val="single"/>
        </w:rPr>
      </w:pPr>
      <w:bookmarkStart w:id="3" w:name="Schedule1"/>
      <w:r>
        <w:rPr>
          <w:rFonts w:asciiTheme="minorHAnsi" w:hAnsiTheme="minorHAnsi"/>
          <w:b/>
          <w:sz w:val="28"/>
          <w:szCs w:val="28"/>
          <w:u w:val="single"/>
        </w:rPr>
        <w:t>Schedule 1</w:t>
      </w:r>
      <w:bookmarkEnd w:id="3"/>
    </w:p>
    <w:p w:rsidR="007332DF" w:rsidRPr="0029195C" w:rsidRDefault="007332DF" w:rsidP="007332DF">
      <w:pPr>
        <w:keepNext/>
        <w:keepLines/>
        <w:tabs>
          <w:tab w:val="right" w:pos="339"/>
          <w:tab w:val="left" w:pos="720"/>
        </w:tabs>
        <w:spacing w:before="240"/>
        <w:ind w:left="720" w:hanging="720"/>
        <w:rPr>
          <w:b/>
          <w:sz w:val="28"/>
          <w:szCs w:val="28"/>
          <w:u w:val="single"/>
        </w:rPr>
      </w:pPr>
    </w:p>
    <w:p w:rsidR="007332DF" w:rsidRPr="0029195C" w:rsidRDefault="007332DF" w:rsidP="007332DF">
      <w:pPr>
        <w:pBdr>
          <w:bottom w:val="single" w:sz="4" w:space="1" w:color="auto"/>
        </w:pBdr>
        <w:tabs>
          <w:tab w:val="left" w:pos="1197"/>
          <w:tab w:val="left" w:pos="1767"/>
        </w:tabs>
        <w:spacing w:before="120" w:after="120"/>
        <w:rPr>
          <w:caps/>
          <w:spacing w:val="-2"/>
          <w:szCs w:val="24"/>
          <w:lang w:val="en-AU"/>
        </w:rPr>
      </w:pPr>
      <w:r>
        <w:rPr>
          <w:b/>
          <w:szCs w:val="24"/>
        </w:rPr>
        <w:t>VICTIMS RIGHTS LEGISLATION AMENDMENT BILL 2020</w:t>
      </w:r>
    </w:p>
    <w:p w:rsidR="007332DF" w:rsidRPr="0029195C" w:rsidRDefault="007332DF" w:rsidP="007332DF">
      <w:pPr>
        <w:tabs>
          <w:tab w:val="left" w:pos="1197"/>
          <w:tab w:val="left" w:pos="1767"/>
        </w:tabs>
        <w:spacing w:before="120"/>
        <w:rPr>
          <w:lang w:val="en-AU"/>
        </w:rPr>
      </w:pPr>
      <w:r w:rsidRPr="0029195C">
        <w:rPr>
          <w:lang w:val="en-AU"/>
        </w:rPr>
        <w:t>Amendment</w:t>
      </w:r>
      <w:r>
        <w:rPr>
          <w:lang w:val="en-AU"/>
        </w:rPr>
        <w:t>s</w:t>
      </w:r>
      <w:r w:rsidRPr="0029195C">
        <w:rPr>
          <w:lang w:val="en-AU"/>
        </w:rPr>
        <w:t xml:space="preserve"> circulated by </w:t>
      </w:r>
      <w:r>
        <w:rPr>
          <w:lang w:val="en-AU"/>
        </w:rPr>
        <w:t>the Minister for Justice, Consumer Affairs and Road Safety</w:t>
      </w:r>
    </w:p>
    <w:p w:rsidR="007332DF" w:rsidRPr="00A83434" w:rsidRDefault="007332DF" w:rsidP="007332DF">
      <w:pPr>
        <w:pStyle w:val="AH3sec"/>
        <w:tabs>
          <w:tab w:val="clear" w:pos="1500"/>
        </w:tabs>
      </w:pPr>
      <w:r w:rsidRPr="00A83434">
        <w:br/>
        <w:t>Clause 30</w:t>
      </w:r>
      <w:r w:rsidRPr="00A83434">
        <w:br/>
        <w:t>Proposed new section 16M (1)</w:t>
      </w:r>
      <w:r w:rsidRPr="00A83434">
        <w:br/>
        <w:t>Page 43, line 3—</w:t>
      </w:r>
    </w:p>
    <w:p w:rsidR="007332DF" w:rsidRPr="00A83434" w:rsidRDefault="007332DF" w:rsidP="007332DF">
      <w:pPr>
        <w:pStyle w:val="direction"/>
      </w:pPr>
      <w:r w:rsidRPr="00A83434">
        <w:t>omit</w:t>
      </w:r>
    </w:p>
    <w:p w:rsidR="007332DF" w:rsidRPr="00A83434" w:rsidRDefault="007332DF" w:rsidP="007332DF">
      <w:pPr>
        <w:pStyle w:val="Amainreturn"/>
      </w:pPr>
      <w:r w:rsidRPr="00A83434">
        <w:t>a victim of the offender</w:t>
      </w:r>
    </w:p>
    <w:p w:rsidR="007332DF" w:rsidRPr="00A83434" w:rsidRDefault="007332DF" w:rsidP="007332DF">
      <w:pPr>
        <w:pStyle w:val="direction"/>
      </w:pPr>
      <w:r w:rsidRPr="00A83434">
        <w:t>substitute</w:t>
      </w:r>
    </w:p>
    <w:p w:rsidR="007332DF" w:rsidRPr="00A83434" w:rsidRDefault="007332DF" w:rsidP="007332DF">
      <w:pPr>
        <w:pStyle w:val="Amainreturn"/>
      </w:pPr>
      <w:r w:rsidRPr="00A83434">
        <w:t>a registered affected victim of the offender</w:t>
      </w:r>
    </w:p>
    <w:p w:rsidR="007332DF" w:rsidRPr="00A83434" w:rsidRDefault="007332DF" w:rsidP="007332DF">
      <w:pPr>
        <w:pStyle w:val="AH3sec"/>
        <w:tabs>
          <w:tab w:val="clear" w:pos="284"/>
          <w:tab w:val="clear" w:pos="1500"/>
          <w:tab w:val="num" w:pos="360"/>
        </w:tabs>
      </w:pPr>
      <w:r w:rsidRPr="00A83434">
        <w:br/>
        <w:t>Clause 30</w:t>
      </w:r>
      <w:r w:rsidRPr="00A83434">
        <w:br/>
        <w:t>Proposed new section 16M (2)</w:t>
      </w:r>
      <w:r w:rsidRPr="00A83434">
        <w:br/>
        <w:t>Page 43, line 11—</w:t>
      </w:r>
    </w:p>
    <w:p w:rsidR="007332DF" w:rsidRPr="00A83434" w:rsidRDefault="007332DF" w:rsidP="007332DF">
      <w:pPr>
        <w:pStyle w:val="direction"/>
      </w:pPr>
      <w:r w:rsidRPr="00A83434">
        <w:t>omit</w:t>
      </w:r>
    </w:p>
    <w:p w:rsidR="007332DF" w:rsidRPr="00A83434" w:rsidRDefault="007332DF" w:rsidP="007332DF">
      <w:pPr>
        <w:pStyle w:val="Amainreturn"/>
      </w:pPr>
      <w:r w:rsidRPr="00A83434">
        <w:t>a victim of the offender</w:t>
      </w:r>
    </w:p>
    <w:p w:rsidR="007332DF" w:rsidRPr="00A83434" w:rsidRDefault="007332DF" w:rsidP="007332DF">
      <w:pPr>
        <w:pStyle w:val="direction"/>
      </w:pPr>
      <w:r w:rsidRPr="00A83434">
        <w:t>substitute</w:t>
      </w:r>
    </w:p>
    <w:p w:rsidR="007332DF" w:rsidRPr="00A83434" w:rsidRDefault="007332DF" w:rsidP="007332DF">
      <w:pPr>
        <w:pStyle w:val="Amainreturn"/>
      </w:pPr>
      <w:r w:rsidRPr="00A83434">
        <w:t>a registered affected victim of the offender</w:t>
      </w:r>
    </w:p>
    <w:p w:rsidR="007332DF" w:rsidRPr="00A83434" w:rsidRDefault="007332DF" w:rsidP="007332DF">
      <w:pPr>
        <w:pStyle w:val="AH3sec"/>
        <w:tabs>
          <w:tab w:val="clear" w:pos="284"/>
          <w:tab w:val="clear" w:pos="1500"/>
          <w:tab w:val="num" w:pos="360"/>
        </w:tabs>
      </w:pPr>
      <w:r w:rsidRPr="00A83434">
        <w:br/>
        <w:t>Clause 30</w:t>
      </w:r>
      <w:r w:rsidRPr="00A83434">
        <w:br/>
        <w:t xml:space="preserve">Proposed new section 16M (2), </w:t>
      </w:r>
      <w:r w:rsidRPr="00A83434">
        <w:rPr>
          <w:bCs/>
        </w:rPr>
        <w:t>note</w:t>
      </w:r>
      <w:r w:rsidRPr="00A83434">
        <w:br/>
        <w:t>Page 43, line 15—</w:t>
      </w:r>
    </w:p>
    <w:p w:rsidR="007332DF" w:rsidRPr="00A83434" w:rsidRDefault="007332DF" w:rsidP="007332DF">
      <w:pPr>
        <w:pStyle w:val="direction"/>
      </w:pPr>
      <w:r w:rsidRPr="00A83434">
        <w:t>omit the note, substitute</w:t>
      </w:r>
    </w:p>
    <w:p w:rsidR="007332DF" w:rsidRPr="00A83434" w:rsidRDefault="007332DF" w:rsidP="007332DF">
      <w:pPr>
        <w:pStyle w:val="aNote"/>
      </w:pPr>
      <w:r w:rsidRPr="00A83434">
        <w:rPr>
          <w:i/>
        </w:rPr>
        <w:t>Note 1</w:t>
      </w:r>
      <w:r w:rsidRPr="00A83434">
        <w:rPr>
          <w:i/>
        </w:rPr>
        <w:tab/>
      </w:r>
      <w:r w:rsidRPr="00A83434">
        <w:rPr>
          <w:iCs/>
        </w:rPr>
        <w:t xml:space="preserve">The </w:t>
      </w:r>
      <w:r w:rsidRPr="00A83434">
        <w:rPr>
          <w:i/>
          <w:iCs/>
        </w:rPr>
        <w:t>Mental Health Act 2015</w:t>
      </w:r>
      <w:r w:rsidRPr="00A83434">
        <w:rPr>
          <w:iCs/>
        </w:rPr>
        <w:t>, s 134 sets out information in relation to a forensic patient that must be disclosed to a registered affected person if a mental health order has been made (see that Act, s 134 (2)). Other information may be disclosed if necessary for the registered affected person</w:t>
      </w:r>
      <w:r w:rsidR="00F85F03">
        <w:rPr>
          <w:iCs/>
        </w:rPr>
        <w:t>’</w:t>
      </w:r>
      <w:r w:rsidRPr="00A83434">
        <w:rPr>
          <w:iCs/>
        </w:rPr>
        <w:t>s safety and wellbeing (see that Act, s 134 (3). However, i</w:t>
      </w:r>
      <w:r w:rsidRPr="00A83434">
        <w:t>dentifying information about a child, or a person who was a child when the offence was committed or alleged to have been committed, may only be given in certain circumstances (see that Act, s 134 (4)).</w:t>
      </w:r>
    </w:p>
    <w:p w:rsidR="007332DF" w:rsidRDefault="007332DF" w:rsidP="007332DF">
      <w:pPr>
        <w:pStyle w:val="aNote"/>
      </w:pPr>
      <w:r w:rsidRPr="00A83434">
        <w:rPr>
          <w:i/>
          <w:iCs/>
        </w:rPr>
        <w:t>Note 2</w:t>
      </w:r>
      <w:r w:rsidRPr="00A83434">
        <w:rPr>
          <w:i/>
          <w:iCs/>
        </w:rPr>
        <w:tab/>
      </w:r>
      <w:r w:rsidRPr="00A83434">
        <w:t>The ACAT need not give the information mentioned in this section to the victim if another justice agency has already given the information to the victim (see s 14E (2) (b)).</w:t>
      </w:r>
    </w:p>
    <w:p w:rsidR="007332DF" w:rsidRPr="007332DF" w:rsidRDefault="007332DF" w:rsidP="007332DF">
      <w:pPr>
        <w:pBdr>
          <w:top w:val="single" w:sz="4" w:space="1" w:color="auto"/>
        </w:pBdr>
        <w:spacing w:before="140"/>
      </w:pPr>
    </w:p>
    <w:p w:rsidR="007332DF" w:rsidRPr="00A83434" w:rsidRDefault="007332DF" w:rsidP="007332DF">
      <w:pPr>
        <w:pStyle w:val="AH3sec"/>
        <w:tabs>
          <w:tab w:val="clear" w:pos="284"/>
          <w:tab w:val="clear" w:pos="1500"/>
          <w:tab w:val="num" w:pos="360"/>
        </w:tabs>
      </w:pPr>
      <w:r w:rsidRPr="00A83434">
        <w:lastRenderedPageBreak/>
        <w:br/>
        <w:t>Clause 30</w:t>
      </w:r>
      <w:r w:rsidRPr="00A83434">
        <w:br/>
        <w:t xml:space="preserve">Proposed new section 16M (3), definition of </w:t>
      </w:r>
      <w:r w:rsidRPr="00A83434">
        <w:rPr>
          <w:i/>
          <w:iCs/>
        </w:rPr>
        <w:t>offender</w:t>
      </w:r>
      <w:r w:rsidRPr="00A83434">
        <w:t>, new note</w:t>
      </w:r>
      <w:r w:rsidRPr="00A83434">
        <w:rPr>
          <w:i/>
          <w:iCs/>
        </w:rPr>
        <w:br/>
      </w:r>
      <w:r w:rsidRPr="00A83434">
        <w:t>Page 43, line 19—</w:t>
      </w:r>
    </w:p>
    <w:p w:rsidR="007332DF" w:rsidRPr="00A83434" w:rsidRDefault="007332DF" w:rsidP="007332DF">
      <w:pPr>
        <w:pStyle w:val="direction"/>
      </w:pPr>
      <w:r w:rsidRPr="00A83434">
        <w:t>insert</w:t>
      </w:r>
    </w:p>
    <w:p w:rsidR="007332DF" w:rsidRPr="00A83434" w:rsidRDefault="007332DF" w:rsidP="007332DF">
      <w:pPr>
        <w:pStyle w:val="aNote"/>
      </w:pPr>
      <w:r w:rsidRPr="00A83434">
        <w:rPr>
          <w:i/>
          <w:iCs/>
        </w:rPr>
        <w:t>Note</w:t>
      </w:r>
      <w:r w:rsidRPr="00A83434">
        <w:rPr>
          <w:i/>
          <w:iCs/>
        </w:rPr>
        <w:tab/>
      </w:r>
      <w:r w:rsidRPr="00A83434">
        <w:t>A victim can only be a registered affected per</w:t>
      </w:r>
      <w:r>
        <w:t>son in relation to an offender </w:t>
      </w:r>
      <w:r w:rsidRPr="00A83434">
        <w:t>who is a forensic patient.</w:t>
      </w:r>
    </w:p>
    <w:p w:rsidR="007332DF" w:rsidRPr="00A83434" w:rsidRDefault="007332DF" w:rsidP="007332DF">
      <w:pPr>
        <w:pStyle w:val="AH3sec"/>
        <w:tabs>
          <w:tab w:val="clear" w:pos="284"/>
          <w:tab w:val="clear" w:pos="1500"/>
          <w:tab w:val="num" w:pos="360"/>
        </w:tabs>
        <w:rPr>
          <w:i/>
          <w:iCs/>
        </w:rPr>
      </w:pPr>
      <w:r w:rsidRPr="00A83434">
        <w:br/>
        <w:t>Clause 30</w:t>
      </w:r>
      <w:r w:rsidRPr="00A83434">
        <w:br/>
        <w:t xml:space="preserve">Proposed new section 16M (3), new definition of </w:t>
      </w:r>
      <w:r w:rsidRPr="00A83434">
        <w:rPr>
          <w:i/>
          <w:iCs/>
        </w:rPr>
        <w:t>registered affected victim</w:t>
      </w:r>
      <w:r w:rsidRPr="00A83434">
        <w:rPr>
          <w:i/>
        </w:rPr>
        <w:br/>
      </w:r>
      <w:r w:rsidRPr="00A83434">
        <w:rPr>
          <w:iCs/>
        </w:rPr>
        <w:t>Page 43, line 19—</w:t>
      </w:r>
    </w:p>
    <w:p w:rsidR="007332DF" w:rsidRPr="00A83434" w:rsidRDefault="007332DF" w:rsidP="007332DF">
      <w:pPr>
        <w:pStyle w:val="direction"/>
      </w:pPr>
      <w:r w:rsidRPr="00A83434">
        <w:t>insert</w:t>
      </w:r>
    </w:p>
    <w:p w:rsidR="007332DF" w:rsidRPr="00A83434" w:rsidRDefault="007332DF" w:rsidP="007332DF">
      <w:pPr>
        <w:pStyle w:val="aDef"/>
      </w:pPr>
      <w:r w:rsidRPr="00A83434">
        <w:rPr>
          <w:b/>
          <w:i/>
        </w:rPr>
        <w:t>registered affected victim</w:t>
      </w:r>
      <w:r w:rsidRPr="00A83434">
        <w:t>, of an offender, means a victim who is a registered affected person for an offence committed or alleged to have been committed by the offender.</w:t>
      </w:r>
    </w:p>
    <w:p w:rsidR="007332DF" w:rsidRPr="007332DF" w:rsidRDefault="007332DF" w:rsidP="007332DF">
      <w:pPr>
        <w:pStyle w:val="DPSEntryDetail"/>
        <w:pBdr>
          <w:top w:val="single" w:sz="4" w:space="1" w:color="auto"/>
        </w:pBdr>
        <w:spacing w:before="140"/>
        <w:ind w:left="0"/>
        <w:rPr>
          <w:rFonts w:asciiTheme="minorHAnsi" w:hAnsiTheme="minorHAnsi"/>
          <w:b/>
          <w:sz w:val="28"/>
          <w:szCs w:val="28"/>
          <w:u w:val="single"/>
        </w:rPr>
      </w:pPr>
    </w:p>
    <w:sectPr w:rsidR="007332DF" w:rsidRPr="007332DF" w:rsidSect="00206689">
      <w:headerReference w:type="default" r:id="rId16"/>
      <w:type w:val="continuous"/>
      <w:pgSz w:w="11906" w:h="16838"/>
      <w:pgMar w:top="1368" w:right="3024" w:bottom="1080" w:left="1138" w:header="634" w:footer="475"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4FB" w:rsidRDefault="009124FB" w:rsidP="000F3D35">
      <w:r>
        <w:separator/>
      </w:r>
    </w:p>
  </w:endnote>
  <w:endnote w:type="continuationSeparator" w:id="0">
    <w:p w:rsidR="009124FB" w:rsidRDefault="009124FB" w:rsidP="000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4FB" w:rsidRPr="00EB4159" w:rsidRDefault="009124FB" w:rsidP="00175CB1">
    <w:pPr>
      <w:pBdr>
        <w:top w:val="single" w:sz="4" w:space="1" w:color="auto"/>
      </w:pBdr>
      <w:jc w:val="center"/>
      <w:rPr>
        <w:b/>
        <w:sz w:val="20"/>
      </w:rPr>
    </w:pPr>
  </w:p>
  <w:p w:rsidR="009124FB" w:rsidRPr="008C4E2B" w:rsidRDefault="003D6726" w:rsidP="00DC6821">
    <w:pPr>
      <w:tabs>
        <w:tab w:val="center" w:pos="4680"/>
        <w:tab w:val="left" w:pos="8736"/>
        <w:tab w:val="right" w:pos="9090"/>
      </w:tabs>
      <w:jc w:val="center"/>
      <w:rPr>
        <w:color w:val="000000" w:themeColor="text1"/>
        <w:sz w:val="20"/>
      </w:rPr>
    </w:pPr>
    <w:hyperlink r:id="rId1" w:history="1">
      <w:r w:rsidR="009124FB" w:rsidRPr="008C4E2B">
        <w:rPr>
          <w:rStyle w:val="Hyperlink"/>
          <w:color w:val="000000" w:themeColor="text1"/>
          <w:sz w:val="20"/>
        </w:rPr>
        <w:t>https://www.parliament.act.gov.au/parliamentary-business/in-the-chamber/chamber-documents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4FB" w:rsidRDefault="009124FB" w:rsidP="000F3D35">
      <w:r>
        <w:separator/>
      </w:r>
    </w:p>
  </w:footnote>
  <w:footnote w:type="continuationSeparator" w:id="0">
    <w:p w:rsidR="009124FB" w:rsidRDefault="009124FB" w:rsidP="000F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4FB" w:rsidRPr="000E4643" w:rsidRDefault="009124FB" w:rsidP="00117D25">
    <w:pPr>
      <w:pStyle w:val="Header"/>
      <w:tabs>
        <w:tab w:val="clear" w:pos="4153"/>
        <w:tab w:val="clear" w:pos="8306"/>
        <w:tab w:val="center" w:pos="4680"/>
        <w:tab w:val="right" w:pos="9086"/>
      </w:tabs>
      <w:jc w:val="center"/>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3D6726">
      <w:rPr>
        <w:noProof/>
        <w:sz w:val="22"/>
        <w:szCs w:val="22"/>
      </w:rPr>
      <w:t>2060</w:t>
    </w:r>
    <w:r w:rsidRPr="000E4643">
      <w:rPr>
        <w:noProof/>
        <w:sz w:val="22"/>
        <w:szCs w:val="22"/>
      </w:rPr>
      <w:fldChar w:fldCharType="end"/>
    </w:r>
    <w:r w:rsidRPr="000E4643">
      <w:rPr>
        <w:sz w:val="22"/>
        <w:szCs w:val="22"/>
      </w:rPr>
      <w:ptab w:relativeTo="margin" w:alignment="center" w:leader="none"/>
    </w:r>
    <w:r w:rsidRPr="000E4643">
      <w:rPr>
        <w:i/>
        <w:sz w:val="22"/>
        <w:szCs w:val="22"/>
      </w:rPr>
      <w:t xml:space="preserve">No </w:t>
    </w:r>
    <w:r>
      <w:rPr>
        <w:i/>
        <w:sz w:val="22"/>
        <w:szCs w:val="22"/>
      </w:rPr>
      <w:t>135</w:t>
    </w:r>
    <w:r w:rsidRPr="000E4643">
      <w:rPr>
        <w:rFonts w:ascii="Arial" w:hAnsi="Arial" w:cs="Arial"/>
        <w:i/>
        <w:color w:val="222222"/>
        <w:sz w:val="22"/>
        <w:szCs w:val="22"/>
        <w:shd w:val="clear" w:color="auto" w:fill="FFFFFF"/>
      </w:rPr>
      <w:t>—</w:t>
    </w:r>
    <w:r>
      <w:rPr>
        <w:i/>
        <w:sz w:val="22"/>
        <w:szCs w:val="22"/>
      </w:rPr>
      <w:t>23 July 2020</w:t>
    </w:r>
    <w:r w:rsidRPr="000E4643">
      <w:rPr>
        <w:sz w:val="22"/>
        <w:szCs w:val="22"/>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4FB" w:rsidRPr="001B5139" w:rsidRDefault="009124FB" w:rsidP="00206689">
    <w:pPr>
      <w:pStyle w:val="Header"/>
      <w:tabs>
        <w:tab w:val="clear" w:pos="4153"/>
        <w:tab w:val="clear" w:pos="8306"/>
        <w:tab w:val="center" w:pos="4680"/>
        <w:tab w:val="right" w:pos="9086"/>
      </w:tabs>
      <w:ind w:right="-36"/>
      <w:jc w:val="center"/>
      <w:rPr>
        <w:sz w:val="22"/>
        <w:szCs w:val="22"/>
      </w:rPr>
    </w:pPr>
    <w:r w:rsidRPr="001B5139">
      <w:rPr>
        <w:sz w:val="22"/>
        <w:szCs w:val="22"/>
      </w:rPr>
      <w:ptab w:relativeTo="margin" w:alignment="center" w:leader="none"/>
    </w:r>
    <w:r w:rsidRPr="001B5139">
      <w:rPr>
        <w:i/>
        <w:sz w:val="22"/>
        <w:szCs w:val="22"/>
      </w:rPr>
      <w:t xml:space="preserve">No </w:t>
    </w:r>
    <w:r>
      <w:rPr>
        <w:i/>
        <w:sz w:val="22"/>
        <w:szCs w:val="22"/>
      </w:rPr>
      <w:t>135</w:t>
    </w:r>
    <w:r w:rsidRPr="001B5139">
      <w:rPr>
        <w:rFonts w:ascii="Arial" w:hAnsi="Arial" w:cs="Arial"/>
        <w:i/>
        <w:color w:val="222222"/>
        <w:sz w:val="22"/>
        <w:szCs w:val="22"/>
        <w:shd w:val="clear" w:color="auto" w:fill="FFFFFF"/>
      </w:rPr>
      <w:t>—</w:t>
    </w:r>
    <w:r>
      <w:rPr>
        <w:i/>
        <w:sz w:val="22"/>
        <w:szCs w:val="22"/>
      </w:rPr>
      <w:t>23 July 2020</w:t>
    </w:r>
    <w:r w:rsidRPr="001B5139">
      <w:rPr>
        <w:sz w:val="22"/>
        <w:szCs w:val="22"/>
      </w:rPr>
      <w:ptab w:relativeTo="margin" w:alignment="right" w:leader="none"/>
    </w:r>
    <w:r w:rsidRPr="001B5139">
      <w:rPr>
        <w:sz w:val="22"/>
        <w:szCs w:val="22"/>
      </w:rPr>
      <w:fldChar w:fldCharType="begin"/>
    </w:r>
    <w:r w:rsidRPr="001B5139">
      <w:rPr>
        <w:sz w:val="22"/>
        <w:szCs w:val="22"/>
      </w:rPr>
      <w:instrText xml:space="preserve"> PAGE   \* MERGEFORMAT </w:instrText>
    </w:r>
    <w:r w:rsidRPr="001B5139">
      <w:rPr>
        <w:sz w:val="22"/>
        <w:szCs w:val="22"/>
      </w:rPr>
      <w:fldChar w:fldCharType="separate"/>
    </w:r>
    <w:r w:rsidR="003D6726">
      <w:rPr>
        <w:noProof/>
        <w:sz w:val="22"/>
        <w:szCs w:val="22"/>
      </w:rPr>
      <w:t>2059</w:t>
    </w:r>
    <w:r w:rsidRPr="001B5139">
      <w:rPr>
        <w:noProof/>
        <w:sz w:val="22"/>
        <w:szCs w:val="22"/>
      </w:rPr>
      <w:fldChar w:fldCharType="end"/>
    </w:r>
  </w:p>
  <w:p w:rsidR="009124FB" w:rsidRPr="0075625A" w:rsidRDefault="009124FB" w:rsidP="007562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040202659"/>
      <w:docPartObj>
        <w:docPartGallery w:val="Page Numbers (Top of Page)"/>
        <w:docPartUnique/>
      </w:docPartObj>
    </w:sdtPr>
    <w:sdtEndPr>
      <w:rPr>
        <w:noProof/>
      </w:rPr>
    </w:sdtEndPr>
    <w:sdtContent>
      <w:p w:rsidR="009124FB" w:rsidRPr="000E4643" w:rsidRDefault="009124FB" w:rsidP="00117D25">
        <w:pPr>
          <w:pStyle w:val="Header"/>
          <w:tabs>
            <w:tab w:val="clear" w:pos="8306"/>
            <w:tab w:val="right" w:pos="9086"/>
          </w:tabs>
          <w:jc w:val="right"/>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3D6726">
          <w:rPr>
            <w:noProof/>
            <w:sz w:val="22"/>
            <w:szCs w:val="22"/>
          </w:rPr>
          <w:t>2039</w:t>
        </w:r>
        <w:r w:rsidRPr="000E4643">
          <w:rPr>
            <w:noProof/>
            <w:sz w:val="22"/>
            <w:szCs w:val="22"/>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4FB" w:rsidRPr="001B5139" w:rsidRDefault="009124FB" w:rsidP="00206689">
    <w:pPr>
      <w:pStyle w:val="Header"/>
      <w:tabs>
        <w:tab w:val="clear" w:pos="4153"/>
        <w:tab w:val="clear" w:pos="8306"/>
        <w:tab w:val="center" w:pos="4680"/>
        <w:tab w:val="right" w:pos="9086"/>
      </w:tabs>
      <w:ind w:right="-1346"/>
      <w:jc w:val="center"/>
      <w:rPr>
        <w:sz w:val="22"/>
        <w:szCs w:val="22"/>
      </w:rPr>
    </w:pPr>
    <w:r>
      <w:rPr>
        <w:sz w:val="22"/>
        <w:szCs w:val="22"/>
      </w:rPr>
      <w:tab/>
    </w:r>
    <w:r w:rsidRPr="001B5139">
      <w:rPr>
        <w:i/>
        <w:sz w:val="22"/>
        <w:szCs w:val="22"/>
      </w:rPr>
      <w:t xml:space="preserve">No </w:t>
    </w:r>
    <w:r>
      <w:rPr>
        <w:i/>
        <w:sz w:val="22"/>
        <w:szCs w:val="22"/>
      </w:rPr>
      <w:t>135</w:t>
    </w:r>
    <w:r w:rsidRPr="001B5139">
      <w:rPr>
        <w:rFonts w:ascii="Arial" w:hAnsi="Arial" w:cs="Arial"/>
        <w:i/>
        <w:color w:val="222222"/>
        <w:sz w:val="22"/>
        <w:szCs w:val="22"/>
        <w:shd w:val="clear" w:color="auto" w:fill="FFFFFF"/>
      </w:rPr>
      <w:t>—</w:t>
    </w:r>
    <w:r>
      <w:rPr>
        <w:i/>
        <w:sz w:val="22"/>
        <w:szCs w:val="22"/>
      </w:rPr>
      <w:t>23 July 2020</w:t>
    </w:r>
    <w:r>
      <w:rPr>
        <w:sz w:val="22"/>
        <w:szCs w:val="22"/>
      </w:rPr>
      <w:tab/>
    </w:r>
    <w:r w:rsidRPr="001B5139">
      <w:rPr>
        <w:sz w:val="22"/>
        <w:szCs w:val="22"/>
      </w:rPr>
      <w:fldChar w:fldCharType="begin"/>
    </w:r>
    <w:r w:rsidRPr="001B5139">
      <w:rPr>
        <w:sz w:val="22"/>
        <w:szCs w:val="22"/>
      </w:rPr>
      <w:instrText xml:space="preserve"> PAGE   \* MERGEFORMAT </w:instrText>
    </w:r>
    <w:r w:rsidRPr="001B5139">
      <w:rPr>
        <w:sz w:val="22"/>
        <w:szCs w:val="22"/>
      </w:rPr>
      <w:fldChar w:fldCharType="separate"/>
    </w:r>
    <w:r w:rsidR="00441859">
      <w:rPr>
        <w:noProof/>
        <w:sz w:val="22"/>
        <w:szCs w:val="22"/>
      </w:rPr>
      <w:t>2065</w:t>
    </w:r>
    <w:r w:rsidRPr="001B5139">
      <w:rPr>
        <w:noProof/>
        <w:sz w:val="22"/>
        <w:szCs w:val="22"/>
      </w:rPr>
      <w:fldChar w:fldCharType="end"/>
    </w:r>
  </w:p>
  <w:p w:rsidR="009124FB" w:rsidRPr="0075625A" w:rsidRDefault="009124FB" w:rsidP="00756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49DE"/>
    <w:multiLevelType w:val="hybridMultilevel"/>
    <w:tmpl w:val="6614972C"/>
    <w:lvl w:ilvl="0" w:tplc="00FAAD9A">
      <w:start w:val="1"/>
      <w:numFmt w:val="decimal"/>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 w15:restartNumberingAfterBreak="0">
    <w:nsid w:val="1A590EA6"/>
    <w:multiLevelType w:val="multilevel"/>
    <w:tmpl w:val="BEFA344E"/>
    <w:lvl w:ilvl="0">
      <w:start w:val="1"/>
      <w:numFmt w:val="decimal"/>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2" w15:restartNumberingAfterBreak="0">
    <w:nsid w:val="5D6D6B3B"/>
    <w:multiLevelType w:val="hybridMultilevel"/>
    <w:tmpl w:val="F94097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 w15:restartNumberingAfterBreak="0">
    <w:nsid w:val="7D6F4CEA"/>
    <w:multiLevelType w:val="multilevel"/>
    <w:tmpl w:val="140A4816"/>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7E3E5213"/>
    <w:multiLevelType w:val="hybridMultilevel"/>
    <w:tmpl w:val="8E7EE500"/>
    <w:lvl w:ilvl="0" w:tplc="6B62FAC2">
      <w:start w:val="1"/>
      <w:numFmt w:val="lowerLetter"/>
      <w:lvlText w:val="(%1)"/>
      <w:lvlJc w:val="left"/>
      <w:pPr>
        <w:ind w:left="2061" w:hanging="36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6" w15:restartNumberingAfterBreak="0">
    <w:nsid w:val="7FE9684D"/>
    <w:multiLevelType w:val="multilevel"/>
    <w:tmpl w:val="9842B4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pStyle w:val="aDef"/>
      <w:suff w:val="nothing"/>
      <w:lvlText w:val=""/>
      <w:lvlJc w:val="left"/>
      <w:pPr>
        <w:ind w:left="1100" w:firstLine="0"/>
      </w:pPr>
    </w:lvl>
    <w:lvl w:ilvl="6">
      <w:start w:val="1"/>
      <w:numFmt w:val="lowerLetter"/>
      <w:pStyle w:val="aDefpara"/>
      <w:lvlText w:val="(%7)"/>
      <w:lvlJc w:val="right"/>
      <w:pPr>
        <w:tabs>
          <w:tab w:val="num" w:pos="1600"/>
        </w:tabs>
        <w:ind w:left="1600" w:hanging="200"/>
      </w:pPr>
      <w:rPr>
        <w:b w:val="0"/>
        <w:i w:val="0"/>
        <w:strike w:val="0"/>
        <w:dstrike w:val="0"/>
        <w:vertAlign w:val="baseline"/>
      </w:rPr>
    </w:lvl>
    <w:lvl w:ilvl="7">
      <w:start w:val="1"/>
      <w:numFmt w:val="lowerRoman"/>
      <w:pStyle w:val="aDefsubpara"/>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1"/>
  </w:num>
  <w:num w:numId="2">
    <w:abstractNumId w:val="0"/>
  </w:num>
  <w:num w:numId="3">
    <w:abstractNumId w:val="4"/>
  </w:num>
  <w:num w:numId="4">
    <w:abstractNumId w:val="3"/>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FBA"/>
    <w:rsid w:val="00000176"/>
    <w:rsid w:val="0001593D"/>
    <w:rsid w:val="00023387"/>
    <w:rsid w:val="000262D1"/>
    <w:rsid w:val="000411B4"/>
    <w:rsid w:val="000453A9"/>
    <w:rsid w:val="00056B48"/>
    <w:rsid w:val="00060608"/>
    <w:rsid w:val="00063ABA"/>
    <w:rsid w:val="00074849"/>
    <w:rsid w:val="0008781F"/>
    <w:rsid w:val="000A3EDE"/>
    <w:rsid w:val="000A48D1"/>
    <w:rsid w:val="000A5BA3"/>
    <w:rsid w:val="000B73CB"/>
    <w:rsid w:val="000C40FA"/>
    <w:rsid w:val="000E4643"/>
    <w:rsid w:val="000F3D35"/>
    <w:rsid w:val="00117D25"/>
    <w:rsid w:val="001256A0"/>
    <w:rsid w:val="00130150"/>
    <w:rsid w:val="00130276"/>
    <w:rsid w:val="0013446A"/>
    <w:rsid w:val="001453D9"/>
    <w:rsid w:val="00146295"/>
    <w:rsid w:val="00175CB1"/>
    <w:rsid w:val="001804DC"/>
    <w:rsid w:val="00181EE9"/>
    <w:rsid w:val="001826BD"/>
    <w:rsid w:val="00196DEE"/>
    <w:rsid w:val="001976FC"/>
    <w:rsid w:val="001B36A1"/>
    <w:rsid w:val="001B5139"/>
    <w:rsid w:val="001D4BA2"/>
    <w:rsid w:val="00206689"/>
    <w:rsid w:val="00216B15"/>
    <w:rsid w:val="00236AE3"/>
    <w:rsid w:val="00242277"/>
    <w:rsid w:val="00251162"/>
    <w:rsid w:val="00255198"/>
    <w:rsid w:val="0026357F"/>
    <w:rsid w:val="00271E6D"/>
    <w:rsid w:val="00277DA7"/>
    <w:rsid w:val="00294401"/>
    <w:rsid w:val="002971A7"/>
    <w:rsid w:val="002B665B"/>
    <w:rsid w:val="002D3AF6"/>
    <w:rsid w:val="002F5566"/>
    <w:rsid w:val="00304407"/>
    <w:rsid w:val="0031373E"/>
    <w:rsid w:val="00325C2A"/>
    <w:rsid w:val="00352FBA"/>
    <w:rsid w:val="00370D65"/>
    <w:rsid w:val="0037199B"/>
    <w:rsid w:val="00372447"/>
    <w:rsid w:val="00374414"/>
    <w:rsid w:val="00376E6C"/>
    <w:rsid w:val="00377F30"/>
    <w:rsid w:val="003A261E"/>
    <w:rsid w:val="003B560A"/>
    <w:rsid w:val="003D12D4"/>
    <w:rsid w:val="003D6726"/>
    <w:rsid w:val="003E6AB6"/>
    <w:rsid w:val="00400058"/>
    <w:rsid w:val="004037F1"/>
    <w:rsid w:val="004150AE"/>
    <w:rsid w:val="00432F9E"/>
    <w:rsid w:val="004344A4"/>
    <w:rsid w:val="004351FE"/>
    <w:rsid w:val="004353FA"/>
    <w:rsid w:val="00436498"/>
    <w:rsid w:val="00441859"/>
    <w:rsid w:val="004419C3"/>
    <w:rsid w:val="00447FD7"/>
    <w:rsid w:val="004574FF"/>
    <w:rsid w:val="00475BDA"/>
    <w:rsid w:val="00476347"/>
    <w:rsid w:val="00480283"/>
    <w:rsid w:val="00496C80"/>
    <w:rsid w:val="004A2D71"/>
    <w:rsid w:val="004A6CFB"/>
    <w:rsid w:val="004C3467"/>
    <w:rsid w:val="004D4B80"/>
    <w:rsid w:val="004F1D14"/>
    <w:rsid w:val="00500E30"/>
    <w:rsid w:val="005023DD"/>
    <w:rsid w:val="00525EF7"/>
    <w:rsid w:val="0053064A"/>
    <w:rsid w:val="00535528"/>
    <w:rsid w:val="00542739"/>
    <w:rsid w:val="00550133"/>
    <w:rsid w:val="005A3E01"/>
    <w:rsid w:val="005B63E9"/>
    <w:rsid w:val="005C029A"/>
    <w:rsid w:val="0060380C"/>
    <w:rsid w:val="00616F72"/>
    <w:rsid w:val="0061777D"/>
    <w:rsid w:val="00622D21"/>
    <w:rsid w:val="00634E3E"/>
    <w:rsid w:val="00637091"/>
    <w:rsid w:val="006462DD"/>
    <w:rsid w:val="006628C0"/>
    <w:rsid w:val="00681C27"/>
    <w:rsid w:val="00696103"/>
    <w:rsid w:val="006A5CA7"/>
    <w:rsid w:val="006D0D92"/>
    <w:rsid w:val="006D7183"/>
    <w:rsid w:val="006F6540"/>
    <w:rsid w:val="007332DF"/>
    <w:rsid w:val="00737CCB"/>
    <w:rsid w:val="0075625A"/>
    <w:rsid w:val="00761054"/>
    <w:rsid w:val="007758A8"/>
    <w:rsid w:val="00780D24"/>
    <w:rsid w:val="00791935"/>
    <w:rsid w:val="0081083C"/>
    <w:rsid w:val="00826A1D"/>
    <w:rsid w:val="00853DE7"/>
    <w:rsid w:val="00863362"/>
    <w:rsid w:val="00897C7D"/>
    <w:rsid w:val="008C4E2B"/>
    <w:rsid w:val="008D7610"/>
    <w:rsid w:val="009005DE"/>
    <w:rsid w:val="009124FB"/>
    <w:rsid w:val="00913563"/>
    <w:rsid w:val="009142CA"/>
    <w:rsid w:val="009148F3"/>
    <w:rsid w:val="0091670C"/>
    <w:rsid w:val="009357FA"/>
    <w:rsid w:val="0093656A"/>
    <w:rsid w:val="009451CC"/>
    <w:rsid w:val="00947600"/>
    <w:rsid w:val="009527F1"/>
    <w:rsid w:val="00962890"/>
    <w:rsid w:val="00976C85"/>
    <w:rsid w:val="009915FA"/>
    <w:rsid w:val="00996498"/>
    <w:rsid w:val="009A2C24"/>
    <w:rsid w:val="009A4AED"/>
    <w:rsid w:val="009A7E16"/>
    <w:rsid w:val="009C1E7D"/>
    <w:rsid w:val="009C604C"/>
    <w:rsid w:val="009D0666"/>
    <w:rsid w:val="009E3DB5"/>
    <w:rsid w:val="00A22833"/>
    <w:rsid w:val="00A273E2"/>
    <w:rsid w:val="00A57F4E"/>
    <w:rsid w:val="00AC2277"/>
    <w:rsid w:val="00AC7116"/>
    <w:rsid w:val="00AD0621"/>
    <w:rsid w:val="00AD1B3B"/>
    <w:rsid w:val="00AF3C23"/>
    <w:rsid w:val="00AF7AE6"/>
    <w:rsid w:val="00B03565"/>
    <w:rsid w:val="00B20B7F"/>
    <w:rsid w:val="00B25972"/>
    <w:rsid w:val="00B766B9"/>
    <w:rsid w:val="00BA5576"/>
    <w:rsid w:val="00BA7223"/>
    <w:rsid w:val="00BB2951"/>
    <w:rsid w:val="00BB5730"/>
    <w:rsid w:val="00BE1FEE"/>
    <w:rsid w:val="00BE3AC7"/>
    <w:rsid w:val="00BE62CB"/>
    <w:rsid w:val="00BF1AEA"/>
    <w:rsid w:val="00C173D3"/>
    <w:rsid w:val="00C2454B"/>
    <w:rsid w:val="00C278DC"/>
    <w:rsid w:val="00C4172D"/>
    <w:rsid w:val="00C4505A"/>
    <w:rsid w:val="00C82BD9"/>
    <w:rsid w:val="00CB3F75"/>
    <w:rsid w:val="00CD3017"/>
    <w:rsid w:val="00CD57ED"/>
    <w:rsid w:val="00D13B97"/>
    <w:rsid w:val="00D20154"/>
    <w:rsid w:val="00D25ECB"/>
    <w:rsid w:val="00D37BF2"/>
    <w:rsid w:val="00D55D4F"/>
    <w:rsid w:val="00D67D8C"/>
    <w:rsid w:val="00D74B53"/>
    <w:rsid w:val="00D7660C"/>
    <w:rsid w:val="00DC6821"/>
    <w:rsid w:val="00DF72B6"/>
    <w:rsid w:val="00E50CFA"/>
    <w:rsid w:val="00E52FC3"/>
    <w:rsid w:val="00EC0D13"/>
    <w:rsid w:val="00ED1E95"/>
    <w:rsid w:val="00ED50E8"/>
    <w:rsid w:val="00EF3354"/>
    <w:rsid w:val="00F019FD"/>
    <w:rsid w:val="00F06B48"/>
    <w:rsid w:val="00F23118"/>
    <w:rsid w:val="00F62370"/>
    <w:rsid w:val="00F65266"/>
    <w:rsid w:val="00F77E66"/>
    <w:rsid w:val="00F85F03"/>
    <w:rsid w:val="00F91AF4"/>
    <w:rsid w:val="00F920A5"/>
    <w:rsid w:val="00FC0664"/>
    <w:rsid w:val="00FD0316"/>
    <w:rsid w:val="00FD55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51201"/>
    <o:shapelayout v:ext="edit">
      <o:idmap v:ext="edit" data="1"/>
    </o:shapelayout>
  </w:shapeDefaults>
  <w:decimalSymbol w:val="."/>
  <w:listSeparator w:val=","/>
  <w15:chartTrackingRefBased/>
  <w15:docId w15:val="{38E3D60D-E892-413D-A963-8897DBB27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A9"/>
    <w:pPr>
      <w:spacing w:after="0" w:line="240" w:lineRule="auto"/>
    </w:pPr>
    <w:rPr>
      <w:rFonts w:eastAsia="Times New Roman" w:cs="Times New Roman"/>
      <w:sz w:val="24"/>
      <w:szCs w:val="20"/>
      <w:lang w:val="en-US"/>
    </w:rPr>
  </w:style>
  <w:style w:type="paragraph" w:styleId="Heading2">
    <w:name w:val="heading 2"/>
    <w:basedOn w:val="Normal"/>
    <w:next w:val="Normal"/>
    <w:link w:val="Heading2Char"/>
    <w:qFormat/>
    <w:rsid w:val="000F3D35"/>
    <w:pPr>
      <w:keepNext/>
      <w:spacing w:before="240" w:after="6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D35"/>
    <w:rPr>
      <w:rFonts w:ascii="Tahoma" w:hAnsi="Tahoma" w:cs="Tahoma"/>
      <w:sz w:val="16"/>
      <w:szCs w:val="16"/>
    </w:rPr>
  </w:style>
  <w:style w:type="character" w:customStyle="1" w:styleId="BalloonTextChar">
    <w:name w:val="Balloon Text Char"/>
    <w:basedOn w:val="DefaultParagraphFont"/>
    <w:link w:val="BalloonText"/>
    <w:rsid w:val="000F3D35"/>
    <w:rPr>
      <w:rFonts w:ascii="Tahoma" w:eastAsia="Times New Roman" w:hAnsi="Tahoma" w:cs="Tahoma"/>
      <w:sz w:val="16"/>
      <w:szCs w:val="16"/>
      <w:lang w:val="en-US"/>
    </w:rPr>
  </w:style>
  <w:style w:type="paragraph" w:customStyle="1" w:styleId="DIVAyes">
    <w:name w:val="DIVAyes"/>
    <w:basedOn w:val="Normal"/>
    <w:rsid w:val="00F77E66"/>
    <w:pPr>
      <w:keepNext/>
      <w:tabs>
        <w:tab w:val="center" w:pos="2041"/>
        <w:tab w:val="center" w:pos="6747"/>
      </w:tabs>
      <w:spacing w:before="120" w:after="120"/>
    </w:pPr>
    <w:rPr>
      <w:rFonts w:ascii="Times New Roman" w:hAnsi="Times New Roman"/>
    </w:rPr>
  </w:style>
  <w:style w:type="paragraph" w:customStyle="1" w:styleId="DIVIntro">
    <w:name w:val="DIVIntro"/>
    <w:basedOn w:val="Normal"/>
    <w:autoRedefine/>
    <w:rsid w:val="00F77E66"/>
    <w:pPr>
      <w:spacing w:before="120"/>
      <w:ind w:left="720"/>
    </w:pPr>
    <w:rPr>
      <w:rFonts w:ascii="Calibri" w:hAnsi="Calibri"/>
    </w:rPr>
  </w:style>
  <w:style w:type="paragraph" w:customStyle="1" w:styleId="DIVIntroA">
    <w:name w:val="DIVIntroA"/>
    <w:basedOn w:val="DIVIntro"/>
    <w:autoRedefine/>
    <w:rsid w:val="00F77E66"/>
    <w:pPr>
      <w:spacing w:after="120"/>
    </w:pPr>
  </w:style>
  <w:style w:type="paragraph" w:customStyle="1" w:styleId="DIVName">
    <w:name w:val="DIVName"/>
    <w:basedOn w:val="Normal"/>
    <w:autoRedefine/>
    <w:rsid w:val="00F77E66"/>
    <w:rPr>
      <w:rFonts w:ascii="Calibri" w:hAnsi="Calibri"/>
    </w:rPr>
  </w:style>
  <w:style w:type="paragraph" w:customStyle="1" w:styleId="DIVNoes">
    <w:name w:val="DIVNoes"/>
    <w:basedOn w:val="Normal"/>
    <w:rsid w:val="00F77E66"/>
    <w:pPr>
      <w:keepNext/>
      <w:spacing w:before="240" w:after="120"/>
      <w:ind w:left="425"/>
      <w:jc w:val="center"/>
    </w:pPr>
    <w:rPr>
      <w:rFonts w:ascii="Times New Roman" w:hAnsi="Times New Roman"/>
      <w:sz w:val="18"/>
    </w:rPr>
  </w:style>
  <w:style w:type="paragraph" w:customStyle="1" w:styleId="DIVResult">
    <w:name w:val="DIVResult"/>
    <w:basedOn w:val="Normal"/>
    <w:autoRedefine/>
    <w:rsid w:val="00F77E66"/>
    <w:pPr>
      <w:spacing w:before="120"/>
      <w:ind w:left="720"/>
    </w:pPr>
    <w:rPr>
      <w:rFonts w:ascii="Calibri" w:hAnsi="Calibri"/>
    </w:rPr>
  </w:style>
  <w:style w:type="paragraph" w:customStyle="1" w:styleId="DIVSection">
    <w:name w:val="DIVSection"/>
    <w:basedOn w:val="Normal"/>
    <w:rsid w:val="00F77E66"/>
    <w:pPr>
      <w:ind w:left="425"/>
    </w:pPr>
    <w:rPr>
      <w:rFonts w:ascii="Times New Roman" w:hAnsi="Times New Roman"/>
      <w:sz w:val="21"/>
      <w:lang w:val="en-AU"/>
    </w:rPr>
  </w:style>
  <w:style w:type="paragraph" w:customStyle="1" w:styleId="DIVTellers">
    <w:name w:val="DIVTellers"/>
    <w:basedOn w:val="Normal"/>
    <w:rsid w:val="00F77E66"/>
    <w:pPr>
      <w:spacing w:before="120" w:after="120"/>
      <w:ind w:left="425"/>
      <w:jc w:val="center"/>
    </w:pPr>
    <w:rPr>
      <w:rFonts w:ascii="Times New Roman" w:hAnsi="Times New Roman"/>
      <w:sz w:val="18"/>
    </w:rPr>
  </w:style>
  <w:style w:type="paragraph" w:customStyle="1" w:styleId="DPSAttendance">
    <w:name w:val="DPSAttendance"/>
    <w:rsid w:val="00F77E66"/>
    <w:pPr>
      <w:spacing w:before="180" w:after="0" w:line="240" w:lineRule="auto"/>
      <w:jc w:val="both"/>
    </w:pPr>
    <w:rPr>
      <w:rFonts w:ascii="Times New Roman" w:eastAsia="Times New Roman" w:hAnsi="Times New Roman" w:cs="Times New Roman"/>
      <w:sz w:val="24"/>
      <w:szCs w:val="20"/>
    </w:rPr>
  </w:style>
  <w:style w:type="paragraph" w:customStyle="1" w:styleId="DPSAttendanceHeading">
    <w:name w:val="DPSAttendanceHeading"/>
    <w:rsid w:val="00F77E66"/>
    <w:pPr>
      <w:spacing w:before="180" w:after="0" w:line="240" w:lineRule="auto"/>
      <w:ind w:left="346"/>
      <w:jc w:val="both"/>
    </w:pPr>
    <w:rPr>
      <w:rFonts w:ascii="Times New Roman" w:eastAsia="Times New Roman" w:hAnsi="Times New Roman" w:cs="Times New Roman"/>
      <w:b/>
      <w:sz w:val="24"/>
      <w:szCs w:val="20"/>
    </w:rPr>
  </w:style>
  <w:style w:type="paragraph" w:customStyle="1" w:styleId="DPSAttendanceNote">
    <w:name w:val="DPSAttendanceNote"/>
    <w:rsid w:val="00F77E66"/>
    <w:pPr>
      <w:spacing w:before="60" w:after="0" w:line="240" w:lineRule="auto"/>
      <w:jc w:val="center"/>
    </w:pPr>
    <w:rPr>
      <w:rFonts w:ascii="Times New Roman" w:eastAsia="Times New Roman" w:hAnsi="Times New Roman" w:cs="Times New Roman"/>
      <w:sz w:val="18"/>
      <w:szCs w:val="20"/>
    </w:rPr>
  </w:style>
  <w:style w:type="paragraph" w:customStyle="1" w:styleId="DPSEntrySubHeading">
    <w:name w:val="DPSEntrySubHeading"/>
    <w:rsid w:val="00F77E66"/>
    <w:pPr>
      <w:keepNext/>
      <w:keepLines/>
      <w:spacing w:before="60" w:after="0" w:line="240" w:lineRule="auto"/>
      <w:jc w:val="center"/>
    </w:pPr>
    <w:rPr>
      <w:rFonts w:ascii="Times New Roman" w:eastAsia="Times New Roman" w:hAnsi="Times New Roman" w:cs="Times New Roman"/>
      <w:sz w:val="21"/>
      <w:szCs w:val="20"/>
    </w:rPr>
  </w:style>
  <w:style w:type="paragraph" w:customStyle="1" w:styleId="DPSCONNOTICEHEAD">
    <w:name w:val="DPSCONNOTICEHEAD"/>
    <w:basedOn w:val="DPSEntrySubHeading"/>
    <w:autoRedefine/>
    <w:rsid w:val="00F77E66"/>
    <w:pPr>
      <w:spacing w:before="120"/>
      <w:ind w:left="720"/>
    </w:pPr>
    <w:rPr>
      <w:rFonts w:ascii="Times New (W1)" w:hAnsi="Times New (W1)"/>
      <w:b/>
      <w:caps/>
      <w:spacing w:val="-4"/>
      <w:sz w:val="24"/>
    </w:rPr>
  </w:style>
  <w:style w:type="paragraph" w:customStyle="1" w:styleId="DPSDraftSectionBreak">
    <w:name w:val="DPSDraftSectionBreak"/>
    <w:basedOn w:val="Normal"/>
    <w:rsid w:val="00F77E66"/>
    <w:rPr>
      <w:rFonts w:ascii="Times New Roman" w:hAnsi="Times New Roman"/>
    </w:rPr>
  </w:style>
  <w:style w:type="paragraph" w:customStyle="1" w:styleId="DPSEntryDetail">
    <w:name w:val="DPSEntryDetail"/>
    <w:link w:val="DPSEntryDetailChar"/>
    <w:rsid w:val="00F77E66"/>
    <w:pPr>
      <w:tabs>
        <w:tab w:val="left" w:pos="1197"/>
        <w:tab w:val="left" w:pos="1767"/>
      </w:tabs>
      <w:spacing w:before="120" w:after="0" w:line="240" w:lineRule="auto"/>
      <w:ind w:left="720"/>
      <w:jc w:val="both"/>
    </w:pPr>
    <w:rPr>
      <w:rFonts w:ascii="Calibri" w:eastAsia="Times New Roman" w:hAnsi="Calibri" w:cs="Times New Roman"/>
      <w:sz w:val="24"/>
      <w:szCs w:val="20"/>
    </w:rPr>
  </w:style>
  <w:style w:type="paragraph" w:customStyle="1" w:styleId="DPSEntryDetailIndentLev1">
    <w:name w:val="DPSEntryDetailIndentLev1"/>
    <w:link w:val="DPSEntryDetailIndentLev1Char"/>
    <w:autoRedefine/>
    <w:rsid w:val="009124FB"/>
    <w:pPr>
      <w:spacing w:before="120" w:after="0" w:line="240" w:lineRule="auto"/>
      <w:ind w:left="864"/>
      <w:jc w:val="both"/>
    </w:pPr>
    <w:rPr>
      <w:rFonts w:ascii="Calibri" w:eastAsia="Times New Roman" w:hAnsi="Calibri" w:cs="Times New Roman"/>
      <w:sz w:val="24"/>
      <w:szCs w:val="20"/>
    </w:rPr>
  </w:style>
  <w:style w:type="paragraph" w:customStyle="1" w:styleId="DPSEntryDetailIndentLev2">
    <w:name w:val="DPSEntryDetailIndentLev2"/>
    <w:autoRedefine/>
    <w:rsid w:val="00F77E66"/>
    <w:pPr>
      <w:spacing w:before="120" w:after="0" w:line="240" w:lineRule="auto"/>
      <w:ind w:left="1008"/>
      <w:jc w:val="both"/>
    </w:pPr>
    <w:rPr>
      <w:rFonts w:ascii="Calibri" w:eastAsia="Times New Roman" w:hAnsi="Calibri" w:cs="Times New Roman"/>
      <w:sz w:val="24"/>
      <w:szCs w:val="20"/>
    </w:rPr>
  </w:style>
  <w:style w:type="paragraph" w:customStyle="1" w:styleId="DPSEntryDetailIndentLev3">
    <w:name w:val="DPSEntryDetailIndentLev3"/>
    <w:autoRedefine/>
    <w:rsid w:val="00F77E66"/>
    <w:pPr>
      <w:keepLines/>
      <w:tabs>
        <w:tab w:val="right" w:pos="339"/>
        <w:tab w:val="left" w:pos="428"/>
        <w:tab w:val="left" w:pos="7173"/>
      </w:tabs>
      <w:spacing w:before="120" w:after="0" w:line="240" w:lineRule="auto"/>
      <w:ind w:left="1152"/>
      <w:jc w:val="both"/>
    </w:pPr>
    <w:rPr>
      <w:rFonts w:ascii="Calibri" w:eastAsia="Times New Roman" w:hAnsi="Calibri" w:cs="Times New Roman"/>
      <w:sz w:val="24"/>
      <w:szCs w:val="20"/>
    </w:rPr>
  </w:style>
  <w:style w:type="paragraph" w:customStyle="1" w:styleId="DPSEntryDetailIndentLev4">
    <w:name w:val="DPSEntryDetailIndentLev4"/>
    <w:basedOn w:val="DPSEntryDetailIndentLev3"/>
    <w:autoRedefine/>
    <w:rsid w:val="00F77E66"/>
    <w:pPr>
      <w:ind w:left="1296"/>
    </w:pPr>
  </w:style>
  <w:style w:type="paragraph" w:customStyle="1" w:styleId="DPSEntryHeading">
    <w:name w:val="DPSEntryHeading"/>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b/>
      <w:caps/>
      <w:sz w:val="24"/>
      <w:szCs w:val="20"/>
      <w:lang w:val="en-US"/>
    </w:rPr>
  </w:style>
  <w:style w:type="paragraph" w:customStyle="1" w:styleId="DPSEntryIndents">
    <w:name w:val="DPSEntryIndents"/>
    <w:basedOn w:val="DPSEntryDetail"/>
    <w:rsid w:val="00F77E66"/>
    <w:pPr>
      <w:numPr>
        <w:numId w:val="3"/>
      </w:numPr>
      <w:tabs>
        <w:tab w:val="clear" w:pos="1197"/>
        <w:tab w:val="clear" w:pos="1767"/>
      </w:tabs>
    </w:pPr>
  </w:style>
  <w:style w:type="paragraph" w:customStyle="1" w:styleId="DPSEntryPrayer">
    <w:name w:val="DPSEntryPrayer"/>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sz w:val="24"/>
      <w:szCs w:val="20"/>
    </w:rPr>
  </w:style>
  <w:style w:type="paragraph" w:customStyle="1" w:styleId="DPSHeaderUnbolded">
    <w:name w:val="DPSHeaderUnbolded"/>
    <w:basedOn w:val="DPSEntryDetail"/>
    <w:autoRedefine/>
    <w:rsid w:val="00F77E66"/>
    <w:pPr>
      <w:ind w:left="0"/>
    </w:pPr>
  </w:style>
  <w:style w:type="paragraph" w:customStyle="1" w:styleId="DPSHouseMetEntry">
    <w:name w:val="DPSHouseMetEntry"/>
    <w:rsid w:val="00F77E66"/>
    <w:pPr>
      <w:keepNext/>
      <w:keepLines/>
      <w:tabs>
        <w:tab w:val="right" w:pos="339"/>
        <w:tab w:val="left" w:pos="428"/>
      </w:tabs>
      <w:spacing w:before="180" w:after="0" w:line="240" w:lineRule="auto"/>
      <w:ind w:left="425" w:hanging="425"/>
      <w:jc w:val="both"/>
    </w:pPr>
    <w:rPr>
      <w:rFonts w:ascii="Times New Roman" w:eastAsia="Times New Roman" w:hAnsi="Times New Roman" w:cs="Times New Roman"/>
      <w:sz w:val="21"/>
      <w:szCs w:val="20"/>
    </w:rPr>
  </w:style>
  <w:style w:type="paragraph" w:customStyle="1" w:styleId="DPSMainHeadingDate">
    <w:name w:val="DPSMainHeadingDate"/>
    <w:autoRedefine/>
    <w:rsid w:val="00F77E66"/>
    <w:pPr>
      <w:keepNext/>
      <w:keepLines/>
      <w:spacing w:before="200" w:after="0" w:line="240" w:lineRule="auto"/>
      <w:jc w:val="center"/>
    </w:pPr>
    <w:rPr>
      <w:rFonts w:ascii="Calibri" w:eastAsia="Times New Roman" w:hAnsi="Calibri" w:cs="Times New Roman"/>
      <w:sz w:val="28"/>
      <w:szCs w:val="20"/>
    </w:rPr>
  </w:style>
  <w:style w:type="paragraph" w:customStyle="1" w:styleId="DPSMainHeadingDoc">
    <w:name w:val="DPSMainHeadingDoc"/>
    <w:autoRedefine/>
    <w:rsid w:val="00F77E66"/>
    <w:pPr>
      <w:keepNext/>
      <w:keepLines/>
      <w:spacing w:before="360" w:after="0" w:line="240" w:lineRule="auto"/>
      <w:jc w:val="center"/>
    </w:pPr>
    <w:rPr>
      <w:rFonts w:ascii="Calibri" w:eastAsia="Times New Roman" w:hAnsi="Calibri" w:cs="Times New Roman"/>
      <w:b/>
      <w:sz w:val="40"/>
      <w:szCs w:val="40"/>
    </w:rPr>
  </w:style>
  <w:style w:type="paragraph" w:customStyle="1" w:styleId="DPSMainHeadingHouse">
    <w:name w:val="DPSMainHeadingHouse"/>
    <w:autoRedefine/>
    <w:rsid w:val="00F77E66"/>
    <w:pPr>
      <w:keepNext/>
      <w:keepLines/>
      <w:spacing w:before="320" w:after="0" w:line="240" w:lineRule="auto"/>
      <w:jc w:val="center"/>
    </w:pPr>
    <w:rPr>
      <w:rFonts w:ascii="Calibri" w:eastAsia="Times New Roman" w:hAnsi="Calibri" w:cs="Times New Roman"/>
      <w:b/>
      <w:bCs/>
      <w:sz w:val="32"/>
      <w:szCs w:val="20"/>
    </w:rPr>
  </w:style>
  <w:style w:type="paragraph" w:customStyle="1" w:styleId="DPSMainHeadingIssue">
    <w:name w:val="DPSMainHeadingIssue"/>
    <w:autoRedefine/>
    <w:rsid w:val="00F77E66"/>
    <w:pPr>
      <w:keepNext/>
      <w:keepLines/>
      <w:spacing w:before="200" w:after="0" w:line="240" w:lineRule="auto"/>
      <w:jc w:val="center"/>
    </w:pPr>
    <w:rPr>
      <w:rFonts w:ascii="Calibri" w:eastAsia="Times New Roman" w:hAnsi="Calibri" w:cs="Times New Roman"/>
      <w:b/>
      <w:sz w:val="28"/>
      <w:szCs w:val="20"/>
    </w:rPr>
  </w:style>
  <w:style w:type="paragraph" w:customStyle="1" w:styleId="DPSMainHeadingParl">
    <w:name w:val="DPSMainHeadingParl"/>
    <w:next w:val="Normal"/>
    <w:rsid w:val="00F77E66"/>
    <w:pPr>
      <w:keepNext/>
      <w:keepLines/>
      <w:spacing w:before="200" w:after="0" w:line="240" w:lineRule="auto"/>
      <w:jc w:val="center"/>
    </w:pPr>
    <w:rPr>
      <w:rFonts w:ascii="Times New Roman" w:eastAsia="Times New Roman" w:hAnsi="Times New Roman" w:cs="Times New Roman"/>
      <w:sz w:val="21"/>
      <w:szCs w:val="20"/>
    </w:rPr>
  </w:style>
  <w:style w:type="paragraph" w:customStyle="1" w:styleId="DPSMainHeadingSubTitle">
    <w:name w:val="DPSMainHeadingSubTitle"/>
    <w:rsid w:val="00F77E66"/>
    <w:pPr>
      <w:keepNext/>
      <w:keepLines/>
      <w:spacing w:before="200" w:after="0" w:line="240" w:lineRule="auto"/>
      <w:jc w:val="center"/>
    </w:pPr>
    <w:rPr>
      <w:rFonts w:ascii="Times New Roman" w:eastAsia="Times New Roman" w:hAnsi="Times New Roman" w:cs="Times New Roman"/>
      <w:b/>
      <w:sz w:val="21"/>
      <w:szCs w:val="20"/>
    </w:rPr>
  </w:style>
  <w:style w:type="paragraph" w:customStyle="1" w:styleId="DPSMainHeadingYear">
    <w:name w:val="DPSMainHeadingYear"/>
    <w:autoRedefine/>
    <w:rsid w:val="00F77E66"/>
    <w:pPr>
      <w:keepNext/>
      <w:keepLines/>
      <w:spacing w:before="360" w:after="0" w:line="360" w:lineRule="auto"/>
      <w:jc w:val="center"/>
    </w:pPr>
    <w:rPr>
      <w:rFonts w:ascii="Calibri" w:eastAsia="Times New Roman" w:hAnsi="Calibri" w:cs="Times New Roman"/>
      <w:b/>
      <w:bCs/>
      <w:sz w:val="28"/>
      <w:szCs w:val="20"/>
    </w:rPr>
  </w:style>
  <w:style w:type="paragraph" w:customStyle="1" w:styleId="DPSMessage">
    <w:name w:val="DPSMessag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Date">
    <w:name w:val="DPSMessageDat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Number">
    <w:name w:val="DPSMessageNumber"/>
    <w:rsid w:val="00F77E66"/>
    <w:pPr>
      <w:spacing w:before="60" w:after="0" w:line="240" w:lineRule="auto"/>
      <w:jc w:val="right"/>
    </w:pPr>
    <w:rPr>
      <w:rFonts w:ascii="Times New Roman" w:eastAsia="Times New Roman" w:hAnsi="Times New Roman" w:cs="Times New Roman"/>
      <w:sz w:val="21"/>
      <w:szCs w:val="20"/>
    </w:rPr>
  </w:style>
  <w:style w:type="paragraph" w:customStyle="1" w:styleId="DPSMessageSigBlockName">
    <w:name w:val="DPSMessageSigBlockName"/>
    <w:rsid w:val="00F77E66"/>
    <w:pPr>
      <w:spacing w:after="0" w:line="240" w:lineRule="auto"/>
      <w:jc w:val="right"/>
    </w:pPr>
    <w:rPr>
      <w:rFonts w:ascii="Times New Roman" w:eastAsia="Times New Roman" w:hAnsi="Times New Roman" w:cs="Times New Roman"/>
      <w:sz w:val="21"/>
      <w:szCs w:val="20"/>
    </w:rPr>
  </w:style>
  <w:style w:type="paragraph" w:customStyle="1" w:styleId="DPSMessageSigBlockTitle">
    <w:name w:val="DPSMessageSigBlockTitle"/>
    <w:rsid w:val="00F77E66"/>
    <w:pPr>
      <w:spacing w:after="0" w:line="240" w:lineRule="auto"/>
      <w:jc w:val="right"/>
    </w:pPr>
    <w:rPr>
      <w:rFonts w:ascii="Times New Roman" w:eastAsia="Times New Roman" w:hAnsi="Times New Roman" w:cs="Times New Roman"/>
      <w:sz w:val="21"/>
      <w:szCs w:val="20"/>
    </w:rPr>
  </w:style>
  <w:style w:type="paragraph" w:customStyle="1" w:styleId="DPSMessageSource">
    <w:name w:val="DPSMessageSourc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idnight">
    <w:name w:val="DPSMidnight"/>
    <w:rsid w:val="00F77E66"/>
    <w:pPr>
      <w:keepNext/>
      <w:spacing w:after="0" w:line="240" w:lineRule="auto"/>
      <w:jc w:val="center"/>
    </w:pPr>
    <w:rPr>
      <w:rFonts w:ascii="Times New Roman" w:eastAsia="Times New Roman" w:hAnsi="Times New Roman" w:cs="Times New Roman"/>
      <w:sz w:val="24"/>
      <w:szCs w:val="20"/>
    </w:rPr>
  </w:style>
  <w:style w:type="paragraph" w:customStyle="1" w:styleId="DPSMidnightDate">
    <w:name w:val="DPSMidnightDate"/>
    <w:rsid w:val="00F77E66"/>
    <w:pPr>
      <w:spacing w:after="0" w:line="240" w:lineRule="auto"/>
    </w:pPr>
    <w:rPr>
      <w:rFonts w:ascii="Times New Roman" w:eastAsia="Times New Roman" w:hAnsi="Times New Roman" w:cs="Times New Roman"/>
      <w:sz w:val="24"/>
      <w:szCs w:val="20"/>
    </w:rPr>
  </w:style>
  <w:style w:type="paragraph" w:customStyle="1" w:styleId="DPSPageHeaderB5">
    <w:name w:val="DPSPageHeaderB5"/>
    <w:basedOn w:val="Normal"/>
    <w:rsid w:val="00F77E66"/>
    <w:pPr>
      <w:tabs>
        <w:tab w:val="center" w:pos="3686"/>
        <w:tab w:val="right" w:pos="7201"/>
      </w:tabs>
    </w:pPr>
    <w:rPr>
      <w:rFonts w:ascii="Times New Roman" w:hAnsi="Times New Roman"/>
      <w:sz w:val="21"/>
      <w:lang w:val="en-AU"/>
    </w:rPr>
  </w:style>
  <w:style w:type="paragraph" w:customStyle="1" w:styleId="DPSPageHeaderA4">
    <w:name w:val="DPSPageHeaderA4"/>
    <w:basedOn w:val="DPSPageHeaderB5"/>
    <w:autoRedefine/>
    <w:rsid w:val="00F77E66"/>
    <w:pPr>
      <w:tabs>
        <w:tab w:val="clear" w:pos="3686"/>
        <w:tab w:val="clear" w:pos="7201"/>
        <w:tab w:val="center" w:pos="4678"/>
        <w:tab w:val="right" w:pos="9214"/>
      </w:tabs>
    </w:pPr>
    <w:rPr>
      <w:rFonts w:ascii="Calibri" w:hAnsi="Calibri"/>
      <w:sz w:val="22"/>
    </w:rPr>
  </w:style>
  <w:style w:type="paragraph" w:customStyle="1" w:styleId="DPSPapers">
    <w:name w:val="DPSPapers"/>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apersHeading">
    <w:name w:val="DPSPapersHeading"/>
    <w:rsid w:val="00F77E66"/>
    <w:pPr>
      <w:spacing w:before="180" w:after="0" w:line="240" w:lineRule="auto"/>
      <w:ind w:left="425"/>
      <w:jc w:val="both"/>
    </w:pPr>
    <w:rPr>
      <w:rFonts w:ascii="Times New Roman" w:eastAsia="Times New Roman" w:hAnsi="Times New Roman" w:cs="Times New Roman"/>
      <w:b/>
      <w:sz w:val="18"/>
      <w:szCs w:val="20"/>
    </w:rPr>
  </w:style>
  <w:style w:type="paragraph" w:customStyle="1" w:styleId="DPSPapersIntro">
    <w:name w:val="DPSPapersIntro"/>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recedenceFooter">
    <w:name w:val="DPSPrecedenceFooter"/>
    <w:rsid w:val="00F77E66"/>
    <w:pPr>
      <w:spacing w:after="0" w:line="240" w:lineRule="auto"/>
      <w:jc w:val="right"/>
    </w:pPr>
    <w:rPr>
      <w:rFonts w:ascii="Times New Roman" w:eastAsia="Times New Roman" w:hAnsi="Times New Roman" w:cs="Times New Roman"/>
      <w:sz w:val="20"/>
      <w:szCs w:val="20"/>
    </w:rPr>
  </w:style>
  <w:style w:type="paragraph" w:customStyle="1" w:styleId="DPSPrintingAuthorityFooter">
    <w:name w:val="DPSPrintingAuthorityFooter"/>
    <w:rsid w:val="00F77E66"/>
    <w:pPr>
      <w:keepLines/>
      <w:spacing w:before="240" w:after="0" w:line="240" w:lineRule="auto"/>
      <w:jc w:val="center"/>
    </w:pPr>
    <w:rPr>
      <w:rFonts w:ascii="Times New Roman" w:eastAsia="Times New Roman" w:hAnsi="Times New Roman" w:cs="Times New Roman"/>
      <w:sz w:val="16"/>
      <w:szCs w:val="20"/>
    </w:rPr>
  </w:style>
  <w:style w:type="paragraph" w:customStyle="1" w:styleId="DPSSigBlockLeft">
    <w:name w:val="DPSSigBlockLeft"/>
    <w:basedOn w:val="DPSMessageSigBlockName"/>
    <w:autoRedefine/>
    <w:rsid w:val="00F77E66"/>
    <w:pPr>
      <w:ind w:left="425"/>
      <w:jc w:val="left"/>
    </w:pPr>
    <w:rPr>
      <w:sz w:val="24"/>
    </w:rPr>
  </w:style>
  <w:style w:type="paragraph" w:customStyle="1" w:styleId="DPSSigBlockName">
    <w:name w:val="DPSSigBlockName"/>
    <w:autoRedefine/>
    <w:rsid w:val="00F77E66"/>
    <w:pPr>
      <w:keepNext/>
      <w:keepLines/>
      <w:spacing w:before="720" w:after="0" w:line="240" w:lineRule="auto"/>
      <w:ind w:left="5126" w:right="29"/>
      <w:jc w:val="center"/>
    </w:pPr>
    <w:rPr>
      <w:rFonts w:ascii="Calibri" w:eastAsia="Times New Roman" w:hAnsi="Calibri" w:cs="Times New Roman"/>
      <w:b/>
      <w:sz w:val="24"/>
      <w:szCs w:val="20"/>
    </w:rPr>
  </w:style>
  <w:style w:type="paragraph" w:customStyle="1" w:styleId="DPSSigBlockTitle">
    <w:name w:val="DPSSigBlockTitle"/>
    <w:autoRedefine/>
    <w:rsid w:val="00F77E66"/>
    <w:pPr>
      <w:keepLines/>
      <w:tabs>
        <w:tab w:val="center" w:pos="5670"/>
      </w:tabs>
      <w:spacing w:after="0" w:line="240" w:lineRule="auto"/>
      <w:jc w:val="right"/>
    </w:pPr>
    <w:rPr>
      <w:rFonts w:ascii="Calibri" w:eastAsia="Times New Roman" w:hAnsi="Calibri" w:cs="Times New Roman"/>
      <w:sz w:val="24"/>
      <w:szCs w:val="20"/>
    </w:rPr>
  </w:style>
  <w:style w:type="paragraph" w:customStyle="1" w:styleId="DPSStartEndMarker">
    <w:name w:val="DPSStartEndMarker"/>
    <w:rsid w:val="00F77E66"/>
    <w:pPr>
      <w:spacing w:after="0" w:line="240" w:lineRule="auto"/>
    </w:pPr>
    <w:rPr>
      <w:rFonts w:ascii="Times New Roman" w:eastAsia="Times New Roman" w:hAnsi="Times New Roman" w:cs="Times New Roman"/>
      <w:vanish/>
      <w:color w:val="008000"/>
      <w:sz w:val="16"/>
      <w:szCs w:val="20"/>
    </w:rPr>
  </w:style>
  <w:style w:type="paragraph" w:customStyle="1" w:styleId="DPSTOCHeading">
    <w:name w:val="DPSTOCHeading"/>
    <w:basedOn w:val="DPSMainHeadingHouse"/>
    <w:rsid w:val="00F77E66"/>
  </w:style>
  <w:style w:type="paragraph" w:styleId="Footer">
    <w:name w:val="footer"/>
    <w:basedOn w:val="Normal"/>
    <w:link w:val="FooterChar"/>
    <w:rsid w:val="000F3D35"/>
    <w:pPr>
      <w:tabs>
        <w:tab w:val="center" w:pos="4153"/>
        <w:tab w:val="right" w:pos="8306"/>
      </w:tabs>
    </w:pPr>
  </w:style>
  <w:style w:type="character" w:customStyle="1" w:styleId="FooterChar">
    <w:name w:val="Footer Char"/>
    <w:basedOn w:val="DefaultParagraphFont"/>
    <w:link w:val="Footer"/>
    <w:rsid w:val="000F3D35"/>
    <w:rPr>
      <w:rFonts w:ascii="Times New Roman" w:eastAsia="Times New Roman" w:hAnsi="Times New Roman" w:cs="Times New Roman"/>
      <w:sz w:val="24"/>
      <w:szCs w:val="20"/>
      <w:lang w:val="en-US"/>
    </w:rPr>
  </w:style>
  <w:style w:type="paragraph" w:styleId="Header">
    <w:name w:val="header"/>
    <w:basedOn w:val="Normal"/>
    <w:link w:val="HeaderChar"/>
    <w:uiPriority w:val="99"/>
    <w:rsid w:val="000F3D35"/>
    <w:pPr>
      <w:tabs>
        <w:tab w:val="center" w:pos="4153"/>
        <w:tab w:val="right" w:pos="8306"/>
      </w:tabs>
    </w:pPr>
  </w:style>
  <w:style w:type="character" w:customStyle="1" w:styleId="HeaderChar">
    <w:name w:val="Header Char"/>
    <w:basedOn w:val="DefaultParagraphFont"/>
    <w:link w:val="Header"/>
    <w:uiPriority w:val="99"/>
    <w:rsid w:val="000F3D3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F3D35"/>
    <w:rPr>
      <w:rFonts w:ascii="Helvetica" w:eastAsia="Times New Roman" w:hAnsi="Helvetica" w:cs="Times New Roman"/>
      <w:b/>
      <w:i/>
      <w:sz w:val="24"/>
      <w:szCs w:val="20"/>
      <w:lang w:val="en-US"/>
    </w:rPr>
  </w:style>
  <w:style w:type="character" w:styleId="PlaceholderText">
    <w:name w:val="Placeholder Text"/>
    <w:basedOn w:val="DefaultParagraphFont"/>
    <w:uiPriority w:val="99"/>
    <w:semiHidden/>
    <w:rsid w:val="00A273E2"/>
    <w:rPr>
      <w:color w:val="808080"/>
    </w:rPr>
  </w:style>
  <w:style w:type="character" w:styleId="Hyperlink">
    <w:name w:val="Hyperlink"/>
    <w:basedOn w:val="DefaultParagraphFont"/>
    <w:uiPriority w:val="99"/>
    <w:unhideWhenUsed/>
    <w:rsid w:val="004A6CFB"/>
    <w:rPr>
      <w:color w:val="2E07BF"/>
      <w:u w:val="none"/>
    </w:rPr>
  </w:style>
  <w:style w:type="character" w:customStyle="1" w:styleId="DPSEntryDetailChar">
    <w:name w:val="DPSEntryDetail Char"/>
    <w:basedOn w:val="DefaultParagraphFont"/>
    <w:link w:val="DPSEntryDetail"/>
    <w:rsid w:val="003B560A"/>
    <w:rPr>
      <w:rFonts w:ascii="Calibri" w:eastAsia="Times New Roman" w:hAnsi="Calibri" w:cs="Times New Roman"/>
      <w:sz w:val="24"/>
      <w:szCs w:val="20"/>
    </w:rPr>
  </w:style>
  <w:style w:type="character" w:customStyle="1" w:styleId="DPSEntryDetailIndentLev1Char">
    <w:name w:val="DPSEntryDetailIndentLev1 Char"/>
    <w:basedOn w:val="DefaultParagraphFont"/>
    <w:link w:val="DPSEntryDetailIndentLev1"/>
    <w:rsid w:val="009124FB"/>
    <w:rPr>
      <w:rFonts w:ascii="Calibri" w:eastAsia="Times New Roman" w:hAnsi="Calibri" w:cs="Times New Roman"/>
      <w:sz w:val="24"/>
      <w:szCs w:val="20"/>
    </w:rPr>
  </w:style>
  <w:style w:type="paragraph" w:customStyle="1" w:styleId="Amainreturn">
    <w:name w:val="A main return"/>
    <w:basedOn w:val="Normal"/>
    <w:rsid w:val="007332DF"/>
    <w:pPr>
      <w:spacing w:before="140"/>
      <w:ind w:left="1100"/>
      <w:jc w:val="both"/>
    </w:pPr>
    <w:rPr>
      <w:rFonts w:ascii="Times New Roman" w:hAnsi="Times New Roman"/>
      <w:lang w:val="en-AU" w:eastAsia="en-US"/>
    </w:rPr>
  </w:style>
  <w:style w:type="paragraph" w:customStyle="1" w:styleId="aDef">
    <w:name w:val="aDef"/>
    <w:basedOn w:val="Normal"/>
    <w:rsid w:val="007332DF"/>
    <w:pPr>
      <w:numPr>
        <w:ilvl w:val="5"/>
        <w:numId w:val="5"/>
      </w:numPr>
      <w:spacing w:before="140"/>
      <w:jc w:val="both"/>
      <w:outlineLvl w:val="5"/>
    </w:pPr>
    <w:rPr>
      <w:rFonts w:ascii="Times New Roman" w:hAnsi="Times New Roman"/>
      <w:lang w:val="en-AU" w:eastAsia="en-US"/>
    </w:rPr>
  </w:style>
  <w:style w:type="paragraph" w:customStyle="1" w:styleId="aNote">
    <w:name w:val="aNote"/>
    <w:basedOn w:val="Normal"/>
    <w:link w:val="aNoteChar"/>
    <w:rsid w:val="007332DF"/>
    <w:pPr>
      <w:spacing w:before="140"/>
      <w:ind w:left="1900" w:hanging="800"/>
      <w:jc w:val="both"/>
    </w:pPr>
    <w:rPr>
      <w:rFonts w:ascii="Times New Roman" w:hAnsi="Times New Roman"/>
      <w:sz w:val="20"/>
      <w:lang w:val="en-AU" w:eastAsia="en-US"/>
    </w:rPr>
  </w:style>
  <w:style w:type="paragraph" w:customStyle="1" w:styleId="direction">
    <w:name w:val="direction"/>
    <w:basedOn w:val="Normal"/>
    <w:next w:val="Amainreturn"/>
    <w:rsid w:val="007332DF"/>
    <w:pPr>
      <w:keepNext/>
      <w:spacing w:before="140"/>
      <w:ind w:left="1100"/>
      <w:jc w:val="both"/>
    </w:pPr>
    <w:rPr>
      <w:rFonts w:ascii="Times New Roman" w:hAnsi="Times New Roman"/>
      <w:i/>
      <w:lang w:val="en-AU" w:eastAsia="en-US"/>
    </w:rPr>
  </w:style>
  <w:style w:type="paragraph" w:customStyle="1" w:styleId="aDefpara">
    <w:name w:val="aDef para"/>
    <w:basedOn w:val="Normal"/>
    <w:rsid w:val="007332DF"/>
    <w:pPr>
      <w:numPr>
        <w:ilvl w:val="6"/>
        <w:numId w:val="5"/>
      </w:numPr>
      <w:spacing w:before="140"/>
      <w:jc w:val="both"/>
      <w:outlineLvl w:val="6"/>
    </w:pPr>
    <w:rPr>
      <w:rFonts w:ascii="Times New Roman" w:hAnsi="Times New Roman"/>
      <w:lang w:val="en-AU" w:eastAsia="en-US"/>
    </w:rPr>
  </w:style>
  <w:style w:type="paragraph" w:customStyle="1" w:styleId="aDefsubpara">
    <w:name w:val="aDef subpara"/>
    <w:basedOn w:val="Normal"/>
    <w:rsid w:val="007332DF"/>
    <w:pPr>
      <w:numPr>
        <w:ilvl w:val="7"/>
        <w:numId w:val="5"/>
      </w:numPr>
      <w:spacing w:before="140"/>
      <w:jc w:val="both"/>
      <w:outlineLvl w:val="7"/>
    </w:pPr>
    <w:rPr>
      <w:rFonts w:ascii="Times New Roman" w:hAnsi="Times New Roman"/>
      <w:lang w:val="en-AU" w:eastAsia="en-US"/>
    </w:rPr>
  </w:style>
  <w:style w:type="paragraph" w:customStyle="1" w:styleId="AH3sec">
    <w:name w:val="A H3 sec"/>
    <w:basedOn w:val="Normal"/>
    <w:next w:val="direction"/>
    <w:rsid w:val="007332DF"/>
    <w:pPr>
      <w:keepNext/>
      <w:keepLines/>
      <w:numPr>
        <w:numId w:val="4"/>
      </w:numPr>
      <w:pBdr>
        <w:top w:val="single" w:sz="4" w:space="1" w:color="auto"/>
      </w:pBdr>
      <w:tabs>
        <w:tab w:val="left" w:pos="284"/>
        <w:tab w:val="num" w:pos="1500"/>
      </w:tabs>
      <w:spacing w:before="240"/>
      <w:ind w:left="0" w:firstLine="0"/>
    </w:pPr>
    <w:rPr>
      <w:rFonts w:ascii="Arial" w:hAnsi="Arial"/>
      <w:b/>
      <w:sz w:val="22"/>
      <w:lang w:val="en-AU" w:eastAsia="en-US"/>
    </w:rPr>
  </w:style>
  <w:style w:type="character" w:customStyle="1" w:styleId="aNoteChar">
    <w:name w:val="aNote Char"/>
    <w:basedOn w:val="DefaultParagraphFont"/>
    <w:link w:val="aNote"/>
    <w:locked/>
    <w:rsid w:val="007332DF"/>
    <w:rPr>
      <w:rFonts w:ascii="Times New Roman" w:eastAsia="Times New Roman" w:hAnsi="Times New Roman" w:cs="Times New Roman"/>
      <w:sz w:val="20"/>
      <w:szCs w:val="20"/>
      <w:lang w:eastAsia="en-US"/>
    </w:rPr>
  </w:style>
  <w:style w:type="character" w:styleId="FollowedHyperlink">
    <w:name w:val="FollowedHyperlink"/>
    <w:basedOn w:val="DefaultParagraphFont"/>
    <w:uiPriority w:val="99"/>
    <w:semiHidden/>
    <w:unhideWhenUsed/>
    <w:rsid w:val="004D4B80"/>
    <w:rPr>
      <w:color w:val="954F72" w:themeColor="followedHyperlink"/>
      <w:u w:val="single"/>
    </w:rPr>
  </w:style>
  <w:style w:type="paragraph" w:customStyle="1" w:styleId="Default">
    <w:name w:val="Default"/>
    <w:rsid w:val="00B2597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GeneralText">
    <w:name w:val="General Text"/>
    <w:basedOn w:val="Normal"/>
    <w:link w:val="GeneralTextChar"/>
    <w:autoRedefine/>
    <w:qFormat/>
    <w:rsid w:val="00B25972"/>
    <w:pPr>
      <w:tabs>
        <w:tab w:val="right" w:pos="10466"/>
      </w:tabs>
      <w:spacing w:after="60"/>
    </w:pPr>
    <w:rPr>
      <w:rFonts w:eastAsiaTheme="minorHAnsi" w:cstheme="minorHAnsi"/>
      <w:szCs w:val="24"/>
      <w:lang w:eastAsia="en-US"/>
    </w:rPr>
  </w:style>
  <w:style w:type="character" w:customStyle="1" w:styleId="GeneralTextChar">
    <w:name w:val="General Text Char"/>
    <w:basedOn w:val="DefaultParagraphFont"/>
    <w:link w:val="GeneralText"/>
    <w:rsid w:val="00B25972"/>
    <w:rPr>
      <w:rFonts w:eastAsiaTheme="minorHAnsi" w:cstheme="minorHAnsi"/>
      <w:sz w:val="24"/>
      <w:szCs w:val="24"/>
      <w:lang w:val="en-US" w:eastAsia="en-US"/>
    </w:rPr>
  </w:style>
  <w:style w:type="paragraph" w:styleId="ListParagraph">
    <w:name w:val="List Paragraph"/>
    <w:basedOn w:val="Normal"/>
    <w:uiPriority w:val="34"/>
    <w:qFormat/>
    <w:rsid w:val="00B25972"/>
    <w:pPr>
      <w:ind w:left="720"/>
      <w:contextualSpacing/>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hansard.act.gov.au/hansard/2020/links/download.ht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www.parliament.act.gov.au/parliamentary-business/in-the-chamber/chamber-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91CB3-9D8A-4F88-B503-F452412EEA6C}">
  <ds:schemaRefs/>
</ds:datastoreItem>
</file>

<file path=customXml/itemProps2.xml><?xml version="1.0" encoding="utf-8"?>
<ds:datastoreItem xmlns:ds="http://schemas.openxmlformats.org/officeDocument/2006/customXml" ds:itemID="{0268BEA1-A776-468E-8690-BA93B09AB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7081</Words>
  <Characters>40363</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Mammoliti</dc:creator>
  <cp:keywords/>
  <dc:description/>
  <cp:lastModifiedBy>Shannon, Anne</cp:lastModifiedBy>
  <cp:revision>2</cp:revision>
  <cp:lastPrinted>2020-07-27T06:13:00Z</cp:lastPrinted>
  <dcterms:created xsi:type="dcterms:W3CDTF">2020-07-27T06:13:00Z</dcterms:created>
  <dcterms:modified xsi:type="dcterms:W3CDTF">2020-07-27T06:13:00Z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(x86)/iCognition/Authoring/MinutesOfProceedings.vsto|e189dde2-4ad2-4b60-a291-07559e02fbba|vstolocal</vt:lpwstr>
  </property>
  <property fmtid="{D5CDD505-2E9C-101B-9397-08002B2CF9AE}" pid="3" name="_AssemblyName">
    <vt:lpwstr>4E3C66D5-58D4-491E-A7D4-64AF99AF6E8B</vt:lpwstr>
  </property>
</Properties>
</file>