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DF089" w14:textId="2777BF9F" w:rsidR="00ED225C" w:rsidRPr="0018055D" w:rsidRDefault="00082396" w:rsidP="002E311B">
      <w:pPr>
        <w:pStyle w:val="Heading1"/>
        <w:spacing w:before="9600"/>
      </w:pPr>
      <w:r>
        <w:t>Inquiry into the ACT Register of Lobbyists</w:t>
      </w:r>
    </w:p>
    <w:p w14:paraId="6C619BA6" w14:textId="03545B84" w:rsidR="00ED225C" w:rsidRPr="002A5107" w:rsidRDefault="006F223C" w:rsidP="002A5107">
      <w:pPr>
        <w:spacing w:before="600"/>
        <w:jc w:val="right"/>
        <w:rPr>
          <w:rFonts w:ascii="Arial Narrow" w:hAnsi="Arial Narrow"/>
          <w:smallCaps/>
          <w:spacing w:val="40"/>
          <w:sz w:val="28"/>
          <w:szCs w:val="28"/>
        </w:rPr>
      </w:pPr>
      <w:r w:rsidRPr="002A5107">
        <w:rPr>
          <w:rFonts w:ascii="Arial Narrow" w:hAnsi="Arial Narrow"/>
          <w:smallCaps/>
          <w:spacing w:val="40"/>
          <w:sz w:val="28"/>
          <w:szCs w:val="28"/>
        </w:rPr>
        <w:t>Standing Committee on Administration and Procedure</w:t>
      </w:r>
    </w:p>
    <w:p w14:paraId="779D0E03" w14:textId="3C842138" w:rsidR="00ED225C" w:rsidRPr="004001FB" w:rsidRDefault="00785619" w:rsidP="006F223C">
      <w:pPr>
        <w:spacing w:beforeLines="150" w:before="360"/>
        <w:jc w:val="right"/>
        <w:rPr>
          <w:rFonts w:ascii="Arial Narrow" w:hAnsi="Arial Narrow"/>
          <w:smallCaps/>
        </w:rPr>
      </w:pPr>
      <w:r>
        <w:rPr>
          <w:rFonts w:ascii="Arial Narrow" w:hAnsi="Arial Narrow"/>
          <w:smallCaps/>
        </w:rPr>
        <w:t>March</w:t>
      </w:r>
      <w:r w:rsidR="00082396">
        <w:rPr>
          <w:rFonts w:ascii="Arial Narrow" w:hAnsi="Arial Narrow"/>
          <w:smallCaps/>
        </w:rPr>
        <w:t xml:space="preserve"> 2019</w:t>
      </w:r>
    </w:p>
    <w:p w14:paraId="3B5CEEE5" w14:textId="690AADD8" w:rsidR="0020656E" w:rsidRDefault="007E14F0" w:rsidP="006F223C">
      <w:pPr>
        <w:spacing w:beforeLines="200" w:before="480"/>
        <w:jc w:val="right"/>
        <w:rPr>
          <w:rFonts w:ascii="Arial Narrow" w:hAnsi="Arial Narrow"/>
          <w:smallCaps/>
          <w:sz w:val="24"/>
        </w:rPr>
      </w:pPr>
      <w:r>
        <w:rPr>
          <w:rFonts w:ascii="Arial Narrow" w:hAnsi="Arial Narrow"/>
          <w:smallCaps/>
          <w:sz w:val="24"/>
        </w:rPr>
        <w:t xml:space="preserve">Report </w:t>
      </w:r>
      <w:r w:rsidR="002E6D5A">
        <w:rPr>
          <w:rFonts w:ascii="Arial Narrow" w:hAnsi="Arial Narrow"/>
          <w:smallCaps/>
          <w:sz w:val="24"/>
        </w:rPr>
        <w:t>10</w:t>
      </w:r>
    </w:p>
    <w:p w14:paraId="77458E5F" w14:textId="6700441F" w:rsidR="004001FB" w:rsidRDefault="00DD6403" w:rsidP="004001FB">
      <w:r>
        <w:br w:type="page"/>
      </w:r>
    </w:p>
    <w:p w14:paraId="530284AE" w14:textId="77777777" w:rsidR="00DD6403" w:rsidRDefault="00DD6403" w:rsidP="004001FB"/>
    <w:p w14:paraId="10CE771B" w14:textId="77777777" w:rsidR="00DD6403" w:rsidRPr="0018055D" w:rsidRDefault="00DD6403" w:rsidP="0018055D">
      <w:pPr>
        <w:sectPr w:rsidR="00DD6403" w:rsidRPr="0018055D" w:rsidSect="001042F3">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567" w:right="1418" w:bottom="1418" w:left="1418" w:header="720" w:footer="851" w:gutter="0"/>
          <w:cols w:space="720"/>
          <w:docGrid w:linePitch="360"/>
        </w:sectPr>
      </w:pPr>
    </w:p>
    <w:p w14:paraId="4273C1C8" w14:textId="77777777" w:rsidR="005B60C2" w:rsidRDefault="004001FB" w:rsidP="004A5322">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4000920"/>
      <w:r>
        <w:lastRenderedPageBreak/>
        <w:t>The Committee</w:t>
      </w:r>
      <w:bookmarkEnd w:id="0"/>
      <w:bookmarkEnd w:id="1"/>
      <w:bookmarkEnd w:id="2"/>
      <w:bookmarkEnd w:id="3"/>
      <w:bookmarkEnd w:id="4"/>
    </w:p>
    <w:p w14:paraId="6DDDE574" w14:textId="77777777" w:rsidR="004001FB" w:rsidRDefault="00D532AE" w:rsidP="00D532AE">
      <w:pPr>
        <w:pStyle w:val="Heading3"/>
        <w:numPr>
          <w:ilvl w:val="0"/>
          <w:numId w:val="0"/>
        </w:numPr>
        <w:ind w:left="454" w:hanging="454"/>
      </w:pPr>
      <w:bookmarkStart w:id="5" w:name="_Toc502671581"/>
      <w:bookmarkStart w:id="6" w:name="_Toc502671760"/>
      <w:bookmarkStart w:id="7" w:name="_Toc502671865"/>
      <w:bookmarkStart w:id="8" w:name="_Toc502672798"/>
      <w:bookmarkStart w:id="9" w:name="_Toc4000921"/>
      <w:r>
        <w:t>C</w:t>
      </w:r>
      <w:r w:rsidR="004001FB">
        <w:t>ommittee Membership</w:t>
      </w:r>
      <w:bookmarkEnd w:id="5"/>
      <w:bookmarkEnd w:id="6"/>
      <w:bookmarkEnd w:id="7"/>
      <w:bookmarkEnd w:id="8"/>
      <w:bookmarkEnd w:id="9"/>
    </w:p>
    <w:p w14:paraId="7F906202" w14:textId="43FF5D26" w:rsidR="006578CB" w:rsidRDefault="006578CB" w:rsidP="002E6D5A">
      <w:pPr>
        <w:tabs>
          <w:tab w:val="center" w:pos="4535"/>
        </w:tabs>
        <w:spacing w:before="160" w:after="160"/>
      </w:pPr>
      <w:bookmarkStart w:id="10" w:name="_Toc502671582"/>
      <w:bookmarkStart w:id="11" w:name="_Toc502671761"/>
      <w:bookmarkStart w:id="12" w:name="_Toc502671866"/>
      <w:bookmarkStart w:id="13" w:name="_Toc502672799"/>
      <w:r>
        <w:t>Joy Burch MLA (Chair)</w:t>
      </w:r>
      <w:r w:rsidR="002E6D5A">
        <w:tab/>
      </w:r>
    </w:p>
    <w:p w14:paraId="610CEA4D" w14:textId="77777777" w:rsidR="006578CB" w:rsidRDefault="006578CB" w:rsidP="006578CB">
      <w:pPr>
        <w:spacing w:before="160" w:after="160"/>
      </w:pPr>
      <w:r>
        <w:t>Tara Cheyne MLA</w:t>
      </w:r>
    </w:p>
    <w:p w14:paraId="47856450" w14:textId="40878E40" w:rsidR="006578CB" w:rsidRDefault="006578CB" w:rsidP="007E14F0">
      <w:pPr>
        <w:tabs>
          <w:tab w:val="center" w:pos="4535"/>
        </w:tabs>
        <w:spacing w:before="160" w:after="160"/>
      </w:pPr>
      <w:r>
        <w:t>Shane Rattenbury MLA</w:t>
      </w:r>
    </w:p>
    <w:p w14:paraId="636630D2" w14:textId="77777777" w:rsidR="006578CB" w:rsidRDefault="006578CB" w:rsidP="006578CB">
      <w:pPr>
        <w:spacing w:before="160" w:after="160"/>
      </w:pPr>
      <w:r>
        <w:t>Andrew Wall MLA</w:t>
      </w:r>
    </w:p>
    <w:p w14:paraId="1FC55629" w14:textId="334514A8" w:rsidR="004001FB" w:rsidRDefault="004001FB" w:rsidP="00D532AE">
      <w:pPr>
        <w:pStyle w:val="Heading3"/>
        <w:numPr>
          <w:ilvl w:val="0"/>
          <w:numId w:val="0"/>
        </w:numPr>
        <w:ind w:left="454" w:hanging="454"/>
      </w:pPr>
      <w:bookmarkStart w:id="14" w:name="_Toc4000922"/>
      <w:r>
        <w:t>Secretariat</w:t>
      </w:r>
      <w:bookmarkEnd w:id="10"/>
      <w:bookmarkEnd w:id="11"/>
      <w:bookmarkEnd w:id="12"/>
      <w:bookmarkEnd w:id="13"/>
      <w:bookmarkEnd w:id="14"/>
    </w:p>
    <w:p w14:paraId="6EA5584E" w14:textId="77777777" w:rsidR="006578CB" w:rsidRPr="006578CB" w:rsidRDefault="006578CB" w:rsidP="006578CB">
      <w:pPr>
        <w:spacing w:before="160" w:after="80"/>
      </w:pPr>
      <w:bookmarkStart w:id="15" w:name="_Toc502671583"/>
      <w:bookmarkStart w:id="16" w:name="_Toc502671762"/>
      <w:bookmarkStart w:id="17" w:name="_Toc502671867"/>
      <w:bookmarkStart w:id="18" w:name="_Toc502672800"/>
      <w:r w:rsidRPr="006578CB">
        <w:t>Tom Duncan (Secretary)</w:t>
      </w:r>
    </w:p>
    <w:p w14:paraId="3F019EDE" w14:textId="77777777" w:rsidR="006578CB" w:rsidRDefault="006578CB" w:rsidP="006578CB">
      <w:pPr>
        <w:spacing w:before="160" w:after="80"/>
        <w:rPr>
          <w:iCs/>
          <w:smallCaps/>
        </w:rPr>
      </w:pPr>
      <w:r w:rsidRPr="006578CB">
        <w:t>Janice Rafferty (Assistant Secretary)</w:t>
      </w:r>
    </w:p>
    <w:p w14:paraId="58AA18BB" w14:textId="3C387640" w:rsidR="004001FB" w:rsidRDefault="004001FB" w:rsidP="006578CB">
      <w:pPr>
        <w:pStyle w:val="Heading3"/>
        <w:numPr>
          <w:ilvl w:val="0"/>
          <w:numId w:val="0"/>
        </w:numPr>
        <w:ind w:left="454" w:hanging="454"/>
      </w:pPr>
      <w:bookmarkStart w:id="19" w:name="_Toc4000923"/>
      <w:r>
        <w:t>Contact Information</w:t>
      </w:r>
      <w:bookmarkEnd w:id="15"/>
      <w:bookmarkEnd w:id="16"/>
      <w:bookmarkEnd w:id="17"/>
      <w:bookmarkEnd w:id="18"/>
      <w:bookmarkEnd w:id="19"/>
    </w:p>
    <w:p w14:paraId="10839381" w14:textId="2BC966DB" w:rsidR="004001FB" w:rsidRDefault="004001FB" w:rsidP="004A3DAA">
      <w:pPr>
        <w:spacing w:before="160" w:after="80"/>
      </w:pPr>
      <w:r>
        <w:t>Telephone</w:t>
      </w:r>
      <w:r>
        <w:tab/>
        <w:t>02 6205</w:t>
      </w:r>
      <w:r w:rsidR="007E14F0">
        <w:t xml:space="preserve"> 0173</w:t>
      </w:r>
    </w:p>
    <w:p w14:paraId="22BE7FFA" w14:textId="7046EF71" w:rsidR="004001FB" w:rsidRDefault="004001FB" w:rsidP="004A3DAA">
      <w:pPr>
        <w:spacing w:before="160" w:after="80"/>
      </w:pPr>
      <w:r>
        <w:t>Facsimile</w:t>
      </w:r>
      <w:r>
        <w:tab/>
        <w:t xml:space="preserve">02 6205 </w:t>
      </w:r>
      <w:r w:rsidR="007E14F0">
        <w:t>3109</w:t>
      </w:r>
    </w:p>
    <w:p w14:paraId="01405192" w14:textId="77777777" w:rsidR="004001FB" w:rsidRDefault="004001FB" w:rsidP="004A3DAA">
      <w:pPr>
        <w:spacing w:before="160" w:after="80"/>
      </w:pPr>
      <w:r>
        <w:t>Post</w:t>
      </w:r>
      <w:r>
        <w:tab/>
      </w:r>
      <w:r>
        <w:tab/>
        <w:t>GPO Box 1020, CANBERRA ACT 2601</w:t>
      </w:r>
    </w:p>
    <w:p w14:paraId="1B8606EA" w14:textId="5EDF8894" w:rsidR="004001FB" w:rsidRDefault="004001FB" w:rsidP="004A3DAA">
      <w:pPr>
        <w:spacing w:before="160" w:after="80"/>
      </w:pPr>
      <w:r>
        <w:t>Email</w:t>
      </w:r>
      <w:r>
        <w:tab/>
      </w:r>
      <w:r>
        <w:tab/>
      </w:r>
      <w:hyperlink r:id="rId16" w:history="1">
        <w:r w:rsidR="007E14F0" w:rsidRPr="00C74C7E">
          <w:rPr>
            <w:rStyle w:val="Hyperlink"/>
          </w:rPr>
          <w:t>admin.proc@parliament.act.gov.au</w:t>
        </w:r>
      </w:hyperlink>
      <w:r w:rsidR="007E14F0">
        <w:t xml:space="preserve"> </w:t>
      </w:r>
    </w:p>
    <w:p w14:paraId="7FC3ED50" w14:textId="16E3BF65" w:rsidR="00D532AE" w:rsidRDefault="004001FB" w:rsidP="004A3DAA">
      <w:pPr>
        <w:spacing w:before="160" w:after="80"/>
      </w:pPr>
      <w:r>
        <w:t>Website</w:t>
      </w:r>
      <w:r>
        <w:tab/>
      </w:r>
      <w:hyperlink r:id="rId17" w:history="1">
        <w:r w:rsidR="007E14F0" w:rsidRPr="00C74C7E">
          <w:rPr>
            <w:rStyle w:val="Hyperlink"/>
          </w:rPr>
          <w:t>www.parliament.act.gov.au</w:t>
        </w:r>
      </w:hyperlink>
      <w:r w:rsidR="007E14F0">
        <w:t xml:space="preserve"> </w:t>
      </w:r>
      <w:r>
        <w:t xml:space="preserve"> </w:t>
      </w:r>
      <w:bookmarkStart w:id="20" w:name="_Toc502671584"/>
      <w:bookmarkStart w:id="21" w:name="_Toc502671763"/>
      <w:bookmarkStart w:id="22" w:name="_Toc502671868"/>
      <w:bookmarkStart w:id="23" w:name="_Toc502672801"/>
    </w:p>
    <w:p w14:paraId="64DE1142" w14:textId="77777777" w:rsidR="004A3DAA" w:rsidRDefault="004A3DAA" w:rsidP="004A3DAA">
      <w:pPr>
        <w:pStyle w:val="Heading3"/>
        <w:numPr>
          <w:ilvl w:val="0"/>
          <w:numId w:val="0"/>
        </w:numPr>
        <w:ind w:left="454" w:hanging="454"/>
      </w:pPr>
      <w:bookmarkStart w:id="24" w:name="_Toc4000924"/>
      <w:r>
        <w:t>Resolution of appointment</w:t>
      </w:r>
      <w:bookmarkEnd w:id="24"/>
      <w:r>
        <w:t xml:space="preserve"> </w:t>
      </w:r>
    </w:p>
    <w:p w14:paraId="21FB8257" w14:textId="77777777" w:rsidR="004A3DAA" w:rsidRDefault="004A3DAA" w:rsidP="004A3DAA">
      <w:r>
        <w:t>In 1995 the Legislative Assembly for the Australian Capital Territory (‘the Assembly’) amended Standing Order 16, which established the Standing Committee on Administration and Procedure (‘the Committee’).</w:t>
      </w:r>
    </w:p>
    <w:p w14:paraId="36490AAA" w14:textId="48C40A1D" w:rsidR="004A3DAA" w:rsidRDefault="004A3DAA" w:rsidP="004A3DAA">
      <w:r>
        <w:t>Standing Order 16 authorises the Committee to inquire into and report on, among other things, the practices and procedure of the Assembly.</w:t>
      </w:r>
    </w:p>
    <w:p w14:paraId="6944D982" w14:textId="77777777" w:rsidR="00AB3B64" w:rsidRDefault="00AB3B64" w:rsidP="004A3DAA"/>
    <w:p w14:paraId="12F214B5" w14:textId="73DF53CD" w:rsidR="005973EA" w:rsidRPr="0064133C" w:rsidRDefault="00566B91" w:rsidP="00AB3B64">
      <w:pPr>
        <w:pStyle w:val="Heading2"/>
        <w:numPr>
          <w:ilvl w:val="0"/>
          <w:numId w:val="0"/>
        </w:numPr>
        <w:ind w:left="567" w:hanging="567"/>
      </w:pPr>
      <w:bookmarkStart w:id="25" w:name="_Toc4000925"/>
      <w:bookmarkEnd w:id="20"/>
      <w:bookmarkEnd w:id="21"/>
      <w:bookmarkEnd w:id="22"/>
      <w:bookmarkEnd w:id="23"/>
      <w:r w:rsidRPr="0064133C">
        <w:lastRenderedPageBreak/>
        <w:t>Table of Contents</w:t>
      </w:r>
      <w:bookmarkEnd w:id="25"/>
    </w:p>
    <w:p w14:paraId="7C3C168E" w14:textId="77777777" w:rsidR="00DF5104" w:rsidRDefault="00383DFC">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\h \z \t "Heading 2,1,Heading 3,2" </w:instrText>
      </w:r>
      <w:r>
        <w:fldChar w:fldCharType="separate"/>
      </w:r>
      <w:hyperlink w:anchor="_Toc4000920" w:history="1">
        <w:r w:rsidR="00DF5104" w:rsidRPr="00320A44">
          <w:rPr>
            <w:rStyle w:val="Hyperlink"/>
            <w:noProof/>
          </w:rPr>
          <w:t>The Committee</w:t>
        </w:r>
        <w:r w:rsidR="00DF5104">
          <w:rPr>
            <w:noProof/>
            <w:webHidden/>
          </w:rPr>
          <w:tab/>
        </w:r>
        <w:r w:rsidR="00DF5104">
          <w:rPr>
            <w:noProof/>
            <w:webHidden/>
          </w:rPr>
          <w:fldChar w:fldCharType="begin"/>
        </w:r>
        <w:r w:rsidR="00DF5104">
          <w:rPr>
            <w:noProof/>
            <w:webHidden/>
          </w:rPr>
          <w:instrText xml:space="preserve"> PAGEREF _Toc4000920 \h </w:instrText>
        </w:r>
        <w:r w:rsidR="00DF5104">
          <w:rPr>
            <w:noProof/>
            <w:webHidden/>
          </w:rPr>
        </w:r>
        <w:r w:rsidR="00DF5104">
          <w:rPr>
            <w:noProof/>
            <w:webHidden/>
          </w:rPr>
          <w:fldChar w:fldCharType="separate"/>
        </w:r>
        <w:r w:rsidR="00DF5104">
          <w:rPr>
            <w:noProof/>
            <w:webHidden/>
          </w:rPr>
          <w:t>i</w:t>
        </w:r>
        <w:r w:rsidR="00DF5104">
          <w:rPr>
            <w:noProof/>
            <w:webHidden/>
          </w:rPr>
          <w:fldChar w:fldCharType="end"/>
        </w:r>
      </w:hyperlink>
    </w:p>
    <w:p w14:paraId="283A474A" w14:textId="77777777" w:rsidR="00DF5104" w:rsidRDefault="00DF5104">
      <w:pPr>
        <w:pStyle w:val="TOC2"/>
        <w:rPr>
          <w:rFonts w:asciiTheme="minorHAnsi" w:eastAsiaTheme="minorEastAsia" w:hAnsiTheme="minorHAnsi" w:cstheme="minorBidi"/>
          <w:szCs w:val="22"/>
        </w:rPr>
      </w:pPr>
      <w:hyperlink w:anchor="_Toc4000921" w:history="1">
        <w:r w:rsidRPr="00320A44">
          <w:rPr>
            <w:rStyle w:val="Hyperlink"/>
          </w:rPr>
          <w:t>Committee Membership</w:t>
        </w:r>
        <w:r>
          <w:rPr>
            <w:webHidden/>
          </w:rPr>
          <w:tab/>
        </w:r>
        <w:r>
          <w:rPr>
            <w:webHidden/>
          </w:rPr>
          <w:fldChar w:fldCharType="begin"/>
        </w:r>
        <w:r>
          <w:rPr>
            <w:webHidden/>
          </w:rPr>
          <w:instrText xml:space="preserve"> PAGEREF _Toc4000921 \h </w:instrText>
        </w:r>
        <w:r>
          <w:rPr>
            <w:webHidden/>
          </w:rPr>
        </w:r>
        <w:r>
          <w:rPr>
            <w:webHidden/>
          </w:rPr>
          <w:fldChar w:fldCharType="separate"/>
        </w:r>
        <w:r>
          <w:rPr>
            <w:webHidden/>
          </w:rPr>
          <w:t>i</w:t>
        </w:r>
        <w:r>
          <w:rPr>
            <w:webHidden/>
          </w:rPr>
          <w:fldChar w:fldCharType="end"/>
        </w:r>
      </w:hyperlink>
    </w:p>
    <w:p w14:paraId="5ECDA58B" w14:textId="77777777" w:rsidR="00DF5104" w:rsidRDefault="00DF5104">
      <w:pPr>
        <w:pStyle w:val="TOC2"/>
        <w:rPr>
          <w:rFonts w:asciiTheme="minorHAnsi" w:eastAsiaTheme="minorEastAsia" w:hAnsiTheme="minorHAnsi" w:cstheme="minorBidi"/>
          <w:szCs w:val="22"/>
        </w:rPr>
      </w:pPr>
      <w:hyperlink w:anchor="_Toc4000922" w:history="1">
        <w:r w:rsidRPr="00320A44">
          <w:rPr>
            <w:rStyle w:val="Hyperlink"/>
          </w:rPr>
          <w:t>Secretariat</w:t>
        </w:r>
        <w:r>
          <w:rPr>
            <w:webHidden/>
          </w:rPr>
          <w:tab/>
        </w:r>
        <w:r>
          <w:rPr>
            <w:webHidden/>
          </w:rPr>
          <w:fldChar w:fldCharType="begin"/>
        </w:r>
        <w:r>
          <w:rPr>
            <w:webHidden/>
          </w:rPr>
          <w:instrText xml:space="preserve"> PAGEREF _Toc4000922 \h </w:instrText>
        </w:r>
        <w:r>
          <w:rPr>
            <w:webHidden/>
          </w:rPr>
        </w:r>
        <w:r>
          <w:rPr>
            <w:webHidden/>
          </w:rPr>
          <w:fldChar w:fldCharType="separate"/>
        </w:r>
        <w:r>
          <w:rPr>
            <w:webHidden/>
          </w:rPr>
          <w:t>i</w:t>
        </w:r>
        <w:r>
          <w:rPr>
            <w:webHidden/>
          </w:rPr>
          <w:fldChar w:fldCharType="end"/>
        </w:r>
      </w:hyperlink>
    </w:p>
    <w:p w14:paraId="1254A02A" w14:textId="77777777" w:rsidR="00DF5104" w:rsidRDefault="00DF5104">
      <w:pPr>
        <w:pStyle w:val="TOC2"/>
        <w:rPr>
          <w:rFonts w:asciiTheme="minorHAnsi" w:eastAsiaTheme="minorEastAsia" w:hAnsiTheme="minorHAnsi" w:cstheme="minorBidi"/>
          <w:szCs w:val="22"/>
        </w:rPr>
      </w:pPr>
      <w:hyperlink w:anchor="_Toc4000923" w:history="1">
        <w:r w:rsidRPr="00320A44">
          <w:rPr>
            <w:rStyle w:val="Hyperlink"/>
          </w:rPr>
          <w:t>Contact Information</w:t>
        </w:r>
        <w:r>
          <w:rPr>
            <w:webHidden/>
          </w:rPr>
          <w:tab/>
        </w:r>
        <w:r>
          <w:rPr>
            <w:webHidden/>
          </w:rPr>
          <w:fldChar w:fldCharType="begin"/>
        </w:r>
        <w:r>
          <w:rPr>
            <w:webHidden/>
          </w:rPr>
          <w:instrText xml:space="preserve"> PAGEREF _Toc4000923 \h </w:instrText>
        </w:r>
        <w:r>
          <w:rPr>
            <w:webHidden/>
          </w:rPr>
        </w:r>
        <w:r>
          <w:rPr>
            <w:webHidden/>
          </w:rPr>
          <w:fldChar w:fldCharType="separate"/>
        </w:r>
        <w:r>
          <w:rPr>
            <w:webHidden/>
          </w:rPr>
          <w:t>i</w:t>
        </w:r>
        <w:r>
          <w:rPr>
            <w:webHidden/>
          </w:rPr>
          <w:fldChar w:fldCharType="end"/>
        </w:r>
      </w:hyperlink>
    </w:p>
    <w:p w14:paraId="5391167E" w14:textId="77777777" w:rsidR="00DF5104" w:rsidRDefault="00DF5104">
      <w:pPr>
        <w:pStyle w:val="TOC2"/>
        <w:rPr>
          <w:rFonts w:asciiTheme="minorHAnsi" w:eastAsiaTheme="minorEastAsia" w:hAnsiTheme="minorHAnsi" w:cstheme="minorBidi"/>
          <w:szCs w:val="22"/>
        </w:rPr>
      </w:pPr>
      <w:hyperlink w:anchor="_Toc4000924" w:history="1">
        <w:r w:rsidRPr="00320A44">
          <w:rPr>
            <w:rStyle w:val="Hyperlink"/>
          </w:rPr>
          <w:t>Resolution of appointment</w:t>
        </w:r>
        <w:r>
          <w:rPr>
            <w:webHidden/>
          </w:rPr>
          <w:tab/>
        </w:r>
        <w:r>
          <w:rPr>
            <w:webHidden/>
          </w:rPr>
          <w:fldChar w:fldCharType="begin"/>
        </w:r>
        <w:r>
          <w:rPr>
            <w:webHidden/>
          </w:rPr>
          <w:instrText xml:space="preserve"> PAGEREF _Toc4000924 \h </w:instrText>
        </w:r>
        <w:r>
          <w:rPr>
            <w:webHidden/>
          </w:rPr>
        </w:r>
        <w:r>
          <w:rPr>
            <w:webHidden/>
          </w:rPr>
          <w:fldChar w:fldCharType="separate"/>
        </w:r>
        <w:r>
          <w:rPr>
            <w:webHidden/>
          </w:rPr>
          <w:t>i</w:t>
        </w:r>
        <w:r>
          <w:rPr>
            <w:webHidden/>
          </w:rPr>
          <w:fldChar w:fldCharType="end"/>
        </w:r>
      </w:hyperlink>
    </w:p>
    <w:p w14:paraId="0018B233" w14:textId="77777777" w:rsidR="00DF5104" w:rsidRDefault="00DF5104">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25" w:history="1">
        <w:r w:rsidRPr="00320A44">
          <w:rPr>
            <w:rStyle w:val="Hyperlink"/>
            <w:noProof/>
          </w:rPr>
          <w:t>Table of Contents</w:t>
        </w:r>
        <w:r>
          <w:rPr>
            <w:noProof/>
            <w:webHidden/>
          </w:rPr>
          <w:tab/>
        </w:r>
        <w:r>
          <w:rPr>
            <w:noProof/>
            <w:webHidden/>
          </w:rPr>
          <w:fldChar w:fldCharType="begin"/>
        </w:r>
        <w:r>
          <w:rPr>
            <w:noProof/>
            <w:webHidden/>
          </w:rPr>
          <w:instrText xml:space="preserve"> PAGEREF _Toc4000925 \h </w:instrText>
        </w:r>
        <w:r>
          <w:rPr>
            <w:noProof/>
            <w:webHidden/>
          </w:rPr>
        </w:r>
        <w:r>
          <w:rPr>
            <w:noProof/>
            <w:webHidden/>
          </w:rPr>
          <w:fldChar w:fldCharType="separate"/>
        </w:r>
        <w:r>
          <w:rPr>
            <w:noProof/>
            <w:webHidden/>
          </w:rPr>
          <w:t>ii</w:t>
        </w:r>
        <w:r>
          <w:rPr>
            <w:noProof/>
            <w:webHidden/>
          </w:rPr>
          <w:fldChar w:fldCharType="end"/>
        </w:r>
      </w:hyperlink>
    </w:p>
    <w:p w14:paraId="4E78FA82" w14:textId="77777777" w:rsidR="00DF5104" w:rsidRDefault="00DF5104">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26" w:history="1">
        <w:r w:rsidRPr="00320A44">
          <w:rPr>
            <w:rStyle w:val="Hyperlink"/>
            <w:noProof/>
          </w:rPr>
          <w:t>Recommendations</w:t>
        </w:r>
        <w:r>
          <w:rPr>
            <w:noProof/>
            <w:webHidden/>
          </w:rPr>
          <w:tab/>
        </w:r>
        <w:r>
          <w:rPr>
            <w:noProof/>
            <w:webHidden/>
          </w:rPr>
          <w:fldChar w:fldCharType="begin"/>
        </w:r>
        <w:r>
          <w:rPr>
            <w:noProof/>
            <w:webHidden/>
          </w:rPr>
          <w:instrText xml:space="preserve"> PAGEREF _Toc4000926 \h </w:instrText>
        </w:r>
        <w:r>
          <w:rPr>
            <w:noProof/>
            <w:webHidden/>
          </w:rPr>
        </w:r>
        <w:r>
          <w:rPr>
            <w:noProof/>
            <w:webHidden/>
          </w:rPr>
          <w:fldChar w:fldCharType="separate"/>
        </w:r>
        <w:r>
          <w:rPr>
            <w:noProof/>
            <w:webHidden/>
          </w:rPr>
          <w:t>iii</w:t>
        </w:r>
        <w:r>
          <w:rPr>
            <w:noProof/>
            <w:webHidden/>
          </w:rPr>
          <w:fldChar w:fldCharType="end"/>
        </w:r>
      </w:hyperlink>
    </w:p>
    <w:p w14:paraId="122F3EF9" w14:textId="77777777" w:rsidR="00DF5104" w:rsidRDefault="00DF5104">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27" w:history="1">
        <w:r w:rsidRPr="00320A44">
          <w:rPr>
            <w:rStyle w:val="Hyperlink"/>
            <w:noProof/>
          </w:rPr>
          <w:t>1</w:t>
        </w:r>
        <w:r>
          <w:rPr>
            <w:rFonts w:asciiTheme="minorHAnsi" w:eastAsiaTheme="minorEastAsia" w:hAnsiTheme="minorHAnsi" w:cstheme="minorBidi"/>
            <w:b w:val="0"/>
            <w:bCs w:val="0"/>
            <w:smallCaps w:val="0"/>
            <w:noProof/>
            <w:spacing w:val="0"/>
            <w:sz w:val="22"/>
            <w:szCs w:val="22"/>
            <w:lang w:eastAsia="en-AU"/>
          </w:rPr>
          <w:tab/>
        </w:r>
        <w:r w:rsidRPr="00320A44">
          <w:rPr>
            <w:rStyle w:val="Hyperlink"/>
            <w:noProof/>
          </w:rPr>
          <w:t>Background</w:t>
        </w:r>
        <w:r>
          <w:rPr>
            <w:noProof/>
            <w:webHidden/>
          </w:rPr>
          <w:tab/>
        </w:r>
        <w:r>
          <w:rPr>
            <w:noProof/>
            <w:webHidden/>
          </w:rPr>
          <w:fldChar w:fldCharType="begin"/>
        </w:r>
        <w:r>
          <w:rPr>
            <w:noProof/>
            <w:webHidden/>
          </w:rPr>
          <w:instrText xml:space="preserve"> PAGEREF _Toc4000927 \h </w:instrText>
        </w:r>
        <w:r>
          <w:rPr>
            <w:noProof/>
            <w:webHidden/>
          </w:rPr>
        </w:r>
        <w:r>
          <w:rPr>
            <w:noProof/>
            <w:webHidden/>
          </w:rPr>
          <w:fldChar w:fldCharType="separate"/>
        </w:r>
        <w:r>
          <w:rPr>
            <w:noProof/>
            <w:webHidden/>
          </w:rPr>
          <w:t>1</w:t>
        </w:r>
        <w:r>
          <w:rPr>
            <w:noProof/>
            <w:webHidden/>
          </w:rPr>
          <w:fldChar w:fldCharType="end"/>
        </w:r>
      </w:hyperlink>
    </w:p>
    <w:p w14:paraId="398F8D3B" w14:textId="77777777" w:rsidR="00DF5104" w:rsidRDefault="00DF5104">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28" w:history="1">
        <w:r w:rsidRPr="00320A44">
          <w:rPr>
            <w:rStyle w:val="Hyperlink"/>
            <w:noProof/>
          </w:rPr>
          <w:t>2</w:t>
        </w:r>
        <w:r>
          <w:rPr>
            <w:rFonts w:asciiTheme="minorHAnsi" w:eastAsiaTheme="minorEastAsia" w:hAnsiTheme="minorHAnsi" w:cstheme="minorBidi"/>
            <w:b w:val="0"/>
            <w:bCs w:val="0"/>
            <w:smallCaps w:val="0"/>
            <w:noProof/>
            <w:spacing w:val="0"/>
            <w:sz w:val="22"/>
            <w:szCs w:val="22"/>
            <w:lang w:eastAsia="en-AU"/>
          </w:rPr>
          <w:tab/>
        </w:r>
        <w:r w:rsidRPr="00320A44">
          <w:rPr>
            <w:rStyle w:val="Hyperlink"/>
            <w:noProof/>
          </w:rPr>
          <w:t>Summary of Submissions</w:t>
        </w:r>
        <w:r>
          <w:rPr>
            <w:noProof/>
            <w:webHidden/>
          </w:rPr>
          <w:tab/>
        </w:r>
        <w:r>
          <w:rPr>
            <w:noProof/>
            <w:webHidden/>
          </w:rPr>
          <w:fldChar w:fldCharType="begin"/>
        </w:r>
        <w:r>
          <w:rPr>
            <w:noProof/>
            <w:webHidden/>
          </w:rPr>
          <w:instrText xml:space="preserve"> PAGEREF _Toc4000928 \h </w:instrText>
        </w:r>
        <w:r>
          <w:rPr>
            <w:noProof/>
            <w:webHidden/>
          </w:rPr>
        </w:r>
        <w:r>
          <w:rPr>
            <w:noProof/>
            <w:webHidden/>
          </w:rPr>
          <w:fldChar w:fldCharType="separate"/>
        </w:r>
        <w:r>
          <w:rPr>
            <w:noProof/>
            <w:webHidden/>
          </w:rPr>
          <w:t>3</w:t>
        </w:r>
        <w:r>
          <w:rPr>
            <w:noProof/>
            <w:webHidden/>
          </w:rPr>
          <w:fldChar w:fldCharType="end"/>
        </w:r>
      </w:hyperlink>
    </w:p>
    <w:p w14:paraId="5329E1CE" w14:textId="77777777" w:rsidR="00DF5104" w:rsidRDefault="00DF5104">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29" w:history="1">
        <w:r w:rsidRPr="00320A44">
          <w:rPr>
            <w:rStyle w:val="Hyperlink"/>
            <w:noProof/>
          </w:rPr>
          <w:t>3</w:t>
        </w:r>
        <w:r>
          <w:rPr>
            <w:rFonts w:asciiTheme="minorHAnsi" w:eastAsiaTheme="minorEastAsia" w:hAnsiTheme="minorHAnsi" w:cstheme="minorBidi"/>
            <w:b w:val="0"/>
            <w:bCs w:val="0"/>
            <w:smallCaps w:val="0"/>
            <w:noProof/>
            <w:spacing w:val="0"/>
            <w:sz w:val="22"/>
            <w:szCs w:val="22"/>
            <w:lang w:eastAsia="en-AU"/>
          </w:rPr>
          <w:tab/>
        </w:r>
        <w:r w:rsidRPr="00320A44">
          <w:rPr>
            <w:rStyle w:val="Hyperlink"/>
            <w:noProof/>
          </w:rPr>
          <w:t>Should the lobbyist register scheme be expanded?</w:t>
        </w:r>
        <w:r>
          <w:rPr>
            <w:noProof/>
            <w:webHidden/>
          </w:rPr>
          <w:tab/>
        </w:r>
        <w:r>
          <w:rPr>
            <w:noProof/>
            <w:webHidden/>
          </w:rPr>
          <w:fldChar w:fldCharType="begin"/>
        </w:r>
        <w:r>
          <w:rPr>
            <w:noProof/>
            <w:webHidden/>
          </w:rPr>
          <w:instrText xml:space="preserve"> PAGEREF _Toc4000929 \h </w:instrText>
        </w:r>
        <w:r>
          <w:rPr>
            <w:noProof/>
            <w:webHidden/>
          </w:rPr>
        </w:r>
        <w:r>
          <w:rPr>
            <w:noProof/>
            <w:webHidden/>
          </w:rPr>
          <w:fldChar w:fldCharType="separate"/>
        </w:r>
        <w:r>
          <w:rPr>
            <w:noProof/>
            <w:webHidden/>
          </w:rPr>
          <w:t>6</w:t>
        </w:r>
        <w:r>
          <w:rPr>
            <w:noProof/>
            <w:webHidden/>
          </w:rPr>
          <w:fldChar w:fldCharType="end"/>
        </w:r>
      </w:hyperlink>
    </w:p>
    <w:p w14:paraId="08C87FB8" w14:textId="77777777" w:rsidR="00DF5104" w:rsidRDefault="00DF5104">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30" w:history="1">
        <w:r w:rsidRPr="00320A44">
          <w:rPr>
            <w:rStyle w:val="Hyperlink"/>
            <w:noProof/>
          </w:rPr>
          <w:t>4</w:t>
        </w:r>
        <w:r>
          <w:rPr>
            <w:rFonts w:asciiTheme="minorHAnsi" w:eastAsiaTheme="minorEastAsia" w:hAnsiTheme="minorHAnsi" w:cstheme="minorBidi"/>
            <w:b w:val="0"/>
            <w:bCs w:val="0"/>
            <w:smallCaps w:val="0"/>
            <w:noProof/>
            <w:spacing w:val="0"/>
            <w:sz w:val="22"/>
            <w:szCs w:val="22"/>
            <w:lang w:eastAsia="en-AU"/>
          </w:rPr>
          <w:tab/>
        </w:r>
        <w:r w:rsidRPr="00320A44">
          <w:rPr>
            <w:rStyle w:val="Hyperlink"/>
            <w:noProof/>
          </w:rPr>
          <w:t>Should the Assembly continue with the existing scheme?</w:t>
        </w:r>
        <w:r>
          <w:rPr>
            <w:noProof/>
            <w:webHidden/>
          </w:rPr>
          <w:tab/>
        </w:r>
        <w:r>
          <w:rPr>
            <w:noProof/>
            <w:webHidden/>
          </w:rPr>
          <w:fldChar w:fldCharType="begin"/>
        </w:r>
        <w:r>
          <w:rPr>
            <w:noProof/>
            <w:webHidden/>
          </w:rPr>
          <w:instrText xml:space="preserve"> PAGEREF _Toc4000930 \h </w:instrText>
        </w:r>
        <w:r>
          <w:rPr>
            <w:noProof/>
            <w:webHidden/>
          </w:rPr>
        </w:r>
        <w:r>
          <w:rPr>
            <w:noProof/>
            <w:webHidden/>
          </w:rPr>
          <w:fldChar w:fldCharType="separate"/>
        </w:r>
        <w:r>
          <w:rPr>
            <w:noProof/>
            <w:webHidden/>
          </w:rPr>
          <w:t>8</w:t>
        </w:r>
        <w:r>
          <w:rPr>
            <w:noProof/>
            <w:webHidden/>
          </w:rPr>
          <w:fldChar w:fldCharType="end"/>
        </w:r>
      </w:hyperlink>
    </w:p>
    <w:p w14:paraId="0ED86E31" w14:textId="77777777" w:rsidR="00DF5104" w:rsidRDefault="00DF5104">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31" w:history="1">
        <w:r w:rsidRPr="00320A44">
          <w:rPr>
            <w:rStyle w:val="Hyperlink"/>
            <w:noProof/>
          </w:rPr>
          <w:t>5</w:t>
        </w:r>
        <w:r>
          <w:rPr>
            <w:rFonts w:asciiTheme="minorHAnsi" w:eastAsiaTheme="minorEastAsia" w:hAnsiTheme="minorHAnsi" w:cstheme="minorBidi"/>
            <w:b w:val="0"/>
            <w:bCs w:val="0"/>
            <w:smallCaps w:val="0"/>
            <w:noProof/>
            <w:spacing w:val="0"/>
            <w:sz w:val="22"/>
            <w:szCs w:val="22"/>
            <w:lang w:eastAsia="en-AU"/>
          </w:rPr>
          <w:tab/>
        </w:r>
        <w:r w:rsidRPr="00320A44">
          <w:rPr>
            <w:rStyle w:val="Hyperlink"/>
            <w:noProof/>
          </w:rPr>
          <w:t>Has the scheme provided value to members in relation to assisting with openness and transparency of lobbyists in the territory?</w:t>
        </w:r>
        <w:r>
          <w:rPr>
            <w:noProof/>
            <w:webHidden/>
          </w:rPr>
          <w:tab/>
        </w:r>
        <w:r>
          <w:rPr>
            <w:noProof/>
            <w:webHidden/>
          </w:rPr>
          <w:fldChar w:fldCharType="begin"/>
        </w:r>
        <w:r>
          <w:rPr>
            <w:noProof/>
            <w:webHidden/>
          </w:rPr>
          <w:instrText xml:space="preserve"> PAGEREF _Toc4000931 \h </w:instrText>
        </w:r>
        <w:r>
          <w:rPr>
            <w:noProof/>
            <w:webHidden/>
          </w:rPr>
        </w:r>
        <w:r>
          <w:rPr>
            <w:noProof/>
            <w:webHidden/>
          </w:rPr>
          <w:fldChar w:fldCharType="separate"/>
        </w:r>
        <w:r>
          <w:rPr>
            <w:noProof/>
            <w:webHidden/>
          </w:rPr>
          <w:t>9</w:t>
        </w:r>
        <w:r>
          <w:rPr>
            <w:noProof/>
            <w:webHidden/>
          </w:rPr>
          <w:fldChar w:fldCharType="end"/>
        </w:r>
      </w:hyperlink>
    </w:p>
    <w:p w14:paraId="2008180F" w14:textId="77777777" w:rsidR="00DF5104" w:rsidRDefault="00DF5104">
      <w:pPr>
        <w:pStyle w:val="TOC1"/>
        <w:tabs>
          <w:tab w:val="left" w:pos="1588"/>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32" w:history="1">
        <w:r w:rsidRPr="00320A44">
          <w:rPr>
            <w:rStyle w:val="Hyperlink"/>
            <w:noProof/>
          </w:rPr>
          <w:t>6</w:t>
        </w:r>
        <w:r>
          <w:rPr>
            <w:rFonts w:asciiTheme="minorHAnsi" w:eastAsiaTheme="minorEastAsia" w:hAnsiTheme="minorHAnsi" w:cstheme="minorBidi"/>
            <w:b w:val="0"/>
            <w:bCs w:val="0"/>
            <w:smallCaps w:val="0"/>
            <w:noProof/>
            <w:spacing w:val="0"/>
            <w:sz w:val="22"/>
            <w:szCs w:val="22"/>
            <w:lang w:eastAsia="en-AU"/>
          </w:rPr>
          <w:tab/>
        </w:r>
        <w:r w:rsidRPr="00320A44">
          <w:rPr>
            <w:rStyle w:val="Hyperlink"/>
            <w:noProof/>
          </w:rPr>
          <w:t>Conclusion</w:t>
        </w:r>
        <w:r>
          <w:rPr>
            <w:noProof/>
            <w:webHidden/>
          </w:rPr>
          <w:tab/>
        </w:r>
        <w:r>
          <w:rPr>
            <w:noProof/>
            <w:webHidden/>
          </w:rPr>
          <w:fldChar w:fldCharType="begin"/>
        </w:r>
        <w:r>
          <w:rPr>
            <w:noProof/>
            <w:webHidden/>
          </w:rPr>
          <w:instrText xml:space="preserve"> PAGEREF _Toc4000932 \h </w:instrText>
        </w:r>
        <w:r>
          <w:rPr>
            <w:noProof/>
            <w:webHidden/>
          </w:rPr>
        </w:r>
        <w:r>
          <w:rPr>
            <w:noProof/>
            <w:webHidden/>
          </w:rPr>
          <w:fldChar w:fldCharType="separate"/>
        </w:r>
        <w:r>
          <w:rPr>
            <w:noProof/>
            <w:webHidden/>
          </w:rPr>
          <w:t>11</w:t>
        </w:r>
        <w:r>
          <w:rPr>
            <w:noProof/>
            <w:webHidden/>
          </w:rPr>
          <w:fldChar w:fldCharType="end"/>
        </w:r>
      </w:hyperlink>
    </w:p>
    <w:p w14:paraId="6FFFE6A5" w14:textId="77777777" w:rsidR="005973EA" w:rsidRDefault="00383DFC">
      <w:r>
        <w:fldChar w:fldCharType="end"/>
      </w:r>
    </w:p>
    <w:p w14:paraId="47404034" w14:textId="77777777" w:rsidR="006F1579" w:rsidRDefault="006F1579" w:rsidP="005973EA">
      <w:pPr>
        <w:sectPr w:rsidR="006F1579" w:rsidSect="001C2D1C">
          <w:headerReference w:type="even" r:id="rId18"/>
          <w:headerReference w:type="default" r:id="rId19"/>
          <w:footerReference w:type="even" r:id="rId20"/>
          <w:footerReference w:type="default" r:id="rId21"/>
          <w:type w:val="oddPage"/>
          <w:pgSz w:w="11907" w:h="16840" w:code="9"/>
          <w:pgMar w:top="1588" w:right="1418" w:bottom="1418" w:left="1418" w:header="720" w:footer="851" w:gutter="0"/>
          <w:pgNumType w:fmt="lowerRoman" w:start="1"/>
          <w:cols w:space="720"/>
          <w:docGrid w:linePitch="360"/>
        </w:sectPr>
      </w:pPr>
    </w:p>
    <w:p w14:paraId="06EBD2E7" w14:textId="77777777" w:rsidR="004001FB" w:rsidRDefault="004001FB" w:rsidP="00566B91">
      <w:pPr>
        <w:pStyle w:val="Heading2"/>
        <w:numPr>
          <w:ilvl w:val="0"/>
          <w:numId w:val="0"/>
        </w:numPr>
        <w:ind w:left="567" w:hanging="567"/>
      </w:pPr>
      <w:bookmarkStart w:id="26" w:name="_Toc4000926"/>
      <w:r>
        <w:lastRenderedPageBreak/>
        <w:t>Recommendations</w:t>
      </w:r>
      <w:bookmarkEnd w:id="26"/>
    </w:p>
    <w:p w14:paraId="1A519757" w14:textId="77777777" w:rsidR="00DF5104" w:rsidRDefault="00566B91">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"Recommendation,1,Recommendation Text,2,Recommendation Bullet,3" </w:instrText>
      </w:r>
      <w:r>
        <w:fldChar w:fldCharType="separate"/>
      </w:r>
      <w:hyperlink w:anchor="_Toc4000933" w:history="1">
        <w:r w:rsidR="00DF5104" w:rsidRPr="007852C2">
          <w:rPr>
            <w:rStyle w:val="Hyperlink"/>
            <w:noProof/>
          </w:rPr>
          <w:t>Recommendation 1</w:t>
        </w:r>
      </w:hyperlink>
    </w:p>
    <w:p w14:paraId="4727B3A8" w14:textId="77777777" w:rsidR="00DF5104" w:rsidRDefault="00DF5104">
      <w:pPr>
        <w:pStyle w:val="TOC2"/>
        <w:rPr>
          <w:rFonts w:asciiTheme="minorHAnsi" w:eastAsiaTheme="minorEastAsia" w:hAnsiTheme="minorHAnsi" w:cstheme="minorBidi"/>
          <w:szCs w:val="22"/>
        </w:rPr>
      </w:pPr>
      <w:hyperlink w:anchor="_Toc4000934" w:history="1">
        <w:r w:rsidRPr="007852C2">
          <w:rPr>
            <w:rStyle w:val="Hyperlink"/>
          </w:rPr>
          <w:t>6.3</w:t>
        </w:r>
        <w:r>
          <w:rPr>
            <w:rFonts w:asciiTheme="minorHAnsi" w:eastAsiaTheme="minorEastAsia" w:hAnsiTheme="minorHAnsi" w:cstheme="minorBidi"/>
            <w:szCs w:val="22"/>
          </w:rPr>
          <w:tab/>
        </w:r>
        <w:r w:rsidRPr="007852C2">
          <w:rPr>
            <w:rStyle w:val="Hyperlink"/>
          </w:rPr>
          <w:t>The Committee recommends that the expansion of the ACT Register of Lobbyists be reconsidered at least 12 months after the commencement of the ACT Integrity Commission and not before the beginning of the 10th Assembly.</w:t>
        </w:r>
      </w:hyperlink>
    </w:p>
    <w:p w14:paraId="5923FFB5" w14:textId="77777777" w:rsidR="00DF5104" w:rsidRDefault="00DF5104">
      <w:pPr>
        <w:pStyle w:val="TOC1"/>
        <w:tabs>
          <w:tab w:val="right" w:leader="dot" w:pos="9061"/>
        </w:tabs>
        <w:rPr>
          <w:rFonts w:asciiTheme="minorHAnsi" w:eastAsiaTheme="minorEastAsia" w:hAnsiTheme="minorHAnsi" w:cstheme="minorBidi"/>
          <w:b w:val="0"/>
          <w:bCs w:val="0"/>
          <w:smallCaps w:val="0"/>
          <w:noProof/>
          <w:spacing w:val="0"/>
          <w:sz w:val="22"/>
          <w:szCs w:val="22"/>
          <w:lang w:eastAsia="en-AU"/>
        </w:rPr>
      </w:pPr>
      <w:hyperlink w:anchor="_Toc4000935" w:history="1">
        <w:r w:rsidRPr="007852C2">
          <w:rPr>
            <w:rStyle w:val="Hyperlink"/>
            <w:noProof/>
          </w:rPr>
          <w:t>Recommendation 2</w:t>
        </w:r>
      </w:hyperlink>
    </w:p>
    <w:p w14:paraId="5515AE20" w14:textId="77777777" w:rsidR="00DF5104" w:rsidRDefault="00DF5104">
      <w:pPr>
        <w:pStyle w:val="TOC2"/>
        <w:rPr>
          <w:rFonts w:asciiTheme="minorHAnsi" w:eastAsiaTheme="minorEastAsia" w:hAnsiTheme="minorHAnsi" w:cstheme="minorBidi"/>
          <w:szCs w:val="22"/>
        </w:rPr>
      </w:pPr>
      <w:hyperlink w:anchor="_Toc4000936" w:history="1">
        <w:r w:rsidRPr="007852C2">
          <w:rPr>
            <w:rStyle w:val="Hyperlink"/>
          </w:rPr>
          <w:t>6.4</w:t>
        </w:r>
        <w:r>
          <w:rPr>
            <w:rFonts w:asciiTheme="minorHAnsi" w:eastAsiaTheme="minorEastAsia" w:hAnsiTheme="minorHAnsi" w:cstheme="minorBidi"/>
            <w:szCs w:val="22"/>
          </w:rPr>
          <w:tab/>
        </w:r>
        <w:r w:rsidRPr="007852C2">
          <w:rPr>
            <w:rStyle w:val="Hyperlink"/>
          </w:rPr>
          <w:t xml:space="preserve">The Committee recommends that the below recommended amendments contained in the report of the Standing Committee on Administration and Procedure entitled </w:t>
        </w:r>
        <w:r w:rsidRPr="007852C2">
          <w:rPr>
            <w:rStyle w:val="Hyperlink"/>
            <w:i/>
          </w:rPr>
          <w:t>Review of the standing orders and continuing resolutions of the Legislative Assembly</w:t>
        </w:r>
        <w:r w:rsidRPr="007852C2">
          <w:rPr>
            <w:rStyle w:val="Hyperlink"/>
          </w:rPr>
          <w:t xml:space="preserve"> be adopted.</w:t>
        </w:r>
      </w:hyperlink>
    </w:p>
    <w:p w14:paraId="3BC5E6A1" w14:textId="77777777" w:rsidR="00DF5104" w:rsidRDefault="00DF5104">
      <w:pPr>
        <w:pStyle w:val="TOC3"/>
        <w:rPr>
          <w:rFonts w:asciiTheme="minorHAnsi" w:eastAsiaTheme="minorEastAsia" w:hAnsiTheme="minorHAnsi" w:cstheme="minorBidi"/>
          <w:b w:val="0"/>
          <w:iCs w:val="0"/>
          <w:noProof/>
          <w:szCs w:val="22"/>
          <w:lang w:eastAsia="en-AU"/>
        </w:rPr>
      </w:pPr>
      <w:hyperlink w:anchor="_Toc4000937" w:history="1">
        <w:r w:rsidRPr="007852C2">
          <w:rPr>
            <w:rStyle w:val="Hyperlink"/>
            <w:rFonts w:ascii="Wingdings" w:hAnsi="Wingdings"/>
            <w:noProof/>
            <w:lang w:eastAsia="en-AU"/>
          </w:rPr>
          <w:t></w:t>
        </w:r>
        <w:r>
          <w:rPr>
            <w:rFonts w:asciiTheme="minorHAnsi" w:eastAsiaTheme="minorEastAsia" w:hAnsiTheme="minorHAnsi" w:cstheme="minorBidi"/>
            <w:b w:val="0"/>
            <w:iCs w:val="0"/>
            <w:noProof/>
            <w:szCs w:val="22"/>
            <w:lang w:eastAsia="en-AU"/>
          </w:rPr>
          <w:tab/>
        </w:r>
        <w:r w:rsidRPr="007852C2">
          <w:rPr>
            <w:rStyle w:val="Hyperlink"/>
            <w:noProof/>
          </w:rPr>
          <w:t>Recommended</w:t>
        </w:r>
        <w:r w:rsidRPr="007852C2">
          <w:rPr>
            <w:rStyle w:val="Hyperlink"/>
            <w:noProof/>
            <w:lang w:eastAsia="en-AU"/>
          </w:rPr>
          <w:t xml:space="preserve"> amendment 69—Continuing Resolution 8AC—ACT Lobbyist Regulation Guidelines</w:t>
        </w:r>
      </w:hyperlink>
    </w:p>
    <w:p w14:paraId="322D82A2" w14:textId="77777777" w:rsidR="00DF5104" w:rsidRDefault="00DF5104">
      <w:pPr>
        <w:pStyle w:val="TOC2"/>
        <w:rPr>
          <w:rFonts w:asciiTheme="minorHAnsi" w:eastAsiaTheme="minorEastAsia" w:hAnsiTheme="minorHAnsi" w:cstheme="minorBidi"/>
          <w:szCs w:val="22"/>
        </w:rPr>
      </w:pPr>
      <w:hyperlink w:anchor="_Toc4000938" w:history="1">
        <w:r w:rsidRPr="007852C2">
          <w:rPr>
            <w:rStyle w:val="Hyperlink"/>
          </w:rPr>
          <w:t>Public content of the ACT Register of Lobbyists</w:t>
        </w:r>
      </w:hyperlink>
    </w:p>
    <w:p w14:paraId="16F95A05" w14:textId="77777777" w:rsidR="00DF5104" w:rsidRDefault="00DF5104">
      <w:pPr>
        <w:pStyle w:val="TOC2"/>
        <w:rPr>
          <w:rFonts w:asciiTheme="minorHAnsi" w:eastAsiaTheme="minorEastAsia" w:hAnsiTheme="minorHAnsi" w:cstheme="minorBidi"/>
          <w:szCs w:val="22"/>
        </w:rPr>
      </w:pPr>
      <w:hyperlink w:anchor="_Toc4000939" w:history="1">
        <w:r w:rsidRPr="007852C2">
          <w:rPr>
            <w:rStyle w:val="Hyperlink"/>
          </w:rPr>
          <w:t>The public section of the Register is to contain the following detail for each registrant:</w:t>
        </w:r>
      </w:hyperlink>
    </w:p>
    <w:p w14:paraId="76FF2B22" w14:textId="77777777" w:rsidR="00DF5104" w:rsidRDefault="00DF5104">
      <w:pPr>
        <w:pStyle w:val="TOC2"/>
        <w:rPr>
          <w:rFonts w:asciiTheme="minorHAnsi" w:eastAsiaTheme="minorEastAsia" w:hAnsiTheme="minorHAnsi" w:cstheme="minorBidi"/>
          <w:szCs w:val="22"/>
        </w:rPr>
      </w:pPr>
      <w:hyperlink w:anchor="_Toc4000940" w:history="1">
        <w:r w:rsidRPr="007852C2">
          <w:rPr>
            <w:rStyle w:val="Hyperlink"/>
            <w:i/>
          </w:rPr>
          <w:t>delete words</w:t>
        </w:r>
        <w:r w:rsidRPr="007852C2">
          <w:rPr>
            <w:rStyle w:val="Hyperlink"/>
          </w:rPr>
          <w:t>—</w:t>
        </w:r>
      </w:hyperlink>
    </w:p>
    <w:p w14:paraId="3626B5D5" w14:textId="77777777" w:rsidR="00DF5104" w:rsidRDefault="00DF5104">
      <w:pPr>
        <w:pStyle w:val="TOC2"/>
        <w:rPr>
          <w:rFonts w:asciiTheme="minorHAnsi" w:eastAsiaTheme="minorEastAsia" w:hAnsiTheme="minorHAnsi" w:cstheme="minorBidi"/>
          <w:szCs w:val="22"/>
        </w:rPr>
      </w:pPr>
      <w:hyperlink w:anchor="_Toc4000941" w:history="1">
        <w:r w:rsidRPr="007852C2">
          <w:rPr>
            <w:rStyle w:val="Hyperlink"/>
          </w:rPr>
          <w:t>For a natural person:</w:t>
        </w:r>
      </w:hyperlink>
    </w:p>
    <w:p w14:paraId="061A773C" w14:textId="77777777" w:rsidR="00DF5104" w:rsidRDefault="00DF5104">
      <w:pPr>
        <w:pStyle w:val="TOC2"/>
        <w:rPr>
          <w:rFonts w:asciiTheme="minorHAnsi" w:eastAsiaTheme="minorEastAsia" w:hAnsiTheme="minorHAnsi" w:cstheme="minorBidi"/>
          <w:szCs w:val="22"/>
        </w:rPr>
      </w:pPr>
      <w:hyperlink w:anchor="_Toc4000942" w:history="1">
        <w:r w:rsidRPr="007852C2">
          <w:rPr>
            <w:rStyle w:val="Hyperlink"/>
          </w:rPr>
          <w:t>…</w:t>
        </w:r>
      </w:hyperlink>
    </w:p>
    <w:p w14:paraId="405CFDE2" w14:textId="77777777" w:rsidR="00DF5104" w:rsidRDefault="00DF5104">
      <w:pPr>
        <w:pStyle w:val="TOC2"/>
        <w:rPr>
          <w:rFonts w:asciiTheme="minorHAnsi" w:eastAsiaTheme="minorEastAsia" w:hAnsiTheme="minorHAnsi" w:cstheme="minorBidi"/>
          <w:szCs w:val="22"/>
        </w:rPr>
      </w:pPr>
      <w:hyperlink w:anchor="_Toc4000943" w:history="1">
        <w:r w:rsidRPr="007852C2">
          <w:rPr>
            <w:rStyle w:val="Hyperlink"/>
          </w:rPr>
          <w:t>“(i)</w:t>
        </w:r>
        <w:r>
          <w:rPr>
            <w:rFonts w:asciiTheme="minorHAnsi" w:eastAsiaTheme="minorEastAsia" w:hAnsiTheme="minorHAnsi" w:cstheme="minorBidi"/>
            <w:szCs w:val="22"/>
          </w:rPr>
          <w:tab/>
        </w:r>
        <w:r w:rsidRPr="007852C2">
          <w:rPr>
            <w:rStyle w:val="Hyperlink"/>
          </w:rPr>
          <w:t>name and address of each person or entity on whose behalf lobbying has been conducted in the preceding 12 months, whether or not for reward.”</w:t>
        </w:r>
      </w:hyperlink>
    </w:p>
    <w:p w14:paraId="4A848CB6" w14:textId="77777777" w:rsidR="00DF5104" w:rsidRDefault="00DF5104">
      <w:pPr>
        <w:pStyle w:val="TOC2"/>
        <w:rPr>
          <w:rFonts w:asciiTheme="minorHAnsi" w:eastAsiaTheme="minorEastAsia" w:hAnsiTheme="minorHAnsi" w:cstheme="minorBidi"/>
          <w:szCs w:val="22"/>
        </w:rPr>
      </w:pPr>
      <w:hyperlink w:anchor="_Toc4000944" w:history="1">
        <w:r w:rsidRPr="007852C2">
          <w:rPr>
            <w:rStyle w:val="Hyperlink"/>
          </w:rPr>
          <w:t>For a partnership:</w:t>
        </w:r>
      </w:hyperlink>
    </w:p>
    <w:p w14:paraId="5A16F224" w14:textId="77777777" w:rsidR="00DF5104" w:rsidRDefault="00DF5104">
      <w:pPr>
        <w:pStyle w:val="TOC2"/>
        <w:rPr>
          <w:rFonts w:asciiTheme="minorHAnsi" w:eastAsiaTheme="minorEastAsia" w:hAnsiTheme="minorHAnsi" w:cstheme="minorBidi"/>
          <w:szCs w:val="22"/>
        </w:rPr>
      </w:pPr>
      <w:hyperlink w:anchor="_Toc4000945" w:history="1">
        <w:r w:rsidRPr="007852C2">
          <w:rPr>
            <w:rStyle w:val="Hyperlink"/>
          </w:rPr>
          <w:t>…</w:t>
        </w:r>
      </w:hyperlink>
    </w:p>
    <w:p w14:paraId="3D54289E" w14:textId="77777777" w:rsidR="00DF5104" w:rsidRDefault="00DF5104">
      <w:pPr>
        <w:pStyle w:val="TOC2"/>
        <w:rPr>
          <w:rFonts w:asciiTheme="minorHAnsi" w:eastAsiaTheme="minorEastAsia" w:hAnsiTheme="minorHAnsi" w:cstheme="minorBidi"/>
          <w:szCs w:val="22"/>
        </w:rPr>
      </w:pPr>
      <w:hyperlink w:anchor="_Toc4000946" w:history="1">
        <w:r w:rsidRPr="007852C2">
          <w:rPr>
            <w:rStyle w:val="Hyperlink"/>
          </w:rPr>
          <w:t>“(i)</w:t>
        </w:r>
        <w:r>
          <w:rPr>
            <w:rFonts w:asciiTheme="minorHAnsi" w:eastAsiaTheme="minorEastAsia" w:hAnsiTheme="minorHAnsi" w:cstheme="minorBidi"/>
            <w:szCs w:val="22"/>
          </w:rPr>
          <w:tab/>
        </w:r>
        <w:r w:rsidRPr="007852C2">
          <w:rPr>
            <w:rStyle w:val="Hyperlink"/>
          </w:rPr>
          <w:t>name and address of each person or entity on whose behalf lobbying has been conducted in the preceding 12 months, whether or not for reward.”</w:t>
        </w:r>
      </w:hyperlink>
    </w:p>
    <w:p w14:paraId="60A7118F" w14:textId="77777777" w:rsidR="00DF5104" w:rsidRDefault="00DF5104">
      <w:pPr>
        <w:pStyle w:val="TOC2"/>
        <w:rPr>
          <w:rFonts w:asciiTheme="minorHAnsi" w:eastAsiaTheme="minorEastAsia" w:hAnsiTheme="minorHAnsi" w:cstheme="minorBidi"/>
          <w:szCs w:val="22"/>
        </w:rPr>
      </w:pPr>
      <w:hyperlink w:anchor="_Toc4000947" w:history="1">
        <w:r w:rsidRPr="007852C2">
          <w:rPr>
            <w:rStyle w:val="Hyperlink"/>
          </w:rPr>
          <w:t>For a company:</w:t>
        </w:r>
      </w:hyperlink>
    </w:p>
    <w:p w14:paraId="045984D4" w14:textId="77777777" w:rsidR="00DF5104" w:rsidRDefault="00DF5104">
      <w:pPr>
        <w:pStyle w:val="TOC2"/>
        <w:rPr>
          <w:rFonts w:asciiTheme="minorHAnsi" w:eastAsiaTheme="minorEastAsia" w:hAnsiTheme="minorHAnsi" w:cstheme="minorBidi"/>
          <w:szCs w:val="22"/>
        </w:rPr>
      </w:pPr>
      <w:hyperlink w:anchor="_Toc4000948" w:history="1">
        <w:r w:rsidRPr="007852C2">
          <w:rPr>
            <w:rStyle w:val="Hyperlink"/>
          </w:rPr>
          <w:t>…</w:t>
        </w:r>
      </w:hyperlink>
    </w:p>
    <w:p w14:paraId="79495F60" w14:textId="77777777" w:rsidR="00DF5104" w:rsidRDefault="00DF5104">
      <w:pPr>
        <w:pStyle w:val="TOC2"/>
        <w:rPr>
          <w:rFonts w:asciiTheme="minorHAnsi" w:eastAsiaTheme="minorEastAsia" w:hAnsiTheme="minorHAnsi" w:cstheme="minorBidi"/>
          <w:szCs w:val="22"/>
        </w:rPr>
      </w:pPr>
      <w:hyperlink w:anchor="_Toc4000949" w:history="1">
        <w:r w:rsidRPr="007852C2">
          <w:rPr>
            <w:rStyle w:val="Hyperlink"/>
          </w:rPr>
          <w:t>“(k)</w:t>
        </w:r>
        <w:r>
          <w:rPr>
            <w:rFonts w:asciiTheme="minorHAnsi" w:eastAsiaTheme="minorEastAsia" w:hAnsiTheme="minorHAnsi" w:cstheme="minorBidi"/>
            <w:szCs w:val="22"/>
          </w:rPr>
          <w:tab/>
        </w:r>
        <w:r w:rsidRPr="007852C2">
          <w:rPr>
            <w:rStyle w:val="Hyperlink"/>
          </w:rPr>
          <w:t>name and address of each person or entity on whose behalf lobbying has been conducted in the preceding 12 months, whether or not for reward.”</w:t>
        </w:r>
      </w:hyperlink>
    </w:p>
    <w:p w14:paraId="0EDCE615" w14:textId="77777777" w:rsidR="00DF5104" w:rsidRDefault="00DF5104">
      <w:pPr>
        <w:pStyle w:val="TOC3"/>
        <w:rPr>
          <w:rFonts w:asciiTheme="minorHAnsi" w:eastAsiaTheme="minorEastAsia" w:hAnsiTheme="minorHAnsi" w:cstheme="minorBidi"/>
          <w:b w:val="0"/>
          <w:iCs w:val="0"/>
          <w:noProof/>
          <w:szCs w:val="22"/>
          <w:lang w:eastAsia="en-AU"/>
        </w:rPr>
      </w:pPr>
      <w:hyperlink w:anchor="_Toc4000950" w:history="1">
        <w:r w:rsidRPr="007852C2">
          <w:rPr>
            <w:rStyle w:val="Hyperlink"/>
            <w:rFonts w:ascii="Wingdings" w:hAnsi="Wingdings"/>
            <w:noProof/>
          </w:rPr>
          <w:t></w:t>
        </w:r>
        <w:r>
          <w:rPr>
            <w:rFonts w:asciiTheme="minorHAnsi" w:eastAsiaTheme="minorEastAsia" w:hAnsiTheme="minorHAnsi" w:cstheme="minorBidi"/>
            <w:b w:val="0"/>
            <w:iCs w:val="0"/>
            <w:noProof/>
            <w:szCs w:val="22"/>
            <w:lang w:eastAsia="en-AU"/>
          </w:rPr>
          <w:tab/>
        </w:r>
        <w:r w:rsidRPr="007852C2">
          <w:rPr>
            <w:rStyle w:val="Hyperlink"/>
            <w:noProof/>
          </w:rPr>
          <w:t>Recommended amendment 70—Continuing Resolution 8AC—ACT Lobbyist Regulation Guidelines</w:t>
        </w:r>
      </w:hyperlink>
    </w:p>
    <w:p w14:paraId="4B735F03" w14:textId="77777777" w:rsidR="00DF5104" w:rsidRDefault="00DF5104">
      <w:pPr>
        <w:pStyle w:val="TOC2"/>
        <w:rPr>
          <w:rFonts w:asciiTheme="minorHAnsi" w:eastAsiaTheme="minorEastAsia" w:hAnsiTheme="minorHAnsi" w:cstheme="minorBidi"/>
          <w:szCs w:val="22"/>
        </w:rPr>
      </w:pPr>
      <w:hyperlink w:anchor="_Toc4000951" w:history="1">
        <w:r w:rsidRPr="007852C2">
          <w:rPr>
            <w:rStyle w:val="Hyperlink"/>
          </w:rPr>
          <w:t>Maintaining accuracy of the Register</w:t>
        </w:r>
      </w:hyperlink>
    </w:p>
    <w:p w14:paraId="2410D673" w14:textId="77777777" w:rsidR="00DF5104" w:rsidRDefault="00DF5104">
      <w:pPr>
        <w:pStyle w:val="TOC2"/>
        <w:rPr>
          <w:rFonts w:asciiTheme="minorHAnsi" w:eastAsiaTheme="minorEastAsia" w:hAnsiTheme="minorHAnsi" w:cstheme="minorBidi"/>
          <w:szCs w:val="22"/>
        </w:rPr>
      </w:pPr>
      <w:hyperlink w:anchor="_Toc4000952" w:history="1">
        <w:r w:rsidRPr="007852C2">
          <w:rPr>
            <w:rStyle w:val="Hyperlink"/>
          </w:rPr>
          <w:t>The public section of the Register is to contain the following detail for each registrant:</w:t>
        </w:r>
      </w:hyperlink>
    </w:p>
    <w:p w14:paraId="34FFC3E2" w14:textId="77777777" w:rsidR="00DF5104" w:rsidRDefault="00DF5104">
      <w:pPr>
        <w:pStyle w:val="TOC2"/>
        <w:rPr>
          <w:rFonts w:asciiTheme="minorHAnsi" w:eastAsiaTheme="minorEastAsia" w:hAnsiTheme="minorHAnsi" w:cstheme="minorBidi"/>
          <w:szCs w:val="22"/>
        </w:rPr>
      </w:pPr>
      <w:hyperlink w:anchor="_Toc4000953" w:history="1">
        <w:r w:rsidRPr="007852C2">
          <w:rPr>
            <w:rStyle w:val="Hyperlink"/>
            <w:i/>
          </w:rPr>
          <w:t>Omit</w:t>
        </w:r>
      </w:hyperlink>
    </w:p>
    <w:p w14:paraId="530A813A" w14:textId="77777777" w:rsidR="00DF5104" w:rsidRDefault="00DF5104">
      <w:pPr>
        <w:pStyle w:val="TOC2"/>
        <w:rPr>
          <w:rFonts w:asciiTheme="minorHAnsi" w:eastAsiaTheme="minorEastAsia" w:hAnsiTheme="minorHAnsi" w:cstheme="minorBidi"/>
          <w:szCs w:val="22"/>
        </w:rPr>
      </w:pPr>
      <w:hyperlink w:anchor="_Toc4000954" w:history="1">
        <w:r w:rsidRPr="007852C2">
          <w:rPr>
            <w:rStyle w:val="Hyperlink"/>
          </w:rPr>
          <w:t>“In addition to providing notification of changes in registered details, a registered lobbyist is required to provide the Clerk with a quarterly return, within 10 working days of 31 March, 30 June, 30 September and 31 December in each year, which return is required to:”</w:t>
        </w:r>
      </w:hyperlink>
    </w:p>
    <w:p w14:paraId="550C7CE3" w14:textId="77777777" w:rsidR="00DF5104" w:rsidRDefault="00DF5104">
      <w:pPr>
        <w:pStyle w:val="TOC2"/>
        <w:rPr>
          <w:rFonts w:asciiTheme="minorHAnsi" w:eastAsiaTheme="minorEastAsia" w:hAnsiTheme="minorHAnsi" w:cstheme="minorBidi"/>
          <w:szCs w:val="22"/>
        </w:rPr>
      </w:pPr>
      <w:hyperlink w:anchor="_Toc4000955" w:history="1">
        <w:r w:rsidRPr="007852C2">
          <w:rPr>
            <w:rStyle w:val="Hyperlink"/>
            <w:i/>
          </w:rPr>
          <w:t>Substitute</w:t>
        </w:r>
      </w:hyperlink>
    </w:p>
    <w:p w14:paraId="5B20031B" w14:textId="77777777" w:rsidR="00DF5104" w:rsidRDefault="00DF5104">
      <w:pPr>
        <w:pStyle w:val="TOC2"/>
        <w:rPr>
          <w:rFonts w:asciiTheme="minorHAnsi" w:eastAsiaTheme="minorEastAsia" w:hAnsiTheme="minorHAnsi" w:cstheme="minorBidi"/>
          <w:szCs w:val="22"/>
        </w:rPr>
      </w:pPr>
      <w:hyperlink w:anchor="_Toc4000956" w:history="1">
        <w:r w:rsidRPr="007852C2">
          <w:rPr>
            <w:rStyle w:val="Hyperlink"/>
          </w:rPr>
          <w:t>“In addition to providing notification of changes in registered details, a registered lobbyist is required to provide the Clerk with a six monthly return, within 15 working days of 30 June and 31 December in each year, which return is required to:”.</w:t>
        </w:r>
      </w:hyperlink>
    </w:p>
    <w:p w14:paraId="7623F933" w14:textId="77777777" w:rsidR="00DF5104" w:rsidRDefault="00DF5104">
      <w:pPr>
        <w:pStyle w:val="TOC3"/>
        <w:rPr>
          <w:rFonts w:asciiTheme="minorHAnsi" w:eastAsiaTheme="minorEastAsia" w:hAnsiTheme="minorHAnsi" w:cstheme="minorBidi"/>
          <w:b w:val="0"/>
          <w:iCs w:val="0"/>
          <w:noProof/>
          <w:szCs w:val="22"/>
          <w:lang w:eastAsia="en-AU"/>
        </w:rPr>
      </w:pPr>
      <w:hyperlink w:anchor="_Toc4000957" w:history="1">
        <w:r w:rsidRPr="007852C2">
          <w:rPr>
            <w:rStyle w:val="Hyperlink"/>
            <w:rFonts w:ascii="Wingdings" w:hAnsi="Wingdings"/>
            <w:noProof/>
          </w:rPr>
          <w:t></w:t>
        </w:r>
        <w:r>
          <w:rPr>
            <w:rFonts w:asciiTheme="minorHAnsi" w:eastAsiaTheme="minorEastAsia" w:hAnsiTheme="minorHAnsi" w:cstheme="minorBidi"/>
            <w:b w:val="0"/>
            <w:iCs w:val="0"/>
            <w:noProof/>
            <w:szCs w:val="22"/>
            <w:lang w:eastAsia="en-AU"/>
          </w:rPr>
          <w:tab/>
        </w:r>
        <w:r w:rsidRPr="007852C2">
          <w:rPr>
            <w:rStyle w:val="Hyperlink"/>
            <w:noProof/>
          </w:rPr>
          <w:t>Recommended amendment 71—Continuing Resolution 8AC—ACT Lobbyist Regulation Guidelines</w:t>
        </w:r>
      </w:hyperlink>
    </w:p>
    <w:p w14:paraId="5D1C03ED" w14:textId="77777777" w:rsidR="00DF5104" w:rsidRDefault="00DF5104">
      <w:pPr>
        <w:pStyle w:val="TOC2"/>
        <w:rPr>
          <w:rFonts w:asciiTheme="minorHAnsi" w:eastAsiaTheme="minorEastAsia" w:hAnsiTheme="minorHAnsi" w:cstheme="minorBidi"/>
          <w:szCs w:val="22"/>
        </w:rPr>
      </w:pPr>
      <w:hyperlink w:anchor="_Toc4000958" w:history="1">
        <w:r w:rsidRPr="007852C2">
          <w:rPr>
            <w:rStyle w:val="Hyperlink"/>
            <w:bCs/>
            <w:i/>
          </w:rPr>
          <w:t>Insert the following under the “Persons/Entities not required to be registered”</w:t>
        </w:r>
      </w:hyperlink>
    </w:p>
    <w:p w14:paraId="16CF723E" w14:textId="77777777" w:rsidR="00DF5104" w:rsidRDefault="00DF5104">
      <w:pPr>
        <w:pStyle w:val="TOC2"/>
        <w:rPr>
          <w:rFonts w:asciiTheme="minorHAnsi" w:eastAsiaTheme="minorEastAsia" w:hAnsiTheme="minorHAnsi" w:cstheme="minorBidi"/>
          <w:szCs w:val="22"/>
        </w:rPr>
      </w:pPr>
      <w:hyperlink w:anchor="_Toc4000959" w:history="1">
        <w:r w:rsidRPr="007852C2">
          <w:rPr>
            <w:rStyle w:val="Hyperlink"/>
            <w:bCs/>
          </w:rPr>
          <w:t>“Prohibition on contact with unregistered Lobbyists</w:t>
        </w:r>
      </w:hyperlink>
    </w:p>
    <w:p w14:paraId="2F5E7184" w14:textId="77777777" w:rsidR="00DF5104" w:rsidRDefault="00DF5104">
      <w:pPr>
        <w:pStyle w:val="TOC2"/>
        <w:rPr>
          <w:rFonts w:asciiTheme="minorHAnsi" w:eastAsiaTheme="minorEastAsia" w:hAnsiTheme="minorHAnsi" w:cstheme="minorBidi"/>
          <w:szCs w:val="22"/>
        </w:rPr>
      </w:pPr>
      <w:hyperlink w:anchor="_Toc4000960" w:history="1">
        <w:r w:rsidRPr="007852C2">
          <w:rPr>
            <w:rStyle w:val="Hyperlink"/>
            <w:bCs/>
          </w:rPr>
          <w:t>Members/Ministers agree, and their personal staff and all ACT public service officers shall be directed, not to knowingly or intentionally entertain any non-exempted communication from:</w:t>
        </w:r>
      </w:hyperlink>
    </w:p>
    <w:p w14:paraId="5535A93F" w14:textId="77777777" w:rsidR="00DF5104" w:rsidRDefault="00DF5104">
      <w:pPr>
        <w:pStyle w:val="TOC3"/>
        <w:rPr>
          <w:rFonts w:asciiTheme="minorHAnsi" w:eastAsiaTheme="minorEastAsia" w:hAnsiTheme="minorHAnsi" w:cstheme="minorBidi"/>
          <w:b w:val="0"/>
          <w:iCs w:val="0"/>
          <w:noProof/>
          <w:szCs w:val="22"/>
          <w:lang w:eastAsia="en-AU"/>
        </w:rPr>
      </w:pPr>
      <w:hyperlink w:anchor="_Toc4000961" w:history="1">
        <w:r w:rsidRPr="007852C2">
          <w:rPr>
            <w:rStyle w:val="Hyperlink"/>
            <w:rFonts w:ascii="Wingdings" w:hAnsi="Wingdings"/>
            <w:noProof/>
          </w:rPr>
          <w:t></w:t>
        </w:r>
        <w:r>
          <w:rPr>
            <w:rFonts w:asciiTheme="minorHAnsi" w:eastAsiaTheme="minorEastAsia" w:hAnsiTheme="minorHAnsi" w:cstheme="minorBidi"/>
            <w:b w:val="0"/>
            <w:iCs w:val="0"/>
            <w:noProof/>
            <w:szCs w:val="22"/>
            <w:lang w:eastAsia="en-AU"/>
          </w:rPr>
          <w:tab/>
        </w:r>
        <w:r w:rsidRPr="007852C2">
          <w:rPr>
            <w:rStyle w:val="Hyperlink"/>
            <w:noProof/>
          </w:rPr>
          <w:t>a lobbyist not registered on the ACT Register of Lobbyists;</w:t>
        </w:r>
      </w:hyperlink>
    </w:p>
    <w:p w14:paraId="06AABCFE" w14:textId="77777777" w:rsidR="00DF5104" w:rsidRDefault="00DF5104">
      <w:pPr>
        <w:pStyle w:val="TOC3"/>
        <w:rPr>
          <w:rFonts w:asciiTheme="minorHAnsi" w:eastAsiaTheme="minorEastAsia" w:hAnsiTheme="minorHAnsi" w:cstheme="minorBidi"/>
          <w:b w:val="0"/>
          <w:iCs w:val="0"/>
          <w:noProof/>
          <w:szCs w:val="22"/>
          <w:lang w:eastAsia="en-AU"/>
        </w:rPr>
      </w:pPr>
      <w:hyperlink w:anchor="_Toc4000962" w:history="1">
        <w:r w:rsidRPr="007852C2">
          <w:rPr>
            <w:rStyle w:val="Hyperlink"/>
            <w:rFonts w:ascii="Wingdings" w:hAnsi="Wingdings"/>
            <w:noProof/>
          </w:rPr>
          <w:t></w:t>
        </w:r>
        <w:r>
          <w:rPr>
            <w:rFonts w:asciiTheme="minorHAnsi" w:eastAsiaTheme="minorEastAsia" w:hAnsiTheme="minorHAnsi" w:cstheme="minorBidi"/>
            <w:b w:val="0"/>
            <w:iCs w:val="0"/>
            <w:noProof/>
            <w:szCs w:val="22"/>
            <w:lang w:eastAsia="en-AU"/>
          </w:rPr>
          <w:tab/>
        </w:r>
        <w:r w:rsidRPr="007852C2">
          <w:rPr>
            <w:rStyle w:val="Hyperlink"/>
            <w:noProof/>
          </w:rPr>
          <w:t>an employee, contractor or other person authorised to carry out lobbying activities on behalf of a registered lobbyist where that person’s name does not appear on the Register in the details recorded for that registered lobbyist; or</w:t>
        </w:r>
      </w:hyperlink>
    </w:p>
    <w:p w14:paraId="5F210D5A" w14:textId="77777777" w:rsidR="00DF5104" w:rsidRDefault="00DF5104">
      <w:pPr>
        <w:pStyle w:val="TOC3"/>
        <w:rPr>
          <w:rFonts w:asciiTheme="minorHAnsi" w:eastAsiaTheme="minorEastAsia" w:hAnsiTheme="minorHAnsi" w:cstheme="minorBidi"/>
          <w:b w:val="0"/>
          <w:iCs w:val="0"/>
          <w:noProof/>
          <w:szCs w:val="22"/>
          <w:lang w:eastAsia="en-AU"/>
        </w:rPr>
      </w:pPr>
      <w:hyperlink w:anchor="_Toc4000963" w:history="1">
        <w:r w:rsidRPr="007852C2">
          <w:rPr>
            <w:rStyle w:val="Hyperlink"/>
            <w:rFonts w:ascii="Wingdings" w:hAnsi="Wingdings"/>
            <w:noProof/>
          </w:rPr>
          <w:t></w:t>
        </w:r>
        <w:r>
          <w:rPr>
            <w:rFonts w:asciiTheme="minorHAnsi" w:eastAsiaTheme="minorEastAsia" w:hAnsiTheme="minorHAnsi" w:cstheme="minorBidi"/>
            <w:b w:val="0"/>
            <w:iCs w:val="0"/>
            <w:noProof/>
            <w:szCs w:val="22"/>
            <w:lang w:eastAsia="en-AU"/>
          </w:rPr>
          <w:tab/>
        </w:r>
        <w:r w:rsidRPr="007852C2">
          <w:rPr>
            <w:rStyle w:val="Hyperlink"/>
            <w:noProof/>
          </w:rPr>
          <w:t>any registered lobbyist or employee, contractor or other person authorised to carry out lobbying activities on behalf of that registered lobbyist who in their opinion has failed to comply with the Lobbying Code of Conduct;</w:t>
        </w:r>
      </w:hyperlink>
    </w:p>
    <w:p w14:paraId="120A0E90" w14:textId="77777777" w:rsidR="00DF5104" w:rsidRDefault="00DF5104">
      <w:pPr>
        <w:pStyle w:val="TOC2"/>
        <w:rPr>
          <w:rFonts w:asciiTheme="minorHAnsi" w:eastAsiaTheme="minorEastAsia" w:hAnsiTheme="minorHAnsi" w:cstheme="minorBidi"/>
          <w:szCs w:val="22"/>
        </w:rPr>
      </w:pPr>
      <w:hyperlink w:anchor="_Toc4000964" w:history="1">
        <w:r w:rsidRPr="007852C2">
          <w:rPr>
            <w:rStyle w:val="Hyperlink"/>
            <w:bCs/>
          </w:rPr>
          <w:t>and shall immediately advise the Registrar if they became aware or reasonably suspected that a registered lobbyist or authorised person had contravened the ACT Lobbying Code of Conduct.”.</w:t>
        </w:r>
      </w:hyperlink>
    </w:p>
    <w:p w14:paraId="4E0FEF44" w14:textId="77777777" w:rsidR="00566B91" w:rsidRDefault="00566B91" w:rsidP="004001FB">
      <w:r>
        <w:fldChar w:fldCharType="end"/>
      </w:r>
    </w:p>
    <w:p w14:paraId="545AE64F" w14:textId="77777777" w:rsidR="00566B91" w:rsidRDefault="00566B91" w:rsidP="004001FB"/>
    <w:p w14:paraId="3E42400A" w14:textId="77777777" w:rsidR="00930625" w:rsidRDefault="00930625" w:rsidP="004001FB">
      <w:pPr>
        <w:sectPr w:rsidR="00930625" w:rsidSect="0064133C">
          <w:footerReference w:type="default" r:id="rId22"/>
          <w:pgSz w:w="11907" w:h="16840" w:code="9"/>
          <w:pgMar w:top="1588" w:right="1418" w:bottom="1418" w:left="1418" w:header="720" w:footer="851" w:gutter="0"/>
          <w:pgNumType w:fmt="lowerRoman"/>
          <w:cols w:space="720"/>
          <w:docGrid w:linePitch="360"/>
        </w:sectPr>
      </w:pPr>
    </w:p>
    <w:p w14:paraId="3FC285C2" w14:textId="27B54DA4" w:rsidR="00E13056" w:rsidRPr="003A5828" w:rsidRDefault="00C657B2" w:rsidP="00E13056">
      <w:pPr>
        <w:pStyle w:val="Heading2"/>
        <w:rPr>
          <w:sz w:val="36"/>
        </w:rPr>
      </w:pPr>
      <w:bookmarkStart w:id="27" w:name="_Toc4000927"/>
      <w:r w:rsidRPr="003A5828">
        <w:rPr>
          <w:sz w:val="36"/>
        </w:rPr>
        <w:lastRenderedPageBreak/>
        <w:t>Background</w:t>
      </w:r>
      <w:bookmarkEnd w:id="27"/>
    </w:p>
    <w:p w14:paraId="6AF2F8C8" w14:textId="77777777" w:rsidR="00082396" w:rsidRDefault="00082396" w:rsidP="00386687">
      <w:pPr>
        <w:pStyle w:val="Heading4"/>
      </w:pPr>
      <w:r>
        <w:t>Should the Assembly expand the scope of the ACT Register of Lobbyists to cover in-house government relations staff, industry association and project management liaison officers and companies?</w:t>
      </w:r>
    </w:p>
    <w:p w14:paraId="7C106B70" w14:textId="64FF7ED9" w:rsidR="00082396" w:rsidRDefault="00082396" w:rsidP="00E13056">
      <w:pPr>
        <w:pStyle w:val="BodyText"/>
      </w:pPr>
      <w:r>
        <w:t xml:space="preserve">When the Assembly moved to establish the </w:t>
      </w:r>
      <w:r w:rsidR="00D50B6F">
        <w:t>R</w:t>
      </w:r>
      <w:r>
        <w:t xml:space="preserve">egister of </w:t>
      </w:r>
      <w:r w:rsidR="00D50B6F">
        <w:t>L</w:t>
      </w:r>
      <w:r>
        <w:t>obbyists in August 2014 the then Chief Minister remarked that:</w:t>
      </w:r>
    </w:p>
    <w:p w14:paraId="08687CB0" w14:textId="45A08CC1" w:rsidR="00082396" w:rsidRDefault="00082396" w:rsidP="00082396">
      <w:pPr>
        <w:ind w:left="1134"/>
      </w:pPr>
      <w:r>
        <w:t>We are improving accountability to our community. By doing so I hope that, with some of the odour that hangs around politicians it seems in this date and age, we are continuing to provide confidence to the ACT community and hopefully generating some view that politics can be an honourable profession.</w:t>
      </w:r>
      <w:r w:rsidR="00386687">
        <w:rPr>
          <w:rStyle w:val="FootnoteReference"/>
        </w:rPr>
        <w:footnoteReference w:id="1"/>
      </w:r>
    </w:p>
    <w:p w14:paraId="3AE3BE73" w14:textId="61F316F6" w:rsidR="00082396" w:rsidRDefault="00082396" w:rsidP="00386687">
      <w:pPr>
        <w:pStyle w:val="BodyText"/>
      </w:pPr>
      <w:r>
        <w:tab/>
        <w:t>The Chief Minister also remarked:</w:t>
      </w:r>
    </w:p>
    <w:p w14:paraId="5863A14A" w14:textId="3B448FE5" w:rsidR="00082396" w:rsidRDefault="00082396" w:rsidP="00082396">
      <w:pPr>
        <w:ind w:left="1134"/>
      </w:pPr>
      <w:r>
        <w:t xml:space="preserve">However, there is a strong </w:t>
      </w:r>
      <w:r w:rsidRPr="00082396">
        <w:t>perception that lobbyists can occasionally have undue influence and, in the absence of appropriate regulation, may distort government decision-making. If confidence in our system of government is to be safeguarded, public officials and decisions must be seen to be objective, in line with established procedures and guided by the merits of each case.</w:t>
      </w:r>
    </w:p>
    <w:p w14:paraId="012F7512" w14:textId="530B29CD" w:rsidR="00082396" w:rsidRDefault="00082396" w:rsidP="00082396">
      <w:pPr>
        <w:ind w:left="1134"/>
      </w:pPr>
      <w:r>
        <w:t xml:space="preserve">… </w:t>
      </w:r>
      <w:r w:rsidRPr="00082396">
        <w:t>At the moment we do not currently maintain a public register of lobbyists, nor do we have a code of conduct to guide members and public officials on how best to engage with lobbyists. I think this does present a risk to good governance.</w:t>
      </w:r>
      <w:r w:rsidR="00386687">
        <w:rPr>
          <w:rStyle w:val="FootnoteReference"/>
        </w:rPr>
        <w:footnoteReference w:id="2"/>
      </w:r>
    </w:p>
    <w:p w14:paraId="00A2242B" w14:textId="291B1F48" w:rsidR="00082396" w:rsidRDefault="00082396" w:rsidP="00082396">
      <w:pPr>
        <w:pStyle w:val="BodyText"/>
      </w:pPr>
      <w:r>
        <w:t xml:space="preserve">The then Leader of the Opposition also spoke in support of the </w:t>
      </w:r>
      <w:r w:rsidR="00D50B6F">
        <w:t>R</w:t>
      </w:r>
      <w:r>
        <w:t>egister. He stated:</w:t>
      </w:r>
    </w:p>
    <w:p w14:paraId="16A1A6DD" w14:textId="02681799" w:rsidR="00082396" w:rsidRDefault="00082396" w:rsidP="00082396">
      <w:pPr>
        <w:ind w:left="1134"/>
      </w:pPr>
      <w:r>
        <w:t>…</w:t>
      </w:r>
      <w:r w:rsidRPr="00082396">
        <w:t xml:space="preserve"> we simply must be open about our associations and dealings with lobbyists and other entities. It is important for the community to see that we are open. It is not the fact that I think there is any untoward lobbying in the ACT. None of that has been brought to my attention. But for the prevention of a perception and the prevention of potential future undue lobbying I think it is timely that we actually bring a register into the ACT Assembly.</w:t>
      </w:r>
      <w:r w:rsidR="00386687">
        <w:rPr>
          <w:rStyle w:val="FootnoteReference"/>
        </w:rPr>
        <w:footnoteReference w:id="3"/>
      </w:r>
    </w:p>
    <w:p w14:paraId="1A333AFC" w14:textId="60830951" w:rsidR="00082396" w:rsidRDefault="00082396" w:rsidP="00082396">
      <w:pPr>
        <w:pStyle w:val="BodyText"/>
      </w:pPr>
      <w:r>
        <w:lastRenderedPageBreak/>
        <w:t xml:space="preserve">The Leader of the ACT Greens also supported the establishment of the </w:t>
      </w:r>
      <w:r w:rsidR="00D50B6F">
        <w:t>R</w:t>
      </w:r>
      <w:r>
        <w:t>egister, stating:</w:t>
      </w:r>
    </w:p>
    <w:p w14:paraId="3A6A9589" w14:textId="7C194AF9" w:rsidR="00082396" w:rsidRDefault="00082396" w:rsidP="00082396">
      <w:pPr>
        <w:ind w:left="1134"/>
      </w:pPr>
      <w:r w:rsidRPr="00082396">
        <w:t>Certainly, the Greens are very happy to support provisions that increase transparency and accountability and improve the quality of our democracy. I believe that moving down the path of having a register for lobbyists is one step in that and I am happy to support the motion today on that basis.</w:t>
      </w:r>
      <w:r w:rsidR="00386687">
        <w:rPr>
          <w:rStyle w:val="FootnoteReference"/>
        </w:rPr>
        <w:footnoteReference w:id="4"/>
      </w:r>
    </w:p>
    <w:p w14:paraId="4BBE52FC" w14:textId="68BAE8C6" w:rsidR="00082396" w:rsidRDefault="00082396" w:rsidP="00082396">
      <w:pPr>
        <w:pStyle w:val="BodyText"/>
      </w:pPr>
      <w:r>
        <w:t xml:space="preserve">Since the establishment of the </w:t>
      </w:r>
      <w:r w:rsidR="00D50B6F">
        <w:t>R</w:t>
      </w:r>
      <w:r>
        <w:t>egister there are now some 41 lobbyists on the Register. Those lobbyists are required to lodge returns four times a year.</w:t>
      </w:r>
    </w:p>
    <w:p w14:paraId="26C289CA" w14:textId="2F96FD2D" w:rsidR="00082396" w:rsidRDefault="00082396" w:rsidP="00386687">
      <w:pPr>
        <w:pStyle w:val="BodyText"/>
      </w:pPr>
      <w:r>
        <w:t xml:space="preserve">In discussing the possible expansion of the </w:t>
      </w:r>
      <w:r w:rsidR="00D50B6F">
        <w:t>L</w:t>
      </w:r>
      <w:r>
        <w:t xml:space="preserve">obbyist </w:t>
      </w:r>
      <w:r w:rsidR="00D50B6F">
        <w:t>R</w:t>
      </w:r>
      <w:r>
        <w:t>egister, the Committee discussed a range of options—whether</w:t>
      </w:r>
      <w:r w:rsidR="00DD40A3">
        <w:t xml:space="preserve"> </w:t>
      </w:r>
      <w:r>
        <w:t xml:space="preserve">(a) </w:t>
      </w:r>
      <w:r w:rsidR="00DD40A3">
        <w:t xml:space="preserve">to </w:t>
      </w:r>
      <w:r>
        <w:t xml:space="preserve">expand the </w:t>
      </w:r>
      <w:r w:rsidR="00DD40A3">
        <w:t xml:space="preserve">scope of the </w:t>
      </w:r>
      <w:r w:rsidR="00D50B6F">
        <w:t>R</w:t>
      </w:r>
      <w:r w:rsidR="00DD40A3">
        <w:t>egister, (b) to continue with the status quo option or (c) the scheme had provided value to Members in relation to assisting with openness and transparency of lobbyists in the Territory.</w:t>
      </w:r>
    </w:p>
    <w:p w14:paraId="0A9BA9A8" w14:textId="77777777" w:rsidR="002E6D5A" w:rsidRPr="008148E4" w:rsidRDefault="002E6D5A" w:rsidP="002E6D5A">
      <w:pPr>
        <w:pStyle w:val="Heading2"/>
        <w:rPr>
          <w:sz w:val="36"/>
        </w:rPr>
      </w:pPr>
      <w:bookmarkStart w:id="28" w:name="_Toc4000928"/>
      <w:r w:rsidRPr="008148E4">
        <w:rPr>
          <w:sz w:val="36"/>
        </w:rPr>
        <w:lastRenderedPageBreak/>
        <w:t>Summary of Submissions</w:t>
      </w:r>
      <w:bookmarkEnd w:id="28"/>
    </w:p>
    <w:p w14:paraId="191546A1" w14:textId="60433C31" w:rsidR="002E6D5A" w:rsidRPr="002E6D5A" w:rsidRDefault="002E6D5A" w:rsidP="002E6D5A">
      <w:pPr>
        <w:pStyle w:val="BodyText"/>
      </w:pPr>
      <w:r>
        <w:rPr>
          <w:szCs w:val="22"/>
        </w:rPr>
        <w:t>In its call for submissions, the Committee invited comment of the specific terms of reference for the inquiry, and, in addition, requested views on following matters:</w:t>
      </w:r>
      <w:r w:rsidRPr="002E6D5A">
        <w:t xml:space="preserve"> </w:t>
      </w:r>
    </w:p>
    <w:p w14:paraId="2634101A" w14:textId="77777777" w:rsidR="002E6D5A" w:rsidRDefault="002E6D5A" w:rsidP="002E6D5A">
      <w:pPr>
        <w:numPr>
          <w:ilvl w:val="0"/>
          <w:numId w:val="40"/>
        </w:numPr>
        <w:spacing w:before="0" w:after="0" w:line="240" w:lineRule="auto"/>
        <w:ind w:left="1134" w:right="-426" w:hanging="567"/>
        <w:jc w:val="both"/>
        <w:rPr>
          <w:szCs w:val="22"/>
        </w:rPr>
      </w:pPr>
      <w:r>
        <w:rPr>
          <w:szCs w:val="22"/>
        </w:rPr>
        <w:t>in light of recent developments such as the publication of Minister’s diaries as required by the amended Freedom of Information legislation, and the intended formation of an integrity commission, is there still a need for a lobbyists register; and</w:t>
      </w:r>
    </w:p>
    <w:p w14:paraId="69791A7A" w14:textId="77777777" w:rsidR="002E6D5A" w:rsidRDefault="002E6D5A" w:rsidP="002E6D5A">
      <w:pPr>
        <w:spacing w:before="0" w:after="0" w:line="240" w:lineRule="auto"/>
        <w:ind w:left="1134" w:right="-426"/>
        <w:jc w:val="both"/>
        <w:rPr>
          <w:szCs w:val="22"/>
        </w:rPr>
      </w:pPr>
    </w:p>
    <w:p w14:paraId="365A7DE7" w14:textId="77777777" w:rsidR="002E6D5A" w:rsidRDefault="002E6D5A" w:rsidP="002E6D5A">
      <w:pPr>
        <w:numPr>
          <w:ilvl w:val="0"/>
          <w:numId w:val="40"/>
        </w:numPr>
        <w:spacing w:before="0" w:after="0" w:line="240" w:lineRule="auto"/>
        <w:ind w:left="1134" w:right="-426" w:hanging="567"/>
        <w:jc w:val="both"/>
        <w:rPr>
          <w:szCs w:val="22"/>
        </w:rPr>
      </w:pPr>
      <w:r>
        <w:rPr>
          <w:szCs w:val="22"/>
        </w:rPr>
        <w:t>if there is still a need for a register:</w:t>
      </w:r>
    </w:p>
    <w:p w14:paraId="489CD332" w14:textId="65F9BB1F" w:rsidR="002E6D5A" w:rsidRDefault="002E6D5A" w:rsidP="002E6D5A">
      <w:pPr>
        <w:numPr>
          <w:ilvl w:val="0"/>
          <w:numId w:val="41"/>
        </w:numPr>
        <w:spacing w:before="0" w:after="0" w:line="240" w:lineRule="auto"/>
        <w:ind w:left="1701" w:right="-426" w:hanging="567"/>
        <w:jc w:val="both"/>
        <w:rPr>
          <w:szCs w:val="22"/>
        </w:rPr>
      </w:pPr>
      <w:r>
        <w:rPr>
          <w:szCs w:val="22"/>
        </w:rPr>
        <w:t>the scope of who is covered by the Lobbyists Register and who should/should not be included; and</w:t>
      </w:r>
    </w:p>
    <w:p w14:paraId="435EFB8E" w14:textId="77777777" w:rsidR="002E6D5A" w:rsidRDefault="002E6D5A" w:rsidP="002E6D5A">
      <w:pPr>
        <w:numPr>
          <w:ilvl w:val="0"/>
          <w:numId w:val="41"/>
        </w:numPr>
        <w:spacing w:before="0" w:after="0" w:line="240" w:lineRule="auto"/>
        <w:ind w:left="1701" w:right="-426" w:hanging="567"/>
        <w:jc w:val="both"/>
        <w:rPr>
          <w:szCs w:val="22"/>
        </w:rPr>
      </w:pPr>
      <w:r>
        <w:rPr>
          <w:szCs w:val="22"/>
        </w:rPr>
        <w:t>whether the scheme should be administered by the Clerk of the Legislative Assembly (as currently exists) or whether the Lobbyists Register should be in the remit of the proposed Integrity Commissioner or some other body.</w:t>
      </w:r>
    </w:p>
    <w:p w14:paraId="30CF321C" w14:textId="77777777" w:rsidR="002E6D5A" w:rsidRPr="0062662E" w:rsidRDefault="002E6D5A" w:rsidP="002E6D5A">
      <w:pPr>
        <w:ind w:left="567" w:right="-426" w:hanging="567"/>
        <w:jc w:val="both"/>
        <w:rPr>
          <w:b/>
          <w:szCs w:val="22"/>
          <w:u w:val="single"/>
        </w:rPr>
      </w:pPr>
      <w:r w:rsidRPr="0062662E">
        <w:rPr>
          <w:b/>
          <w:szCs w:val="22"/>
          <w:u w:val="single"/>
        </w:rPr>
        <w:t>Submission No 1—Mr Stephen Skehill—Ethics and Integrity Advisor</w:t>
      </w:r>
    </w:p>
    <w:p w14:paraId="3F9DFFF1" w14:textId="77777777" w:rsidR="002E6D5A" w:rsidRDefault="002E6D5A" w:rsidP="002E6D5A">
      <w:pPr>
        <w:pStyle w:val="BodyText"/>
        <w:tabs>
          <w:tab w:val="left" w:pos="1420"/>
        </w:tabs>
        <w:kinsoku w:val="0"/>
        <w:overflowPunct w:val="0"/>
        <w:spacing w:before="5"/>
        <w:rPr>
          <w:sz w:val="24"/>
        </w:rPr>
      </w:pPr>
      <w:r>
        <w:rPr>
          <w:szCs w:val="22"/>
        </w:rPr>
        <w:t>In his submission Mr Skehill advised the Committee of the two principles he believed should inform the Committee’s considerations</w:t>
      </w:r>
    </w:p>
    <w:p w14:paraId="6B979B00" w14:textId="2B7083B0" w:rsidR="002E6D5A" w:rsidRDefault="002E6D5A" w:rsidP="002E6D5A">
      <w:pPr>
        <w:pStyle w:val="ListParagraph"/>
        <w:widowControl w:val="0"/>
        <w:numPr>
          <w:ilvl w:val="0"/>
          <w:numId w:val="42"/>
        </w:numPr>
        <w:tabs>
          <w:tab w:val="left" w:pos="797"/>
        </w:tabs>
        <w:kinsoku w:val="0"/>
        <w:overflowPunct w:val="0"/>
        <w:autoSpaceDE w:val="0"/>
        <w:autoSpaceDN w:val="0"/>
        <w:adjustRightInd w:val="0"/>
        <w:spacing w:after="0" w:line="283" w:lineRule="auto"/>
        <w:ind w:right="460" w:hanging="344"/>
        <w:contextualSpacing w:val="0"/>
        <w:rPr>
          <w:color w:val="0C0A0C"/>
          <w:w w:val="105"/>
          <w:sz w:val="18"/>
          <w:szCs w:val="18"/>
        </w:rPr>
      </w:pPr>
      <w:r>
        <w:rPr>
          <w:color w:val="0C0A0C"/>
          <w:w w:val="105"/>
          <w:sz w:val="18"/>
          <w:szCs w:val="18"/>
        </w:rPr>
        <w:t>First, governments should intervene to regulate the affairs of members of the community only to achieve a public benefit, and then only to the extent necessary to achieve that benefit;</w:t>
      </w:r>
      <w:r>
        <w:rPr>
          <w:color w:val="0C0A0C"/>
          <w:spacing w:val="-3"/>
          <w:w w:val="105"/>
          <w:sz w:val="18"/>
          <w:szCs w:val="18"/>
        </w:rPr>
        <w:t xml:space="preserve"> </w:t>
      </w:r>
      <w:r>
        <w:rPr>
          <w:color w:val="0C0A0C"/>
          <w:w w:val="105"/>
          <w:sz w:val="18"/>
          <w:szCs w:val="18"/>
        </w:rPr>
        <w:t>and</w:t>
      </w:r>
    </w:p>
    <w:p w14:paraId="43307F89" w14:textId="77777777" w:rsidR="002E6D5A" w:rsidRDefault="002E6D5A" w:rsidP="002E6D5A">
      <w:pPr>
        <w:pStyle w:val="ListParagraph"/>
        <w:widowControl w:val="0"/>
        <w:numPr>
          <w:ilvl w:val="0"/>
          <w:numId w:val="42"/>
        </w:numPr>
        <w:tabs>
          <w:tab w:val="left" w:pos="794"/>
        </w:tabs>
        <w:kinsoku w:val="0"/>
        <w:overflowPunct w:val="0"/>
        <w:autoSpaceDE w:val="0"/>
        <w:autoSpaceDN w:val="0"/>
        <w:adjustRightInd w:val="0"/>
        <w:spacing w:after="0" w:line="290" w:lineRule="auto"/>
        <w:ind w:left="791" w:right="248" w:hanging="336"/>
        <w:contextualSpacing w:val="0"/>
        <w:rPr>
          <w:color w:val="0C0A0C"/>
          <w:w w:val="110"/>
          <w:sz w:val="18"/>
          <w:szCs w:val="18"/>
        </w:rPr>
      </w:pPr>
      <w:r>
        <w:rPr>
          <w:color w:val="0C0A0C"/>
          <w:w w:val="110"/>
          <w:sz w:val="18"/>
          <w:szCs w:val="18"/>
        </w:rPr>
        <w:t xml:space="preserve">Secondly, parliamentarians should perform their duties, whether in the Assembly or as a member of the Executive, solely in the public </w:t>
      </w:r>
      <w:r>
        <w:rPr>
          <w:color w:val="232324"/>
          <w:w w:val="110"/>
          <w:sz w:val="18"/>
          <w:szCs w:val="18"/>
        </w:rPr>
        <w:t xml:space="preserve">interest. </w:t>
      </w:r>
      <w:r>
        <w:rPr>
          <w:color w:val="0C0A0C"/>
          <w:w w:val="110"/>
          <w:sz w:val="18"/>
          <w:szCs w:val="18"/>
        </w:rPr>
        <w:t>For this purpose, each Member should</w:t>
      </w:r>
      <w:r>
        <w:rPr>
          <w:color w:val="0C0A0C"/>
          <w:spacing w:val="-26"/>
          <w:w w:val="110"/>
          <w:sz w:val="18"/>
          <w:szCs w:val="18"/>
        </w:rPr>
        <w:t xml:space="preserve"> </w:t>
      </w:r>
      <w:r>
        <w:rPr>
          <w:color w:val="232324"/>
          <w:w w:val="110"/>
          <w:sz w:val="18"/>
          <w:szCs w:val="18"/>
        </w:rPr>
        <w:t>take</w:t>
      </w:r>
      <w:r>
        <w:rPr>
          <w:color w:val="232324"/>
          <w:spacing w:val="-22"/>
          <w:w w:val="110"/>
          <w:sz w:val="18"/>
          <w:szCs w:val="18"/>
        </w:rPr>
        <w:t xml:space="preserve"> </w:t>
      </w:r>
      <w:r>
        <w:rPr>
          <w:color w:val="0C0A0C"/>
          <w:w w:val="110"/>
          <w:sz w:val="18"/>
          <w:szCs w:val="18"/>
        </w:rPr>
        <w:t>all</w:t>
      </w:r>
      <w:r>
        <w:rPr>
          <w:color w:val="0C0A0C"/>
          <w:spacing w:val="-25"/>
          <w:w w:val="110"/>
          <w:sz w:val="18"/>
          <w:szCs w:val="18"/>
        </w:rPr>
        <w:t xml:space="preserve"> </w:t>
      </w:r>
      <w:r>
        <w:rPr>
          <w:color w:val="0C0A0C"/>
          <w:w w:val="110"/>
          <w:sz w:val="18"/>
          <w:szCs w:val="18"/>
        </w:rPr>
        <w:t>reasonable</w:t>
      </w:r>
      <w:r>
        <w:rPr>
          <w:color w:val="0C0A0C"/>
          <w:spacing w:val="-17"/>
          <w:w w:val="110"/>
          <w:sz w:val="18"/>
          <w:szCs w:val="18"/>
        </w:rPr>
        <w:t xml:space="preserve"> </w:t>
      </w:r>
      <w:r>
        <w:rPr>
          <w:color w:val="0C0A0C"/>
          <w:w w:val="110"/>
          <w:sz w:val="18"/>
          <w:szCs w:val="18"/>
        </w:rPr>
        <w:t>steps</w:t>
      </w:r>
      <w:r>
        <w:rPr>
          <w:color w:val="0C0A0C"/>
          <w:spacing w:val="-23"/>
          <w:w w:val="110"/>
          <w:sz w:val="18"/>
          <w:szCs w:val="18"/>
        </w:rPr>
        <w:t xml:space="preserve"> </w:t>
      </w:r>
      <w:r>
        <w:rPr>
          <w:color w:val="0C0A0C"/>
          <w:w w:val="110"/>
          <w:sz w:val="18"/>
          <w:szCs w:val="18"/>
        </w:rPr>
        <w:t>to</w:t>
      </w:r>
      <w:r>
        <w:rPr>
          <w:color w:val="0C0A0C"/>
          <w:spacing w:val="-10"/>
          <w:w w:val="110"/>
          <w:sz w:val="18"/>
          <w:szCs w:val="18"/>
        </w:rPr>
        <w:t xml:space="preserve"> </w:t>
      </w:r>
      <w:r>
        <w:rPr>
          <w:color w:val="0C0A0C"/>
          <w:w w:val="110"/>
          <w:sz w:val="18"/>
          <w:szCs w:val="18"/>
        </w:rPr>
        <w:t>ensure</w:t>
      </w:r>
      <w:r>
        <w:rPr>
          <w:color w:val="0C0A0C"/>
          <w:spacing w:val="-24"/>
          <w:w w:val="110"/>
          <w:sz w:val="18"/>
          <w:szCs w:val="18"/>
        </w:rPr>
        <w:t xml:space="preserve"> </w:t>
      </w:r>
      <w:r>
        <w:rPr>
          <w:color w:val="0C0A0C"/>
          <w:w w:val="110"/>
          <w:sz w:val="18"/>
          <w:szCs w:val="18"/>
        </w:rPr>
        <w:t>that</w:t>
      </w:r>
      <w:r>
        <w:rPr>
          <w:color w:val="0C0A0C"/>
          <w:spacing w:val="-27"/>
          <w:w w:val="110"/>
          <w:sz w:val="18"/>
          <w:szCs w:val="18"/>
        </w:rPr>
        <w:t xml:space="preserve"> </w:t>
      </w:r>
      <w:r>
        <w:rPr>
          <w:color w:val="0C0A0C"/>
          <w:w w:val="110"/>
          <w:sz w:val="18"/>
          <w:szCs w:val="18"/>
        </w:rPr>
        <w:t>they</w:t>
      </w:r>
      <w:r>
        <w:rPr>
          <w:color w:val="0C0A0C"/>
          <w:spacing w:val="-21"/>
          <w:w w:val="110"/>
          <w:sz w:val="18"/>
          <w:szCs w:val="18"/>
        </w:rPr>
        <w:t xml:space="preserve"> </w:t>
      </w:r>
      <w:r>
        <w:rPr>
          <w:color w:val="0C0A0C"/>
          <w:w w:val="110"/>
          <w:sz w:val="18"/>
          <w:szCs w:val="18"/>
        </w:rPr>
        <w:t>are</w:t>
      </w:r>
      <w:r>
        <w:rPr>
          <w:color w:val="0C0A0C"/>
          <w:spacing w:val="-23"/>
          <w:w w:val="110"/>
          <w:sz w:val="18"/>
          <w:szCs w:val="18"/>
        </w:rPr>
        <w:t xml:space="preserve"> </w:t>
      </w:r>
      <w:r>
        <w:rPr>
          <w:color w:val="0C0A0C"/>
          <w:w w:val="110"/>
          <w:sz w:val="18"/>
          <w:szCs w:val="18"/>
        </w:rPr>
        <w:t>aware</w:t>
      </w:r>
      <w:r>
        <w:rPr>
          <w:color w:val="0C0A0C"/>
          <w:spacing w:val="-21"/>
          <w:w w:val="110"/>
          <w:sz w:val="18"/>
          <w:szCs w:val="18"/>
        </w:rPr>
        <w:t xml:space="preserve"> </w:t>
      </w:r>
      <w:r>
        <w:rPr>
          <w:color w:val="0C0A0C"/>
          <w:w w:val="110"/>
          <w:sz w:val="18"/>
          <w:szCs w:val="18"/>
        </w:rPr>
        <w:t>of</w:t>
      </w:r>
      <w:r>
        <w:rPr>
          <w:color w:val="0C0A0C"/>
          <w:spacing w:val="-25"/>
          <w:w w:val="110"/>
          <w:sz w:val="18"/>
          <w:szCs w:val="18"/>
        </w:rPr>
        <w:t xml:space="preserve"> </w:t>
      </w:r>
      <w:r>
        <w:rPr>
          <w:color w:val="0C0A0C"/>
          <w:w w:val="110"/>
          <w:sz w:val="18"/>
          <w:szCs w:val="18"/>
        </w:rPr>
        <w:t>all</w:t>
      </w:r>
      <w:r>
        <w:rPr>
          <w:color w:val="0C0A0C"/>
          <w:spacing w:val="-25"/>
          <w:w w:val="110"/>
          <w:sz w:val="18"/>
          <w:szCs w:val="18"/>
        </w:rPr>
        <w:t xml:space="preserve"> </w:t>
      </w:r>
      <w:r>
        <w:rPr>
          <w:color w:val="0C0A0C"/>
          <w:w w:val="110"/>
          <w:sz w:val="18"/>
          <w:szCs w:val="18"/>
        </w:rPr>
        <w:t>relevant</w:t>
      </w:r>
      <w:r>
        <w:rPr>
          <w:color w:val="0C0A0C"/>
          <w:spacing w:val="-20"/>
          <w:w w:val="110"/>
          <w:sz w:val="18"/>
          <w:szCs w:val="18"/>
        </w:rPr>
        <w:t xml:space="preserve"> </w:t>
      </w:r>
      <w:r>
        <w:rPr>
          <w:color w:val="0C0A0C"/>
          <w:w w:val="110"/>
          <w:sz w:val="18"/>
          <w:szCs w:val="18"/>
        </w:rPr>
        <w:t>considerations before taking any decision or action so that they can reach a balanced view, thereby avoiding</w:t>
      </w:r>
      <w:r>
        <w:rPr>
          <w:color w:val="0C0A0C"/>
          <w:spacing w:val="-21"/>
          <w:w w:val="110"/>
          <w:sz w:val="18"/>
          <w:szCs w:val="18"/>
        </w:rPr>
        <w:t xml:space="preserve"> </w:t>
      </w:r>
      <w:r>
        <w:rPr>
          <w:color w:val="0C0A0C"/>
          <w:w w:val="110"/>
          <w:sz w:val="18"/>
          <w:szCs w:val="18"/>
        </w:rPr>
        <w:t>any</w:t>
      </w:r>
      <w:r>
        <w:rPr>
          <w:color w:val="0C0A0C"/>
          <w:spacing w:val="-21"/>
          <w:w w:val="110"/>
          <w:sz w:val="18"/>
          <w:szCs w:val="18"/>
        </w:rPr>
        <w:t xml:space="preserve"> </w:t>
      </w:r>
      <w:r>
        <w:rPr>
          <w:color w:val="0C0A0C"/>
          <w:w w:val="110"/>
          <w:sz w:val="18"/>
          <w:szCs w:val="18"/>
        </w:rPr>
        <w:t>undue</w:t>
      </w:r>
      <w:r>
        <w:rPr>
          <w:color w:val="0C0A0C"/>
          <w:spacing w:val="-20"/>
          <w:w w:val="110"/>
          <w:sz w:val="18"/>
          <w:szCs w:val="18"/>
        </w:rPr>
        <w:t xml:space="preserve"> </w:t>
      </w:r>
      <w:r>
        <w:rPr>
          <w:color w:val="0C0A0C"/>
          <w:w w:val="110"/>
          <w:sz w:val="18"/>
          <w:szCs w:val="18"/>
        </w:rPr>
        <w:t>benefit</w:t>
      </w:r>
      <w:r>
        <w:rPr>
          <w:color w:val="0C0A0C"/>
          <w:spacing w:val="-17"/>
          <w:w w:val="110"/>
          <w:sz w:val="18"/>
          <w:szCs w:val="18"/>
        </w:rPr>
        <w:t xml:space="preserve"> </w:t>
      </w:r>
      <w:r>
        <w:rPr>
          <w:color w:val="0C0A0C"/>
          <w:w w:val="110"/>
          <w:sz w:val="18"/>
          <w:szCs w:val="18"/>
        </w:rPr>
        <w:t>or</w:t>
      </w:r>
      <w:r>
        <w:rPr>
          <w:color w:val="0C0A0C"/>
          <w:spacing w:val="-16"/>
          <w:w w:val="110"/>
          <w:sz w:val="18"/>
          <w:szCs w:val="18"/>
        </w:rPr>
        <w:t xml:space="preserve"> </w:t>
      </w:r>
      <w:r>
        <w:rPr>
          <w:color w:val="0C0A0C"/>
          <w:w w:val="110"/>
          <w:sz w:val="18"/>
          <w:szCs w:val="18"/>
        </w:rPr>
        <w:t>unwarranted</w:t>
      </w:r>
      <w:r>
        <w:rPr>
          <w:color w:val="0C0A0C"/>
          <w:spacing w:val="-11"/>
          <w:w w:val="110"/>
          <w:sz w:val="18"/>
          <w:szCs w:val="18"/>
        </w:rPr>
        <w:t xml:space="preserve"> </w:t>
      </w:r>
      <w:r>
        <w:rPr>
          <w:color w:val="0C0A0C"/>
          <w:w w:val="110"/>
          <w:sz w:val="18"/>
          <w:szCs w:val="18"/>
        </w:rPr>
        <w:t>detriment</w:t>
      </w:r>
      <w:r>
        <w:rPr>
          <w:color w:val="0C0A0C"/>
          <w:spacing w:val="-11"/>
          <w:w w:val="110"/>
          <w:sz w:val="18"/>
          <w:szCs w:val="18"/>
        </w:rPr>
        <w:t xml:space="preserve"> </w:t>
      </w:r>
      <w:r>
        <w:rPr>
          <w:color w:val="0C0A0C"/>
          <w:w w:val="110"/>
          <w:sz w:val="18"/>
          <w:szCs w:val="18"/>
        </w:rPr>
        <w:t>to</w:t>
      </w:r>
      <w:r>
        <w:rPr>
          <w:color w:val="0C0A0C"/>
          <w:spacing w:val="-12"/>
          <w:w w:val="110"/>
          <w:sz w:val="18"/>
          <w:szCs w:val="18"/>
        </w:rPr>
        <w:t xml:space="preserve"> </w:t>
      </w:r>
      <w:r>
        <w:rPr>
          <w:color w:val="0C0A0C"/>
          <w:w w:val="110"/>
          <w:sz w:val="18"/>
          <w:szCs w:val="18"/>
        </w:rPr>
        <w:t>any</w:t>
      </w:r>
      <w:r>
        <w:rPr>
          <w:color w:val="0C0A0C"/>
          <w:spacing w:val="-17"/>
          <w:w w:val="110"/>
          <w:sz w:val="18"/>
          <w:szCs w:val="18"/>
        </w:rPr>
        <w:t xml:space="preserve"> </w:t>
      </w:r>
      <w:r>
        <w:rPr>
          <w:color w:val="0C0A0C"/>
          <w:w w:val="110"/>
          <w:sz w:val="18"/>
          <w:szCs w:val="18"/>
        </w:rPr>
        <w:t>member</w:t>
      </w:r>
      <w:r>
        <w:rPr>
          <w:color w:val="0C0A0C"/>
          <w:spacing w:val="-10"/>
          <w:w w:val="110"/>
          <w:sz w:val="18"/>
          <w:szCs w:val="18"/>
        </w:rPr>
        <w:t xml:space="preserve"> </w:t>
      </w:r>
      <w:r>
        <w:rPr>
          <w:color w:val="0C0A0C"/>
          <w:w w:val="110"/>
          <w:sz w:val="18"/>
          <w:szCs w:val="18"/>
        </w:rPr>
        <w:t>or</w:t>
      </w:r>
      <w:r>
        <w:rPr>
          <w:color w:val="0C0A0C"/>
          <w:spacing w:val="-18"/>
          <w:w w:val="110"/>
          <w:sz w:val="18"/>
          <w:szCs w:val="18"/>
        </w:rPr>
        <w:t xml:space="preserve"> </w:t>
      </w:r>
      <w:r>
        <w:rPr>
          <w:color w:val="0C0A0C"/>
          <w:w w:val="110"/>
          <w:sz w:val="18"/>
          <w:szCs w:val="18"/>
        </w:rPr>
        <w:t>group</w:t>
      </w:r>
      <w:r>
        <w:rPr>
          <w:color w:val="0C0A0C"/>
          <w:spacing w:val="-13"/>
          <w:w w:val="110"/>
          <w:sz w:val="18"/>
          <w:szCs w:val="18"/>
        </w:rPr>
        <w:t xml:space="preserve"> </w:t>
      </w:r>
      <w:r>
        <w:rPr>
          <w:color w:val="0C0A0C"/>
          <w:w w:val="110"/>
          <w:sz w:val="18"/>
          <w:szCs w:val="18"/>
        </w:rPr>
        <w:t>of</w:t>
      </w:r>
      <w:r>
        <w:rPr>
          <w:color w:val="0C0A0C"/>
          <w:spacing w:val="-21"/>
          <w:w w:val="110"/>
          <w:sz w:val="18"/>
          <w:szCs w:val="18"/>
        </w:rPr>
        <w:t xml:space="preserve"> </w:t>
      </w:r>
      <w:r>
        <w:rPr>
          <w:color w:val="0C0A0C"/>
          <w:w w:val="110"/>
          <w:sz w:val="18"/>
          <w:szCs w:val="18"/>
        </w:rPr>
        <w:t>members in the</w:t>
      </w:r>
      <w:r>
        <w:rPr>
          <w:color w:val="0C0A0C"/>
          <w:spacing w:val="-13"/>
          <w:w w:val="110"/>
          <w:sz w:val="18"/>
          <w:szCs w:val="18"/>
        </w:rPr>
        <w:t xml:space="preserve"> </w:t>
      </w:r>
      <w:r>
        <w:rPr>
          <w:color w:val="0C0A0C"/>
          <w:w w:val="110"/>
          <w:sz w:val="18"/>
          <w:szCs w:val="18"/>
        </w:rPr>
        <w:t>community.</w:t>
      </w:r>
      <w:r>
        <w:rPr>
          <w:rStyle w:val="FootnoteReference"/>
          <w:color w:val="0C0A0C"/>
          <w:w w:val="110"/>
          <w:sz w:val="18"/>
          <w:szCs w:val="18"/>
        </w:rPr>
        <w:footnoteReference w:id="5"/>
      </w:r>
    </w:p>
    <w:p w14:paraId="60D53445" w14:textId="77777777" w:rsidR="002E6D5A" w:rsidRDefault="002E6D5A" w:rsidP="00F4161F">
      <w:pPr>
        <w:pStyle w:val="BodyText"/>
      </w:pPr>
      <w:r>
        <w:t xml:space="preserve">The fundamental purpose of the ACT Register of Lobbyists was to facilitate Members becoming aware of the identity of those on whose behalf they are lobbied, by persons who undertake these activities for commercial reward. </w:t>
      </w:r>
    </w:p>
    <w:p w14:paraId="209F61C5" w14:textId="77777777" w:rsidR="002E6D5A" w:rsidRDefault="002E6D5A" w:rsidP="00F4161F">
      <w:pPr>
        <w:pStyle w:val="BodyText"/>
      </w:pPr>
      <w:r>
        <w:t xml:space="preserve">Mr Skehill expressed the view that there was no compelling logical reason to extend the lobbyists Register to include “in-house government relations staff” as the identity of those they represent is clear. He also highlighted problems with definitions and job designation titles which could be manipulated to intentionally negate the need to register as a lobbyist. This reasoning could also be applied to “industry associations”. The classification of the designation of “project management liaison officers and companies” is not commonly used in Australia and again would cause problems of definition. </w:t>
      </w:r>
    </w:p>
    <w:p w14:paraId="69CB59EB" w14:textId="77777777" w:rsidR="002E6D5A" w:rsidRDefault="002E6D5A" w:rsidP="00E57C4F">
      <w:pPr>
        <w:pStyle w:val="BodyText"/>
      </w:pPr>
      <w:r>
        <w:t xml:space="preserve">In relation to the question of whether there is still a need for the Register, Mr Skehill advised that he considered the Register fulfilled the role that was intended when established. </w:t>
      </w:r>
    </w:p>
    <w:p w14:paraId="387FDF7E" w14:textId="77777777" w:rsidR="002E6D5A" w:rsidRDefault="002E6D5A" w:rsidP="00E57C4F">
      <w:pPr>
        <w:pStyle w:val="BodyText"/>
      </w:pPr>
      <w:r>
        <w:lastRenderedPageBreak/>
        <w:t>On balance, Mr Skehill favoured the moving of the administration of the Register from the Clerk of the Legislative Assembly to the Integrity Commission “to reinforce the importance of lobbyist regulation as an important element in the broader network of integrity assurance.”</w:t>
      </w:r>
      <w:r>
        <w:rPr>
          <w:rStyle w:val="FootnoteReference"/>
          <w:szCs w:val="22"/>
        </w:rPr>
        <w:footnoteReference w:id="6"/>
      </w:r>
      <w:r>
        <w:t>.</w:t>
      </w:r>
    </w:p>
    <w:p w14:paraId="7305322B" w14:textId="77777777" w:rsidR="00E57C4F" w:rsidRDefault="00E57C4F" w:rsidP="00E57C4F">
      <w:pPr>
        <w:ind w:left="567" w:right="-426" w:hanging="567"/>
        <w:jc w:val="both"/>
        <w:rPr>
          <w:b/>
          <w:szCs w:val="22"/>
          <w:u w:val="single"/>
        </w:rPr>
      </w:pPr>
      <w:r w:rsidRPr="0062662E">
        <w:rPr>
          <w:b/>
          <w:szCs w:val="22"/>
          <w:u w:val="single"/>
        </w:rPr>
        <w:t xml:space="preserve">Submission No </w:t>
      </w:r>
      <w:r>
        <w:rPr>
          <w:b/>
          <w:szCs w:val="22"/>
          <w:u w:val="single"/>
        </w:rPr>
        <w:t>2</w:t>
      </w:r>
      <w:r w:rsidRPr="0062662E">
        <w:rPr>
          <w:b/>
          <w:szCs w:val="22"/>
          <w:u w:val="single"/>
        </w:rPr>
        <w:t>—</w:t>
      </w:r>
      <w:r>
        <w:rPr>
          <w:b/>
          <w:szCs w:val="22"/>
          <w:u w:val="single"/>
        </w:rPr>
        <w:t>Australian Professional Government Relations Association (APGRA)</w:t>
      </w:r>
    </w:p>
    <w:p w14:paraId="44A23A9D" w14:textId="77777777" w:rsidR="00E57C4F" w:rsidRDefault="00E57C4F" w:rsidP="00E57C4F">
      <w:pPr>
        <w:pStyle w:val="BodyText"/>
      </w:pPr>
      <w:r>
        <w:t>The APGRA submission expressed the view that the Register achieved its aim of ensuring effective oversight over lobbying activities. It considered that the extension of the Register to include in-house lobbyists would not add any significant benefit and no additional transparency would be achieved.</w:t>
      </w:r>
    </w:p>
    <w:p w14:paraId="1EAF659D" w14:textId="77777777" w:rsidR="00E57C4F" w:rsidRDefault="00E57C4F" w:rsidP="00E57C4F">
      <w:pPr>
        <w:pStyle w:val="BodyText"/>
      </w:pPr>
      <w:r>
        <w:t>They did, however, express concern that other third-party consultants, who are not marketed or branded as lobbyists, regularly advocate to government on the behalf of others</w:t>
      </w:r>
      <w:r>
        <w:rPr>
          <w:rStyle w:val="FootnoteReference"/>
          <w:szCs w:val="22"/>
        </w:rPr>
        <w:footnoteReference w:id="7"/>
      </w:r>
      <w:r>
        <w:t xml:space="preserve">. </w:t>
      </w:r>
    </w:p>
    <w:p w14:paraId="4BD5E81A" w14:textId="77777777" w:rsidR="00E57C4F" w:rsidRDefault="00E57C4F" w:rsidP="00E57C4F">
      <w:pPr>
        <w:pStyle w:val="BodyText"/>
      </w:pPr>
      <w:r>
        <w:t>In relation to the question of continuing the Register given new transparencies of the publication of ministerial diaries and the Integrity Commission, APGRA noted that the NSW ICAC and the NSW Government Register of Third-Party Lobbyists co-exist.</w:t>
      </w:r>
    </w:p>
    <w:p w14:paraId="31E6EBD0" w14:textId="77777777" w:rsidR="00E57C4F" w:rsidRDefault="00E57C4F" w:rsidP="00E57C4F">
      <w:pPr>
        <w:ind w:left="567" w:right="-426" w:hanging="567"/>
        <w:jc w:val="both"/>
        <w:rPr>
          <w:b/>
          <w:szCs w:val="22"/>
          <w:u w:val="single"/>
        </w:rPr>
      </w:pPr>
      <w:r w:rsidRPr="0062662E">
        <w:rPr>
          <w:b/>
          <w:szCs w:val="22"/>
          <w:u w:val="single"/>
        </w:rPr>
        <w:t xml:space="preserve">Submission No </w:t>
      </w:r>
      <w:r>
        <w:rPr>
          <w:b/>
          <w:szCs w:val="22"/>
          <w:u w:val="single"/>
        </w:rPr>
        <w:t>3</w:t>
      </w:r>
      <w:r w:rsidRPr="0062662E">
        <w:rPr>
          <w:b/>
          <w:szCs w:val="22"/>
          <w:u w:val="single"/>
        </w:rPr>
        <w:t>—</w:t>
      </w:r>
      <w:r>
        <w:rPr>
          <w:b/>
          <w:szCs w:val="22"/>
          <w:u w:val="single"/>
        </w:rPr>
        <w:t>Cornerstone Group</w:t>
      </w:r>
    </w:p>
    <w:p w14:paraId="0226EF46" w14:textId="77777777" w:rsidR="00E57C4F" w:rsidRDefault="00E57C4F" w:rsidP="00E9485A">
      <w:pPr>
        <w:pStyle w:val="BodyText"/>
      </w:pPr>
      <w:r>
        <w:t>Cornerstone is a bipartisan government and public affairs advisory firm. The Group is of the view that regulations that try to distinguish between third-party lobbyists and in-house lobbyists are flawed in that are based on a superficial understanding of the lobbying industry</w:t>
      </w:r>
      <w:r>
        <w:rPr>
          <w:rStyle w:val="FootnoteReference"/>
          <w:szCs w:val="22"/>
        </w:rPr>
        <w:footnoteReference w:id="8"/>
      </w:r>
      <w:r>
        <w:t xml:space="preserve">. It believes that in-house lobbyists are working for companies and organisations and don’t need to register because it is apparent who they represent. </w:t>
      </w:r>
    </w:p>
    <w:p w14:paraId="24A3D9BD" w14:textId="36AD38F0" w:rsidR="00E57C4F" w:rsidRDefault="00E57C4F" w:rsidP="00E9485A">
      <w:pPr>
        <w:pStyle w:val="BodyText"/>
      </w:pPr>
      <w:r>
        <w:t>Third-party lobbyists, however, should register because it is not clear who they are representing. Of more concern to the Cornerstone Group are legal firms, management consultancies and accounting firms that are not required to register as lobbyists as they would argue that they are providing services other than lobbying to their clients. This work might include attending meetings with public officials on behalf of clients among other services. They contend that some of these organisations have whole divisions dedicated to providing “lobbying advice”.</w:t>
      </w:r>
      <w:r>
        <w:rPr>
          <w:rStyle w:val="FootnoteReference"/>
          <w:szCs w:val="22"/>
        </w:rPr>
        <w:footnoteReference w:id="9"/>
      </w:r>
      <w:r>
        <w:t xml:space="preserve"> </w:t>
      </w:r>
    </w:p>
    <w:p w14:paraId="33195AFE" w14:textId="77777777" w:rsidR="00E57C4F" w:rsidRDefault="00E57C4F" w:rsidP="00E9485A">
      <w:pPr>
        <w:pStyle w:val="BodyText"/>
      </w:pPr>
      <w:r>
        <w:t>The Cornerstone Group recommended a number of definitions that might be useful should the Committee recommend the extension of the Register. They made no comment on the administration of the Register.</w:t>
      </w:r>
    </w:p>
    <w:p w14:paraId="68360615" w14:textId="77777777" w:rsidR="00E57C4F" w:rsidRDefault="00E57C4F" w:rsidP="00E57C4F">
      <w:pPr>
        <w:ind w:right="-426"/>
        <w:jc w:val="both"/>
        <w:rPr>
          <w:szCs w:val="22"/>
        </w:rPr>
      </w:pPr>
    </w:p>
    <w:p w14:paraId="77DE546C" w14:textId="77777777" w:rsidR="00E9485A" w:rsidRDefault="00E9485A" w:rsidP="00E9485A">
      <w:pPr>
        <w:ind w:left="567" w:right="-426" w:hanging="567"/>
        <w:jc w:val="both"/>
        <w:rPr>
          <w:b/>
          <w:szCs w:val="22"/>
          <w:u w:val="single"/>
        </w:rPr>
      </w:pPr>
      <w:r w:rsidRPr="0062662E">
        <w:rPr>
          <w:b/>
          <w:szCs w:val="22"/>
          <w:u w:val="single"/>
        </w:rPr>
        <w:lastRenderedPageBreak/>
        <w:t>Submission No</w:t>
      </w:r>
      <w:r>
        <w:rPr>
          <w:b/>
          <w:szCs w:val="22"/>
          <w:u w:val="single"/>
        </w:rPr>
        <w:t xml:space="preserve"> 4</w:t>
      </w:r>
      <w:r w:rsidRPr="0062662E">
        <w:rPr>
          <w:b/>
          <w:szCs w:val="22"/>
          <w:u w:val="single"/>
        </w:rPr>
        <w:t>—</w:t>
      </w:r>
      <w:r>
        <w:rPr>
          <w:b/>
          <w:szCs w:val="22"/>
          <w:u w:val="single"/>
        </w:rPr>
        <w:t>ACT Government</w:t>
      </w:r>
    </w:p>
    <w:p w14:paraId="2759B7A2" w14:textId="77777777" w:rsidR="00E9485A" w:rsidRDefault="00E9485A" w:rsidP="00E9485A">
      <w:pPr>
        <w:pStyle w:val="BodyText"/>
      </w:pPr>
      <w:r>
        <w:t>In its submission the ACT Government reaffirmed its commitment improve probity, integrity and accountability in decision-making.</w:t>
      </w:r>
    </w:p>
    <w:p w14:paraId="24B62990" w14:textId="77777777" w:rsidR="00E9485A" w:rsidRDefault="00E9485A" w:rsidP="00E9485A">
      <w:pPr>
        <w:pStyle w:val="BodyText"/>
      </w:pPr>
      <w:r>
        <w:t xml:space="preserve">On the question of whether there is a need for the Register, the Government submission emphasised that there was still a need for a dedicated regulatory force. The expansion of the Register to cover in-house government relations staff, project management liaison officers and companies and industry association was strongly supported in the Government’s submission. </w:t>
      </w:r>
    </w:p>
    <w:p w14:paraId="09B21A5B" w14:textId="743D4A00" w:rsidR="002E6D5A" w:rsidRDefault="00E9485A" w:rsidP="00E9485A">
      <w:pPr>
        <w:pStyle w:val="BodyText"/>
      </w:pPr>
      <w:r>
        <w:t xml:space="preserve">In addition, the Government supported the continuation of the </w:t>
      </w:r>
      <w:r w:rsidRPr="00E9485A">
        <w:t>administration</w:t>
      </w:r>
      <w:r>
        <w:t xml:space="preserve"> of the scheme by the Clerk of the Legislative Assembly, going so far as to encourage the Clerk to “focus on a preventative and educative role in fostering ethical practices”</w:t>
      </w:r>
      <w:r>
        <w:rPr>
          <w:rStyle w:val="FootnoteReference"/>
          <w:szCs w:val="22"/>
        </w:rPr>
        <w:footnoteReference w:id="10"/>
      </w:r>
      <w:r>
        <w:t>.</w:t>
      </w:r>
    </w:p>
    <w:p w14:paraId="1B38D4E2" w14:textId="77777777" w:rsidR="008148E4" w:rsidRDefault="008148E4" w:rsidP="008148E4">
      <w:pPr>
        <w:ind w:left="567" w:right="-426" w:hanging="567"/>
        <w:jc w:val="both"/>
        <w:rPr>
          <w:b/>
          <w:szCs w:val="22"/>
          <w:u w:val="single"/>
        </w:rPr>
      </w:pPr>
      <w:r w:rsidRPr="0062662E">
        <w:rPr>
          <w:b/>
          <w:szCs w:val="22"/>
          <w:u w:val="single"/>
        </w:rPr>
        <w:t>Submission No</w:t>
      </w:r>
      <w:r>
        <w:rPr>
          <w:b/>
          <w:szCs w:val="22"/>
          <w:u w:val="single"/>
        </w:rPr>
        <w:t>. 5</w:t>
      </w:r>
      <w:r w:rsidRPr="0062662E">
        <w:rPr>
          <w:b/>
          <w:szCs w:val="22"/>
          <w:u w:val="single"/>
        </w:rPr>
        <w:t>—</w:t>
      </w:r>
      <w:r>
        <w:rPr>
          <w:b/>
          <w:szCs w:val="22"/>
          <w:u w:val="single"/>
        </w:rPr>
        <w:t>Canberra Alliance for Participatory Democracy (CAPaD)</w:t>
      </w:r>
    </w:p>
    <w:p w14:paraId="6406C853" w14:textId="77777777" w:rsidR="008148E4" w:rsidRDefault="008148E4" w:rsidP="008148E4">
      <w:pPr>
        <w:pStyle w:val="BodyText"/>
      </w:pPr>
      <w:r>
        <w:t>In relation to in-ho</w:t>
      </w:r>
      <w:r w:rsidRPr="008148E4">
        <w:t>u</w:t>
      </w:r>
      <w:r>
        <w:t>se governme</w:t>
      </w:r>
      <w:bookmarkStart w:id="29" w:name="_GoBack"/>
      <w:bookmarkEnd w:id="29"/>
      <w:r>
        <w:t xml:space="preserve">nt relations staff and project management liaison officers, CAPaD considers that they should be included in the scope of the Registers and additionally, non-Executive MLAs should provide regular records of events attended and meetings with lobbyists. </w:t>
      </w:r>
    </w:p>
    <w:p w14:paraId="7A528AFD" w14:textId="77777777" w:rsidR="008148E4" w:rsidRDefault="008148E4" w:rsidP="008148E4">
      <w:pPr>
        <w:pStyle w:val="BodyText"/>
      </w:pPr>
      <w:r>
        <w:t>The submission indicated that CAPaD was in support of the continuation of the Register with the scope being increased and continue to administered by the Clerk.</w:t>
      </w:r>
    </w:p>
    <w:p w14:paraId="7CB47E00" w14:textId="77777777" w:rsidR="008148E4" w:rsidRDefault="008148E4" w:rsidP="008148E4">
      <w:pPr>
        <w:pStyle w:val="BodyText"/>
      </w:pPr>
      <w:r>
        <w:t xml:space="preserve">CAPaD suggested that the question as to who administers the Register should be revisited after two years of the operation of the Integrity Commission. </w:t>
      </w:r>
      <w:r>
        <w:rPr>
          <w:rStyle w:val="FootnoteReference"/>
          <w:szCs w:val="22"/>
        </w:rPr>
        <w:footnoteReference w:id="11"/>
      </w:r>
    </w:p>
    <w:p w14:paraId="15A7BACC" w14:textId="77777777" w:rsidR="008148E4" w:rsidRPr="002E6D5A" w:rsidRDefault="008148E4" w:rsidP="008148E4">
      <w:pPr>
        <w:pStyle w:val="Heading6"/>
        <w:numPr>
          <w:ilvl w:val="0"/>
          <w:numId w:val="0"/>
        </w:numPr>
        <w:ind w:left="340"/>
      </w:pPr>
    </w:p>
    <w:p w14:paraId="18FECB03" w14:textId="6A0F3777" w:rsidR="00E13056" w:rsidRPr="008148E4" w:rsidRDefault="00DD40A3" w:rsidP="00386687">
      <w:pPr>
        <w:pStyle w:val="Heading2"/>
        <w:rPr>
          <w:sz w:val="36"/>
        </w:rPr>
      </w:pPr>
      <w:bookmarkStart w:id="30" w:name="_Toc4000929"/>
      <w:r w:rsidRPr="008148E4">
        <w:rPr>
          <w:sz w:val="36"/>
        </w:rPr>
        <w:lastRenderedPageBreak/>
        <w:t>Should the lobbyist register scheme be expanded?</w:t>
      </w:r>
      <w:bookmarkEnd w:id="30"/>
    </w:p>
    <w:p w14:paraId="1A0159DF" w14:textId="239BF3C1" w:rsidR="00DD40A3" w:rsidRDefault="00DD40A3" w:rsidP="00DD40A3">
      <w:pPr>
        <w:pStyle w:val="BodyText"/>
      </w:pPr>
      <w:r>
        <w:t xml:space="preserve">The Committee noted that a number of submissions were in favour of expanding the scope of the current </w:t>
      </w:r>
      <w:r w:rsidR="00D50B6F">
        <w:t>L</w:t>
      </w:r>
      <w:r>
        <w:t xml:space="preserve">obbyists </w:t>
      </w:r>
      <w:r w:rsidR="00D50B6F">
        <w:t>R</w:t>
      </w:r>
      <w:r>
        <w:t>egister.</w:t>
      </w:r>
    </w:p>
    <w:p w14:paraId="59A3113B" w14:textId="40584718" w:rsidR="00DD40A3" w:rsidRPr="005A3A2D" w:rsidRDefault="00DD40A3" w:rsidP="00DD40A3">
      <w:pPr>
        <w:pStyle w:val="BodyText"/>
      </w:pPr>
      <w:r w:rsidRPr="005A3A2D">
        <w:t>The Cornerstone Group</w:t>
      </w:r>
      <w:r w:rsidR="00967FB5">
        <w:t xml:space="preserve"> </w:t>
      </w:r>
      <w:r w:rsidR="00F64AB6">
        <w:t xml:space="preserve">(the Group) </w:t>
      </w:r>
      <w:r w:rsidRPr="005A3A2D">
        <w:t>submit</w:t>
      </w:r>
      <w:r w:rsidR="00B9226E">
        <w:t>ted</w:t>
      </w:r>
      <w:r w:rsidRPr="005A3A2D">
        <w:t xml:space="preserve"> that requiring all lobbyists, including in-house, to register would provide greater transparency and scrutiny of who is lobbying whom and for what purposes. An expansion of the scheme should also include a mechanism to capture a category of third party lobbyists such as legal firms, management consultancies and accounting firms  who currently slip though the common definitions.  </w:t>
      </w:r>
    </w:p>
    <w:p w14:paraId="5FD8EBC2" w14:textId="77777777" w:rsidR="00DD40A3" w:rsidRPr="005A3A2D" w:rsidRDefault="00DD40A3" w:rsidP="00DD40A3">
      <w:pPr>
        <w:pStyle w:val="BodyText"/>
      </w:pPr>
      <w:r w:rsidRPr="005A3A2D">
        <w:t>The Group expressed the view that an expansion of the Register would maintain and possibly enhance the integrity of the political system and build greater trust between the system’s legislators and its citizenry.</w:t>
      </w:r>
    </w:p>
    <w:p w14:paraId="1FD95DD3" w14:textId="36A4079F" w:rsidR="00DD40A3" w:rsidRPr="005A3A2D" w:rsidRDefault="00DD40A3" w:rsidP="00DD40A3">
      <w:pPr>
        <w:pStyle w:val="BodyText"/>
      </w:pPr>
      <w:r w:rsidRPr="005A3A2D">
        <w:t>The Australian Professional Government Relations Association (APGRA) support</w:t>
      </w:r>
      <w:r w:rsidR="00B9226E">
        <w:t>ed</w:t>
      </w:r>
      <w:r w:rsidRPr="005A3A2D">
        <w:t xml:space="preserve"> the extension of ethical obligations to apply to all practitioners who engage with government (as in NSW).</w:t>
      </w:r>
      <w:r>
        <w:rPr>
          <w:rStyle w:val="FootnoteReference"/>
        </w:rPr>
        <w:footnoteReference w:id="12"/>
      </w:r>
    </w:p>
    <w:p w14:paraId="60D1547C" w14:textId="1140C185" w:rsidR="00DD40A3" w:rsidRDefault="00DD40A3" w:rsidP="00DD40A3">
      <w:pPr>
        <w:pStyle w:val="BodyText"/>
      </w:pPr>
      <w:r>
        <w:t xml:space="preserve">The ACT Government noted </w:t>
      </w:r>
      <w:r w:rsidR="00967FB5">
        <w:t xml:space="preserve">in </w:t>
      </w:r>
      <w:r>
        <w:t>it</w:t>
      </w:r>
      <w:r w:rsidR="00967FB5">
        <w:t>s</w:t>
      </w:r>
      <w:r>
        <w:t xml:space="preserve"> submission that the proposed expansion fits with its aim of improving probity, integrity and accountability in decision making in the Territory</w:t>
      </w:r>
      <w:r w:rsidR="00967FB5">
        <w:t>:</w:t>
      </w:r>
    </w:p>
    <w:p w14:paraId="2E442BF6" w14:textId="7BBE8BE5" w:rsidR="00DD40A3" w:rsidRDefault="00CA3F18" w:rsidP="00DD40A3">
      <w:pPr>
        <w:ind w:left="1134"/>
      </w:pPr>
      <w:r>
        <w:t xml:space="preserve">In its report </w:t>
      </w:r>
      <w:r w:rsidRPr="00B9226E">
        <w:rPr>
          <w:i/>
        </w:rPr>
        <w:t>Lobbyists, Governments and Public Trust</w:t>
      </w:r>
      <w:r>
        <w:t>, the OECD states that effective regulation for enhancing transparency in lobbying can neither be initiated nor reformed in isolation. In recent years, the ACT government has introduced a range of reforms designed to improve probity, integrity and accountability in government decision making. These reforms include broadening freedom of information laws, strengthening electoral donation laws, and legislating to establish an ACT Integrity Commission. Despite these significant improvements, it is the ACT Government's position that there remains a need for a lobbyist register because the specific objectives of the scheme are sufficiently divergent to other improvements in Territory governance to warrant a dedicated regulatory focus.</w:t>
      </w:r>
      <w:r>
        <w:rPr>
          <w:rStyle w:val="FootnoteReference"/>
        </w:rPr>
        <w:footnoteReference w:id="13"/>
      </w:r>
    </w:p>
    <w:p w14:paraId="420B9468" w14:textId="5657D5B1" w:rsidR="00CA3F18" w:rsidRDefault="00CA3F18" w:rsidP="00CA3F18">
      <w:pPr>
        <w:pStyle w:val="BodyText"/>
      </w:pPr>
      <w:r>
        <w:t>However, the Assembly’s Ethics and Integrity Adviser, Mr Stephen Skehill, was not in favour of the expansion. Mr Skehill argued:</w:t>
      </w:r>
    </w:p>
    <w:p w14:paraId="272D44CA" w14:textId="5809C1EE" w:rsidR="00621BF7" w:rsidRPr="005A3A2D" w:rsidRDefault="00F510E1" w:rsidP="00621BF7">
      <w:pPr>
        <w:ind w:left="1134"/>
      </w:pPr>
      <w:r>
        <w:t xml:space="preserve">… </w:t>
      </w:r>
      <w:r w:rsidR="00621BF7" w:rsidRPr="005A3A2D">
        <w:t xml:space="preserve">that expanding the Lobbyists Register to cover in-house government relation staff infringed the principle of </w:t>
      </w:r>
      <w:r w:rsidR="00621BF7">
        <w:t>‘</w:t>
      </w:r>
      <w:r w:rsidR="00621BF7" w:rsidRPr="005A3A2D">
        <w:t xml:space="preserve">governments should intervene to regulate the affairs of </w:t>
      </w:r>
      <w:r w:rsidR="00621BF7" w:rsidRPr="005A3A2D">
        <w:lastRenderedPageBreak/>
        <w:t>members of the community only to achieve public benefit, and then only to the extent necessary to achieve that benefit</w:t>
      </w:r>
      <w:r w:rsidR="00621BF7">
        <w:t>’</w:t>
      </w:r>
      <w:r w:rsidR="00621BF7" w:rsidRPr="005A3A2D">
        <w:t xml:space="preserve">.  Because they are </w:t>
      </w:r>
      <w:r w:rsidR="00621BF7">
        <w:t>‘</w:t>
      </w:r>
      <w:r w:rsidR="00621BF7" w:rsidRPr="005A3A2D">
        <w:t>in-house</w:t>
      </w:r>
      <w:r w:rsidR="00621BF7">
        <w:t>’</w:t>
      </w:r>
      <w:r w:rsidR="00621BF7" w:rsidRPr="005A3A2D">
        <w:t xml:space="preserve"> the identity of those whose interests they represent are clear. Members being lobbied would not be advantaged by the registration of such persons in assessing their views.</w:t>
      </w:r>
    </w:p>
    <w:p w14:paraId="0EB4CC1B" w14:textId="68B32464" w:rsidR="00621BF7" w:rsidRPr="005A3A2D" w:rsidRDefault="00621BF7" w:rsidP="00621BF7">
      <w:pPr>
        <w:ind w:left="1134"/>
      </w:pPr>
      <w:r w:rsidRPr="005A3A2D">
        <w:t xml:space="preserve">Similarly, according to Mr Skehill, </w:t>
      </w:r>
      <w:r>
        <w:t>‘</w:t>
      </w:r>
      <w:r w:rsidRPr="005A3A2D">
        <w:t>industry associations</w:t>
      </w:r>
      <w:r>
        <w:t>’</w:t>
      </w:r>
      <w:r w:rsidRPr="005A3A2D">
        <w:t xml:space="preserve"> exist for the sole purpose of advancing the interests of their constituents, their identity being readily apparent and registration would not provide Members with additional information.</w:t>
      </w:r>
    </w:p>
    <w:p w14:paraId="4906EFAA" w14:textId="05AEA806" w:rsidR="00621BF7" w:rsidRPr="005A3A2D" w:rsidRDefault="00621BF7" w:rsidP="00621BF7">
      <w:pPr>
        <w:ind w:left="1134"/>
      </w:pPr>
      <w:r w:rsidRPr="005A3A2D">
        <w:t xml:space="preserve">In relation to </w:t>
      </w:r>
      <w:r>
        <w:t>‘</w:t>
      </w:r>
      <w:r w:rsidRPr="005A3A2D">
        <w:t>project management liaison officers</w:t>
      </w:r>
      <w:r>
        <w:t>’</w:t>
      </w:r>
      <w:r w:rsidRPr="005A3A2D">
        <w:t>, their inclusion on the Register would pose problems of definition.</w:t>
      </w:r>
      <w:r>
        <w:rPr>
          <w:rStyle w:val="FootnoteReference"/>
        </w:rPr>
        <w:footnoteReference w:id="14"/>
      </w:r>
      <w:r w:rsidRPr="005A3A2D">
        <w:t xml:space="preserve"> </w:t>
      </w:r>
    </w:p>
    <w:p w14:paraId="664D9C43" w14:textId="7C4CCCE0" w:rsidR="00CA3F18" w:rsidRDefault="00CA3F18" w:rsidP="00CA3F18">
      <w:pPr>
        <w:pStyle w:val="BodyText"/>
      </w:pPr>
      <w:r>
        <w:t xml:space="preserve">The Committee noted other disadvantages of expanding the </w:t>
      </w:r>
      <w:r w:rsidR="00D50B6F">
        <w:t>R</w:t>
      </w:r>
      <w:r>
        <w:t xml:space="preserve">egister highlighted by Mr Skehill </w:t>
      </w:r>
      <w:r w:rsidR="00967FB5">
        <w:t xml:space="preserve">and others </w:t>
      </w:r>
      <w:r>
        <w:t>were:</w:t>
      </w:r>
    </w:p>
    <w:p w14:paraId="2AF5924B" w14:textId="7D4ABC94" w:rsidR="00CA3F18" w:rsidRPr="00CA3F18" w:rsidRDefault="00CA3F18" w:rsidP="00017E8B">
      <w:pPr>
        <w:pStyle w:val="BodyText"/>
        <w:numPr>
          <w:ilvl w:val="0"/>
          <w:numId w:val="25"/>
        </w:numPr>
        <w:ind w:left="1134" w:hanging="567"/>
        <w:rPr>
          <w:b/>
          <w:bCs/>
          <w:smallCaps/>
          <w:spacing w:val="40"/>
          <w:kern w:val="32"/>
        </w:rPr>
      </w:pPr>
      <w:r>
        <w:t>c</w:t>
      </w:r>
      <w:r w:rsidRPr="005A3A2D">
        <w:t>lear definitional problems</w:t>
      </w:r>
      <w:r w:rsidR="00967FB5">
        <w:t>;</w:t>
      </w:r>
    </w:p>
    <w:p w14:paraId="29FA20B6" w14:textId="37316DC1" w:rsidR="00CA3F18" w:rsidRPr="00CA3F18" w:rsidRDefault="00CA3F18" w:rsidP="00017E8B">
      <w:pPr>
        <w:pStyle w:val="BodyText"/>
        <w:numPr>
          <w:ilvl w:val="0"/>
          <w:numId w:val="25"/>
        </w:numPr>
        <w:ind w:left="1134" w:hanging="567"/>
        <w:rPr>
          <w:b/>
          <w:bCs/>
          <w:smallCaps/>
          <w:spacing w:val="40"/>
          <w:kern w:val="32"/>
        </w:rPr>
      </w:pPr>
      <w:r>
        <w:t>p</w:t>
      </w:r>
      <w:r w:rsidRPr="005A3A2D">
        <w:t>roject management liaison officers not</w:t>
      </w:r>
      <w:r w:rsidR="00967FB5">
        <w:t xml:space="preserve"> a</w:t>
      </w:r>
      <w:r w:rsidRPr="005A3A2D">
        <w:t xml:space="preserve"> readily recogni</w:t>
      </w:r>
      <w:r w:rsidR="00967FB5">
        <w:t>s</w:t>
      </w:r>
      <w:r w:rsidRPr="005A3A2D">
        <w:t>ed classification of occupation</w:t>
      </w:r>
      <w:r w:rsidR="00967FB5">
        <w:t>;</w:t>
      </w:r>
      <w:r w:rsidRPr="005A3A2D">
        <w:t xml:space="preserve"> </w:t>
      </w:r>
    </w:p>
    <w:p w14:paraId="7BC5BB4F" w14:textId="7E4C65D8" w:rsidR="00CA3F18" w:rsidRPr="00CA3F18" w:rsidRDefault="00CA3F18" w:rsidP="00017E8B">
      <w:pPr>
        <w:pStyle w:val="BodyText"/>
        <w:numPr>
          <w:ilvl w:val="0"/>
          <w:numId w:val="25"/>
        </w:numPr>
        <w:ind w:left="1134" w:hanging="567"/>
        <w:rPr>
          <w:b/>
          <w:bCs/>
          <w:smallCaps/>
          <w:spacing w:val="40"/>
          <w:kern w:val="32"/>
        </w:rPr>
      </w:pPr>
      <w:r>
        <w:t>n</w:t>
      </w:r>
      <w:r w:rsidRPr="005A3A2D">
        <w:t>o additional transparency would be achieved</w:t>
      </w:r>
      <w:r w:rsidR="00967FB5">
        <w:t>;</w:t>
      </w:r>
      <w:r w:rsidRPr="005A3A2D">
        <w:t xml:space="preserve"> </w:t>
      </w:r>
    </w:p>
    <w:p w14:paraId="6BAFB3B1" w14:textId="3C25A113" w:rsidR="00CA3F18" w:rsidRPr="00CA3F18" w:rsidRDefault="00967FB5" w:rsidP="00017E8B">
      <w:pPr>
        <w:pStyle w:val="BodyText"/>
        <w:numPr>
          <w:ilvl w:val="0"/>
          <w:numId w:val="25"/>
        </w:numPr>
        <w:ind w:left="1134" w:hanging="567"/>
        <w:rPr>
          <w:b/>
          <w:bCs/>
          <w:smallCaps/>
          <w:spacing w:val="40"/>
          <w:kern w:val="32"/>
        </w:rPr>
      </w:pPr>
      <w:r>
        <w:t xml:space="preserve">the proposal would not </w:t>
      </w:r>
      <w:r w:rsidR="00CA3F18" w:rsidRPr="005A3A2D">
        <w:t>capture third party lobbyists such as legal firms, management consultants and accounting firms</w:t>
      </w:r>
      <w:r>
        <w:t>; and</w:t>
      </w:r>
    </w:p>
    <w:p w14:paraId="4E8D8004" w14:textId="0396337D" w:rsidR="00CA3F18" w:rsidRPr="00CA3F18" w:rsidRDefault="00CA3F18" w:rsidP="00017E8B">
      <w:pPr>
        <w:pStyle w:val="BodyText"/>
        <w:numPr>
          <w:ilvl w:val="0"/>
          <w:numId w:val="25"/>
        </w:numPr>
        <w:ind w:left="1134" w:hanging="567"/>
        <w:rPr>
          <w:b/>
          <w:bCs/>
          <w:smallCaps/>
          <w:spacing w:val="40"/>
          <w:kern w:val="32"/>
        </w:rPr>
      </w:pPr>
      <w:r>
        <w:t>s</w:t>
      </w:r>
      <w:r w:rsidRPr="005A3A2D">
        <w:t xml:space="preserve">ignificant increase in number of </w:t>
      </w:r>
      <w:r w:rsidR="00F64AB6">
        <w:t>l</w:t>
      </w:r>
      <w:r w:rsidRPr="005A3A2D">
        <w:t>obbyists registered</w:t>
      </w:r>
      <w:r w:rsidR="00B9226E">
        <w:t>.</w:t>
      </w:r>
    </w:p>
    <w:p w14:paraId="2574F6E4" w14:textId="02AC5367" w:rsidR="00CA3F18" w:rsidRPr="00B9226E" w:rsidRDefault="00B9226E" w:rsidP="00B9226E">
      <w:pPr>
        <w:pStyle w:val="BodyText"/>
      </w:pPr>
      <w:r>
        <w:t>T</w:t>
      </w:r>
      <w:r w:rsidR="00CA3F18" w:rsidRPr="00B9226E">
        <w:t xml:space="preserve">he Australian Professional Government Relations Association (APGRA) was of the view that extending the Register to cover in-house lobbyists would not </w:t>
      </w:r>
      <w:r w:rsidR="00967FB5">
        <w:t xml:space="preserve">be </w:t>
      </w:r>
      <w:r w:rsidR="00CA3F18" w:rsidRPr="00B9226E">
        <w:t>of significant benefit given that no additional transparency would be achieved – when an in-house lobbyist engages with government, it is already clear on whose behalf they are acting.</w:t>
      </w:r>
      <w:r w:rsidR="00CA3F18" w:rsidRPr="00967FB5">
        <w:rPr>
          <w:rStyle w:val="FootnoteReference"/>
        </w:rPr>
        <w:footnoteReference w:id="15"/>
      </w:r>
    </w:p>
    <w:p w14:paraId="59CCEF99" w14:textId="66EE64F1" w:rsidR="00CA3F18" w:rsidRPr="008148E4" w:rsidRDefault="00CA3F18" w:rsidP="00386687">
      <w:pPr>
        <w:pStyle w:val="Heading2"/>
        <w:rPr>
          <w:sz w:val="36"/>
        </w:rPr>
      </w:pPr>
      <w:bookmarkStart w:id="31" w:name="_Toc4000930"/>
      <w:r w:rsidRPr="008148E4">
        <w:rPr>
          <w:sz w:val="36"/>
        </w:rPr>
        <w:lastRenderedPageBreak/>
        <w:t>Should the</w:t>
      </w:r>
      <w:r w:rsidR="00C17EC6" w:rsidRPr="008148E4">
        <w:rPr>
          <w:sz w:val="36"/>
        </w:rPr>
        <w:t xml:space="preserve"> Assembly continue with the existing scheme</w:t>
      </w:r>
      <w:r w:rsidRPr="008148E4">
        <w:rPr>
          <w:sz w:val="36"/>
        </w:rPr>
        <w:t>?</w:t>
      </w:r>
      <w:bookmarkEnd w:id="31"/>
    </w:p>
    <w:p w14:paraId="07FF9A37" w14:textId="7AD72C3D" w:rsidR="00CA3F18" w:rsidRDefault="00621BF7" w:rsidP="00CA3F18">
      <w:pPr>
        <w:pStyle w:val="BodyText"/>
      </w:pPr>
      <w:r>
        <w:t xml:space="preserve">The Committee notes that the scheme that has operated since 2014 appears to have worked reasonably well. Apart from one query as to whether a person should be on the Register, and having to occasionally chase up returns required on a quarterly basis, the Registrar and his staff have administered the regime without having received complaints and </w:t>
      </w:r>
      <w:r w:rsidR="00967FB5">
        <w:t xml:space="preserve">without </w:t>
      </w:r>
      <w:r>
        <w:t xml:space="preserve">having to advise MLAs </w:t>
      </w:r>
      <w:r w:rsidR="00967FB5">
        <w:t xml:space="preserve">or </w:t>
      </w:r>
      <w:r>
        <w:t xml:space="preserve">the Head of Service that a person should not be permitted to meet with a public official. On occasion a lobbyist has had to be removed from the </w:t>
      </w:r>
      <w:r w:rsidR="00D50B6F">
        <w:t>R</w:t>
      </w:r>
      <w:r>
        <w:t>egister</w:t>
      </w:r>
      <w:r w:rsidR="00967FB5">
        <w:t xml:space="preserve"> on the basis that the person </w:t>
      </w:r>
      <w:r>
        <w:t xml:space="preserve">had not lodged the required returns, but it is thought that this was </w:t>
      </w:r>
      <w:r w:rsidR="00F64AB6">
        <w:t>due to</w:t>
      </w:r>
      <w:r>
        <w:t xml:space="preserve"> the </w:t>
      </w:r>
      <w:r w:rsidR="00F64AB6">
        <w:t>person</w:t>
      </w:r>
      <w:r>
        <w:t xml:space="preserve"> ha</w:t>
      </w:r>
      <w:r w:rsidR="00F64AB6">
        <w:t>ving</w:t>
      </w:r>
      <w:r>
        <w:t xml:space="preserve"> ceased operating as a lobbyist.</w:t>
      </w:r>
    </w:p>
    <w:p w14:paraId="3B78FAA6" w14:textId="608EDDA2" w:rsidR="00621BF7" w:rsidRDefault="00F64AB6" w:rsidP="00CA3F18">
      <w:pPr>
        <w:pStyle w:val="BodyText"/>
      </w:pPr>
      <w:r>
        <w:t xml:space="preserve">Against this background, </w:t>
      </w:r>
      <w:r w:rsidR="00621BF7">
        <w:t xml:space="preserve">it appears that the scheme in place has met four (and arguably five) of the </w:t>
      </w:r>
      <w:r>
        <w:t xml:space="preserve">objectives of a registry scheme for lobbyists </w:t>
      </w:r>
      <w:r w:rsidR="00621BF7">
        <w:t>identified by the Ethics and Integrity Adviser in his advice to the committee in 2014, namely:</w:t>
      </w:r>
    </w:p>
    <w:p w14:paraId="0CE79E1C" w14:textId="7B8E0712" w:rsidR="00B9226E" w:rsidRDefault="00621BF7" w:rsidP="00017E8B">
      <w:pPr>
        <w:pStyle w:val="ListParagraph"/>
        <w:numPr>
          <w:ilvl w:val="6"/>
          <w:numId w:val="39"/>
        </w:numPr>
        <w:tabs>
          <w:tab w:val="left" w:pos="1701"/>
        </w:tabs>
        <w:ind w:left="1701" w:hanging="567"/>
      </w:pPr>
      <w:r>
        <w:t>to provide the public official being ‘targeted’ by lobbying activity with transparency as to the identity of the parties on whose behalf lobbying is being undertaken, thus enabling them to better assess the views being advanced and to better judge whether they need to seek alternative or balancing views from other quarters;</w:t>
      </w:r>
    </w:p>
    <w:p w14:paraId="709BB486" w14:textId="45238408" w:rsidR="00B9226E" w:rsidRDefault="00B9226E" w:rsidP="00017E8B">
      <w:pPr>
        <w:pStyle w:val="ListParagraph"/>
        <w:numPr>
          <w:ilvl w:val="6"/>
          <w:numId w:val="39"/>
        </w:numPr>
        <w:tabs>
          <w:tab w:val="left" w:pos="1701"/>
        </w:tabs>
        <w:ind w:left="1701" w:hanging="567"/>
      </w:pPr>
      <w:r>
        <w:t>to lay down expectations for the conduct of lobbyists while engaged in lobbying activities;</w:t>
      </w:r>
    </w:p>
    <w:p w14:paraId="46AEF654" w14:textId="6EFD8EA2" w:rsidR="00B9226E" w:rsidRDefault="00B9226E" w:rsidP="00017E8B">
      <w:pPr>
        <w:pStyle w:val="ListParagraph"/>
        <w:numPr>
          <w:ilvl w:val="6"/>
          <w:numId w:val="39"/>
        </w:numPr>
        <w:tabs>
          <w:tab w:val="left" w:pos="1701"/>
        </w:tabs>
        <w:ind w:left="1701" w:hanging="567"/>
      </w:pPr>
      <w:r>
        <w:t xml:space="preserve">to prevent lobbying </w:t>
      </w:r>
      <w:r w:rsidR="0092425A">
        <w:t>by some categories of persons while they hold particular positions;</w:t>
      </w:r>
    </w:p>
    <w:p w14:paraId="7A6F72A4" w14:textId="6A158B6B" w:rsidR="0092425A" w:rsidRDefault="0092425A" w:rsidP="00017E8B">
      <w:pPr>
        <w:pStyle w:val="ListParagraph"/>
        <w:numPr>
          <w:ilvl w:val="6"/>
          <w:numId w:val="39"/>
        </w:numPr>
        <w:tabs>
          <w:tab w:val="left" w:pos="1701"/>
        </w:tabs>
        <w:ind w:left="1701" w:hanging="567"/>
      </w:pPr>
      <w:r>
        <w:t>to prevent lobbying by former holders of particular positions for a “cooling-off” period post-separation from those positions; and</w:t>
      </w:r>
    </w:p>
    <w:p w14:paraId="08564FF0" w14:textId="609ABD05" w:rsidR="00621BF7" w:rsidRDefault="0092425A" w:rsidP="00017E8B">
      <w:pPr>
        <w:pStyle w:val="ListParagraph"/>
        <w:numPr>
          <w:ilvl w:val="6"/>
          <w:numId w:val="39"/>
        </w:numPr>
        <w:tabs>
          <w:tab w:val="left" w:pos="1701"/>
        </w:tabs>
        <w:ind w:left="1701" w:hanging="567"/>
      </w:pPr>
      <w:r>
        <w:t>to provide the public with a degree of transparency as to the influences and reasons that may have led public officials to take particular decisions or to act in particular ways.</w:t>
      </w:r>
      <w:r w:rsidR="00386687">
        <w:rPr>
          <w:rStyle w:val="FootnoteReference"/>
        </w:rPr>
        <w:footnoteReference w:id="16"/>
      </w:r>
    </w:p>
    <w:p w14:paraId="1D218717" w14:textId="610E03C6" w:rsidR="00621BF7" w:rsidRDefault="00621BF7" w:rsidP="00621BF7">
      <w:pPr>
        <w:pStyle w:val="BodyText"/>
      </w:pPr>
      <w:r>
        <w:t>This view is largely shared by</w:t>
      </w:r>
      <w:r w:rsidR="00386687">
        <w:t xml:space="preserve"> the</w:t>
      </w:r>
      <w:r>
        <w:t xml:space="preserve"> </w:t>
      </w:r>
      <w:r w:rsidR="00386687">
        <w:t>Australian Professional Government Relations Association (</w:t>
      </w:r>
      <w:r>
        <w:t>APGRA</w:t>
      </w:r>
      <w:r w:rsidR="00386687">
        <w:t>)</w:t>
      </w:r>
      <w:r>
        <w:t xml:space="preserve">, </w:t>
      </w:r>
      <w:r w:rsidR="00F64AB6">
        <w:t>which</w:t>
      </w:r>
      <w:r>
        <w:t>, while seeking some extension of ethical obligations to apply to practitioners, acknowledged:</w:t>
      </w:r>
    </w:p>
    <w:p w14:paraId="312D0EC7" w14:textId="7DC93E6E" w:rsidR="00FD3D91" w:rsidRDefault="00FD3D91" w:rsidP="00FD3D91">
      <w:pPr>
        <w:ind w:left="1134"/>
      </w:pPr>
      <w:r>
        <w:t>The APGRA is of the view that, since its inception, the ACT Register of Lobbyists has achieved the public policy aim of ensuring effective oversight and transparency over lobbying activities, and continues to do so.</w:t>
      </w:r>
      <w:r w:rsidR="00386687">
        <w:rPr>
          <w:rStyle w:val="FootnoteReference"/>
        </w:rPr>
        <w:footnoteReference w:id="17"/>
      </w:r>
    </w:p>
    <w:p w14:paraId="01837E8C" w14:textId="092A2D40" w:rsidR="00FD3D91" w:rsidRPr="008148E4" w:rsidRDefault="00FD3D91" w:rsidP="00386687">
      <w:pPr>
        <w:pStyle w:val="Heading2"/>
        <w:rPr>
          <w:sz w:val="36"/>
        </w:rPr>
      </w:pPr>
      <w:bookmarkStart w:id="32" w:name="_Toc4000931"/>
      <w:r w:rsidRPr="008148E4">
        <w:rPr>
          <w:sz w:val="36"/>
        </w:rPr>
        <w:lastRenderedPageBreak/>
        <w:t>Has the scheme provided value to members in relation to assisting with openness and transparency of lobbyists in the territory</w:t>
      </w:r>
      <w:r w:rsidR="00386687" w:rsidRPr="008148E4">
        <w:rPr>
          <w:sz w:val="36"/>
        </w:rPr>
        <w:t>?</w:t>
      </w:r>
      <w:bookmarkEnd w:id="32"/>
    </w:p>
    <w:p w14:paraId="7BAE971C" w14:textId="469A1EE1" w:rsidR="00FD3D91" w:rsidRDefault="00FD3D91" w:rsidP="00FD3D91">
      <w:pPr>
        <w:pStyle w:val="BodyText"/>
      </w:pPr>
      <w:r>
        <w:t xml:space="preserve">The Committee did discuss the value of the current scheme and </w:t>
      </w:r>
      <w:r w:rsidR="00F64AB6">
        <w:t xml:space="preserve">the extent to which </w:t>
      </w:r>
      <w:r>
        <w:t>it was being utilised by MLAs. At the commencement of the scheme in 2014 one minister told the Assembly:</w:t>
      </w:r>
    </w:p>
    <w:p w14:paraId="26A10148" w14:textId="7AD2FD58" w:rsidR="00FD3D91" w:rsidRDefault="00FD3D91" w:rsidP="00FD3D91">
      <w:pPr>
        <w:ind w:left="1134"/>
      </w:pPr>
      <w:r w:rsidRPr="00FD3D91">
        <w:t>In my own experience, I am quite certain that I can count on one hand the number of times I have been lobbied by a paid third-party lobbyist. Again, we had some discussion about this in the committee and, while some other members had slightly more extensive experience, we agreed that there were very few recognised paid lobbyists in town. Most often, we are approached directly by a representative of a company, a non-government organisation or even a community group.</w:t>
      </w:r>
      <w:r>
        <w:rPr>
          <w:rStyle w:val="FootnoteReference"/>
        </w:rPr>
        <w:footnoteReference w:id="18"/>
      </w:r>
    </w:p>
    <w:p w14:paraId="41242838" w14:textId="15337A2C" w:rsidR="00DC43D7" w:rsidRDefault="00DC43D7" w:rsidP="00DC43D7">
      <w:pPr>
        <w:pStyle w:val="BodyText"/>
      </w:pPr>
      <w:r>
        <w:t>In a similar vein, the Cornerstone Group pointed out some slight deficiencies in the current scheme. It noted:</w:t>
      </w:r>
    </w:p>
    <w:p w14:paraId="31062949" w14:textId="0B4E20AB" w:rsidR="00DC43D7" w:rsidRDefault="00DC43D7" w:rsidP="00DC43D7">
      <w:pPr>
        <w:ind w:left="1134"/>
      </w:pPr>
      <w:r>
        <w:t>However, regulations that attempt to distinguish between third-party lobbyists and in-house lobbyists are based on a superficial understanding of lobbying and are inherently flawed. In-house lobbyists working for companies, religious bodies, charitable, and other organisations are not required to register because of the view that there are no transparency issues regarding their purpose in lobbying politicians and government officials. The argument goes that it is self-evident which organisations they are lobbying on behalf of and for what purpose.</w:t>
      </w:r>
    </w:p>
    <w:p w14:paraId="034EB9A6" w14:textId="77777777" w:rsidR="00DC43D7" w:rsidRDefault="00DC43D7" w:rsidP="00DC43D7">
      <w:pPr>
        <w:ind w:left="1134"/>
      </w:pPr>
      <w:r>
        <w:t>On the other hand, third-party lobbyists are required to register because it is not necessarily apparent which persons or entities they may be representing. Third-party lobbyists are also required to place on the register the clients they represent to ensure an appropriate level of transparency and scrutiny of their activities.</w:t>
      </w:r>
    </w:p>
    <w:p w14:paraId="5CB48A88" w14:textId="1614095C" w:rsidR="00DC43D7" w:rsidRDefault="00DC43D7" w:rsidP="00DC43D7">
      <w:pPr>
        <w:ind w:left="1134"/>
      </w:pPr>
      <w:r>
        <w:t xml:space="preserve">This superficial distinction supposes third-party lobbyists do not necessarily disclose – or perhaps even actively seek to hide – the identities of the individuals and organisations on whose behalf they are operating. How this might occur in practice is difficult to understand. If a third-party lobbyist was to approach a politician or government official seeking to influence an outcome on a particular piece of legislation impacting, say, the fintech sector, it is clear the lobbyist is not acting on his or her own behalf and must be engaged by a player in that sector. Further, it is incumbent upon the public official to </w:t>
      </w:r>
      <w:r>
        <w:lastRenderedPageBreak/>
        <w:t>inquire on whose behalf the lobbyist is acting. It is hard to imagine a public official would not, at least out of intellectual curiosity if not as a matter of professional integrity and due diligence, make such an inquiry of the lobbyist.</w:t>
      </w:r>
      <w:r>
        <w:rPr>
          <w:rStyle w:val="FootnoteReference"/>
        </w:rPr>
        <w:footnoteReference w:id="19"/>
      </w:r>
    </w:p>
    <w:p w14:paraId="7D884E85" w14:textId="15AC28A8" w:rsidR="00DC43D7" w:rsidRDefault="00DC43D7" w:rsidP="00DC43D7">
      <w:pPr>
        <w:pStyle w:val="BodyText"/>
      </w:pPr>
      <w:r>
        <w:t xml:space="preserve">Cornerstone </w:t>
      </w:r>
      <w:r w:rsidR="00F64AB6">
        <w:t xml:space="preserve">Group </w:t>
      </w:r>
      <w:r>
        <w:t>then went on to say that requiring all lobbyists including in-house lobbyists to register would provide greater transparency and scrutiny of who is lobbying whom and for what purposes.</w:t>
      </w:r>
    </w:p>
    <w:p w14:paraId="3F642875" w14:textId="7B975491" w:rsidR="00DC43D7" w:rsidRDefault="00DC43D7" w:rsidP="00DC43D7">
      <w:pPr>
        <w:pStyle w:val="BodyText"/>
      </w:pPr>
      <w:r>
        <w:t xml:space="preserve">Anecdotal evidence of committee members is that they are not often contacted by persons on the </w:t>
      </w:r>
      <w:r w:rsidR="00D50B6F">
        <w:t>L</w:t>
      </w:r>
      <w:r>
        <w:t xml:space="preserve">obbyists </w:t>
      </w:r>
      <w:r w:rsidR="00D50B6F">
        <w:t>R</w:t>
      </w:r>
      <w:r>
        <w:t xml:space="preserve">egister. However, it is acknowledged that MLAs make up only a small part of public officials who could be approached by a lobbyists, as the definition of a public official includes not just MLAs but any person employed by a Member or any person employed under the </w:t>
      </w:r>
      <w:r>
        <w:rPr>
          <w:i/>
        </w:rPr>
        <w:t>Public Sector Management Act 1994</w:t>
      </w:r>
      <w:r>
        <w:t xml:space="preserve"> and it is not known how many approaches have been made to these public officials.</w:t>
      </w:r>
    </w:p>
    <w:p w14:paraId="4E217589" w14:textId="69B57DC4" w:rsidR="00DC43D7" w:rsidRPr="008148E4" w:rsidRDefault="00DC43D7" w:rsidP="00DC43D7">
      <w:pPr>
        <w:pStyle w:val="Heading2"/>
        <w:rPr>
          <w:sz w:val="36"/>
        </w:rPr>
      </w:pPr>
      <w:bookmarkStart w:id="33" w:name="_Toc4000932"/>
      <w:r w:rsidRPr="008148E4">
        <w:rPr>
          <w:sz w:val="36"/>
        </w:rPr>
        <w:lastRenderedPageBreak/>
        <w:t>Conclusion</w:t>
      </w:r>
      <w:bookmarkEnd w:id="33"/>
    </w:p>
    <w:p w14:paraId="459A107D" w14:textId="1E0D0B3E" w:rsidR="00E13056" w:rsidRDefault="00DC43D7" w:rsidP="00E13056">
      <w:pPr>
        <w:pStyle w:val="BodyText"/>
      </w:pPr>
      <w:r>
        <w:t>Having considered the submissions the Committee was not convi</w:t>
      </w:r>
      <w:r w:rsidR="00D50B6F">
        <w:t>nced of the need to expand the L</w:t>
      </w:r>
      <w:r>
        <w:t xml:space="preserve">obbyist </w:t>
      </w:r>
      <w:r w:rsidR="00D50B6F">
        <w:t>R</w:t>
      </w:r>
      <w:r>
        <w:t xml:space="preserve">egister at this time. The Committee noted the arguments made by the Assembly’s Ethics and Integrity Adviser that there is limited benefits in expanding the scheme in assisting public officials identifying the party that is undertaking the lobbying, and possible </w:t>
      </w:r>
      <w:r w:rsidR="003C6E9E">
        <w:t>definitional problems and the risk that some employers would re-designate the title chosen so as to avoid the need for registration. The Committee was persuaded by these arguments.</w:t>
      </w:r>
    </w:p>
    <w:p w14:paraId="1758D394" w14:textId="79536834" w:rsidR="003C6E9E" w:rsidRPr="00E13056" w:rsidRDefault="003C6E9E" w:rsidP="00E13056">
      <w:pPr>
        <w:pStyle w:val="BodyText"/>
      </w:pPr>
      <w:r>
        <w:t>In July 2019 it is expected that an Integrity Commission for the Territory will commence operation. The Committee will watch closely to see if any matters considered by the Commission relate to issues that involve lobbyists or those that may be covered by the expanded definition proposed.</w:t>
      </w:r>
    </w:p>
    <w:p w14:paraId="1E096FF2" w14:textId="72199EAC" w:rsidR="008A4D77" w:rsidRPr="008148E4" w:rsidRDefault="003C6E9E" w:rsidP="008148E4">
      <w:pPr>
        <w:pStyle w:val="Heading4"/>
        <w:tabs>
          <w:tab w:val="clear" w:pos="567"/>
          <w:tab w:val="left" w:pos="0"/>
        </w:tabs>
        <w:rPr>
          <w:sz w:val="36"/>
          <w:szCs w:val="36"/>
        </w:rPr>
      </w:pPr>
      <w:r w:rsidRPr="008148E4">
        <w:rPr>
          <w:sz w:val="36"/>
          <w:szCs w:val="36"/>
        </w:rPr>
        <w:t>Recommendations</w:t>
      </w:r>
    </w:p>
    <w:p w14:paraId="7D2AFD4A" w14:textId="77777777" w:rsidR="008A4D77" w:rsidRDefault="008A4D77" w:rsidP="008A4D77">
      <w:pPr>
        <w:pStyle w:val="Recommendation"/>
      </w:pPr>
      <w:bookmarkStart w:id="34" w:name="_Toc4000933"/>
      <w:bookmarkEnd w:id="34"/>
    </w:p>
    <w:p w14:paraId="0D05E09D" w14:textId="496CEC13" w:rsidR="008A4D77" w:rsidRDefault="00934BD0" w:rsidP="00934BD0">
      <w:pPr>
        <w:pStyle w:val="RecommendationText"/>
      </w:pPr>
      <w:bookmarkStart w:id="35" w:name="_Toc502672951"/>
      <w:bookmarkStart w:id="36" w:name="_Toc502673265"/>
      <w:bookmarkStart w:id="37" w:name="_Toc4000934"/>
      <w:r w:rsidRPr="00934BD0">
        <w:t>The Committee recommends that the expansion of the ACT Register of Lobbyists be reconsidered at least 12 months after the commencement of the ACT Integrity Commission and not before the beginning of the 10th Assembly</w:t>
      </w:r>
      <w:r w:rsidR="003C6E9E">
        <w:t>.</w:t>
      </w:r>
      <w:bookmarkEnd w:id="35"/>
      <w:bookmarkEnd w:id="36"/>
      <w:bookmarkEnd w:id="37"/>
    </w:p>
    <w:p w14:paraId="28434D71" w14:textId="77777777" w:rsidR="00AD45A3" w:rsidRDefault="00AD45A3" w:rsidP="00AD45A3">
      <w:pPr>
        <w:pStyle w:val="Recommendation"/>
      </w:pPr>
      <w:bookmarkStart w:id="38" w:name="_Toc4000935"/>
      <w:bookmarkEnd w:id="38"/>
    </w:p>
    <w:p w14:paraId="6782DF07" w14:textId="78D25FBC" w:rsidR="00194FF3" w:rsidRDefault="003C6E9E" w:rsidP="00AD45A3">
      <w:pPr>
        <w:pStyle w:val="RecommendationText"/>
      </w:pPr>
      <w:bookmarkStart w:id="39" w:name="_Toc4000936"/>
      <w:r>
        <w:t>The Committee recommends that</w:t>
      </w:r>
      <w:r w:rsidR="00194FF3">
        <w:t xml:space="preserve"> the below recommended amendment</w:t>
      </w:r>
      <w:r w:rsidR="00C657B2">
        <w:t>s</w:t>
      </w:r>
      <w:r w:rsidR="00194FF3">
        <w:t xml:space="preserve"> contained in the report of the Standing Committee on Administration and Procedure entitled </w:t>
      </w:r>
      <w:r w:rsidR="00194FF3">
        <w:rPr>
          <w:i/>
        </w:rPr>
        <w:t>Review of the standing orders and continuing resolutions of the Legislative Assembly</w:t>
      </w:r>
      <w:r w:rsidR="00194FF3">
        <w:t xml:space="preserve"> be adopted.</w:t>
      </w:r>
      <w:bookmarkEnd w:id="39"/>
    </w:p>
    <w:p w14:paraId="0BAE8B40" w14:textId="30CB0D84" w:rsidR="00194FF3" w:rsidRPr="00311426" w:rsidRDefault="00194FF3" w:rsidP="00C657B2">
      <w:pPr>
        <w:pStyle w:val="RecommendationBullet"/>
        <w:rPr>
          <w:lang w:eastAsia="en-AU"/>
        </w:rPr>
      </w:pPr>
      <w:bookmarkStart w:id="40" w:name="_Toc4000937"/>
      <w:r>
        <w:t>Recommended</w:t>
      </w:r>
      <w:r>
        <w:rPr>
          <w:lang w:eastAsia="en-AU"/>
        </w:rPr>
        <w:t xml:space="preserve"> amendment 69</w:t>
      </w:r>
      <w:r w:rsidR="00C657B2">
        <w:rPr>
          <w:lang w:eastAsia="en-AU"/>
        </w:rPr>
        <w:t>—</w:t>
      </w:r>
      <w:r w:rsidRPr="00311426">
        <w:rPr>
          <w:lang w:eastAsia="en-AU"/>
        </w:rPr>
        <w:t>Continuing Resolution 8AC—ACT Lobbyist Regulation Guidelines</w:t>
      </w:r>
      <w:bookmarkEnd w:id="40"/>
    </w:p>
    <w:p w14:paraId="4220D3B1" w14:textId="77777777" w:rsidR="00194FF3" w:rsidRPr="0092425A" w:rsidRDefault="00194FF3" w:rsidP="00C657B2">
      <w:pPr>
        <w:pStyle w:val="RecommendationText"/>
        <w:numPr>
          <w:ilvl w:val="0"/>
          <w:numId w:val="0"/>
        </w:numPr>
        <w:ind w:left="993"/>
        <w:rPr>
          <w:b w:val="0"/>
          <w:szCs w:val="22"/>
          <w:lang w:eastAsia="en-AU"/>
        </w:rPr>
      </w:pPr>
      <w:bookmarkStart w:id="41" w:name="_Toc4000938"/>
      <w:r w:rsidRPr="0092425A">
        <w:rPr>
          <w:b w:val="0"/>
          <w:szCs w:val="22"/>
          <w:lang w:eastAsia="en-AU"/>
        </w:rPr>
        <w:t>Public content of the ACT Register of Lobbyists</w:t>
      </w:r>
      <w:bookmarkEnd w:id="41"/>
    </w:p>
    <w:p w14:paraId="0066050C" w14:textId="77777777" w:rsidR="00194FF3" w:rsidRPr="0092425A" w:rsidRDefault="00194FF3" w:rsidP="00C657B2">
      <w:pPr>
        <w:pStyle w:val="RecommendationText"/>
        <w:numPr>
          <w:ilvl w:val="0"/>
          <w:numId w:val="0"/>
        </w:numPr>
        <w:ind w:left="993"/>
        <w:rPr>
          <w:b w:val="0"/>
          <w:szCs w:val="22"/>
          <w:lang w:eastAsia="en-AU"/>
        </w:rPr>
      </w:pPr>
      <w:bookmarkStart w:id="42" w:name="_Toc4000939"/>
      <w:r w:rsidRPr="0092425A">
        <w:rPr>
          <w:b w:val="0"/>
          <w:szCs w:val="22"/>
          <w:lang w:eastAsia="en-AU"/>
        </w:rPr>
        <w:t>The public section of the Register is to contain the following detail for each registrant:</w:t>
      </w:r>
      <w:bookmarkEnd w:id="42"/>
    </w:p>
    <w:p w14:paraId="64DC455F" w14:textId="77777777" w:rsidR="00194FF3" w:rsidRPr="0092425A" w:rsidRDefault="00194FF3" w:rsidP="00C657B2">
      <w:pPr>
        <w:pStyle w:val="RecommendationText"/>
        <w:numPr>
          <w:ilvl w:val="0"/>
          <w:numId w:val="0"/>
        </w:numPr>
        <w:ind w:left="993"/>
        <w:rPr>
          <w:rFonts w:asciiTheme="minorHAnsi" w:hAnsiTheme="minorHAnsi"/>
          <w:b w:val="0"/>
          <w:szCs w:val="22"/>
        </w:rPr>
      </w:pPr>
      <w:bookmarkStart w:id="43" w:name="_Toc4000940"/>
      <w:r w:rsidRPr="00732781">
        <w:rPr>
          <w:rFonts w:asciiTheme="minorHAnsi" w:hAnsiTheme="minorHAnsi"/>
          <w:b w:val="0"/>
          <w:i/>
          <w:szCs w:val="22"/>
        </w:rPr>
        <w:t>delete words</w:t>
      </w:r>
      <w:r w:rsidRPr="0092425A">
        <w:rPr>
          <w:rFonts w:asciiTheme="minorHAnsi" w:hAnsiTheme="minorHAnsi"/>
          <w:b w:val="0"/>
          <w:szCs w:val="22"/>
        </w:rPr>
        <w:t>—</w:t>
      </w:r>
      <w:bookmarkEnd w:id="43"/>
    </w:p>
    <w:p w14:paraId="715E2733" w14:textId="77777777" w:rsidR="00194FF3" w:rsidRPr="0092425A" w:rsidRDefault="00194FF3" w:rsidP="00C657B2">
      <w:pPr>
        <w:pStyle w:val="RecommendationText"/>
        <w:numPr>
          <w:ilvl w:val="0"/>
          <w:numId w:val="0"/>
        </w:numPr>
        <w:ind w:left="993"/>
        <w:rPr>
          <w:b w:val="0"/>
        </w:rPr>
      </w:pPr>
      <w:bookmarkStart w:id="44" w:name="_Toc4000941"/>
      <w:r w:rsidRPr="0092425A">
        <w:rPr>
          <w:b w:val="0"/>
        </w:rPr>
        <w:t>For a natural person:</w:t>
      </w:r>
      <w:bookmarkEnd w:id="44"/>
    </w:p>
    <w:p w14:paraId="4412C803" w14:textId="77777777" w:rsidR="00194FF3" w:rsidRPr="0092425A" w:rsidRDefault="00194FF3" w:rsidP="00C657B2">
      <w:pPr>
        <w:pStyle w:val="RecommendationText"/>
        <w:numPr>
          <w:ilvl w:val="0"/>
          <w:numId w:val="0"/>
        </w:numPr>
        <w:ind w:left="993"/>
        <w:rPr>
          <w:b w:val="0"/>
          <w:szCs w:val="22"/>
          <w:lang w:eastAsia="en-AU"/>
        </w:rPr>
      </w:pPr>
      <w:bookmarkStart w:id="45" w:name="_Toc4000942"/>
      <w:r w:rsidRPr="0092425A">
        <w:rPr>
          <w:b w:val="0"/>
          <w:szCs w:val="22"/>
          <w:lang w:eastAsia="en-AU"/>
        </w:rPr>
        <w:t>…</w:t>
      </w:r>
      <w:bookmarkEnd w:id="45"/>
      <w:r w:rsidRPr="0092425A">
        <w:rPr>
          <w:b w:val="0"/>
          <w:szCs w:val="22"/>
          <w:lang w:eastAsia="en-AU"/>
        </w:rPr>
        <w:t xml:space="preserve"> </w:t>
      </w:r>
    </w:p>
    <w:p w14:paraId="1F8FF7EE" w14:textId="25F7FCBA" w:rsidR="00194FF3" w:rsidRPr="0092425A" w:rsidRDefault="00194FF3" w:rsidP="007F1A45">
      <w:pPr>
        <w:pStyle w:val="RecommendationText"/>
        <w:numPr>
          <w:ilvl w:val="0"/>
          <w:numId w:val="0"/>
        </w:numPr>
        <w:ind w:left="1440" w:hanging="447"/>
        <w:rPr>
          <w:b w:val="0"/>
          <w:szCs w:val="22"/>
          <w:lang w:eastAsia="en-AU"/>
        </w:rPr>
      </w:pPr>
      <w:bookmarkStart w:id="46" w:name="_Toc4000943"/>
      <w:r w:rsidRPr="0092425A">
        <w:rPr>
          <w:b w:val="0"/>
          <w:szCs w:val="22"/>
          <w:lang w:eastAsia="en-AU"/>
        </w:rPr>
        <w:lastRenderedPageBreak/>
        <w:t>“(i)</w:t>
      </w:r>
      <w:r w:rsidRPr="0092425A">
        <w:rPr>
          <w:b w:val="0"/>
          <w:szCs w:val="22"/>
          <w:lang w:eastAsia="en-AU"/>
        </w:rPr>
        <w:tab/>
        <w:t>name and address of each person or entity on whose behalf lobbying has been conducted in the preceding 12 months, whether or not for reward.”</w:t>
      </w:r>
      <w:bookmarkEnd w:id="46"/>
    </w:p>
    <w:p w14:paraId="71271AF5" w14:textId="77777777" w:rsidR="00194FF3" w:rsidRPr="0092425A" w:rsidRDefault="00194FF3" w:rsidP="00C657B2">
      <w:pPr>
        <w:pStyle w:val="RecommendationText"/>
        <w:numPr>
          <w:ilvl w:val="0"/>
          <w:numId w:val="0"/>
        </w:numPr>
        <w:ind w:left="993"/>
        <w:rPr>
          <w:b w:val="0"/>
        </w:rPr>
      </w:pPr>
      <w:bookmarkStart w:id="47" w:name="_Toc4000944"/>
      <w:r w:rsidRPr="0092425A">
        <w:rPr>
          <w:b w:val="0"/>
        </w:rPr>
        <w:t>For a partnership:</w:t>
      </w:r>
      <w:bookmarkEnd w:id="47"/>
    </w:p>
    <w:p w14:paraId="04421D5F" w14:textId="77777777" w:rsidR="00194FF3" w:rsidRPr="0092425A" w:rsidRDefault="00194FF3" w:rsidP="00C657B2">
      <w:pPr>
        <w:pStyle w:val="RecommendationText"/>
        <w:numPr>
          <w:ilvl w:val="0"/>
          <w:numId w:val="0"/>
        </w:numPr>
        <w:ind w:left="993"/>
        <w:rPr>
          <w:b w:val="0"/>
          <w:szCs w:val="22"/>
          <w:lang w:eastAsia="en-AU"/>
        </w:rPr>
      </w:pPr>
      <w:r w:rsidRPr="0092425A">
        <w:rPr>
          <w:b w:val="0"/>
          <w:szCs w:val="22"/>
          <w:lang w:eastAsia="en-AU"/>
        </w:rPr>
        <w:tab/>
      </w:r>
      <w:bookmarkStart w:id="48" w:name="_Toc4000945"/>
      <w:r w:rsidRPr="0092425A">
        <w:rPr>
          <w:b w:val="0"/>
          <w:szCs w:val="22"/>
          <w:lang w:eastAsia="en-AU"/>
        </w:rPr>
        <w:t>…</w:t>
      </w:r>
      <w:bookmarkEnd w:id="48"/>
    </w:p>
    <w:p w14:paraId="776D7C6E" w14:textId="35A72EDB" w:rsidR="00194FF3" w:rsidRPr="0092425A" w:rsidRDefault="00194FF3" w:rsidP="007F1A45">
      <w:pPr>
        <w:pStyle w:val="RecommendationText"/>
        <w:numPr>
          <w:ilvl w:val="0"/>
          <w:numId w:val="0"/>
        </w:numPr>
        <w:ind w:left="1440" w:hanging="447"/>
        <w:rPr>
          <w:b w:val="0"/>
          <w:szCs w:val="22"/>
          <w:lang w:eastAsia="en-AU"/>
        </w:rPr>
      </w:pPr>
      <w:bookmarkStart w:id="49" w:name="_Toc4000946"/>
      <w:r w:rsidRPr="0092425A">
        <w:rPr>
          <w:b w:val="0"/>
          <w:szCs w:val="22"/>
          <w:lang w:eastAsia="en-AU"/>
        </w:rPr>
        <w:t>“(i)</w:t>
      </w:r>
      <w:r w:rsidRPr="0092425A">
        <w:rPr>
          <w:b w:val="0"/>
          <w:szCs w:val="22"/>
          <w:lang w:eastAsia="en-AU"/>
        </w:rPr>
        <w:tab/>
        <w:t>name and address of each person or entity on whose behalf lobbying has been conducted in the preceding 12 months, whether or not for reward.”</w:t>
      </w:r>
      <w:bookmarkEnd w:id="49"/>
    </w:p>
    <w:p w14:paraId="3E4B8DA2" w14:textId="77777777" w:rsidR="00194FF3" w:rsidRPr="0092425A" w:rsidRDefault="00194FF3" w:rsidP="00C657B2">
      <w:pPr>
        <w:pStyle w:val="RecommendationText"/>
        <w:numPr>
          <w:ilvl w:val="0"/>
          <w:numId w:val="0"/>
        </w:numPr>
        <w:ind w:left="993"/>
        <w:rPr>
          <w:b w:val="0"/>
        </w:rPr>
      </w:pPr>
      <w:bookmarkStart w:id="50" w:name="_Toc4000947"/>
      <w:r w:rsidRPr="0092425A">
        <w:rPr>
          <w:b w:val="0"/>
        </w:rPr>
        <w:t>For a company:</w:t>
      </w:r>
      <w:bookmarkEnd w:id="50"/>
    </w:p>
    <w:p w14:paraId="73855B7C" w14:textId="77777777" w:rsidR="00194FF3" w:rsidRPr="0092425A" w:rsidRDefault="00194FF3" w:rsidP="00C657B2">
      <w:pPr>
        <w:pStyle w:val="RecommendationText"/>
        <w:numPr>
          <w:ilvl w:val="0"/>
          <w:numId w:val="0"/>
        </w:numPr>
        <w:ind w:left="993"/>
        <w:rPr>
          <w:b w:val="0"/>
          <w:szCs w:val="22"/>
        </w:rPr>
      </w:pPr>
      <w:r w:rsidRPr="0092425A">
        <w:rPr>
          <w:b w:val="0"/>
          <w:szCs w:val="22"/>
        </w:rPr>
        <w:tab/>
      </w:r>
      <w:bookmarkStart w:id="51" w:name="_Toc4000948"/>
      <w:r w:rsidRPr="0092425A">
        <w:rPr>
          <w:b w:val="0"/>
          <w:szCs w:val="22"/>
        </w:rPr>
        <w:t>…</w:t>
      </w:r>
      <w:bookmarkEnd w:id="51"/>
    </w:p>
    <w:p w14:paraId="092DF3EC" w14:textId="5E13A9DE" w:rsidR="00194FF3" w:rsidRPr="0092425A" w:rsidRDefault="00194FF3" w:rsidP="007F1A45">
      <w:pPr>
        <w:pStyle w:val="RecommendationText"/>
        <w:numPr>
          <w:ilvl w:val="0"/>
          <w:numId w:val="0"/>
        </w:numPr>
        <w:ind w:left="1440" w:hanging="447"/>
        <w:rPr>
          <w:b w:val="0"/>
        </w:rPr>
      </w:pPr>
      <w:bookmarkStart w:id="52" w:name="_Toc4000949"/>
      <w:r w:rsidRPr="0092425A">
        <w:rPr>
          <w:b w:val="0"/>
          <w:lang w:eastAsia="en-AU"/>
        </w:rPr>
        <w:t>“(k)</w:t>
      </w:r>
      <w:r w:rsidRPr="0092425A">
        <w:rPr>
          <w:b w:val="0"/>
          <w:lang w:eastAsia="en-AU"/>
        </w:rPr>
        <w:tab/>
        <w:t>name and address of each person or entity on whose behalf lobbying has been conducted in the preceding 12 months, whether or not for reward.”</w:t>
      </w:r>
      <w:bookmarkEnd w:id="52"/>
    </w:p>
    <w:p w14:paraId="4E78ECAD" w14:textId="38A1E995" w:rsidR="00C657B2" w:rsidRPr="00C657B2" w:rsidRDefault="00C657B2" w:rsidP="0092425A">
      <w:pPr>
        <w:pStyle w:val="RecommendationBullet"/>
        <w:spacing w:before="240"/>
      </w:pPr>
      <w:bookmarkStart w:id="53" w:name="_Toc4000950"/>
      <w:r w:rsidRPr="00C657B2">
        <w:t>Recommended amendment 70</w:t>
      </w:r>
      <w:r>
        <w:t>—</w:t>
      </w:r>
      <w:r w:rsidRPr="00C657B2">
        <w:t>Continuing Resolution 8AC—ACT Lobbyist Regulation Guidelines</w:t>
      </w:r>
      <w:bookmarkEnd w:id="53"/>
    </w:p>
    <w:p w14:paraId="101C8A68" w14:textId="77777777" w:rsidR="00C657B2" w:rsidRPr="0092425A" w:rsidRDefault="00C657B2" w:rsidP="00C657B2">
      <w:pPr>
        <w:pStyle w:val="RecommendationText"/>
        <w:numPr>
          <w:ilvl w:val="0"/>
          <w:numId w:val="0"/>
        </w:numPr>
        <w:ind w:left="993"/>
        <w:rPr>
          <w:b w:val="0"/>
        </w:rPr>
      </w:pPr>
      <w:bookmarkStart w:id="54" w:name="_Toc4000951"/>
      <w:r w:rsidRPr="0092425A">
        <w:rPr>
          <w:b w:val="0"/>
        </w:rPr>
        <w:t>Maintaining accuracy of the Register</w:t>
      </w:r>
      <w:bookmarkEnd w:id="54"/>
    </w:p>
    <w:p w14:paraId="31F67E4A" w14:textId="77777777" w:rsidR="00C657B2" w:rsidRPr="0092425A" w:rsidRDefault="00C657B2" w:rsidP="00C657B2">
      <w:pPr>
        <w:pStyle w:val="RecommendationText"/>
        <w:numPr>
          <w:ilvl w:val="0"/>
          <w:numId w:val="0"/>
        </w:numPr>
        <w:ind w:left="993"/>
        <w:rPr>
          <w:b w:val="0"/>
        </w:rPr>
      </w:pPr>
      <w:bookmarkStart w:id="55" w:name="_Toc4000952"/>
      <w:r w:rsidRPr="0092425A">
        <w:rPr>
          <w:b w:val="0"/>
        </w:rPr>
        <w:t>The public section of the Register is to contain the following detail for each registrant:</w:t>
      </w:r>
      <w:bookmarkEnd w:id="55"/>
    </w:p>
    <w:p w14:paraId="5857B3CC" w14:textId="04A73E79" w:rsidR="00C657B2" w:rsidRPr="00732781" w:rsidRDefault="00C657B2" w:rsidP="00C657B2">
      <w:pPr>
        <w:pStyle w:val="RecommendationText"/>
        <w:numPr>
          <w:ilvl w:val="0"/>
          <w:numId w:val="0"/>
        </w:numPr>
        <w:ind w:left="993"/>
        <w:rPr>
          <w:b w:val="0"/>
          <w:i/>
        </w:rPr>
      </w:pPr>
      <w:bookmarkStart w:id="56" w:name="_Toc4000953"/>
      <w:r w:rsidRPr="00732781">
        <w:rPr>
          <w:b w:val="0"/>
          <w:i/>
        </w:rPr>
        <w:t>Omit</w:t>
      </w:r>
      <w:bookmarkEnd w:id="56"/>
      <w:r w:rsidRPr="00732781">
        <w:rPr>
          <w:b w:val="0"/>
          <w:i/>
        </w:rPr>
        <w:t xml:space="preserve"> </w:t>
      </w:r>
    </w:p>
    <w:p w14:paraId="37998DEC" w14:textId="77777777" w:rsidR="00C657B2" w:rsidRPr="0092425A" w:rsidRDefault="00C657B2" w:rsidP="00C657B2">
      <w:pPr>
        <w:pStyle w:val="RecommendationText"/>
        <w:numPr>
          <w:ilvl w:val="0"/>
          <w:numId w:val="0"/>
        </w:numPr>
        <w:ind w:left="993"/>
        <w:rPr>
          <w:b w:val="0"/>
        </w:rPr>
      </w:pPr>
      <w:bookmarkStart w:id="57" w:name="_Toc4000954"/>
      <w:r w:rsidRPr="0092425A">
        <w:rPr>
          <w:b w:val="0"/>
        </w:rPr>
        <w:t>“In addition to providing notification of changes in registered details, a registered lobbyist is required to provide the Clerk with a quarterly return, within 10 working days of 31 March, 30 June, 30 September and 31 December in each year, which return is required to:”</w:t>
      </w:r>
      <w:bookmarkEnd w:id="57"/>
    </w:p>
    <w:p w14:paraId="18E67765" w14:textId="682D43B7" w:rsidR="00C657B2" w:rsidRPr="00732781" w:rsidRDefault="00C657B2" w:rsidP="00C657B2">
      <w:pPr>
        <w:pStyle w:val="RecommendationText"/>
        <w:numPr>
          <w:ilvl w:val="0"/>
          <w:numId w:val="0"/>
        </w:numPr>
        <w:ind w:left="993"/>
        <w:rPr>
          <w:b w:val="0"/>
          <w:i/>
        </w:rPr>
      </w:pPr>
      <w:bookmarkStart w:id="58" w:name="_Toc4000955"/>
      <w:r w:rsidRPr="00732781">
        <w:rPr>
          <w:b w:val="0"/>
          <w:i/>
        </w:rPr>
        <w:t>Substitute</w:t>
      </w:r>
      <w:bookmarkEnd w:id="58"/>
    </w:p>
    <w:p w14:paraId="4F7E3485" w14:textId="5C7F1D4E" w:rsidR="00C657B2" w:rsidRPr="0092425A" w:rsidRDefault="00C657B2" w:rsidP="00C657B2">
      <w:pPr>
        <w:pStyle w:val="RecommendationText"/>
        <w:numPr>
          <w:ilvl w:val="0"/>
          <w:numId w:val="0"/>
        </w:numPr>
        <w:ind w:left="993"/>
        <w:rPr>
          <w:b w:val="0"/>
        </w:rPr>
      </w:pPr>
      <w:bookmarkStart w:id="59" w:name="_Toc4000956"/>
      <w:r w:rsidRPr="0092425A">
        <w:rPr>
          <w:b w:val="0"/>
        </w:rPr>
        <w:t>“In addition to providing notification of changes in registered details, a registered lobbyist is required to provide the Clerk with a six monthly return, within 15 working days of 30 June and 31 December in each year, which return is required to:”.</w:t>
      </w:r>
      <w:bookmarkEnd w:id="59"/>
    </w:p>
    <w:p w14:paraId="5CB54A6A" w14:textId="1B12AA0A" w:rsidR="0092425A" w:rsidRPr="0092425A" w:rsidRDefault="0092425A" w:rsidP="00CA2C7D">
      <w:pPr>
        <w:pStyle w:val="RecommendationBullet"/>
        <w:ind w:hanging="397"/>
      </w:pPr>
      <w:bookmarkStart w:id="60" w:name="_Toc4000957"/>
      <w:r w:rsidRPr="00C27C6E">
        <w:t>Recommended</w:t>
      </w:r>
      <w:r w:rsidRPr="0092425A" w:rsidDel="00134B0B">
        <w:t xml:space="preserve"> </w:t>
      </w:r>
      <w:r w:rsidRPr="0092425A">
        <w:t>amendment 71</w:t>
      </w:r>
      <w:r>
        <w:t>—</w:t>
      </w:r>
      <w:r w:rsidRPr="0092425A">
        <w:t>Continuing Resolution 8AC—ACT Lobbyist Regulation Guidelines</w:t>
      </w:r>
      <w:bookmarkEnd w:id="60"/>
    </w:p>
    <w:p w14:paraId="31F4A385" w14:textId="77777777" w:rsidR="0092425A" w:rsidRPr="00732781" w:rsidRDefault="0092425A" w:rsidP="0092425A">
      <w:pPr>
        <w:pStyle w:val="RecommendationText"/>
        <w:numPr>
          <w:ilvl w:val="0"/>
          <w:numId w:val="0"/>
        </w:numPr>
        <w:ind w:left="993"/>
        <w:rPr>
          <w:b w:val="0"/>
          <w:bCs/>
          <w:i/>
          <w:szCs w:val="22"/>
        </w:rPr>
      </w:pPr>
      <w:bookmarkStart w:id="61" w:name="_Toc4000958"/>
      <w:r w:rsidRPr="00732781">
        <w:rPr>
          <w:b w:val="0"/>
          <w:bCs/>
          <w:i/>
          <w:szCs w:val="22"/>
        </w:rPr>
        <w:t>Insert the following under the “Persons/Entities not required to be registered”</w:t>
      </w:r>
      <w:bookmarkEnd w:id="61"/>
    </w:p>
    <w:p w14:paraId="1131E515" w14:textId="77777777" w:rsidR="0092425A" w:rsidRPr="0092425A" w:rsidRDefault="0092425A" w:rsidP="0092425A">
      <w:pPr>
        <w:pStyle w:val="RecommendationText"/>
        <w:numPr>
          <w:ilvl w:val="0"/>
          <w:numId w:val="0"/>
        </w:numPr>
        <w:ind w:left="993"/>
        <w:rPr>
          <w:b w:val="0"/>
          <w:bCs/>
          <w:szCs w:val="22"/>
        </w:rPr>
      </w:pPr>
      <w:bookmarkStart w:id="62" w:name="_Toc4000959"/>
      <w:r w:rsidRPr="0092425A">
        <w:rPr>
          <w:b w:val="0"/>
          <w:bCs/>
          <w:szCs w:val="22"/>
        </w:rPr>
        <w:t>“Prohibition on contact with unregistered Lobbyists</w:t>
      </w:r>
      <w:bookmarkEnd w:id="62"/>
    </w:p>
    <w:p w14:paraId="422E2035" w14:textId="77777777" w:rsidR="0092425A" w:rsidRPr="0092425A" w:rsidRDefault="0092425A" w:rsidP="0092425A">
      <w:pPr>
        <w:pStyle w:val="RecommendationText"/>
        <w:numPr>
          <w:ilvl w:val="0"/>
          <w:numId w:val="0"/>
        </w:numPr>
        <w:ind w:left="993"/>
        <w:rPr>
          <w:b w:val="0"/>
          <w:bCs/>
          <w:szCs w:val="22"/>
        </w:rPr>
      </w:pPr>
      <w:bookmarkStart w:id="63" w:name="_Toc4000960"/>
      <w:r w:rsidRPr="0092425A">
        <w:rPr>
          <w:b w:val="0"/>
          <w:bCs/>
          <w:szCs w:val="22"/>
        </w:rPr>
        <w:t>Members/Ministers agree, and their personal staff and all ACT public service officers shall be directed, not to knowingly or intentionally entertain any non-exempted communication from:</w:t>
      </w:r>
      <w:bookmarkEnd w:id="63"/>
    </w:p>
    <w:p w14:paraId="7E967953" w14:textId="77777777" w:rsidR="0092425A" w:rsidRPr="0092425A" w:rsidRDefault="0092425A" w:rsidP="0092425A">
      <w:pPr>
        <w:pStyle w:val="RecommendationBullet"/>
        <w:tabs>
          <w:tab w:val="clear" w:pos="964"/>
          <w:tab w:val="num" w:pos="1418"/>
        </w:tabs>
        <w:ind w:left="1418" w:hanging="425"/>
        <w:rPr>
          <w:b w:val="0"/>
        </w:rPr>
      </w:pPr>
      <w:bookmarkStart w:id="64" w:name="_Toc4000961"/>
      <w:r w:rsidRPr="0092425A">
        <w:rPr>
          <w:b w:val="0"/>
        </w:rPr>
        <w:lastRenderedPageBreak/>
        <w:t>a lobbyist not registered on the ACT Register of Lobbyists;</w:t>
      </w:r>
      <w:bookmarkEnd w:id="64"/>
    </w:p>
    <w:p w14:paraId="6DB970D1" w14:textId="77777777" w:rsidR="0092425A" w:rsidRPr="0092425A" w:rsidRDefault="0092425A" w:rsidP="0092425A">
      <w:pPr>
        <w:pStyle w:val="RecommendationBullet"/>
        <w:tabs>
          <w:tab w:val="clear" w:pos="964"/>
          <w:tab w:val="num" w:pos="1418"/>
        </w:tabs>
        <w:ind w:left="1418" w:hanging="425"/>
        <w:rPr>
          <w:b w:val="0"/>
        </w:rPr>
      </w:pPr>
      <w:bookmarkStart w:id="65" w:name="_Toc4000962"/>
      <w:r w:rsidRPr="0092425A">
        <w:rPr>
          <w:b w:val="0"/>
        </w:rPr>
        <w:t>an employee, contractor or other person authorised to carry out lobbying activities on behalf of a registered lobbyist where that person’s name does not appear on the Register in the details recorded for that registered lobbyist; or</w:t>
      </w:r>
      <w:bookmarkEnd w:id="65"/>
    </w:p>
    <w:p w14:paraId="7E29F1F1" w14:textId="77777777" w:rsidR="0092425A" w:rsidRPr="0092425A" w:rsidRDefault="0092425A" w:rsidP="0092425A">
      <w:pPr>
        <w:pStyle w:val="RecommendationBullet"/>
        <w:tabs>
          <w:tab w:val="clear" w:pos="964"/>
          <w:tab w:val="num" w:pos="1418"/>
        </w:tabs>
        <w:ind w:left="1418" w:hanging="425"/>
        <w:rPr>
          <w:b w:val="0"/>
        </w:rPr>
      </w:pPr>
      <w:bookmarkStart w:id="66" w:name="_Toc4000963"/>
      <w:r w:rsidRPr="0092425A">
        <w:rPr>
          <w:b w:val="0"/>
        </w:rPr>
        <w:t>any registered lobbyist or employee, contractor or other person authorised to carry out lobbying activities on behalf of that registered lobbyist who in their opinion has failed to comply with the Lobbying Code of Conduct;</w:t>
      </w:r>
      <w:bookmarkEnd w:id="66"/>
    </w:p>
    <w:p w14:paraId="4C1495AF" w14:textId="2A3399AC" w:rsidR="0092425A" w:rsidRPr="0092425A" w:rsidRDefault="0092425A" w:rsidP="0092425A">
      <w:pPr>
        <w:pStyle w:val="RecommendationText"/>
        <w:numPr>
          <w:ilvl w:val="0"/>
          <w:numId w:val="0"/>
        </w:numPr>
        <w:ind w:left="993"/>
        <w:rPr>
          <w:b w:val="0"/>
          <w:bCs/>
        </w:rPr>
      </w:pPr>
      <w:bookmarkStart w:id="67" w:name="_Toc4000964"/>
      <w:r w:rsidRPr="0092425A">
        <w:rPr>
          <w:b w:val="0"/>
          <w:bCs/>
          <w:szCs w:val="22"/>
        </w:rPr>
        <w:t>and shall immediately advise the Registrar if they became aware or reasonably suspected that a registered lobbyist or authorised person had contravened the ACT Lobbying Code of Conduct.”.</w:t>
      </w:r>
      <w:bookmarkEnd w:id="67"/>
    </w:p>
    <w:p w14:paraId="6AF614A2" w14:textId="473CA3FD" w:rsidR="00151F03" w:rsidRDefault="006F223C" w:rsidP="00151F03">
      <w:pPr>
        <w:pStyle w:val="BodyText"/>
        <w:numPr>
          <w:ilvl w:val="0"/>
          <w:numId w:val="0"/>
        </w:numPr>
        <w:spacing w:before="1800"/>
      </w:pPr>
      <w:r>
        <w:t>Joy Burch</w:t>
      </w:r>
      <w:r w:rsidR="003F513E">
        <w:t xml:space="preserve"> MLA, Chair</w:t>
      </w:r>
    </w:p>
    <w:p w14:paraId="6E66F2DB" w14:textId="25260E5D" w:rsidR="00B50215" w:rsidRDefault="00C657B2" w:rsidP="006F223C">
      <w:pPr>
        <w:pStyle w:val="BodyText"/>
        <w:numPr>
          <w:ilvl w:val="0"/>
          <w:numId w:val="0"/>
        </w:numPr>
      </w:pPr>
      <w:r>
        <w:t xml:space="preserve">   </w:t>
      </w:r>
      <w:r w:rsidR="006F223C">
        <w:t>…</w:t>
      </w:r>
      <w:r w:rsidR="00732781">
        <w:t>March</w:t>
      </w:r>
      <w:r>
        <w:t xml:space="preserve"> 2019</w:t>
      </w:r>
    </w:p>
    <w:p w14:paraId="69F4F0CB" w14:textId="77777777" w:rsidR="004170C8" w:rsidRDefault="004170C8" w:rsidP="006F223C">
      <w:pPr>
        <w:pStyle w:val="BodyText"/>
        <w:numPr>
          <w:ilvl w:val="0"/>
          <w:numId w:val="0"/>
        </w:numPr>
      </w:pPr>
    </w:p>
    <w:sectPr w:rsidR="004170C8" w:rsidSect="0098064D">
      <w:footerReference w:type="even" r:id="rId23"/>
      <w:footerReference w:type="default" r:id="rId24"/>
      <w:type w:val="oddPage"/>
      <w:pgSz w:w="11907" w:h="16840" w:code="9"/>
      <w:pgMar w:top="1588" w:right="1418" w:bottom="1418" w:left="1418" w:header="720" w:footer="851" w:gutter="0"/>
      <w:pgNumType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35">
      <wne:acd wne:acdName="acd4"/>
    </wne:keymap>
    <wne:keymap wne:kcmPrimary="0436">
      <wne:acd wne:acdName="acd5"/>
    </wne:keymap>
    <wne:keymap wne:kcmPrimary="044C" wne:kcmSecondary="0032">
      <wne:acd wne:acdName="acd10"/>
    </wne:keymap>
    <wne:keymap wne:kcmPrimary="044C" wne:kcmSecondary="0042">
      <wne:acd wne:acdName="acd9"/>
    </wne:keymap>
    <wne:keymap wne:kcmPrimary="0450" wne:kcmSecondary="004E">
      <wne:acd wne:acdName="acd0"/>
    </wne:keymap>
    <wne:keymap wne:kcmPrimary="0451">
      <wne:acd wne:acdName="acd8"/>
    </wne:keymap>
    <wne:keymap wne:kcmPrimary="0452" wne:kcmSecondary="0042">
      <wne:acd wne:acdName="acd11"/>
    </wne:keymap>
    <wne:keymap wne:kcmPrimary="0452" wne:kcmSecondary="0048">
      <wne:acd wne:acdName="acd6"/>
    </wne:keymap>
    <wne:keymap wne:kcmPrimary="0452" wne:kcmSecondary="0054">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rgValue="AQAAAEI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gBSAGUAYwBvAG0AbQBlAG4AZABhAHQAaQBvAG4A" wne:acdName="acd6" wne:fciIndexBasedOn="0065"/>
    <wne:acd wne:argValue="AgBSAGUAYwBvAG0AbQBlAG4AZABhAHQAaQBvAG4AIABUAGUAeAB0AA==" wne:acdName="acd7" wne:fciIndexBasedOn="0065"/>
    <wne:acd wne:argValue="AQAAALQA" wne:acdName="acd8" wne:fciIndexBasedOn="0065"/>
    <wne:acd wne:argValue="AQAAADAA" wne:acdName="acd9" wne:fciIndexBasedOn="0065"/>
    <wne:acd wne:argValue="AQAAADYA" wne:acdName="acd10" wne:fciIndexBasedOn="0065"/>
    <wne:acd wne:argValue="AgBSAGUAYwBvAG0AbQBlAG4AZABhAHQAaQBvAG4AIABCAHUAbABsAGUAdAA=" wne:acdName="acd1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7C214" w14:textId="77777777" w:rsidR="00386687" w:rsidRDefault="00386687">
      <w:r>
        <w:separator/>
      </w:r>
    </w:p>
    <w:p w14:paraId="6A4D355B" w14:textId="77777777" w:rsidR="00386687" w:rsidRDefault="00386687"/>
    <w:p w14:paraId="2F04D7D3" w14:textId="77777777" w:rsidR="00386687" w:rsidRDefault="00386687"/>
    <w:p w14:paraId="67D8857A" w14:textId="77777777" w:rsidR="00386687" w:rsidRDefault="00386687"/>
    <w:p w14:paraId="788592A0" w14:textId="77777777" w:rsidR="00386687" w:rsidRDefault="00386687"/>
  </w:endnote>
  <w:endnote w:type="continuationSeparator" w:id="0">
    <w:p w14:paraId="20BDF74C" w14:textId="77777777" w:rsidR="00386687" w:rsidRDefault="00386687">
      <w:r>
        <w:continuationSeparator/>
      </w:r>
    </w:p>
    <w:p w14:paraId="32C4D84E" w14:textId="77777777" w:rsidR="00386687" w:rsidRDefault="00386687"/>
    <w:p w14:paraId="44AAFCEE" w14:textId="77777777" w:rsidR="00386687" w:rsidRDefault="00386687"/>
    <w:p w14:paraId="6EB61312" w14:textId="77777777" w:rsidR="00386687" w:rsidRDefault="00386687"/>
    <w:p w14:paraId="5A0686DC" w14:textId="77777777" w:rsidR="00386687" w:rsidRDefault="00386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4585C890-ACAD-4B58-AEE2-62C64D86298A}"/>
    <w:embedBold r:id="rId2" w:fontKey="{D32D7345-CD26-4B4D-B45F-BC2721629AAD}"/>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embedRegular r:id="rId3" w:fontKey="{04A99C17-C632-4A75-8919-4B449E2424B1}"/>
    <w:embedBold r:id="rId4" w:fontKey="{1B92E2DC-B68C-4BF6-AB9A-94ECECF6C357}"/>
    <w:embedItalic r:id="rId5" w:fontKey="{76C8EB21-9274-4766-B402-20A80919DB45}"/>
    <w:embedBoldItalic r:id="rId6" w:fontKey="{95A40DCC-0A02-4AEC-ADDA-A1ACCD14E659}"/>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010C2" w14:textId="77777777" w:rsidR="00F4161F" w:rsidRDefault="00F416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53CC9" w14:textId="77777777" w:rsidR="00386687" w:rsidRDefault="00386687"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CF06E" w14:textId="77777777" w:rsidR="00F4161F" w:rsidRDefault="00F4161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980BF" w14:textId="77777777" w:rsidR="00386687" w:rsidRDefault="00386687">
    <w:pPr>
      <w:pStyle w:val="Footer"/>
    </w:pPr>
    <w:r>
      <w:fldChar w:fldCharType="begin"/>
    </w:r>
    <w:r>
      <w:instrText xml:space="preserve"> PAGE   \* MERGEFORMAT </w:instrText>
    </w:r>
    <w:r>
      <w:fldChar w:fldCharType="separate"/>
    </w:r>
    <w:r w:rsidR="00DF5104">
      <w:rPr>
        <w:noProof/>
      </w:rPr>
      <w:t>iv</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14B7" w14:textId="77777777" w:rsidR="00386687" w:rsidRDefault="00386687">
    <w:pPr>
      <w:pStyle w:val="Footer"/>
      <w:jc w:val="right"/>
    </w:pPr>
    <w:r>
      <w:fldChar w:fldCharType="begin"/>
    </w:r>
    <w:r>
      <w:instrText xml:space="preserve"> PAGE   \* MERGEFORMAT </w:instrText>
    </w:r>
    <w:r>
      <w:fldChar w:fldCharType="separate"/>
    </w:r>
    <w:r w:rsidR="00DF5104">
      <w:rPr>
        <w:noProof/>
      </w:rPr>
      <w:t>i</w:t>
    </w:r>
    <w:r>
      <w:rPr>
        <w:noProof/>
      </w:rPr>
      <w:fldChar w:fldCharType="end"/>
    </w:r>
  </w:p>
  <w:p w14:paraId="1C4D65E8" w14:textId="77777777" w:rsidR="00386687" w:rsidRDefault="00386687" w:rsidP="005E670D">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5AA65" w14:textId="77777777" w:rsidR="00386687" w:rsidRDefault="00386687">
    <w:pPr>
      <w:pStyle w:val="Footer"/>
      <w:jc w:val="right"/>
    </w:pPr>
    <w:r>
      <w:fldChar w:fldCharType="begin"/>
    </w:r>
    <w:r>
      <w:instrText xml:space="preserve"> PAGE   \* MERGEFORMAT </w:instrText>
    </w:r>
    <w:r>
      <w:fldChar w:fldCharType="separate"/>
    </w:r>
    <w:r w:rsidR="00DF5104">
      <w:rPr>
        <w:noProof/>
      </w:rPr>
      <w:t>iii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CE8DD" w14:textId="77777777" w:rsidR="00386687" w:rsidRDefault="00386687">
    <w:pPr>
      <w:pStyle w:val="Footer"/>
    </w:pPr>
    <w:r>
      <w:fldChar w:fldCharType="begin"/>
    </w:r>
    <w:r>
      <w:instrText xml:space="preserve"> PAGE   \* MERGEFORMAT </w:instrText>
    </w:r>
    <w:r>
      <w:fldChar w:fldCharType="separate"/>
    </w:r>
    <w:r w:rsidR="00DF5104">
      <w:rPr>
        <w:noProof/>
      </w:rPr>
      <w:t>2</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F669F" w14:textId="77777777" w:rsidR="00386687" w:rsidRDefault="00386687">
    <w:pPr>
      <w:pStyle w:val="Footer"/>
      <w:jc w:val="right"/>
    </w:pPr>
    <w:r>
      <w:fldChar w:fldCharType="begin"/>
    </w:r>
    <w:r>
      <w:instrText xml:space="preserve"> PAGE   \* MERGEFORMAT </w:instrText>
    </w:r>
    <w:r>
      <w:fldChar w:fldCharType="separate"/>
    </w:r>
    <w:r w:rsidR="00DF5104">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C4BF3" w14:textId="77777777" w:rsidR="00386687" w:rsidRDefault="00386687">
      <w:r>
        <w:separator/>
      </w:r>
    </w:p>
  </w:footnote>
  <w:footnote w:type="continuationSeparator" w:id="0">
    <w:p w14:paraId="70FF48EF" w14:textId="77777777" w:rsidR="00386687" w:rsidRDefault="00386687">
      <w:r>
        <w:continuationSeparator/>
      </w:r>
    </w:p>
    <w:p w14:paraId="0C9DEDA4" w14:textId="77777777" w:rsidR="00386687" w:rsidRDefault="00386687"/>
    <w:p w14:paraId="21B266F3" w14:textId="77777777" w:rsidR="00386687" w:rsidRDefault="00386687"/>
    <w:p w14:paraId="54243EDC" w14:textId="77777777" w:rsidR="00386687" w:rsidRDefault="00386687"/>
    <w:p w14:paraId="0D8C5BCF" w14:textId="77777777" w:rsidR="00386687" w:rsidRDefault="00386687"/>
  </w:footnote>
  <w:footnote w:id="1">
    <w:p w14:paraId="1E8E68E5" w14:textId="47F4B263" w:rsidR="00386687" w:rsidRDefault="00386687">
      <w:pPr>
        <w:pStyle w:val="FootnoteText"/>
      </w:pPr>
      <w:r>
        <w:rPr>
          <w:rStyle w:val="FootnoteReference"/>
        </w:rPr>
        <w:footnoteRef/>
      </w:r>
      <w:r>
        <w:t xml:space="preserve"> Assembly Debates (5.8.2014) 1955.</w:t>
      </w:r>
    </w:p>
  </w:footnote>
  <w:footnote w:id="2">
    <w:p w14:paraId="058CFC33" w14:textId="3FE81472" w:rsidR="00386687" w:rsidRDefault="00386687">
      <w:pPr>
        <w:pStyle w:val="FootnoteText"/>
      </w:pPr>
      <w:r>
        <w:rPr>
          <w:rStyle w:val="FootnoteReference"/>
        </w:rPr>
        <w:footnoteRef/>
      </w:r>
      <w:r>
        <w:t xml:space="preserve"> Assembly Debates (5.8.2014) 1956.</w:t>
      </w:r>
    </w:p>
  </w:footnote>
  <w:footnote w:id="3">
    <w:p w14:paraId="563E185A" w14:textId="3624D7DC" w:rsidR="00386687" w:rsidRDefault="00386687">
      <w:pPr>
        <w:pStyle w:val="FootnoteText"/>
      </w:pPr>
      <w:r>
        <w:rPr>
          <w:rStyle w:val="FootnoteReference"/>
        </w:rPr>
        <w:footnoteRef/>
      </w:r>
      <w:r>
        <w:t xml:space="preserve"> Assembly Debates (5.8.2014) 1958.</w:t>
      </w:r>
    </w:p>
  </w:footnote>
  <w:footnote w:id="4">
    <w:p w14:paraId="67D2D71F" w14:textId="06C52BD0" w:rsidR="00386687" w:rsidRDefault="00386687">
      <w:pPr>
        <w:pStyle w:val="FootnoteText"/>
      </w:pPr>
      <w:r>
        <w:rPr>
          <w:rStyle w:val="FootnoteReference"/>
        </w:rPr>
        <w:footnoteRef/>
      </w:r>
      <w:r>
        <w:t xml:space="preserve"> Assembly Debates (5.8.2014) 1960.</w:t>
      </w:r>
    </w:p>
  </w:footnote>
  <w:footnote w:id="5">
    <w:p w14:paraId="3699746D" w14:textId="77777777" w:rsidR="002E6D5A" w:rsidRPr="00815915" w:rsidRDefault="002E6D5A" w:rsidP="002E6D5A">
      <w:pPr>
        <w:pStyle w:val="FootnoteText"/>
      </w:pPr>
      <w:r>
        <w:rPr>
          <w:rStyle w:val="FootnoteReference"/>
        </w:rPr>
        <w:footnoteRef/>
      </w:r>
      <w:r>
        <w:t xml:space="preserve"> Submission No. 1—Ethics and Integrity Advisor</w:t>
      </w:r>
    </w:p>
  </w:footnote>
  <w:footnote w:id="6">
    <w:p w14:paraId="51BE0FF7" w14:textId="4A3E0AF6" w:rsidR="002E6D5A" w:rsidRPr="00F9165C" w:rsidRDefault="002E6D5A" w:rsidP="002E6D5A">
      <w:pPr>
        <w:pStyle w:val="FootnoteText"/>
      </w:pPr>
      <w:r>
        <w:rPr>
          <w:rStyle w:val="FootnoteReference"/>
        </w:rPr>
        <w:footnoteRef/>
      </w:r>
      <w:r>
        <w:t xml:space="preserve"> </w:t>
      </w:r>
      <w:r w:rsidR="003A5828">
        <w:t xml:space="preserve">Ethics and Integrity Advisor,  </w:t>
      </w:r>
      <w:r>
        <w:t>Submission No. 1</w:t>
      </w:r>
    </w:p>
  </w:footnote>
  <w:footnote w:id="7">
    <w:p w14:paraId="7B944F42" w14:textId="19849F24" w:rsidR="00E57C4F" w:rsidRPr="00943CE1" w:rsidRDefault="00E57C4F" w:rsidP="00E57C4F">
      <w:pPr>
        <w:pStyle w:val="FootnoteText"/>
        <w:rPr>
          <w:szCs w:val="18"/>
        </w:rPr>
      </w:pPr>
      <w:r>
        <w:rPr>
          <w:rStyle w:val="FootnoteReference"/>
        </w:rPr>
        <w:footnoteRef/>
      </w:r>
      <w:r>
        <w:t xml:space="preserve"> </w:t>
      </w:r>
      <w:r w:rsidR="003A5828" w:rsidRPr="00943CE1">
        <w:rPr>
          <w:szCs w:val="18"/>
        </w:rPr>
        <w:t>APGRA</w:t>
      </w:r>
      <w:r w:rsidR="003A5828">
        <w:rPr>
          <w:szCs w:val="18"/>
        </w:rPr>
        <w:t>.</w:t>
      </w:r>
      <w:r w:rsidR="003A5828" w:rsidRPr="00943CE1">
        <w:rPr>
          <w:szCs w:val="18"/>
        </w:rPr>
        <w:t xml:space="preserve"> </w:t>
      </w:r>
      <w:r w:rsidR="003A5828">
        <w:rPr>
          <w:szCs w:val="18"/>
        </w:rPr>
        <w:t>Submission No. 2</w:t>
      </w:r>
    </w:p>
  </w:footnote>
  <w:footnote w:id="8">
    <w:p w14:paraId="6EC482A2" w14:textId="1A83AEB9" w:rsidR="00E57C4F" w:rsidRPr="00943CE1" w:rsidRDefault="00E57C4F" w:rsidP="00E57C4F">
      <w:pPr>
        <w:pStyle w:val="FootnoteText"/>
        <w:rPr>
          <w:szCs w:val="18"/>
        </w:rPr>
      </w:pPr>
      <w:r w:rsidRPr="00943CE1">
        <w:rPr>
          <w:rStyle w:val="FootnoteReference"/>
          <w:szCs w:val="18"/>
        </w:rPr>
        <w:footnoteRef/>
      </w:r>
      <w:r w:rsidRPr="00943CE1">
        <w:rPr>
          <w:szCs w:val="18"/>
        </w:rPr>
        <w:t xml:space="preserve"> </w:t>
      </w:r>
      <w:r w:rsidR="003A5828" w:rsidRPr="00943CE1">
        <w:rPr>
          <w:szCs w:val="18"/>
        </w:rPr>
        <w:t xml:space="preserve">Cornerstone Group, </w:t>
      </w:r>
      <w:r w:rsidRPr="00943CE1">
        <w:rPr>
          <w:szCs w:val="18"/>
        </w:rPr>
        <w:t>Submission No 3</w:t>
      </w:r>
    </w:p>
  </w:footnote>
  <w:footnote w:id="9">
    <w:p w14:paraId="03D4822F" w14:textId="63351C86" w:rsidR="00E57C4F" w:rsidRPr="00943CE1" w:rsidRDefault="00E57C4F" w:rsidP="00E57C4F">
      <w:pPr>
        <w:pStyle w:val="FootnoteText"/>
        <w:rPr>
          <w:szCs w:val="18"/>
        </w:rPr>
      </w:pPr>
      <w:r w:rsidRPr="00943CE1">
        <w:rPr>
          <w:rStyle w:val="FootnoteReference"/>
          <w:szCs w:val="18"/>
        </w:rPr>
        <w:footnoteRef/>
      </w:r>
      <w:r w:rsidRPr="00943CE1">
        <w:rPr>
          <w:szCs w:val="18"/>
        </w:rPr>
        <w:t xml:space="preserve"> </w:t>
      </w:r>
      <w:r w:rsidR="003A5828" w:rsidRPr="00943CE1">
        <w:rPr>
          <w:szCs w:val="18"/>
        </w:rPr>
        <w:t xml:space="preserve">Cornerstone Group, </w:t>
      </w:r>
      <w:r w:rsidR="003A5828">
        <w:rPr>
          <w:szCs w:val="18"/>
        </w:rPr>
        <w:t>Submission No 3</w:t>
      </w:r>
    </w:p>
  </w:footnote>
  <w:footnote w:id="10">
    <w:p w14:paraId="6E4CCDD2" w14:textId="341F5BA6" w:rsidR="00E9485A" w:rsidRPr="00B1568E" w:rsidRDefault="00E9485A" w:rsidP="00E9485A">
      <w:pPr>
        <w:pStyle w:val="FootnoteText"/>
      </w:pPr>
      <w:r w:rsidRPr="00943CE1">
        <w:rPr>
          <w:rStyle w:val="FootnoteReference"/>
          <w:szCs w:val="18"/>
        </w:rPr>
        <w:footnoteRef/>
      </w:r>
      <w:r w:rsidRPr="00943CE1">
        <w:rPr>
          <w:szCs w:val="18"/>
        </w:rPr>
        <w:t xml:space="preserve"> </w:t>
      </w:r>
      <w:r w:rsidR="003A5828" w:rsidRPr="00943CE1">
        <w:rPr>
          <w:szCs w:val="18"/>
        </w:rPr>
        <w:t xml:space="preserve">ACT Government, </w:t>
      </w:r>
      <w:r w:rsidRPr="00943CE1">
        <w:rPr>
          <w:szCs w:val="18"/>
        </w:rPr>
        <w:t>Submission No. 4</w:t>
      </w:r>
    </w:p>
  </w:footnote>
  <w:footnote w:id="11">
    <w:p w14:paraId="3352D185" w14:textId="60C10DF6" w:rsidR="008148E4" w:rsidRPr="00943CE1" w:rsidRDefault="008148E4" w:rsidP="008148E4">
      <w:pPr>
        <w:pStyle w:val="FootnoteText"/>
      </w:pPr>
      <w:r>
        <w:rPr>
          <w:rStyle w:val="FootnoteReference"/>
        </w:rPr>
        <w:footnoteRef/>
      </w:r>
      <w:r>
        <w:t xml:space="preserve"> </w:t>
      </w:r>
      <w:r w:rsidR="003A5828">
        <w:t xml:space="preserve">CAPaD, </w:t>
      </w:r>
      <w:r>
        <w:t>Submission No. 5</w:t>
      </w:r>
    </w:p>
  </w:footnote>
  <w:footnote w:id="12">
    <w:p w14:paraId="68F1F056" w14:textId="2B804929" w:rsidR="00386687" w:rsidRDefault="00386687">
      <w:pPr>
        <w:pStyle w:val="FootnoteText"/>
      </w:pPr>
      <w:r>
        <w:rPr>
          <w:rStyle w:val="FootnoteReference"/>
        </w:rPr>
        <w:footnoteRef/>
      </w:r>
      <w:r>
        <w:t xml:space="preserve"> Cornerstone Group, Submission No 3.</w:t>
      </w:r>
    </w:p>
  </w:footnote>
  <w:footnote w:id="13">
    <w:p w14:paraId="269C14B6" w14:textId="13912380" w:rsidR="00386687" w:rsidRDefault="00386687">
      <w:pPr>
        <w:pStyle w:val="FootnoteText"/>
      </w:pPr>
      <w:r>
        <w:rPr>
          <w:rStyle w:val="FootnoteReference"/>
        </w:rPr>
        <w:footnoteRef/>
      </w:r>
      <w:r>
        <w:t xml:space="preserve"> ACT Government, Submission No 4.</w:t>
      </w:r>
    </w:p>
  </w:footnote>
  <w:footnote w:id="14">
    <w:p w14:paraId="08F7C631" w14:textId="112EA616" w:rsidR="00386687" w:rsidRDefault="00386687">
      <w:pPr>
        <w:pStyle w:val="FootnoteText"/>
      </w:pPr>
      <w:r>
        <w:rPr>
          <w:rStyle w:val="FootnoteReference"/>
        </w:rPr>
        <w:footnoteRef/>
      </w:r>
      <w:r>
        <w:t xml:space="preserve"> Ethics and Integrity Adviser, Submission No 1.</w:t>
      </w:r>
    </w:p>
  </w:footnote>
  <w:footnote w:id="15">
    <w:p w14:paraId="0C543684" w14:textId="3AB86D67" w:rsidR="00386687" w:rsidRDefault="00386687">
      <w:pPr>
        <w:pStyle w:val="FootnoteText"/>
      </w:pPr>
      <w:r>
        <w:rPr>
          <w:rStyle w:val="FootnoteReference"/>
        </w:rPr>
        <w:footnoteRef/>
      </w:r>
      <w:r>
        <w:t xml:space="preserve"> Ethics and Integrity Adviser, Submission No 1.</w:t>
      </w:r>
    </w:p>
  </w:footnote>
  <w:footnote w:id="16">
    <w:p w14:paraId="523BBBE3" w14:textId="0A618BD2" w:rsidR="00386687" w:rsidRDefault="00386687">
      <w:pPr>
        <w:pStyle w:val="FootnoteText"/>
      </w:pPr>
      <w:r>
        <w:rPr>
          <w:rStyle w:val="FootnoteReference"/>
        </w:rPr>
        <w:footnoteRef/>
      </w:r>
      <w:r>
        <w:t xml:space="preserve"> Regulation of Lobbying in the Australian Capital Territory, Advice provided by Stephen Skehill, dated 5 May 2014.</w:t>
      </w:r>
    </w:p>
  </w:footnote>
  <w:footnote w:id="17">
    <w:p w14:paraId="69652082" w14:textId="1CCC192D" w:rsidR="00386687" w:rsidRDefault="00386687">
      <w:pPr>
        <w:pStyle w:val="FootnoteText"/>
      </w:pPr>
      <w:r>
        <w:rPr>
          <w:rStyle w:val="FootnoteReference"/>
        </w:rPr>
        <w:footnoteRef/>
      </w:r>
      <w:r>
        <w:t xml:space="preserve"> Australian Professional Government Relations Association, Submission No 2.</w:t>
      </w:r>
    </w:p>
  </w:footnote>
  <w:footnote w:id="18">
    <w:p w14:paraId="21B1E581" w14:textId="6C398A66" w:rsidR="00386687" w:rsidRDefault="00386687">
      <w:pPr>
        <w:pStyle w:val="FootnoteText"/>
      </w:pPr>
      <w:r>
        <w:rPr>
          <w:rStyle w:val="FootnoteReference"/>
        </w:rPr>
        <w:footnoteRef/>
      </w:r>
      <w:r>
        <w:t xml:space="preserve"> Assembly Debates (5.8.2014) 1961.</w:t>
      </w:r>
    </w:p>
  </w:footnote>
  <w:footnote w:id="19">
    <w:p w14:paraId="509797C4" w14:textId="5109BC44" w:rsidR="00386687" w:rsidRDefault="00386687">
      <w:pPr>
        <w:pStyle w:val="FootnoteText"/>
      </w:pPr>
      <w:r>
        <w:rPr>
          <w:rStyle w:val="FootnoteReference"/>
        </w:rPr>
        <w:footnoteRef/>
      </w:r>
      <w:r>
        <w:t xml:space="preserve"> Cornerstone Group, Submission No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992F7" w14:textId="77777777" w:rsidR="00F4161F" w:rsidRDefault="00F41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2A0EE" w14:textId="77777777" w:rsidR="00F4161F" w:rsidRDefault="00F416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76533" w14:textId="77777777" w:rsidR="00F4161F" w:rsidRDefault="00F416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2137" w14:textId="7962ACE7" w:rsidR="00386687" w:rsidRPr="004D2594" w:rsidRDefault="00386687" w:rsidP="001C2D1C">
    <w:pPr>
      <w:pStyle w:val="Header"/>
      <w:pBdr>
        <w:bottom w:val="single" w:sz="4" w:space="1" w:color="A6A6A6"/>
      </w:pBdr>
      <w:rPr>
        <w:caps w:val="0"/>
        <w:smallCaps/>
      </w:rPr>
    </w:pPr>
    <w:r>
      <w:rPr>
        <w:caps w:val="0"/>
        <w:smallCaps/>
      </w:rPr>
      <w:t>Standing Committee on Administration and Procedure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9B788" w14:textId="77777777" w:rsidR="00386687" w:rsidRPr="002E6D5A" w:rsidRDefault="00386687" w:rsidP="001C2D1C">
    <w:pPr>
      <w:pStyle w:val="Header"/>
      <w:pBdr>
        <w:bottom w:val="single" w:sz="4" w:space="1" w:color="A6A6A6"/>
      </w:pBdr>
      <w:jc w:val="right"/>
      <w:rPr>
        <w:caps w:val="0"/>
        <w:smallCaps/>
        <w:szCs w:val="20"/>
      </w:rPr>
    </w:pPr>
    <w:r w:rsidRPr="002E6D5A">
      <w:rPr>
        <w:caps w:val="0"/>
        <w:smallCaps/>
        <w:szCs w:val="20"/>
      </w:rPr>
      <w:fldChar w:fldCharType="begin"/>
    </w:r>
    <w:r w:rsidRPr="002E6D5A">
      <w:rPr>
        <w:caps w:val="0"/>
        <w:smallCaps/>
        <w:szCs w:val="20"/>
      </w:rPr>
      <w:instrText xml:space="preserve"> STYLEREF  "Heading 1"  \* MERGEFORMAT </w:instrText>
    </w:r>
    <w:r w:rsidRPr="002E6D5A">
      <w:rPr>
        <w:caps w:val="0"/>
        <w:smallCaps/>
        <w:szCs w:val="20"/>
      </w:rPr>
      <w:fldChar w:fldCharType="separate"/>
    </w:r>
    <w:r w:rsidR="00DF5104" w:rsidRPr="00DF5104">
      <w:rPr>
        <w:bCs/>
        <w:caps w:val="0"/>
        <w:smallCaps/>
        <w:noProof/>
        <w:szCs w:val="20"/>
        <w:lang w:val="en-US"/>
      </w:rPr>
      <w:t>Inquiry into</w:t>
    </w:r>
    <w:r w:rsidR="00DF5104">
      <w:rPr>
        <w:caps w:val="0"/>
        <w:smallCaps/>
        <w:noProof/>
        <w:szCs w:val="20"/>
      </w:rPr>
      <w:t xml:space="preserve"> the ACT Register of Lobbyists</w:t>
    </w:r>
    <w:r w:rsidRPr="002E6D5A">
      <w:rPr>
        <w:caps w:val="0"/>
        <w:smallCaps/>
        <w:noProof/>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3C91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8E4B7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8FF63EF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11C5C9A"/>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16AAAB8"/>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CCEF222"/>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948434C"/>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6903952"/>
    <w:lvl w:ilvl="0">
      <w:start w:val="1"/>
      <w:numFmt w:val="bullet"/>
      <w:pStyle w:val="ListBullet"/>
      <w:lvlText w:val=""/>
      <w:lvlJc w:val="left"/>
      <w:pPr>
        <w:tabs>
          <w:tab w:val="num" w:pos="964"/>
        </w:tabs>
        <w:ind w:left="964" w:hanging="284"/>
      </w:pPr>
      <w:rPr>
        <w:rFonts w:ascii="Wingdings" w:hAnsi="Wingdings" w:hint="default"/>
        <w:sz w:val="24"/>
        <w:szCs w:val="24"/>
      </w:rPr>
    </w:lvl>
  </w:abstractNum>
  <w:abstractNum w:abstractNumId="9" w15:restartNumberingAfterBreak="0">
    <w:nsid w:val="00000403"/>
    <w:multiLevelType w:val="multilevel"/>
    <w:tmpl w:val="00000886"/>
    <w:lvl w:ilvl="0">
      <w:numFmt w:val="bullet"/>
      <w:lvlText w:val="•"/>
      <w:lvlJc w:val="left"/>
      <w:pPr>
        <w:ind w:left="799" w:hanging="342"/>
      </w:pPr>
      <w:rPr>
        <w:b w:val="0"/>
        <w:bCs w:val="0"/>
        <w:w w:val="110"/>
      </w:rPr>
    </w:lvl>
    <w:lvl w:ilvl="1">
      <w:numFmt w:val="bullet"/>
      <w:lvlText w:val="o"/>
      <w:lvlJc w:val="left"/>
      <w:pPr>
        <w:ind w:left="1565" w:hanging="333"/>
      </w:pPr>
      <w:rPr>
        <w:b w:val="0"/>
        <w:bCs w:val="0"/>
        <w:w w:val="106"/>
      </w:rPr>
    </w:lvl>
    <w:lvl w:ilvl="2">
      <w:numFmt w:val="bullet"/>
      <w:lvlText w:val="•"/>
      <w:lvlJc w:val="left"/>
      <w:pPr>
        <w:ind w:left="2362" w:hanging="333"/>
      </w:pPr>
    </w:lvl>
    <w:lvl w:ilvl="3">
      <w:numFmt w:val="bullet"/>
      <w:lvlText w:val="•"/>
      <w:lvlJc w:val="left"/>
      <w:pPr>
        <w:ind w:left="3164" w:hanging="333"/>
      </w:pPr>
    </w:lvl>
    <w:lvl w:ilvl="4">
      <w:numFmt w:val="bullet"/>
      <w:lvlText w:val="•"/>
      <w:lvlJc w:val="left"/>
      <w:pPr>
        <w:ind w:left="3966" w:hanging="333"/>
      </w:pPr>
    </w:lvl>
    <w:lvl w:ilvl="5">
      <w:numFmt w:val="bullet"/>
      <w:lvlText w:val="•"/>
      <w:lvlJc w:val="left"/>
      <w:pPr>
        <w:ind w:left="4768" w:hanging="333"/>
      </w:pPr>
    </w:lvl>
    <w:lvl w:ilvl="6">
      <w:numFmt w:val="bullet"/>
      <w:lvlText w:val="•"/>
      <w:lvlJc w:val="left"/>
      <w:pPr>
        <w:ind w:left="5571" w:hanging="333"/>
      </w:pPr>
    </w:lvl>
    <w:lvl w:ilvl="7">
      <w:numFmt w:val="bullet"/>
      <w:lvlText w:val="•"/>
      <w:lvlJc w:val="left"/>
      <w:pPr>
        <w:ind w:left="6373" w:hanging="333"/>
      </w:pPr>
    </w:lvl>
    <w:lvl w:ilvl="8">
      <w:numFmt w:val="bullet"/>
      <w:lvlText w:val="•"/>
      <w:lvlJc w:val="left"/>
      <w:pPr>
        <w:ind w:left="7175" w:hanging="333"/>
      </w:pPr>
    </w:lvl>
  </w:abstractNum>
  <w:abstractNum w:abstractNumId="10" w15:restartNumberingAfterBreak="0">
    <w:nsid w:val="06550FC2"/>
    <w:multiLevelType w:val="multilevel"/>
    <w:tmpl w:val="4CDC074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6"/>
      <w:numFmt w:val="decimal"/>
      <w:lvlText w:val="(%7A)."/>
      <w:lvlJc w:val="left"/>
      <w:pPr>
        <w:ind w:left="1134" w:hanging="567"/>
      </w:pPr>
      <w:rPr>
        <w:rFonts w:hint="default"/>
        <w:b w:val="0"/>
        <w:i w:val="0"/>
        <w:caps w:val="0"/>
        <w:sz w:val="22"/>
      </w:rPr>
    </w:lvl>
    <w:lvl w:ilvl="7">
      <w:start w:val="1"/>
      <w:numFmt w:val="lowerLetter"/>
      <w:lvlText w:val="(%8)"/>
      <w:lvlJc w:val="left"/>
      <w:pPr>
        <w:tabs>
          <w:tab w:val="num" w:pos="1701"/>
        </w:tabs>
        <w:ind w:left="1701" w:hanging="567"/>
      </w:pPr>
      <w:rPr>
        <w:rFonts w:ascii="Calibri" w:hAnsi="Calibri" w:hint="default"/>
        <w:caps w:val="0"/>
        <w:sz w:val="22"/>
      </w:rPr>
    </w:lvl>
    <w:lvl w:ilvl="8">
      <w:start w:val="1"/>
      <w:numFmt w:val="decimal"/>
      <w:lvlRestart w:val="0"/>
      <w:lvlText w:val="Recommendation %9"/>
      <w:lvlJc w:val="left"/>
      <w:pPr>
        <w:tabs>
          <w:tab w:val="num" w:pos="1584"/>
        </w:tabs>
        <w:ind w:left="142" w:firstLine="0"/>
      </w:pPr>
      <w:rPr>
        <w:rFonts w:ascii="Arial Narrow" w:hAnsi="Arial Narrow" w:hint="default"/>
        <w:b/>
        <w:i w:val="0"/>
        <w:sz w:val="28"/>
      </w:rPr>
    </w:lvl>
  </w:abstractNum>
  <w:abstractNum w:abstractNumId="11" w15:restartNumberingAfterBreak="0">
    <w:nsid w:val="08F07F33"/>
    <w:multiLevelType w:val="multilevel"/>
    <w:tmpl w:val="C328852C"/>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none"/>
      <w:lvlRestart w:val="0"/>
      <w:pStyle w:val="Heading3"/>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4"/>
      <w:lvlText w:val=""/>
      <w:lvlJc w:val="left"/>
      <w:pPr>
        <w:tabs>
          <w:tab w:val="num" w:pos="720"/>
        </w:tabs>
        <w:ind w:left="454" w:hanging="454"/>
      </w:pPr>
      <w:rPr>
        <w:rFonts w:hint="default"/>
      </w:rPr>
    </w:lvl>
    <w:lvl w:ilvl="3">
      <w:start w:val="1"/>
      <w:numFmt w:val="none"/>
      <w:lvlRestart w:val="0"/>
      <w:pStyle w:val="Heading5"/>
      <w:lvlText w:val=""/>
      <w:lvlJc w:val="left"/>
      <w:pPr>
        <w:tabs>
          <w:tab w:val="num" w:pos="864"/>
        </w:tabs>
        <w:ind w:left="340" w:hanging="340"/>
      </w:pPr>
      <w:rPr>
        <w:rFonts w:hint="default"/>
      </w:rPr>
    </w:lvl>
    <w:lvl w:ilvl="4">
      <w:start w:val="1"/>
      <w:numFmt w:val="none"/>
      <w:lvlRestart w:val="0"/>
      <w:pStyle w:val="Heading6"/>
      <w:lvlText w:val=""/>
      <w:lvlJc w:val="left"/>
      <w:pPr>
        <w:tabs>
          <w:tab w:val="num" w:pos="1008"/>
        </w:tabs>
        <w:ind w:left="340" w:hanging="340"/>
      </w:pPr>
      <w:rPr>
        <w:rFonts w:hint="default"/>
      </w:rPr>
    </w:lvl>
    <w:lvl w:ilvl="5">
      <w:start w:val="1"/>
      <w:numFmt w:val="decimal"/>
      <w:lvlRestart w:val="1"/>
      <w:pStyle w:val="BodyText"/>
      <w:lvlText w:val="%1.%6"/>
      <w:lvlJc w:val="left"/>
      <w:pPr>
        <w:ind w:left="567" w:hanging="567"/>
      </w:pPr>
      <w:rPr>
        <w:rFonts w:ascii="Calibri" w:hAnsi="Calibri" w:hint="default"/>
        <w:sz w:val="22"/>
      </w:rPr>
    </w:lvl>
    <w:lvl w:ilvl="6">
      <w:start w:val="1"/>
      <w:numFmt w:val="decimal"/>
      <w:lvlText w:val="(%7)"/>
      <w:lvlJc w:val="left"/>
      <w:pPr>
        <w:ind w:left="1134" w:hanging="567"/>
      </w:pPr>
      <w:rPr>
        <w:rFonts w:ascii="Calibri" w:hAnsi="Calibri" w:hint="default"/>
        <w:b w:val="0"/>
        <w:i w:val="0"/>
        <w:caps w:val="0"/>
        <w:sz w:val="22"/>
      </w:rPr>
    </w:lvl>
    <w:lvl w:ilvl="7">
      <w:start w:val="1"/>
      <w:numFmt w:val="lowerLetter"/>
      <w:lvlText w:val="(%8)"/>
      <w:lvlJc w:val="left"/>
      <w:pPr>
        <w:tabs>
          <w:tab w:val="num" w:pos="1701"/>
        </w:tabs>
        <w:ind w:left="1701" w:hanging="567"/>
      </w:pPr>
      <w:rPr>
        <w:rFonts w:ascii="Calibri" w:hAnsi="Calibri" w:hint="default"/>
        <w:caps w:val="0"/>
        <w:sz w:val="22"/>
      </w:rPr>
    </w:lvl>
    <w:lvl w:ilvl="8">
      <w:start w:val="1"/>
      <w:numFmt w:val="decimal"/>
      <w:lvlRestart w:val="0"/>
      <w:pStyle w:val="Recommendation"/>
      <w:lvlText w:val="Recommendation %9"/>
      <w:lvlJc w:val="left"/>
      <w:pPr>
        <w:tabs>
          <w:tab w:val="num" w:pos="1584"/>
        </w:tabs>
        <w:ind w:left="142" w:firstLine="0"/>
      </w:pPr>
      <w:rPr>
        <w:rFonts w:ascii="Arial Narrow" w:hAnsi="Arial Narrow" w:hint="default"/>
        <w:b/>
        <w:i w:val="0"/>
        <w:sz w:val="28"/>
      </w:rPr>
    </w:lvl>
  </w:abstractNum>
  <w:abstractNum w:abstractNumId="12"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A821D7C"/>
    <w:multiLevelType w:val="multilevel"/>
    <w:tmpl w:val="A8D685E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lowerRoman"/>
      <w:lvlText w:val="(%7)"/>
      <w:lvlJc w:val="left"/>
      <w:pPr>
        <w:ind w:left="1134" w:hanging="567"/>
      </w:pPr>
      <w:rPr>
        <w:rFonts w:hint="default"/>
        <w:b w:val="0"/>
        <w:i w:val="0"/>
        <w:caps w:val="0"/>
        <w:sz w:val="22"/>
      </w:rPr>
    </w:lvl>
    <w:lvl w:ilvl="7">
      <w:start w:val="1"/>
      <w:numFmt w:val="lowerLetter"/>
      <w:lvlText w:val="(%8)"/>
      <w:lvlJc w:val="left"/>
      <w:pPr>
        <w:tabs>
          <w:tab w:val="num" w:pos="1701"/>
        </w:tabs>
        <w:ind w:left="1701" w:hanging="567"/>
      </w:pPr>
      <w:rPr>
        <w:rFonts w:ascii="Calibri" w:hAnsi="Calibri" w:hint="default"/>
        <w:caps w:val="0"/>
        <w:sz w:val="22"/>
      </w:rPr>
    </w:lvl>
    <w:lvl w:ilvl="8">
      <w:start w:val="1"/>
      <w:numFmt w:val="decimal"/>
      <w:lvlRestart w:val="0"/>
      <w:lvlText w:val="Recommendation %9"/>
      <w:lvlJc w:val="left"/>
      <w:pPr>
        <w:tabs>
          <w:tab w:val="num" w:pos="1584"/>
        </w:tabs>
        <w:ind w:left="142" w:firstLine="0"/>
      </w:pPr>
      <w:rPr>
        <w:rFonts w:ascii="Arial Narrow" w:hAnsi="Arial Narrow" w:hint="default"/>
        <w:b/>
        <w:i w:val="0"/>
        <w:sz w:val="28"/>
      </w:rPr>
    </w:lvl>
  </w:abstractNum>
  <w:abstractNum w:abstractNumId="14" w15:restartNumberingAfterBreak="0">
    <w:nsid w:val="210F7373"/>
    <w:multiLevelType w:val="multilevel"/>
    <w:tmpl w:val="A6581162"/>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Text w:val="(%7)"/>
      <w:lvlJc w:val="left"/>
      <w:pPr>
        <w:ind w:left="1134" w:hanging="567"/>
      </w:pPr>
      <w:rPr>
        <w:rFonts w:ascii="Calibri" w:hAnsi="Calibri" w:hint="default"/>
        <w:b w:val="0"/>
        <w:i w:val="0"/>
        <w:caps w:val="0"/>
        <w:sz w:val="22"/>
      </w:rPr>
    </w:lvl>
    <w:lvl w:ilvl="7">
      <w:start w:val="1"/>
      <w:numFmt w:val="lowerRoman"/>
      <w:lvlText w:val="(%8)"/>
      <w:lvlJc w:val="left"/>
      <w:pPr>
        <w:tabs>
          <w:tab w:val="num" w:pos="1701"/>
        </w:tabs>
        <w:ind w:left="1701" w:hanging="567"/>
      </w:pPr>
      <w:rPr>
        <w:rFonts w:hint="default"/>
        <w:caps w:val="0"/>
        <w:sz w:val="22"/>
      </w:rPr>
    </w:lvl>
    <w:lvl w:ilvl="8">
      <w:start w:val="1"/>
      <w:numFmt w:val="decimal"/>
      <w:lvlRestart w:val="0"/>
      <w:lvlText w:val="Recommendation %9"/>
      <w:lvlJc w:val="left"/>
      <w:pPr>
        <w:tabs>
          <w:tab w:val="num" w:pos="1584"/>
        </w:tabs>
        <w:ind w:left="142" w:firstLine="0"/>
      </w:pPr>
      <w:rPr>
        <w:rFonts w:ascii="Arial Narrow" w:hAnsi="Arial Narrow" w:hint="default"/>
        <w:b/>
        <w:i w:val="0"/>
        <w:sz w:val="28"/>
      </w:rPr>
    </w:lvl>
  </w:abstractNum>
  <w:abstractNum w:abstractNumId="15" w15:restartNumberingAfterBreak="0">
    <w:nsid w:val="29026EE3"/>
    <w:multiLevelType w:val="hybridMultilevel"/>
    <w:tmpl w:val="A4E67F00"/>
    <w:lvl w:ilvl="0" w:tplc="E12CF4A8">
      <w:start w:val="1"/>
      <w:numFmt w:val="decimal"/>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AB16DBFA">
      <w:start w:val="1"/>
      <w:numFmt w:val="decimal"/>
      <w:lvlText w:val="(%7)"/>
      <w:lvlJc w:val="left"/>
      <w:pPr>
        <w:ind w:left="6174" w:hanging="360"/>
      </w:pPr>
      <w:rPr>
        <w:rFonts w:hint="default"/>
      </w:r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6"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7" w15:restartNumberingAfterBreak="0">
    <w:nsid w:val="34555965"/>
    <w:multiLevelType w:val="multilevel"/>
    <w:tmpl w:val="95A2E38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Text w:val="(%7)"/>
      <w:lvlJc w:val="left"/>
      <w:pPr>
        <w:ind w:left="1134" w:hanging="567"/>
      </w:pPr>
      <w:rPr>
        <w:rFonts w:ascii="Calibri" w:hAnsi="Calibri" w:hint="default"/>
        <w:b w:val="0"/>
        <w:i w:val="0"/>
        <w:caps w:val="0"/>
        <w:sz w:val="22"/>
      </w:rPr>
    </w:lvl>
    <w:lvl w:ilvl="7">
      <w:start w:val="1"/>
      <w:numFmt w:val="lowerRoman"/>
      <w:lvlText w:val="(%8)"/>
      <w:lvlJc w:val="left"/>
      <w:pPr>
        <w:tabs>
          <w:tab w:val="num" w:pos="1701"/>
        </w:tabs>
        <w:ind w:left="1701" w:hanging="567"/>
      </w:pPr>
      <w:rPr>
        <w:rFonts w:hint="default"/>
        <w:caps w:val="0"/>
        <w:sz w:val="22"/>
      </w:rPr>
    </w:lvl>
    <w:lvl w:ilvl="8">
      <w:start w:val="1"/>
      <w:numFmt w:val="decimal"/>
      <w:lvlRestart w:val="0"/>
      <w:lvlText w:val="Recommendation %9"/>
      <w:lvlJc w:val="left"/>
      <w:pPr>
        <w:tabs>
          <w:tab w:val="num" w:pos="1584"/>
        </w:tabs>
        <w:ind w:left="142" w:firstLine="0"/>
      </w:pPr>
      <w:rPr>
        <w:rFonts w:ascii="Arial Narrow" w:hAnsi="Arial Narrow" w:hint="default"/>
        <w:b/>
        <w:i w:val="0"/>
        <w:sz w:val="28"/>
      </w:rPr>
    </w:lvl>
  </w:abstractNum>
  <w:abstractNum w:abstractNumId="18"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605D57"/>
    <w:multiLevelType w:val="hybridMultilevel"/>
    <w:tmpl w:val="252A49FE"/>
    <w:lvl w:ilvl="0" w:tplc="0C09000F">
      <w:start w:val="1"/>
      <w:numFmt w:val="decimal"/>
      <w:lvlText w:val="%1."/>
      <w:lvlJc w:val="left"/>
      <w:pPr>
        <w:ind w:left="1040" w:hanging="360"/>
      </w:p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20" w15:restartNumberingAfterBreak="0">
    <w:nsid w:val="4C9363FC"/>
    <w:multiLevelType w:val="hybridMultilevel"/>
    <w:tmpl w:val="18B410A4"/>
    <w:lvl w:ilvl="0" w:tplc="7DC6A1C6">
      <w:start w:val="1"/>
      <w:numFmt w:val="lowerLetter"/>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21" w15:restartNumberingAfterBreak="0">
    <w:nsid w:val="4E4735BF"/>
    <w:multiLevelType w:val="hybridMultilevel"/>
    <w:tmpl w:val="E37A408C"/>
    <w:lvl w:ilvl="0" w:tplc="7AB27D7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FC91947"/>
    <w:multiLevelType w:val="hybridMultilevel"/>
    <w:tmpl w:val="C5B2B4E0"/>
    <w:lvl w:ilvl="0" w:tplc="E154E2AA">
      <w:start w:val="1"/>
      <w:numFmt w:val="bullet"/>
      <w:lvlText w:val=""/>
      <w:lvlJc w:val="left"/>
      <w:pPr>
        <w:ind w:left="895" w:hanging="360"/>
      </w:pPr>
      <w:rPr>
        <w:rFonts w:ascii="Symbol" w:hAnsi="Symbol" w:hint="default"/>
        <w:sz w:val="10"/>
        <w:vertAlign w:val="subscrip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3" w15:restartNumberingAfterBreak="0">
    <w:nsid w:val="52DA44F1"/>
    <w:multiLevelType w:val="hybridMultilevel"/>
    <w:tmpl w:val="3E84C3CE"/>
    <w:lvl w:ilvl="0" w:tplc="DEA89016">
      <w:start w:val="1"/>
      <w:numFmt w:val="bullet"/>
      <w:lvlText w:val=""/>
      <w:lvlJc w:val="left"/>
      <w:pPr>
        <w:ind w:left="895" w:hanging="719"/>
      </w:pPr>
      <w:rPr>
        <w:rFonts w:ascii="Symbol" w:hAnsi="Symbol" w:hint="default"/>
        <w:sz w:val="10"/>
        <w:vertAlign w:val="subscrip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691768EE"/>
    <w:multiLevelType w:val="hybridMultilevel"/>
    <w:tmpl w:val="650883E6"/>
    <w:lvl w:ilvl="0" w:tplc="7DC6A1C6">
      <w:start w:val="1"/>
      <w:numFmt w:val="lowerLetter"/>
      <w:lvlText w:val="(%1)"/>
      <w:lvlJc w:val="left"/>
      <w:pPr>
        <w:ind w:left="10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89593A"/>
    <w:multiLevelType w:val="hybridMultilevel"/>
    <w:tmpl w:val="A05A3F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77786A"/>
    <w:multiLevelType w:val="hybridMultilevel"/>
    <w:tmpl w:val="84068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E91368"/>
    <w:multiLevelType w:val="hybridMultilevel"/>
    <w:tmpl w:val="0854F892"/>
    <w:lvl w:ilvl="0" w:tplc="8984F2BE">
      <w:start w:val="1"/>
      <w:numFmt w:val="lowerLetter"/>
      <w:lvlText w:val="(%1)"/>
      <w:lvlJc w:val="left"/>
      <w:pPr>
        <w:ind w:left="1920" w:hanging="360"/>
      </w:pPr>
      <w:rPr>
        <w:rFonts w:hint="default"/>
      </w:r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8" w15:restartNumberingAfterBreak="0">
    <w:nsid w:val="77A713AE"/>
    <w:multiLevelType w:val="hybridMultilevel"/>
    <w:tmpl w:val="4BE87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D6F4CEA"/>
    <w:multiLevelType w:val="multilevel"/>
    <w:tmpl w:val="B4E08D64"/>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b w:val="0"/>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abstractNumId w:val="29"/>
  </w:num>
  <w:num w:numId="2">
    <w:abstractNumId w:val="8"/>
  </w:num>
  <w:num w:numId="3">
    <w:abstractNumId w:val="6"/>
  </w:num>
  <w:num w:numId="4">
    <w:abstractNumId w:val="12"/>
  </w:num>
  <w:num w:numId="5">
    <w:abstractNumId w:val="7"/>
  </w:num>
  <w:num w:numId="6">
    <w:abstractNumId w:val="11"/>
  </w:num>
  <w:num w:numId="7">
    <w:abstractNumId w:val="11"/>
    <w:lvlOverride w:ilvl="0">
      <w:startOverride w:val="2"/>
    </w:lvlOverride>
    <w:lvlOverride w:ilvl="1"/>
    <w:lvlOverride w:ilvl="2"/>
    <w:lvlOverride w:ilvl="3"/>
    <w:lvlOverride w:ilvl="4"/>
    <w:lvlOverride w:ilvl="5">
      <w:startOverride w:val="4"/>
    </w:lvlOverride>
    <w:lvlOverride w:ilvl="6">
      <w:startOverride w:val="3"/>
    </w:lvlOverride>
    <w:lvlOverride w:ilvl="7">
      <w:startOverride w:val="1"/>
    </w:lvlOverride>
    <w:lvlOverride w:ilvl="8">
      <w:startOverride w:val="1"/>
    </w:lvlOverride>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4"/>
  </w:num>
  <w:num w:numId="12">
    <w:abstractNumId w:val="13"/>
  </w:num>
  <w:num w:numId="13">
    <w:abstractNumId w:val="11"/>
    <w:lvlOverride w:ilvl="0">
      <w:startOverride w:val="5"/>
    </w:lvlOverride>
    <w:lvlOverride w:ilvl="1"/>
    <w:lvlOverride w:ilvl="2"/>
    <w:lvlOverride w:ilvl="3"/>
    <w:lvlOverride w:ilvl="4"/>
    <w:lvlOverride w:ilvl="5">
      <w:startOverride w:val="1"/>
    </w:lvlOverride>
    <w:lvlOverride w:ilvl="6">
      <w:startOverride w:val="3"/>
    </w:lvlOverride>
    <w:lvlOverride w:ilvl="7">
      <w:startOverride w:val="1"/>
    </w:lvlOverride>
    <w:lvlOverride w:ilvl="8">
      <w:startOverride w:val="1"/>
    </w:lvlOverride>
  </w:num>
  <w:num w:numId="14">
    <w:abstractNumId w:val="24"/>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 w:numId="22">
    <w:abstractNumId w:val="19"/>
  </w:num>
  <w:num w:numId="23">
    <w:abstractNumId w:val="20"/>
  </w:num>
  <w:num w:numId="24">
    <w:abstractNumId w:val="26"/>
  </w:num>
  <w:num w:numId="25">
    <w:abstractNumId w:val="25"/>
  </w:num>
  <w:num w:numId="26">
    <w:abstractNumId w:val="11"/>
  </w:num>
  <w:num w:numId="27">
    <w:abstractNumId w:val="11"/>
  </w:num>
  <w:num w:numId="28">
    <w:abstractNumId w:val="11"/>
  </w:num>
  <w:num w:numId="29">
    <w:abstractNumId w:val="28"/>
  </w:num>
  <w:num w:numId="30">
    <w:abstractNumId w:val="11"/>
  </w:num>
  <w:num w:numId="31">
    <w:abstractNumId w:val="18"/>
  </w:num>
  <w:num w:numId="32">
    <w:abstractNumId w:val="30"/>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1"/>
  </w:num>
  <w:num w:numId="36">
    <w:abstractNumId w:val="23"/>
  </w:num>
  <w:num w:numId="37">
    <w:abstractNumId w:val="22"/>
  </w:num>
  <w:num w:numId="38">
    <w:abstractNumId w:val="8"/>
  </w:num>
  <w:num w:numId="39">
    <w:abstractNumId w:val="15"/>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CommitteeTable"/>
  <w:evenAndOddHeaders/>
  <w:drawingGridHorizontalSpacing w:val="11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154"/>
    <w:rsid w:val="00002730"/>
    <w:rsid w:val="0000580C"/>
    <w:rsid w:val="000110B2"/>
    <w:rsid w:val="000135E9"/>
    <w:rsid w:val="00015F47"/>
    <w:rsid w:val="000161FB"/>
    <w:rsid w:val="00017D52"/>
    <w:rsid w:val="00017E8B"/>
    <w:rsid w:val="00020BB5"/>
    <w:rsid w:val="00022DFF"/>
    <w:rsid w:val="00023112"/>
    <w:rsid w:val="00024877"/>
    <w:rsid w:val="000253AB"/>
    <w:rsid w:val="0002797A"/>
    <w:rsid w:val="00037305"/>
    <w:rsid w:val="00042ACA"/>
    <w:rsid w:val="000557F4"/>
    <w:rsid w:val="0005687D"/>
    <w:rsid w:val="000621AD"/>
    <w:rsid w:val="0007080E"/>
    <w:rsid w:val="000732E2"/>
    <w:rsid w:val="0008221E"/>
    <w:rsid w:val="00082396"/>
    <w:rsid w:val="0008705A"/>
    <w:rsid w:val="00096E3A"/>
    <w:rsid w:val="000B2B62"/>
    <w:rsid w:val="000B4094"/>
    <w:rsid w:val="000C4EFA"/>
    <w:rsid w:val="000C6713"/>
    <w:rsid w:val="000D2895"/>
    <w:rsid w:val="000D3E58"/>
    <w:rsid w:val="000E242F"/>
    <w:rsid w:val="000E2EF4"/>
    <w:rsid w:val="000E7567"/>
    <w:rsid w:val="000F617F"/>
    <w:rsid w:val="001042F3"/>
    <w:rsid w:val="001070A7"/>
    <w:rsid w:val="001108DC"/>
    <w:rsid w:val="00110FA4"/>
    <w:rsid w:val="00111850"/>
    <w:rsid w:val="0011332C"/>
    <w:rsid w:val="00113E77"/>
    <w:rsid w:val="00116A67"/>
    <w:rsid w:val="0011795D"/>
    <w:rsid w:val="0012342E"/>
    <w:rsid w:val="00123676"/>
    <w:rsid w:val="00123C42"/>
    <w:rsid w:val="00124F8D"/>
    <w:rsid w:val="00125E8B"/>
    <w:rsid w:val="001366BA"/>
    <w:rsid w:val="001511D4"/>
    <w:rsid w:val="00151F03"/>
    <w:rsid w:val="0015794F"/>
    <w:rsid w:val="001609A2"/>
    <w:rsid w:val="001647BE"/>
    <w:rsid w:val="00167854"/>
    <w:rsid w:val="001716E4"/>
    <w:rsid w:val="00172E87"/>
    <w:rsid w:val="001752DC"/>
    <w:rsid w:val="0018055D"/>
    <w:rsid w:val="001824F3"/>
    <w:rsid w:val="00183FBF"/>
    <w:rsid w:val="00194FF3"/>
    <w:rsid w:val="0019591D"/>
    <w:rsid w:val="001A0DBE"/>
    <w:rsid w:val="001A5DB1"/>
    <w:rsid w:val="001A79F4"/>
    <w:rsid w:val="001B2548"/>
    <w:rsid w:val="001B2B71"/>
    <w:rsid w:val="001B5F6D"/>
    <w:rsid w:val="001C1989"/>
    <w:rsid w:val="001C2D1C"/>
    <w:rsid w:val="001C49DC"/>
    <w:rsid w:val="001C746F"/>
    <w:rsid w:val="001D009F"/>
    <w:rsid w:val="001D17CF"/>
    <w:rsid w:val="001E2D30"/>
    <w:rsid w:val="001E3A56"/>
    <w:rsid w:val="001E4F2C"/>
    <w:rsid w:val="001E6F27"/>
    <w:rsid w:val="001F58CC"/>
    <w:rsid w:val="0020656E"/>
    <w:rsid w:val="0020680D"/>
    <w:rsid w:val="00211DBE"/>
    <w:rsid w:val="002334BD"/>
    <w:rsid w:val="00243BBE"/>
    <w:rsid w:val="00260F29"/>
    <w:rsid w:val="002634A3"/>
    <w:rsid w:val="00265F91"/>
    <w:rsid w:val="002868FF"/>
    <w:rsid w:val="00290558"/>
    <w:rsid w:val="002A5107"/>
    <w:rsid w:val="002A5610"/>
    <w:rsid w:val="002A5648"/>
    <w:rsid w:val="002A64FA"/>
    <w:rsid w:val="002B1F09"/>
    <w:rsid w:val="002B5C68"/>
    <w:rsid w:val="002B5D24"/>
    <w:rsid w:val="002C4E6E"/>
    <w:rsid w:val="002D0BC9"/>
    <w:rsid w:val="002D1F26"/>
    <w:rsid w:val="002D5959"/>
    <w:rsid w:val="002D5FCE"/>
    <w:rsid w:val="002E1A91"/>
    <w:rsid w:val="002E311B"/>
    <w:rsid w:val="002E676A"/>
    <w:rsid w:val="002E6D5A"/>
    <w:rsid w:val="002F52BB"/>
    <w:rsid w:val="00300A7C"/>
    <w:rsid w:val="00301919"/>
    <w:rsid w:val="00304D59"/>
    <w:rsid w:val="00312658"/>
    <w:rsid w:val="003161A0"/>
    <w:rsid w:val="00327F83"/>
    <w:rsid w:val="003338DF"/>
    <w:rsid w:val="00333FFD"/>
    <w:rsid w:val="0033446E"/>
    <w:rsid w:val="003374BA"/>
    <w:rsid w:val="0034044B"/>
    <w:rsid w:val="00346A4B"/>
    <w:rsid w:val="00347AF5"/>
    <w:rsid w:val="003536AD"/>
    <w:rsid w:val="003557A9"/>
    <w:rsid w:val="00355CF2"/>
    <w:rsid w:val="003606E5"/>
    <w:rsid w:val="00366566"/>
    <w:rsid w:val="00370C68"/>
    <w:rsid w:val="00380BCF"/>
    <w:rsid w:val="0038248A"/>
    <w:rsid w:val="00383DFC"/>
    <w:rsid w:val="003860BC"/>
    <w:rsid w:val="00386687"/>
    <w:rsid w:val="0038734F"/>
    <w:rsid w:val="00392FBF"/>
    <w:rsid w:val="003A4417"/>
    <w:rsid w:val="003A5828"/>
    <w:rsid w:val="003B13F7"/>
    <w:rsid w:val="003B5A9F"/>
    <w:rsid w:val="003B7E6A"/>
    <w:rsid w:val="003C4E99"/>
    <w:rsid w:val="003C6E9E"/>
    <w:rsid w:val="003E0CF7"/>
    <w:rsid w:val="003E346B"/>
    <w:rsid w:val="003E694F"/>
    <w:rsid w:val="003E7EED"/>
    <w:rsid w:val="003F3F57"/>
    <w:rsid w:val="003F513E"/>
    <w:rsid w:val="003F679A"/>
    <w:rsid w:val="004001FB"/>
    <w:rsid w:val="00411202"/>
    <w:rsid w:val="00415731"/>
    <w:rsid w:val="00415CDF"/>
    <w:rsid w:val="00415EF1"/>
    <w:rsid w:val="00416520"/>
    <w:rsid w:val="004170C8"/>
    <w:rsid w:val="00424B6E"/>
    <w:rsid w:val="0043728E"/>
    <w:rsid w:val="00440232"/>
    <w:rsid w:val="00445937"/>
    <w:rsid w:val="00450878"/>
    <w:rsid w:val="00462F49"/>
    <w:rsid w:val="004669D4"/>
    <w:rsid w:val="00467835"/>
    <w:rsid w:val="00470CE9"/>
    <w:rsid w:val="00472519"/>
    <w:rsid w:val="00475450"/>
    <w:rsid w:val="004A31E4"/>
    <w:rsid w:val="004A3DAA"/>
    <w:rsid w:val="004A5322"/>
    <w:rsid w:val="004A757B"/>
    <w:rsid w:val="004C001F"/>
    <w:rsid w:val="004C3D24"/>
    <w:rsid w:val="004C71BD"/>
    <w:rsid w:val="004D2594"/>
    <w:rsid w:val="004D2CD2"/>
    <w:rsid w:val="004D3265"/>
    <w:rsid w:val="004D5217"/>
    <w:rsid w:val="004E6B4A"/>
    <w:rsid w:val="004E78B4"/>
    <w:rsid w:val="00500D4E"/>
    <w:rsid w:val="00505904"/>
    <w:rsid w:val="005072C5"/>
    <w:rsid w:val="00526A4B"/>
    <w:rsid w:val="00540D7C"/>
    <w:rsid w:val="00542FA6"/>
    <w:rsid w:val="00555EE9"/>
    <w:rsid w:val="005563BB"/>
    <w:rsid w:val="00563FEB"/>
    <w:rsid w:val="00566897"/>
    <w:rsid w:val="00566B91"/>
    <w:rsid w:val="005731A8"/>
    <w:rsid w:val="005829E8"/>
    <w:rsid w:val="005834B1"/>
    <w:rsid w:val="00584492"/>
    <w:rsid w:val="00585337"/>
    <w:rsid w:val="005876D5"/>
    <w:rsid w:val="00592771"/>
    <w:rsid w:val="00594920"/>
    <w:rsid w:val="005973EA"/>
    <w:rsid w:val="00597C27"/>
    <w:rsid w:val="005A50D4"/>
    <w:rsid w:val="005A6741"/>
    <w:rsid w:val="005A74F5"/>
    <w:rsid w:val="005B17C1"/>
    <w:rsid w:val="005B424B"/>
    <w:rsid w:val="005B60C2"/>
    <w:rsid w:val="005C1855"/>
    <w:rsid w:val="005C1AF5"/>
    <w:rsid w:val="005C6A2D"/>
    <w:rsid w:val="005C6E6E"/>
    <w:rsid w:val="005D087B"/>
    <w:rsid w:val="005D3E94"/>
    <w:rsid w:val="005D4B26"/>
    <w:rsid w:val="005D5AB2"/>
    <w:rsid w:val="005E670D"/>
    <w:rsid w:val="005F2C11"/>
    <w:rsid w:val="00601ABF"/>
    <w:rsid w:val="00610B5E"/>
    <w:rsid w:val="00611074"/>
    <w:rsid w:val="00615144"/>
    <w:rsid w:val="00617C19"/>
    <w:rsid w:val="00621267"/>
    <w:rsid w:val="00621BF7"/>
    <w:rsid w:val="006257F6"/>
    <w:rsid w:val="00630E27"/>
    <w:rsid w:val="00631F14"/>
    <w:rsid w:val="00635F9E"/>
    <w:rsid w:val="00635FB2"/>
    <w:rsid w:val="0064020A"/>
    <w:rsid w:val="0064133C"/>
    <w:rsid w:val="00641AA3"/>
    <w:rsid w:val="00642EE7"/>
    <w:rsid w:val="006464A3"/>
    <w:rsid w:val="006510E2"/>
    <w:rsid w:val="006534B0"/>
    <w:rsid w:val="006578CB"/>
    <w:rsid w:val="006612FE"/>
    <w:rsid w:val="00662E6C"/>
    <w:rsid w:val="00672013"/>
    <w:rsid w:val="00672199"/>
    <w:rsid w:val="00693538"/>
    <w:rsid w:val="00697906"/>
    <w:rsid w:val="006A5D41"/>
    <w:rsid w:val="006A63E6"/>
    <w:rsid w:val="006A6AC0"/>
    <w:rsid w:val="006B485B"/>
    <w:rsid w:val="006B66F4"/>
    <w:rsid w:val="006B793D"/>
    <w:rsid w:val="006C4CF7"/>
    <w:rsid w:val="006E50CD"/>
    <w:rsid w:val="006E6470"/>
    <w:rsid w:val="006F01F3"/>
    <w:rsid w:val="006F1579"/>
    <w:rsid w:val="006F223C"/>
    <w:rsid w:val="006F4495"/>
    <w:rsid w:val="006F4FAA"/>
    <w:rsid w:val="006F7292"/>
    <w:rsid w:val="0070178A"/>
    <w:rsid w:val="00710C6D"/>
    <w:rsid w:val="007136B6"/>
    <w:rsid w:val="00715A96"/>
    <w:rsid w:val="007160C4"/>
    <w:rsid w:val="0071763B"/>
    <w:rsid w:val="00720BD1"/>
    <w:rsid w:val="00720CE9"/>
    <w:rsid w:val="00732781"/>
    <w:rsid w:val="00735B32"/>
    <w:rsid w:val="007415C3"/>
    <w:rsid w:val="00744725"/>
    <w:rsid w:val="00746A72"/>
    <w:rsid w:val="00757881"/>
    <w:rsid w:val="0076272E"/>
    <w:rsid w:val="00764425"/>
    <w:rsid w:val="0076515C"/>
    <w:rsid w:val="00767AD1"/>
    <w:rsid w:val="00775065"/>
    <w:rsid w:val="00776E29"/>
    <w:rsid w:val="00780B47"/>
    <w:rsid w:val="00785619"/>
    <w:rsid w:val="00790965"/>
    <w:rsid w:val="007A0441"/>
    <w:rsid w:val="007A3A48"/>
    <w:rsid w:val="007A3BDC"/>
    <w:rsid w:val="007A598F"/>
    <w:rsid w:val="007A5CB5"/>
    <w:rsid w:val="007B0E50"/>
    <w:rsid w:val="007B2A7A"/>
    <w:rsid w:val="007B31F6"/>
    <w:rsid w:val="007B394F"/>
    <w:rsid w:val="007B5AD9"/>
    <w:rsid w:val="007B7771"/>
    <w:rsid w:val="007C063E"/>
    <w:rsid w:val="007C62EC"/>
    <w:rsid w:val="007D13B2"/>
    <w:rsid w:val="007D661C"/>
    <w:rsid w:val="007D7931"/>
    <w:rsid w:val="007E0F3A"/>
    <w:rsid w:val="007E14F0"/>
    <w:rsid w:val="007E2DAF"/>
    <w:rsid w:val="007E6B58"/>
    <w:rsid w:val="007F1A45"/>
    <w:rsid w:val="007F2475"/>
    <w:rsid w:val="007F2DDA"/>
    <w:rsid w:val="007F5E40"/>
    <w:rsid w:val="00801BCE"/>
    <w:rsid w:val="0081298C"/>
    <w:rsid w:val="008134A6"/>
    <w:rsid w:val="008148E4"/>
    <w:rsid w:val="00817255"/>
    <w:rsid w:val="00817D23"/>
    <w:rsid w:val="0082177F"/>
    <w:rsid w:val="0083184F"/>
    <w:rsid w:val="00833FB2"/>
    <w:rsid w:val="00841B06"/>
    <w:rsid w:val="00842854"/>
    <w:rsid w:val="00853964"/>
    <w:rsid w:val="00860758"/>
    <w:rsid w:val="00864654"/>
    <w:rsid w:val="00872B07"/>
    <w:rsid w:val="00876181"/>
    <w:rsid w:val="00887D19"/>
    <w:rsid w:val="008909CB"/>
    <w:rsid w:val="0089358F"/>
    <w:rsid w:val="008A3298"/>
    <w:rsid w:val="008A4D77"/>
    <w:rsid w:val="008B35C5"/>
    <w:rsid w:val="008D0BC6"/>
    <w:rsid w:val="008E1823"/>
    <w:rsid w:val="008F0E1A"/>
    <w:rsid w:val="00910431"/>
    <w:rsid w:val="00914807"/>
    <w:rsid w:val="00917543"/>
    <w:rsid w:val="009216BA"/>
    <w:rsid w:val="00923EA4"/>
    <w:rsid w:val="00923FFF"/>
    <w:rsid w:val="0092425A"/>
    <w:rsid w:val="009276BF"/>
    <w:rsid w:val="00930625"/>
    <w:rsid w:val="00934BD0"/>
    <w:rsid w:val="0094226B"/>
    <w:rsid w:val="00945888"/>
    <w:rsid w:val="009458A5"/>
    <w:rsid w:val="00946CE1"/>
    <w:rsid w:val="00954592"/>
    <w:rsid w:val="00955B14"/>
    <w:rsid w:val="00957111"/>
    <w:rsid w:val="00967112"/>
    <w:rsid w:val="00967FB5"/>
    <w:rsid w:val="009717E3"/>
    <w:rsid w:val="0098064D"/>
    <w:rsid w:val="00981335"/>
    <w:rsid w:val="00981CB7"/>
    <w:rsid w:val="00985703"/>
    <w:rsid w:val="00993B74"/>
    <w:rsid w:val="00993F9F"/>
    <w:rsid w:val="00997027"/>
    <w:rsid w:val="009A2091"/>
    <w:rsid w:val="009A2191"/>
    <w:rsid w:val="009A34FC"/>
    <w:rsid w:val="009A58FC"/>
    <w:rsid w:val="009B3F14"/>
    <w:rsid w:val="009B4FB7"/>
    <w:rsid w:val="009C20F3"/>
    <w:rsid w:val="009D1FD5"/>
    <w:rsid w:val="009D46B6"/>
    <w:rsid w:val="009F73F4"/>
    <w:rsid w:val="00A01019"/>
    <w:rsid w:val="00A13085"/>
    <w:rsid w:val="00A20F27"/>
    <w:rsid w:val="00A2123C"/>
    <w:rsid w:val="00A27ECA"/>
    <w:rsid w:val="00A35BA9"/>
    <w:rsid w:val="00A36E0A"/>
    <w:rsid w:val="00A44415"/>
    <w:rsid w:val="00A54473"/>
    <w:rsid w:val="00A55C73"/>
    <w:rsid w:val="00A57270"/>
    <w:rsid w:val="00A70D25"/>
    <w:rsid w:val="00A8688C"/>
    <w:rsid w:val="00A87FEB"/>
    <w:rsid w:val="00A92229"/>
    <w:rsid w:val="00AA1916"/>
    <w:rsid w:val="00AA30CF"/>
    <w:rsid w:val="00AA3A15"/>
    <w:rsid w:val="00AB0310"/>
    <w:rsid w:val="00AB3B64"/>
    <w:rsid w:val="00AB4CB9"/>
    <w:rsid w:val="00AC22A0"/>
    <w:rsid w:val="00AD2420"/>
    <w:rsid w:val="00AD4279"/>
    <w:rsid w:val="00AD45A3"/>
    <w:rsid w:val="00AD4821"/>
    <w:rsid w:val="00AD4B73"/>
    <w:rsid w:val="00AD6F11"/>
    <w:rsid w:val="00AE4148"/>
    <w:rsid w:val="00AF784F"/>
    <w:rsid w:val="00AF7D15"/>
    <w:rsid w:val="00B0496F"/>
    <w:rsid w:val="00B0632B"/>
    <w:rsid w:val="00B06EDE"/>
    <w:rsid w:val="00B10EFC"/>
    <w:rsid w:val="00B214A7"/>
    <w:rsid w:val="00B271CA"/>
    <w:rsid w:val="00B27424"/>
    <w:rsid w:val="00B312F4"/>
    <w:rsid w:val="00B4193C"/>
    <w:rsid w:val="00B441C4"/>
    <w:rsid w:val="00B472F6"/>
    <w:rsid w:val="00B50215"/>
    <w:rsid w:val="00B57A95"/>
    <w:rsid w:val="00B6001D"/>
    <w:rsid w:val="00B604DE"/>
    <w:rsid w:val="00B66ECA"/>
    <w:rsid w:val="00B77D37"/>
    <w:rsid w:val="00B8439D"/>
    <w:rsid w:val="00B85C8B"/>
    <w:rsid w:val="00B9226E"/>
    <w:rsid w:val="00B941DB"/>
    <w:rsid w:val="00B94284"/>
    <w:rsid w:val="00B9717D"/>
    <w:rsid w:val="00BA405E"/>
    <w:rsid w:val="00BA5175"/>
    <w:rsid w:val="00BA5EFD"/>
    <w:rsid w:val="00BB6351"/>
    <w:rsid w:val="00BB6A15"/>
    <w:rsid w:val="00BC61A5"/>
    <w:rsid w:val="00BC7303"/>
    <w:rsid w:val="00BD6154"/>
    <w:rsid w:val="00BD6446"/>
    <w:rsid w:val="00BD6F60"/>
    <w:rsid w:val="00BE0EF8"/>
    <w:rsid w:val="00BE2A56"/>
    <w:rsid w:val="00BE4BFD"/>
    <w:rsid w:val="00BE6713"/>
    <w:rsid w:val="00BF146D"/>
    <w:rsid w:val="00BF4832"/>
    <w:rsid w:val="00C01738"/>
    <w:rsid w:val="00C10F49"/>
    <w:rsid w:val="00C148DF"/>
    <w:rsid w:val="00C1632C"/>
    <w:rsid w:val="00C17EC6"/>
    <w:rsid w:val="00C23420"/>
    <w:rsid w:val="00C2492A"/>
    <w:rsid w:val="00C25516"/>
    <w:rsid w:val="00C26D42"/>
    <w:rsid w:val="00C3110B"/>
    <w:rsid w:val="00C34791"/>
    <w:rsid w:val="00C4202D"/>
    <w:rsid w:val="00C47818"/>
    <w:rsid w:val="00C55D23"/>
    <w:rsid w:val="00C618E9"/>
    <w:rsid w:val="00C657B2"/>
    <w:rsid w:val="00CA16AC"/>
    <w:rsid w:val="00CA3F18"/>
    <w:rsid w:val="00CA771C"/>
    <w:rsid w:val="00CB0EAE"/>
    <w:rsid w:val="00CB1E60"/>
    <w:rsid w:val="00CC03D8"/>
    <w:rsid w:val="00CC44A4"/>
    <w:rsid w:val="00CC59DE"/>
    <w:rsid w:val="00CC5C64"/>
    <w:rsid w:val="00CC77FD"/>
    <w:rsid w:val="00CE3D42"/>
    <w:rsid w:val="00CF0101"/>
    <w:rsid w:val="00CF0C82"/>
    <w:rsid w:val="00CF1DFC"/>
    <w:rsid w:val="00CF20CD"/>
    <w:rsid w:val="00CF347D"/>
    <w:rsid w:val="00D000AD"/>
    <w:rsid w:val="00D0012A"/>
    <w:rsid w:val="00D01952"/>
    <w:rsid w:val="00D10B10"/>
    <w:rsid w:val="00D14F93"/>
    <w:rsid w:val="00D23930"/>
    <w:rsid w:val="00D275E7"/>
    <w:rsid w:val="00D31B32"/>
    <w:rsid w:val="00D33F96"/>
    <w:rsid w:val="00D42485"/>
    <w:rsid w:val="00D430A9"/>
    <w:rsid w:val="00D4706C"/>
    <w:rsid w:val="00D47416"/>
    <w:rsid w:val="00D50ADD"/>
    <w:rsid w:val="00D50B6F"/>
    <w:rsid w:val="00D5213A"/>
    <w:rsid w:val="00D532AE"/>
    <w:rsid w:val="00D54AFE"/>
    <w:rsid w:val="00D561BC"/>
    <w:rsid w:val="00D70F01"/>
    <w:rsid w:val="00D731EE"/>
    <w:rsid w:val="00D73442"/>
    <w:rsid w:val="00D8576F"/>
    <w:rsid w:val="00D86534"/>
    <w:rsid w:val="00D870CD"/>
    <w:rsid w:val="00D87101"/>
    <w:rsid w:val="00D93EF3"/>
    <w:rsid w:val="00DA7832"/>
    <w:rsid w:val="00DB2A52"/>
    <w:rsid w:val="00DB31A9"/>
    <w:rsid w:val="00DB578C"/>
    <w:rsid w:val="00DB6926"/>
    <w:rsid w:val="00DB69B0"/>
    <w:rsid w:val="00DC43D7"/>
    <w:rsid w:val="00DC6155"/>
    <w:rsid w:val="00DD1260"/>
    <w:rsid w:val="00DD40A3"/>
    <w:rsid w:val="00DD6403"/>
    <w:rsid w:val="00DD76D8"/>
    <w:rsid w:val="00DE5938"/>
    <w:rsid w:val="00DF23BC"/>
    <w:rsid w:val="00DF38D5"/>
    <w:rsid w:val="00DF5104"/>
    <w:rsid w:val="00DF6CB4"/>
    <w:rsid w:val="00E13056"/>
    <w:rsid w:val="00E13F34"/>
    <w:rsid w:val="00E156A6"/>
    <w:rsid w:val="00E165E2"/>
    <w:rsid w:val="00E47CFB"/>
    <w:rsid w:val="00E53BF3"/>
    <w:rsid w:val="00E55AFF"/>
    <w:rsid w:val="00E57C4F"/>
    <w:rsid w:val="00E629E2"/>
    <w:rsid w:val="00E7218C"/>
    <w:rsid w:val="00E77FCE"/>
    <w:rsid w:val="00E8651F"/>
    <w:rsid w:val="00E9485A"/>
    <w:rsid w:val="00EA3423"/>
    <w:rsid w:val="00EA4D2A"/>
    <w:rsid w:val="00EA7C66"/>
    <w:rsid w:val="00EB4D32"/>
    <w:rsid w:val="00EB78AB"/>
    <w:rsid w:val="00EC3D05"/>
    <w:rsid w:val="00EC3D09"/>
    <w:rsid w:val="00EC5178"/>
    <w:rsid w:val="00ED225C"/>
    <w:rsid w:val="00ED4FC7"/>
    <w:rsid w:val="00ED523B"/>
    <w:rsid w:val="00ED5249"/>
    <w:rsid w:val="00ED6FC7"/>
    <w:rsid w:val="00EE04E5"/>
    <w:rsid w:val="00EE37C6"/>
    <w:rsid w:val="00F0612C"/>
    <w:rsid w:val="00F07B03"/>
    <w:rsid w:val="00F128C9"/>
    <w:rsid w:val="00F13BC1"/>
    <w:rsid w:val="00F14364"/>
    <w:rsid w:val="00F167CC"/>
    <w:rsid w:val="00F22201"/>
    <w:rsid w:val="00F27746"/>
    <w:rsid w:val="00F33739"/>
    <w:rsid w:val="00F357E3"/>
    <w:rsid w:val="00F40579"/>
    <w:rsid w:val="00F4161F"/>
    <w:rsid w:val="00F43B6C"/>
    <w:rsid w:val="00F46C52"/>
    <w:rsid w:val="00F510E1"/>
    <w:rsid w:val="00F61E65"/>
    <w:rsid w:val="00F64AB6"/>
    <w:rsid w:val="00F6676A"/>
    <w:rsid w:val="00F74C60"/>
    <w:rsid w:val="00F74FFB"/>
    <w:rsid w:val="00F82F83"/>
    <w:rsid w:val="00F87AF4"/>
    <w:rsid w:val="00F91CE4"/>
    <w:rsid w:val="00FA18A1"/>
    <w:rsid w:val="00FB2672"/>
    <w:rsid w:val="00FB4C03"/>
    <w:rsid w:val="00FB668B"/>
    <w:rsid w:val="00FD1862"/>
    <w:rsid w:val="00FD3D91"/>
    <w:rsid w:val="00FE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11EB3A8"/>
  <w15:docId w15:val="{37967352-D5B9-47EB-B11D-6831674D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55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uiPriority w:val="1"/>
    <w:rsid w:val="002E311B"/>
    <w:pPr>
      <w:spacing w:beforeLines="4000" w:before="4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A13085"/>
    <w:pPr>
      <w:keepNext/>
      <w:pageBreakBefore/>
      <w:widowControl w:val="0"/>
      <w:numPr>
        <w:numId w:val="6"/>
      </w:numPr>
      <w:tabs>
        <w:tab w:val="left" w:pos="567"/>
      </w:tabs>
      <w:spacing w:before="360"/>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630E27"/>
    <w:pPr>
      <w:keepNext/>
      <w:widowControl w:val="0"/>
      <w:numPr>
        <w:ilvl w:val="1"/>
        <w:numId w:val="6"/>
      </w:numPr>
      <w:tabs>
        <w:tab w:val="left" w:pos="567"/>
      </w:tabs>
      <w:spacing w:before="480" w:after="60"/>
      <w:outlineLvl w:val="2"/>
    </w:pPr>
    <w:rPr>
      <w:rFonts w:ascii="Arial Narrow" w:hAnsi="Arial Narrow" w:cs="Arial"/>
      <w:iCs/>
      <w:smallCaps/>
      <w:spacing w:val="20"/>
      <w:sz w:val="36"/>
      <w:szCs w:val="34"/>
    </w:rPr>
  </w:style>
  <w:style w:type="paragraph" w:styleId="Heading4">
    <w:name w:val="heading 4"/>
    <w:basedOn w:val="Normal"/>
    <w:next w:val="BodyText"/>
    <w:qFormat/>
    <w:rsid w:val="00630E27"/>
    <w:pPr>
      <w:keepNext/>
      <w:widowControl w:val="0"/>
      <w:numPr>
        <w:ilvl w:val="2"/>
        <w:numId w:val="6"/>
      </w:numPr>
      <w:tabs>
        <w:tab w:val="left" w:pos="567"/>
      </w:tabs>
      <w:spacing w:before="320"/>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630E27"/>
    <w:pPr>
      <w:keepNext/>
      <w:widowControl w:val="0"/>
      <w:numPr>
        <w:ilvl w:val="3"/>
        <w:numId w:val="6"/>
      </w:numPr>
      <w:tabs>
        <w:tab w:val="left" w:pos="567"/>
      </w:tabs>
      <w:spacing w:before="280" w:after="80"/>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630E27"/>
    <w:pPr>
      <w:keepNext/>
      <w:widowControl w:val="0"/>
      <w:numPr>
        <w:ilvl w:val="4"/>
        <w:numId w:val="6"/>
      </w:numPr>
      <w:tabs>
        <w:tab w:val="left" w:pos="567"/>
      </w:tabs>
      <w:spacing w:before="280" w:after="80"/>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64133C"/>
    <w:pPr>
      <w:spacing w:before="320" w:after="480" w:line="500" w:lineRule="exact"/>
      <w:outlineLvl w:val="0"/>
    </w:pPr>
    <w:rPr>
      <w:rFonts w:ascii="Arial Narrow" w:hAnsi="Arial Narrow"/>
      <w:smallCaps/>
      <w:spacing w:val="20"/>
      <w:kern w:val="42"/>
      <w:sz w:val="44"/>
      <w:szCs w:val="44"/>
    </w:rPr>
  </w:style>
  <w:style w:type="paragraph" w:styleId="ListBullet">
    <w:name w:val="List Bullet"/>
    <w:link w:val="ListBulletChar"/>
    <w:autoRedefine/>
    <w:qFormat/>
    <w:rsid w:val="00392FBF"/>
    <w:pPr>
      <w:numPr>
        <w:numId w:val="2"/>
      </w:numPr>
      <w:spacing w:before="40" w:after="60" w:line="288" w:lineRule="auto"/>
      <w:ind w:hanging="397"/>
    </w:pPr>
    <w:rPr>
      <w:rFonts w:ascii="Calibri" w:hAnsi="Calibri"/>
      <w:sz w:val="22"/>
      <w:szCs w:val="22"/>
      <w:lang w:eastAsia="en-US"/>
    </w:rPr>
  </w:style>
  <w:style w:type="paragraph" w:styleId="ListBullet2">
    <w:name w:val="List Bullet 2"/>
    <w:autoRedefine/>
    <w:rsid w:val="0015794F"/>
    <w:pPr>
      <w:numPr>
        <w:numId w:val="3"/>
      </w:numPr>
      <w:spacing w:after="60" w:line="288" w:lineRule="auto"/>
      <w:ind w:left="1248" w:hanging="284"/>
    </w:pPr>
    <w:rPr>
      <w:rFonts w:ascii="Calibri" w:hAnsi="Calibri"/>
      <w:sz w:val="22"/>
      <w:szCs w:val="24"/>
      <w:lang w:eastAsia="en-US"/>
    </w:rPr>
  </w:style>
  <w:style w:type="paragraph" w:styleId="Caption">
    <w:name w:val="caption"/>
    <w:next w:val="Normal"/>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0C6713"/>
    <w:pPr>
      <w:spacing w:before="180" w:after="40" w:line="312" w:lineRule="auto"/>
      <w:ind w:left="907" w:hanging="340"/>
    </w:pPr>
    <w:rPr>
      <w:rFonts w:ascii="Calibri" w:hAnsi="Calibri"/>
      <w:b/>
      <w:bCs/>
      <w:smallCaps/>
      <w:spacing w:val="40"/>
      <w:sz w:val="24"/>
      <w:lang w:eastAsia="en-US"/>
    </w:rPr>
  </w:style>
  <w:style w:type="paragraph" w:styleId="TOC2">
    <w:name w:val="toc 2"/>
    <w:autoRedefine/>
    <w:uiPriority w:val="39"/>
    <w:rsid w:val="00CF1DFC"/>
    <w:pPr>
      <w:tabs>
        <w:tab w:val="left" w:pos="880"/>
        <w:tab w:val="left" w:pos="1760"/>
        <w:tab w:val="right" w:leader="dot" w:pos="9061"/>
      </w:tabs>
      <w:spacing w:before="40" w:line="312" w:lineRule="auto"/>
      <w:ind w:left="1588" w:hanging="567"/>
    </w:pPr>
    <w:rPr>
      <w:rFonts w:ascii="Calibri" w:hAnsi="Calibri"/>
      <w:noProof/>
      <w:sz w:val="22"/>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967FB5"/>
    <w:pPr>
      <w:tabs>
        <w:tab w:val="left" w:pos="880"/>
        <w:tab w:val="left" w:pos="1588"/>
        <w:tab w:val="right" w:leader="dot" w:pos="9061"/>
      </w:tabs>
      <w:ind w:left="1588" w:hanging="567"/>
    </w:pPr>
    <w:rPr>
      <w:b/>
      <w:iCs/>
      <w:szCs w:val="20"/>
    </w:rPr>
  </w:style>
  <w:style w:type="paragraph" w:customStyle="1" w:styleId="Recommendation">
    <w:name w:val="Recommendation"/>
    <w:basedOn w:val="Caption"/>
    <w:next w:val="RecommendationText"/>
    <w:qFormat/>
    <w:rsid w:val="0000580C"/>
    <w:pPr>
      <w:numPr>
        <w:ilvl w:val="8"/>
        <w:numId w:val="6"/>
      </w:numPr>
    </w:pPr>
    <w:rPr>
      <w:b/>
      <w:smallCaps/>
      <w:spacing w:val="20"/>
      <w:sz w:val="44"/>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table" w:styleId="GridTable1Light">
    <w:name w:val="Grid Table 1 Light"/>
    <w:basedOn w:val="TableNormal"/>
    <w:uiPriority w:val="46"/>
    <w:rsid w:val="001609A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table" w:styleId="PlainTable1">
    <w:name w:val="Plain Table 1"/>
    <w:basedOn w:val="TableNormal"/>
    <w:uiPriority w:val="41"/>
    <w:rsid w:val="001609A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5D3E94"/>
    <w:rPr>
      <w:b/>
    </w:rPr>
  </w:style>
  <w:style w:type="character" w:customStyle="1" w:styleId="RecommendationTextChar">
    <w:name w:val="Recommendation Text Char"/>
    <w:link w:val="RecommendationText"/>
    <w:rsid w:val="005D3E94"/>
    <w:rPr>
      <w:rFonts w:ascii="Calibri" w:hAnsi="Calibri"/>
      <w:b/>
      <w:sz w:val="22"/>
      <w:szCs w:val="24"/>
      <w:lang w:eastAsia="en-US"/>
    </w:rPr>
  </w:style>
  <w:style w:type="table" w:customStyle="1" w:styleId="CommitteeTable">
    <w:name w:val="Committee Table"/>
    <w:basedOn w:val="TableNormal"/>
    <w:uiPriority w:val="99"/>
    <w:rsid w:val="001609A2"/>
    <w:rPr>
      <w:rFonts w:ascii="Arial Narrow" w:hAnsi="Arial Narro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40" w:beforeAutospacing="0" w:afterLines="0" w:after="40" w:afterAutospacing="0" w:line="240" w:lineRule="auto"/>
      </w:pPr>
      <w:rPr>
        <w:rFonts w:ascii="Arial Narrow" w:hAnsi="Arial Narrow"/>
        <w:sz w:val="24"/>
      </w: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uiPriority w:val="1"/>
    <w:rsid w:val="002E311B"/>
    <w:rPr>
      <w:rFonts w:ascii="Arial Narrow" w:hAnsi="Arial Narrow"/>
      <w:smallCaps/>
      <w:spacing w:val="4"/>
      <w:kern w:val="42"/>
      <w:sz w:val="42"/>
      <w:szCs w:val="36"/>
      <w:lang w:eastAsia="en-US"/>
    </w:rPr>
  </w:style>
  <w:style w:type="character" w:customStyle="1" w:styleId="Heading2Char">
    <w:name w:val="Heading 2 Char"/>
    <w:link w:val="Heading2"/>
    <w:rsid w:val="00A13085"/>
    <w:rPr>
      <w:rFonts w:ascii="Arial Narrow" w:hAnsi="Arial Narrow" w:cs="Arial"/>
      <w:bCs/>
      <w:smallCaps/>
      <w:spacing w:val="40"/>
      <w:kern w:val="32"/>
      <w:sz w:val="44"/>
      <w:szCs w:val="36"/>
      <w:lang w:eastAsia="en-US"/>
    </w:rPr>
  </w:style>
  <w:style w:type="character" w:customStyle="1" w:styleId="Heading3Char">
    <w:name w:val="Heading 3 Char"/>
    <w:link w:val="Heading3"/>
    <w:rsid w:val="00AD4821"/>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pPr>
      <w:ind w:hanging="284"/>
    </w:pPr>
    <w:rPr>
      <w:b/>
    </w:rPr>
  </w:style>
  <w:style w:type="character" w:customStyle="1" w:styleId="ListBulletChar">
    <w:name w:val="List Bullet Char"/>
    <w:link w:val="ListBullet"/>
    <w:rsid w:val="00392FB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aliases w:val="Numbered"/>
    <w:basedOn w:val="Normal"/>
    <w:link w:val="BodyTextChar"/>
    <w:unhideWhenUsed/>
    <w:qFormat/>
    <w:rsid w:val="00B0496F"/>
    <w:pPr>
      <w:numPr>
        <w:ilvl w:val="5"/>
        <w:numId w:val="6"/>
      </w:numPr>
      <w:spacing w:line="288" w:lineRule="auto"/>
    </w:pPr>
  </w:style>
  <w:style w:type="character" w:customStyle="1" w:styleId="BodyTextChar">
    <w:name w:val="Body Text Char"/>
    <w:aliases w:val="Numbered Char"/>
    <w:link w:val="BodyText"/>
    <w:rsid w:val="00B0496F"/>
    <w:rPr>
      <w:rFonts w:ascii="Calibri" w:hAnsi="Calibri"/>
      <w:sz w:val="22"/>
      <w:szCs w:val="24"/>
      <w:lang w:eastAsia="en-US"/>
    </w:rPr>
  </w:style>
  <w:style w:type="character" w:customStyle="1" w:styleId="Heading6Char">
    <w:name w:val="Heading 6 Char"/>
    <w:link w:val="Heading6"/>
    <w:rsid w:val="00AD4821"/>
    <w:rPr>
      <w:rFonts w:ascii="Arial Narrow" w:hAnsi="Arial Narrow" w:cs="Arial"/>
      <w:smallCaps/>
      <w:spacing w:val="20"/>
      <w:sz w:val="22"/>
      <w:szCs w:val="22"/>
      <w:lang w:eastAsia="en-US"/>
    </w:rPr>
  </w:style>
  <w:style w:type="character" w:customStyle="1" w:styleId="Heading5Char">
    <w:name w:val="Heading 5 Char"/>
    <w:link w:val="Heading5"/>
    <w:rsid w:val="00AD4821"/>
    <w:rPr>
      <w:rFonts w:ascii="Arial Narrow" w:hAnsi="Arial Narrow" w:cs="Arial"/>
      <w:smallCaps/>
      <w:spacing w:val="20"/>
      <w:sz w:val="26"/>
      <w:szCs w:val="24"/>
      <w:lang w:eastAsia="en-US"/>
    </w:rPr>
  </w:style>
  <w:style w:type="paragraph" w:styleId="ListNumber">
    <w:name w:val="List Number"/>
    <w:basedOn w:val="Normal"/>
    <w:rsid w:val="00592771"/>
    <w:pPr>
      <w:numPr>
        <w:numId w:val="5"/>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1"/>
    <w:qFormat/>
    <w:rsid w:val="00CF0101"/>
    <w:pPr>
      <w:spacing w:before="0" w:after="160" w:line="259" w:lineRule="auto"/>
      <w:ind w:left="720"/>
      <w:contextualSpacing/>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customStyle="1" w:styleId="Bodytextnonumbering">
    <w:name w:val="Body text no numbering"/>
    <w:basedOn w:val="Normal"/>
    <w:rsid w:val="006578CB"/>
    <w:pPr>
      <w:keepNext/>
      <w:spacing w:before="160" w:after="80" w:line="288" w:lineRule="auto"/>
      <w:outlineLvl w:val="1"/>
    </w:pPr>
    <w:rPr>
      <w:rFonts w:cs="Arial"/>
      <w:iCs/>
    </w:rPr>
  </w:style>
  <w:style w:type="paragraph" w:customStyle="1" w:styleId="Bodycopynumbered">
    <w:name w:val="Body copy numbered"/>
    <w:rsid w:val="00A44415"/>
    <w:pPr>
      <w:keepNext/>
      <w:widowControl w:val="0"/>
      <w:spacing w:before="240" w:after="100" w:line="300" w:lineRule="exact"/>
      <w:ind w:left="567" w:hanging="567"/>
      <w:outlineLvl w:val="1"/>
    </w:pPr>
    <w:rPr>
      <w:rFonts w:ascii="Calibri" w:hAnsi="Calibri" w:cs="Arial"/>
      <w:bCs/>
      <w:kern w:val="32"/>
      <w:sz w:val="22"/>
      <w:lang w:eastAsia="en-US"/>
    </w:rPr>
  </w:style>
  <w:style w:type="paragraph" w:customStyle="1" w:styleId="PR3Text">
    <w:name w:val="PR3Text"/>
    <w:basedOn w:val="Normal"/>
    <w:link w:val="PR3TextChar"/>
    <w:rsid w:val="00BD6F60"/>
    <w:pPr>
      <w:widowControl w:val="0"/>
      <w:tabs>
        <w:tab w:val="left" w:pos="-1080"/>
        <w:tab w:val="left" w:pos="-720"/>
        <w:tab w:val="left" w:pos="0"/>
        <w:tab w:val="left" w:pos="720"/>
        <w:tab w:val="left" w:pos="1440"/>
        <w:tab w:val="left" w:pos="2160"/>
        <w:tab w:val="left" w:pos="2880"/>
        <w:tab w:val="left" w:pos="3600"/>
        <w:tab w:val="right" w:pos="8990"/>
      </w:tabs>
      <w:spacing w:after="120" w:line="240" w:lineRule="auto"/>
      <w:jc w:val="both"/>
    </w:pPr>
    <w:rPr>
      <w:rFonts w:ascii="Garamond" w:hAnsi="Garamond"/>
      <w:snapToGrid w:val="0"/>
      <w:sz w:val="20"/>
      <w:szCs w:val="20"/>
      <w:lang w:val="x-none" w:eastAsia="x-none"/>
    </w:rPr>
  </w:style>
  <w:style w:type="character" w:customStyle="1" w:styleId="PR3TextChar">
    <w:name w:val="PR3Text Char"/>
    <w:link w:val="PR3Text"/>
    <w:rsid w:val="00BD6F60"/>
    <w:rPr>
      <w:rFonts w:ascii="Garamond" w:hAnsi="Garamond"/>
      <w:snapToGrid w:val="0"/>
      <w:lang w:val="x-none" w:eastAsia="x-none"/>
    </w:rPr>
  </w:style>
  <w:style w:type="character" w:customStyle="1" w:styleId="FootnoteTextChar">
    <w:name w:val="Footnote Text Char"/>
    <w:link w:val="FootnoteText"/>
    <w:uiPriority w:val="99"/>
    <w:semiHidden/>
    <w:rsid w:val="00BD6F60"/>
    <w:rPr>
      <w:rFonts w:ascii="Calibri" w:hAnsi="Calibri"/>
      <w:sz w:val="18"/>
      <w:lang w:eastAsia="en-US"/>
    </w:rPr>
  </w:style>
  <w:style w:type="paragraph" w:customStyle="1" w:styleId="Recommendationbodycopy">
    <w:name w:val="Recommendation body copy"/>
    <w:rsid w:val="00BD6F60"/>
    <w:pPr>
      <w:keepNext/>
      <w:widowControl w:val="0"/>
    </w:pPr>
    <w:rPr>
      <w:rFonts w:ascii="Arial Narrow" w:hAnsi="Arial Narrow" w:cs="Arial"/>
      <w:bCs/>
      <w:kern w:val="32"/>
      <w:sz w:val="22"/>
      <w:lang w:eastAsia="en-US"/>
    </w:rPr>
  </w:style>
  <w:style w:type="paragraph" w:styleId="NormalWeb">
    <w:name w:val="Normal (Web)"/>
    <w:basedOn w:val="Normal"/>
    <w:uiPriority w:val="99"/>
    <w:semiHidden/>
    <w:unhideWhenUsed/>
    <w:rsid w:val="00082396"/>
    <w:pPr>
      <w:spacing w:before="100" w:beforeAutospacing="1" w:afterAutospacing="1" w:line="240" w:lineRule="auto"/>
    </w:pPr>
    <w:rPr>
      <w:rFonts w:ascii="Times New Roman" w:hAnsi="Times New Roman"/>
      <w:sz w:val="24"/>
      <w:lang w:eastAsia="en-AU"/>
    </w:rPr>
  </w:style>
  <w:style w:type="paragraph" w:customStyle="1" w:styleId="Heading">
    <w:name w:val="Heading"/>
    <w:basedOn w:val="Normal"/>
    <w:rsid w:val="00CA3F18"/>
    <w:pPr>
      <w:widowControl w:val="0"/>
      <w:tabs>
        <w:tab w:val="left" w:pos="570"/>
      </w:tabs>
      <w:spacing w:after="240" w:line="240" w:lineRule="auto"/>
      <w:ind w:left="573" w:right="-23" w:hanging="573"/>
      <w:jc w:val="both"/>
    </w:pPr>
    <w:rPr>
      <w:rFonts w:ascii="Arial" w:hAnsi="Arial"/>
      <w:b/>
      <w:sz w:val="26"/>
      <w:szCs w:val="20"/>
      <w:lang w:val="en-US"/>
    </w:rPr>
  </w:style>
  <w:style w:type="paragraph" w:customStyle="1" w:styleId="ListNoBullet">
    <w:name w:val="List NoBullet"/>
    <w:basedOn w:val="Normal"/>
    <w:qFormat/>
    <w:rsid w:val="00194FF3"/>
    <w:pPr>
      <w:numPr>
        <w:numId w:val="31"/>
      </w:numPr>
      <w:spacing w:before="40" w:after="60" w:line="288" w:lineRule="auto"/>
    </w:pPr>
  </w:style>
  <w:style w:type="paragraph" w:customStyle="1" w:styleId="2ndHeading">
    <w:name w:val="2nd Heading"/>
    <w:basedOn w:val="Normal"/>
    <w:rsid w:val="00194FF3"/>
    <w:pPr>
      <w:spacing w:before="200" w:after="0" w:line="240" w:lineRule="auto"/>
      <w:ind w:left="567" w:hanging="567"/>
    </w:pPr>
    <w:rPr>
      <w:rFonts w:ascii="Times" w:hAnsi="Times"/>
      <w:b/>
      <w:sz w:val="24"/>
      <w:szCs w:val="20"/>
      <w:lang w:val="en-US"/>
    </w:rPr>
  </w:style>
  <w:style w:type="paragraph" w:customStyle="1" w:styleId="DPSEntryIndents">
    <w:name w:val="DPSEntryIndents"/>
    <w:basedOn w:val="Normal"/>
    <w:rsid w:val="00194FF3"/>
    <w:pPr>
      <w:numPr>
        <w:numId w:val="32"/>
      </w:numPr>
      <w:spacing w:before="120" w:after="120" w:line="288" w:lineRule="auto"/>
      <w:jc w:val="both"/>
    </w:pPr>
    <w:rPr>
      <w:rFonts w:ascii="Times New Roman" w:hAnsi="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498083">
      <w:bodyDiv w:val="1"/>
      <w:marLeft w:val="0"/>
      <w:marRight w:val="0"/>
      <w:marTop w:val="0"/>
      <w:marBottom w:val="0"/>
      <w:divBdr>
        <w:top w:val="none" w:sz="0" w:space="0" w:color="auto"/>
        <w:left w:val="none" w:sz="0" w:space="0" w:color="auto"/>
        <w:bottom w:val="none" w:sz="0" w:space="0" w:color="auto"/>
        <w:right w:val="none" w:sz="0" w:space="0" w:color="auto"/>
      </w:divBdr>
    </w:div>
    <w:div w:id="641233292">
      <w:bodyDiv w:val="1"/>
      <w:marLeft w:val="0"/>
      <w:marRight w:val="0"/>
      <w:marTop w:val="0"/>
      <w:marBottom w:val="0"/>
      <w:divBdr>
        <w:top w:val="none" w:sz="0" w:space="0" w:color="auto"/>
        <w:left w:val="none" w:sz="0" w:space="0" w:color="auto"/>
        <w:bottom w:val="none" w:sz="0" w:space="0" w:color="auto"/>
        <w:right w:val="none" w:sz="0" w:space="0" w:color="auto"/>
      </w:divBdr>
    </w:div>
    <w:div w:id="1130325947">
      <w:bodyDiv w:val="1"/>
      <w:marLeft w:val="0"/>
      <w:marRight w:val="0"/>
      <w:marTop w:val="0"/>
      <w:marBottom w:val="0"/>
      <w:divBdr>
        <w:top w:val="none" w:sz="0" w:space="0" w:color="auto"/>
        <w:left w:val="none" w:sz="0" w:space="0" w:color="auto"/>
        <w:bottom w:val="none" w:sz="0" w:space="0" w:color="auto"/>
        <w:right w:val="none" w:sz="0" w:space="0" w:color="auto"/>
      </w:divBdr>
    </w:div>
    <w:div w:id="1213881539">
      <w:bodyDiv w:val="1"/>
      <w:marLeft w:val="0"/>
      <w:marRight w:val="0"/>
      <w:marTop w:val="0"/>
      <w:marBottom w:val="0"/>
      <w:divBdr>
        <w:top w:val="none" w:sz="0" w:space="0" w:color="auto"/>
        <w:left w:val="none" w:sz="0" w:space="0" w:color="auto"/>
        <w:bottom w:val="none" w:sz="0" w:space="0" w:color="auto"/>
        <w:right w:val="none" w:sz="0" w:space="0" w:color="auto"/>
      </w:divBdr>
    </w:div>
    <w:div w:id="211400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arliament.act.gov.au"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mailto:admin.proc@parliament.act.gov.au" TargetMode="Externa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98DFA-9AE4-4C0D-BA21-F14EFCA8288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1A78278-DDF3-4AC3-936E-12EE30B1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4233</Words>
  <Characters>24652</Characters>
  <Application>Microsoft Office Word</Application>
  <DocSecurity>0</DocSecurity>
  <Lines>465</Lines>
  <Paragraphs>234</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28651</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Karenh mckell</dc:creator>
  <dc:description>Template version 11 - 7 February  2013</dc:description>
  <cp:lastModifiedBy>Rafferty, Janice</cp:lastModifiedBy>
  <cp:revision>2</cp:revision>
  <cp:lastPrinted>2019-03-20T08:03:00Z</cp:lastPrinted>
  <dcterms:created xsi:type="dcterms:W3CDTF">2019-03-20T08:04:00Z</dcterms:created>
  <dcterms:modified xsi:type="dcterms:W3CDTF">2019-03-20T08:04:00Z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31474ce8-4e74-4a33-bf1b-8f01f54e887a</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