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5C" w:rsidRPr="00873CDA" w:rsidRDefault="002A1ED1" w:rsidP="00CD7F25">
      <w:pPr>
        <w:pStyle w:val="Heading1"/>
      </w:pPr>
      <w:r w:rsidRPr="00873CDA">
        <w:t>Report on</w:t>
      </w:r>
      <w:r w:rsidR="00FA5F62" w:rsidRPr="00873CDA">
        <w:t xml:space="preserve"> Annual and Financial Reports 2017-</w:t>
      </w:r>
      <w:r w:rsidRPr="00873CDA">
        <w:t>20</w:t>
      </w:r>
      <w:r w:rsidR="00FA5F62" w:rsidRPr="00873CDA">
        <w:t>18</w:t>
      </w:r>
    </w:p>
    <w:p w:rsidR="00ED225C" w:rsidRPr="00873CDA" w:rsidRDefault="00FA5F62" w:rsidP="00D01952">
      <w:pPr>
        <w:pStyle w:val="CommitteeName"/>
      </w:pPr>
      <w:r w:rsidRPr="00873CDA">
        <w:t>Standing Committee on Economic Development and Tourism</w:t>
      </w:r>
    </w:p>
    <w:p w:rsidR="00ED225C" w:rsidRPr="00873CDA" w:rsidRDefault="002A1ED1" w:rsidP="001B4B71">
      <w:pPr>
        <w:pStyle w:val="Date"/>
      </w:pPr>
      <w:r w:rsidRPr="00873CDA">
        <w:t>February 2019</w:t>
      </w:r>
    </w:p>
    <w:p w:rsidR="004001FB" w:rsidRPr="00873CDA" w:rsidRDefault="00ED225C" w:rsidP="004001FB">
      <w:pPr>
        <w:spacing w:before="1200"/>
        <w:jc w:val="right"/>
        <w:rPr>
          <w:rFonts w:ascii="Arial Narrow" w:hAnsi="Arial Narrow"/>
          <w:smallCaps/>
          <w:sz w:val="24"/>
        </w:rPr>
      </w:pPr>
      <w:r w:rsidRPr="00873CDA">
        <w:rPr>
          <w:rFonts w:ascii="Arial Narrow" w:hAnsi="Arial Narrow"/>
          <w:smallCaps/>
          <w:sz w:val="24"/>
        </w:rPr>
        <w:t xml:space="preserve">Report </w:t>
      </w:r>
      <w:r w:rsidR="00F471EE" w:rsidRPr="00873CDA">
        <w:rPr>
          <w:rFonts w:ascii="Arial Narrow" w:hAnsi="Arial Narrow"/>
          <w:smallCaps/>
          <w:sz w:val="24"/>
        </w:rPr>
        <w:t>5</w:t>
      </w:r>
    </w:p>
    <w:p w:rsidR="0020656E" w:rsidRPr="00873CDA" w:rsidRDefault="0020656E" w:rsidP="0096033A">
      <w:pPr>
        <w:spacing w:before="480"/>
      </w:pPr>
    </w:p>
    <w:p w:rsidR="00970AC4" w:rsidRPr="00873CDA" w:rsidRDefault="00970AC4" w:rsidP="0096033A"/>
    <w:p w:rsidR="00970AC4" w:rsidRPr="00873CDA" w:rsidRDefault="00970AC4" w:rsidP="0096033A"/>
    <w:p w:rsidR="004001FB" w:rsidRPr="00873CDA" w:rsidRDefault="004001FB" w:rsidP="004001FB">
      <w:pPr>
        <w:sectPr w:rsidR="004001FB" w:rsidRPr="00873CDA" w:rsidSect="00E629E2">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1418" w:left="1418" w:header="720" w:footer="851" w:gutter="0"/>
          <w:cols w:space="720"/>
          <w:docGrid w:linePitch="360"/>
        </w:sectPr>
      </w:pPr>
    </w:p>
    <w:p w:rsidR="005B60C2" w:rsidRPr="00873CDA" w:rsidRDefault="004001FB" w:rsidP="007104A7">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962209"/>
      <w:r w:rsidRPr="00873CDA">
        <w:lastRenderedPageBreak/>
        <w:t>The Committee</w:t>
      </w:r>
      <w:bookmarkEnd w:id="0"/>
      <w:bookmarkEnd w:id="1"/>
      <w:bookmarkEnd w:id="2"/>
      <w:bookmarkEnd w:id="3"/>
      <w:bookmarkEnd w:id="4"/>
    </w:p>
    <w:p w:rsidR="004001FB" w:rsidRPr="00873CDA" w:rsidRDefault="00D532AE" w:rsidP="001C75D2">
      <w:pPr>
        <w:pStyle w:val="Heading3"/>
        <w:ind w:hanging="567"/>
      </w:pPr>
      <w:bookmarkStart w:id="5" w:name="_Toc502671581"/>
      <w:bookmarkStart w:id="6" w:name="_Toc502671760"/>
      <w:bookmarkStart w:id="7" w:name="_Toc502671865"/>
      <w:bookmarkStart w:id="8" w:name="_Toc502672798"/>
      <w:bookmarkStart w:id="9" w:name="_Toc962210"/>
      <w:r w:rsidRPr="00873CDA">
        <w:t>C</w:t>
      </w:r>
      <w:r w:rsidR="004001FB" w:rsidRPr="00873CDA">
        <w:t>ommittee Membership</w:t>
      </w:r>
      <w:bookmarkEnd w:id="5"/>
      <w:bookmarkEnd w:id="6"/>
      <w:bookmarkEnd w:id="7"/>
      <w:bookmarkEnd w:id="8"/>
      <w:bookmarkEnd w:id="9"/>
    </w:p>
    <w:p w:rsidR="004001FB" w:rsidRPr="00873CDA" w:rsidRDefault="00F471EE" w:rsidP="00843B7D">
      <w:pPr>
        <w:pStyle w:val="ListNoBullet"/>
      </w:pPr>
      <w:r w:rsidRPr="00873CDA">
        <w:t>Mr Jeremy Hanson MLA (Chair)</w:t>
      </w:r>
    </w:p>
    <w:p w:rsidR="004A5322" w:rsidRPr="00873CDA" w:rsidRDefault="00F471EE" w:rsidP="00843B7D">
      <w:pPr>
        <w:pStyle w:val="ListNoBullet"/>
      </w:pPr>
      <w:r w:rsidRPr="00873CDA">
        <w:t>Ms Suzanne Orr MLA (Deputy Chair)</w:t>
      </w:r>
    </w:p>
    <w:p w:rsidR="008F0C8D" w:rsidRPr="00873CDA" w:rsidRDefault="00F471EE" w:rsidP="00843B7D">
      <w:pPr>
        <w:pStyle w:val="ListNoBullet"/>
      </w:pPr>
      <w:r w:rsidRPr="00873CDA">
        <w:t>Mr Michael Pettersson MLA</w:t>
      </w:r>
    </w:p>
    <w:p w:rsidR="004001FB" w:rsidRPr="00873CDA" w:rsidRDefault="004001FB" w:rsidP="001C75D2">
      <w:pPr>
        <w:pStyle w:val="Heading3"/>
        <w:ind w:hanging="567"/>
      </w:pPr>
      <w:bookmarkStart w:id="10" w:name="_Toc502671582"/>
      <w:bookmarkStart w:id="11" w:name="_Toc502671761"/>
      <w:bookmarkStart w:id="12" w:name="_Toc502671866"/>
      <w:bookmarkStart w:id="13" w:name="_Toc502672799"/>
      <w:bookmarkStart w:id="14" w:name="_Toc962211"/>
      <w:r w:rsidRPr="00873CDA">
        <w:t>Secretariat</w:t>
      </w:r>
      <w:bookmarkEnd w:id="10"/>
      <w:bookmarkEnd w:id="11"/>
      <w:bookmarkEnd w:id="12"/>
      <w:bookmarkEnd w:id="13"/>
      <w:bookmarkEnd w:id="14"/>
    </w:p>
    <w:p w:rsidR="00021269" w:rsidRPr="00873CDA" w:rsidRDefault="00021269" w:rsidP="00021269">
      <w:pPr>
        <w:pStyle w:val="ListNoBullet"/>
      </w:pPr>
      <w:r w:rsidRPr="00873CDA">
        <w:t>Mr Hamish Finlay</w:t>
      </w:r>
      <w:r w:rsidRPr="00873CDA">
        <w:tab/>
      </w:r>
      <w:r w:rsidRPr="00873CDA">
        <w:tab/>
        <w:t>Secretary</w:t>
      </w:r>
    </w:p>
    <w:p w:rsidR="00021269" w:rsidRPr="00873CDA" w:rsidRDefault="00021269" w:rsidP="00021269">
      <w:pPr>
        <w:pStyle w:val="ListNoBullet"/>
      </w:pPr>
      <w:r w:rsidRPr="00873CDA">
        <w:t>Ms Lydia Chung</w:t>
      </w:r>
      <w:r w:rsidRPr="00873CDA">
        <w:tab/>
      </w:r>
      <w:r w:rsidRPr="00873CDA">
        <w:tab/>
      </w:r>
      <w:r w:rsidRPr="00873CDA">
        <w:tab/>
        <w:t>Administrative Assistant</w:t>
      </w:r>
    </w:p>
    <w:p w:rsidR="004001FB" w:rsidRPr="00873CDA" w:rsidRDefault="004001FB" w:rsidP="001C75D2">
      <w:pPr>
        <w:pStyle w:val="Heading3"/>
        <w:ind w:hanging="567"/>
      </w:pPr>
      <w:bookmarkStart w:id="15" w:name="_Toc502671583"/>
      <w:bookmarkStart w:id="16" w:name="_Toc502671762"/>
      <w:bookmarkStart w:id="17" w:name="_Toc502671867"/>
      <w:bookmarkStart w:id="18" w:name="_Toc502672800"/>
      <w:bookmarkStart w:id="19" w:name="_Toc962212"/>
      <w:r w:rsidRPr="00873CDA">
        <w:t>Contact Information</w:t>
      </w:r>
      <w:bookmarkEnd w:id="15"/>
      <w:bookmarkEnd w:id="16"/>
      <w:bookmarkEnd w:id="17"/>
      <w:bookmarkEnd w:id="18"/>
      <w:bookmarkEnd w:id="19"/>
    </w:p>
    <w:p w:rsidR="004001FB" w:rsidRPr="00873CDA" w:rsidRDefault="004001FB" w:rsidP="007758F6">
      <w:r w:rsidRPr="00873CDA">
        <w:t>Telephone</w:t>
      </w:r>
      <w:r w:rsidRPr="00873CDA">
        <w:tab/>
        <w:t xml:space="preserve">02 6205 </w:t>
      </w:r>
      <w:r w:rsidR="00021269" w:rsidRPr="00873CDA">
        <w:t>0129</w:t>
      </w:r>
    </w:p>
    <w:p w:rsidR="004001FB" w:rsidRPr="00873CDA" w:rsidRDefault="004001FB" w:rsidP="004B618B">
      <w:pPr>
        <w:tabs>
          <w:tab w:val="left" w:pos="1418"/>
        </w:tabs>
      </w:pPr>
      <w:r w:rsidRPr="00873CDA">
        <w:t>Post</w:t>
      </w:r>
      <w:r w:rsidRPr="00873CDA">
        <w:tab/>
        <w:t>GPO Box 1020, CANBERRA ACT 2601</w:t>
      </w:r>
    </w:p>
    <w:p w:rsidR="004001FB" w:rsidRPr="00873CDA" w:rsidRDefault="004001FB" w:rsidP="004B618B">
      <w:pPr>
        <w:tabs>
          <w:tab w:val="left" w:pos="1418"/>
        </w:tabs>
      </w:pPr>
      <w:r w:rsidRPr="00873CDA">
        <w:t>Email</w:t>
      </w:r>
      <w:r w:rsidRPr="00873CDA">
        <w:tab/>
      </w:r>
      <w:hyperlink r:id="rId15" w:history="1">
        <w:r w:rsidR="004B618B" w:rsidRPr="00873CDA">
          <w:rPr>
            <w:rStyle w:val="Hyperlink"/>
          </w:rPr>
          <w:t>committees@parliament.act.gov.au</w:t>
        </w:r>
      </w:hyperlink>
    </w:p>
    <w:p w:rsidR="00D532AE" w:rsidRPr="00873CDA" w:rsidRDefault="004001FB" w:rsidP="004B618B">
      <w:pPr>
        <w:tabs>
          <w:tab w:val="left" w:pos="1418"/>
        </w:tabs>
      </w:pPr>
      <w:r w:rsidRPr="00873CDA">
        <w:t>Website</w:t>
      </w:r>
      <w:r w:rsidRPr="00873CDA">
        <w:tab/>
      </w:r>
      <w:hyperlink r:id="rId16" w:history="1">
        <w:r w:rsidR="004B618B" w:rsidRPr="00873CDA">
          <w:rPr>
            <w:rStyle w:val="Hyperlink"/>
          </w:rPr>
          <w:t>www.parliament.act.gov.au</w:t>
        </w:r>
      </w:hyperlink>
      <w:r w:rsidRPr="00873CDA">
        <w:t xml:space="preserve"> </w:t>
      </w:r>
      <w:bookmarkStart w:id="20" w:name="_Toc502671584"/>
      <w:bookmarkStart w:id="21" w:name="_Toc502671763"/>
      <w:bookmarkStart w:id="22" w:name="_Toc502671868"/>
      <w:bookmarkStart w:id="23" w:name="_Toc502672801"/>
    </w:p>
    <w:p w:rsidR="004001FB" w:rsidRPr="00873CDA" w:rsidRDefault="00D532AE" w:rsidP="001C75D2">
      <w:pPr>
        <w:pStyle w:val="Heading3"/>
        <w:ind w:hanging="567"/>
      </w:pPr>
      <w:r w:rsidRPr="00873CDA">
        <w:br w:type="page"/>
      </w:r>
      <w:bookmarkStart w:id="24" w:name="_Toc962213"/>
      <w:r w:rsidR="004001FB" w:rsidRPr="00873CDA">
        <w:lastRenderedPageBreak/>
        <w:t>Resolution of appointment</w:t>
      </w:r>
      <w:bookmarkEnd w:id="20"/>
      <w:bookmarkEnd w:id="21"/>
      <w:bookmarkEnd w:id="22"/>
      <w:bookmarkEnd w:id="23"/>
      <w:bookmarkEnd w:id="24"/>
    </w:p>
    <w:p w:rsidR="00021269" w:rsidRPr="00873CDA" w:rsidRDefault="00021269" w:rsidP="00021269">
      <w:pPr>
        <w:pStyle w:val="Bodytextnonumbering"/>
      </w:pPr>
      <w:bookmarkStart w:id="25" w:name="_Toc502671585"/>
      <w:bookmarkStart w:id="26" w:name="_Toc502671764"/>
      <w:bookmarkStart w:id="27" w:name="_Toc502671869"/>
      <w:bookmarkStart w:id="28" w:name="_Toc502672802"/>
      <w:r w:rsidRPr="00873CDA">
        <w:t>On 13 December 2016 the ACT Legislative Assembly (the Assembly) agreed by resolution to establish legislative and general purpose standing committees to inquire into and report on matters referred to them by the Assembly or matters that are considered by the committees to be of concern to the community, including:</w:t>
      </w:r>
    </w:p>
    <w:p w:rsidR="00021269" w:rsidRPr="00873CDA" w:rsidRDefault="00021269" w:rsidP="00021269">
      <w:pPr>
        <w:pStyle w:val="Quote"/>
      </w:pPr>
      <w:r w:rsidRPr="00873CDA">
        <w:t>(g)</w:t>
      </w:r>
      <w:r w:rsidRPr="00873CDA">
        <w:tab/>
        <w:t>a Standing Committee on Economic Development and Tourism to examine matters relating to economic and business development, small business, tourism, market and regulatory reform, public sector management, taxation and revenue, procurement, regional development, international trade, skills development and employment creation, and technology, arts and culture.</w:t>
      </w:r>
      <w:r w:rsidRPr="00873CDA">
        <w:rPr>
          <w:rStyle w:val="FootnoteReference"/>
        </w:rPr>
        <w:footnoteReference w:id="1"/>
      </w:r>
    </w:p>
    <w:p w:rsidR="00021269" w:rsidRPr="00873CDA" w:rsidRDefault="00021269" w:rsidP="00021269">
      <w:pPr>
        <w:pStyle w:val="Bodytextnonumbering"/>
      </w:pPr>
      <w:r w:rsidRPr="00873CDA">
        <w:t>The Assembly agreed that each committee shall have power to consider and make use of the evidence and records of the relevant standing committees appointed during the previous Assembly.</w:t>
      </w:r>
    </w:p>
    <w:p w:rsidR="004001FB" w:rsidRPr="00873CDA" w:rsidRDefault="004001FB" w:rsidP="001C75D2">
      <w:pPr>
        <w:pStyle w:val="Heading3"/>
        <w:ind w:hanging="567"/>
      </w:pPr>
      <w:bookmarkStart w:id="29" w:name="_Toc962214"/>
      <w:r w:rsidRPr="00873CDA">
        <w:t>Terms of reference</w:t>
      </w:r>
      <w:bookmarkEnd w:id="25"/>
      <w:bookmarkEnd w:id="26"/>
      <w:bookmarkEnd w:id="27"/>
      <w:bookmarkEnd w:id="28"/>
      <w:bookmarkEnd w:id="29"/>
      <w:r w:rsidRPr="00873CDA">
        <w:t xml:space="preserve"> </w:t>
      </w:r>
    </w:p>
    <w:p w:rsidR="00021269" w:rsidRPr="00873CDA" w:rsidRDefault="00021269" w:rsidP="00021269">
      <w:pPr>
        <w:pStyle w:val="NormalWeb"/>
        <w:shd w:val="clear" w:color="auto" w:fill="FFFFFF"/>
        <w:spacing w:before="189" w:beforeAutospacing="0" w:after="0" w:afterAutospacing="0"/>
        <w:textAlignment w:val="baseline"/>
        <w:rPr>
          <w:rFonts w:asciiTheme="minorHAnsi" w:hAnsiTheme="minorHAnsi" w:cs="Helvetica"/>
          <w:color w:val="000000"/>
          <w:sz w:val="22"/>
          <w:szCs w:val="22"/>
        </w:rPr>
      </w:pPr>
      <w:r w:rsidRPr="00873CDA">
        <w:rPr>
          <w:rFonts w:asciiTheme="minorHAnsi" w:hAnsiTheme="minorHAnsi" w:cs="Helvetica"/>
          <w:color w:val="000000"/>
          <w:sz w:val="22"/>
          <w:szCs w:val="22"/>
        </w:rPr>
        <w:t>At its meeting on Thursday, 25 October 2018, the Assembly passed the following resolution:</w:t>
      </w:r>
    </w:p>
    <w:p w:rsidR="00021269" w:rsidRPr="00873CDA" w:rsidRDefault="00021269" w:rsidP="00021269">
      <w:pPr>
        <w:shd w:val="clear" w:color="auto" w:fill="FFFFFF"/>
        <w:spacing w:before="0"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(1) the annual and financial reports for the financial year 2017-2018 and for the calendar year 2017 presented to the Assembly pursuant to the </w:t>
      </w:r>
      <w:r w:rsidRPr="00873CDA">
        <w:rPr>
          <w:rFonts w:asciiTheme="minorHAnsi" w:hAnsiTheme="minorHAnsi" w:cs="Helvetica"/>
          <w:i/>
          <w:iCs/>
          <w:color w:val="000000"/>
          <w:szCs w:val="22"/>
          <w:bdr w:val="none" w:sz="0" w:space="0" w:color="auto" w:frame="1"/>
          <w:lang w:eastAsia="en-AU"/>
        </w:rPr>
        <w:t>Annual Reports (Government Agencies) Act 2004</w:t>
      </w:r>
      <w:r w:rsidRPr="00873CDA">
        <w:rPr>
          <w:rFonts w:asciiTheme="minorHAnsi" w:hAnsiTheme="minorHAnsi" w:cs="Helvetica"/>
          <w:color w:val="000000"/>
          <w:szCs w:val="22"/>
          <w:lang w:eastAsia="en-AU"/>
        </w:rPr>
        <w:t> stand referred to the standing committees, on presentation, in accordance with the schedule below;</w:t>
      </w:r>
    </w:p>
    <w:p w:rsidR="00021269" w:rsidRPr="00873CDA" w:rsidRDefault="00021269" w:rsidP="00021269">
      <w:pPr>
        <w:shd w:val="clear" w:color="auto" w:fill="FFFFFF"/>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(2) the annual report of ACT Policing stands referred to the Standing Committee on Justice and Community Safety;</w:t>
      </w:r>
    </w:p>
    <w:p w:rsidR="00021269" w:rsidRPr="00873CDA" w:rsidRDefault="00021269" w:rsidP="00021269">
      <w:pPr>
        <w:shd w:val="clear" w:color="auto" w:fill="FFFFFF"/>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(3) notwithstanding standing order 229, only one standing committee may meet for the consideration of the inquiry into the calendar years 2017 and financial year 2017-2018 annual and financial reports at any given time;</w:t>
      </w:r>
    </w:p>
    <w:p w:rsidR="00021269" w:rsidRPr="00873CDA" w:rsidRDefault="00021269" w:rsidP="00021269">
      <w:pPr>
        <w:shd w:val="clear" w:color="auto" w:fill="FFFFFF"/>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(4) standing committees are to report to the Assembly on financial year reports by the last sitting day in March 2019, and on calendar year reports for 2017 by the last sitting day in March 2019;</w:t>
      </w:r>
    </w:p>
    <w:p w:rsidR="00021269" w:rsidRPr="00873CDA" w:rsidRDefault="00021269" w:rsidP="00021269">
      <w:pPr>
        <w:shd w:val="clear" w:color="auto" w:fill="FFFFFF"/>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(5) if the Assembly is not sitting when a standing committee has completed its inquiry, a committee may send its report to the Speaker or, in the absence of the Speaker, to the Deputy Speaker, who is authorised to give directions for its printing, publishing and circulation; and</w:t>
      </w:r>
    </w:p>
    <w:p w:rsidR="00021269" w:rsidRPr="00873CDA" w:rsidRDefault="00021269" w:rsidP="00021269">
      <w:pPr>
        <w:shd w:val="clear" w:color="auto" w:fill="FFFFFF"/>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(6) the forgoing provisions of this resolution have effect notwithstanding anything contained in the standing orders.</w:t>
      </w:r>
    </w:p>
    <w:tbl>
      <w:tblPr>
        <w:tblW w:w="9214" w:type="dxa"/>
        <w:shd w:val="clear" w:color="auto" w:fill="FFFFFF"/>
        <w:tblCellMar>
          <w:left w:w="0" w:type="dxa"/>
          <w:right w:w="0" w:type="dxa"/>
        </w:tblCellMar>
        <w:tblLook w:val="04A0" w:firstRow="1" w:lastRow="0" w:firstColumn="1" w:lastColumn="0" w:noHBand="0" w:noVBand="1"/>
      </w:tblPr>
      <w:tblGrid>
        <w:gridCol w:w="2743"/>
        <w:gridCol w:w="2360"/>
        <w:gridCol w:w="2127"/>
        <w:gridCol w:w="1984"/>
      </w:tblGrid>
      <w:tr w:rsidR="00021269" w:rsidRPr="00873CDA" w:rsidTr="004571A4">
        <w:trPr>
          <w:tblHeader/>
        </w:trPr>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0"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b/>
                <w:bCs/>
                <w:color w:val="000000"/>
                <w:szCs w:val="22"/>
                <w:bdr w:val="none" w:sz="0" w:space="0" w:color="auto" w:frame="1"/>
                <w:lang w:eastAsia="en-AU"/>
              </w:rPr>
              <w:lastRenderedPageBreak/>
              <w:t>Annual Report (in alphabetical order)</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0" w:after="0" w:line="240" w:lineRule="auto"/>
              <w:jc w:val="center"/>
              <w:textAlignment w:val="baseline"/>
              <w:rPr>
                <w:rFonts w:asciiTheme="minorHAnsi" w:hAnsiTheme="minorHAnsi" w:cs="Helvetica"/>
                <w:color w:val="000000"/>
                <w:szCs w:val="22"/>
                <w:lang w:eastAsia="en-AU"/>
              </w:rPr>
            </w:pPr>
            <w:r w:rsidRPr="00873CDA">
              <w:rPr>
                <w:rFonts w:asciiTheme="minorHAnsi" w:hAnsiTheme="minorHAnsi" w:cs="Helvetica"/>
                <w:b/>
                <w:bCs/>
                <w:color w:val="000000"/>
                <w:szCs w:val="22"/>
                <w:bdr w:val="none" w:sz="0" w:space="0" w:color="auto" w:frame="1"/>
                <w:lang w:eastAsia="en-AU"/>
              </w:rPr>
              <w:t>Reporting area</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0" w:after="0" w:line="240" w:lineRule="auto"/>
              <w:jc w:val="center"/>
              <w:textAlignment w:val="baseline"/>
              <w:rPr>
                <w:rFonts w:asciiTheme="minorHAnsi" w:hAnsiTheme="minorHAnsi" w:cs="Helvetica"/>
                <w:color w:val="000000"/>
                <w:szCs w:val="22"/>
                <w:lang w:eastAsia="en-AU"/>
              </w:rPr>
            </w:pPr>
            <w:r w:rsidRPr="00873CDA">
              <w:rPr>
                <w:rFonts w:asciiTheme="minorHAnsi" w:hAnsiTheme="minorHAnsi" w:cs="Helvetica"/>
                <w:b/>
                <w:bCs/>
                <w:color w:val="000000"/>
                <w:szCs w:val="22"/>
                <w:bdr w:val="none" w:sz="0" w:space="0" w:color="auto" w:frame="1"/>
                <w:lang w:eastAsia="en-AU"/>
              </w:rPr>
              <w:t>Ministerial Portfolio(s)</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0" w:after="0" w:line="240" w:lineRule="auto"/>
              <w:jc w:val="center"/>
              <w:textAlignment w:val="baseline"/>
              <w:rPr>
                <w:rFonts w:asciiTheme="minorHAnsi" w:hAnsiTheme="minorHAnsi" w:cs="Helvetica"/>
                <w:color w:val="000000"/>
                <w:szCs w:val="22"/>
                <w:lang w:eastAsia="en-AU"/>
              </w:rPr>
            </w:pPr>
            <w:r w:rsidRPr="00873CDA">
              <w:rPr>
                <w:rFonts w:asciiTheme="minorHAnsi" w:hAnsiTheme="minorHAnsi" w:cs="Helvetica"/>
                <w:b/>
                <w:bCs/>
                <w:color w:val="000000"/>
                <w:szCs w:val="22"/>
                <w:bdr w:val="none" w:sz="0" w:space="0" w:color="auto" w:frame="1"/>
                <w:lang w:eastAsia="en-AU"/>
              </w:rPr>
              <w:t>Standing</w:t>
            </w:r>
            <w:r w:rsidRPr="00873CDA">
              <w:rPr>
                <w:rFonts w:asciiTheme="minorHAnsi" w:hAnsiTheme="minorHAnsi" w:cs="Helvetica"/>
                <w:b/>
                <w:bCs/>
                <w:color w:val="000000"/>
                <w:szCs w:val="22"/>
                <w:bdr w:val="none" w:sz="0" w:space="0" w:color="auto" w:frame="1"/>
                <w:lang w:eastAsia="en-AU"/>
              </w:rPr>
              <w:br/>
              <w:t>Committee</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Infrastructure</w:t>
            </w:r>
          </w:p>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Finance</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Treasurer</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Capital Works</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Treasurer</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Venues</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Treasurer</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Government Accommodation and Property Services</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Treasurer</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Director of Territory Records</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ACT Executive</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Digital Strategy</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Government Policy Reform</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Coordinated Communication and Community Engagement</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Innovation, Trade and Investment</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Minister for  Trade, Industry and Investment</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lastRenderedPageBreak/>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VisitCanberra</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Minister for Tourism and Special Events</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Events</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Minister for Tourism and Special Events</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ACT Government Procurement Board</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Minister for Government Services and Procurement</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Procurement ACT</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Minister for Government Services and Procurement</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ACT Construction Occupations</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Minister for Building Quality Improvement</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Access Canberra</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Minister for Business and Regulatory Services</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Community Facilities – including property services and charging policy</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Minister for Community Services and Facilities</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Chief Minister, Treasury and Economic Development Directorate</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Arts Engagement</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Minister for the Arts and Cultural Events</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r w:rsidR="00021269" w:rsidRPr="00873CDA" w:rsidTr="004571A4">
        <w:tc>
          <w:tcPr>
            <w:tcW w:w="0" w:type="auto"/>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Cultural Facilities Corporation</w:t>
            </w:r>
          </w:p>
        </w:tc>
        <w:tc>
          <w:tcPr>
            <w:tcW w:w="2360"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0" w:after="0" w:line="240" w:lineRule="auto"/>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 </w:t>
            </w:r>
          </w:p>
        </w:tc>
        <w:tc>
          <w:tcPr>
            <w:tcW w:w="2127"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Minister for the Arts and Cultural Events</w:t>
            </w:r>
          </w:p>
        </w:tc>
        <w:tc>
          <w:tcPr>
            <w:tcW w:w="1984" w:type="dxa"/>
            <w:tcBorders>
              <w:top w:val="nil"/>
              <w:left w:val="nil"/>
              <w:bottom w:val="nil"/>
              <w:right w:val="nil"/>
            </w:tcBorders>
            <w:shd w:val="clear" w:color="auto" w:fill="FFFFFF"/>
            <w:tcMar>
              <w:top w:w="105" w:type="dxa"/>
              <w:left w:w="150" w:type="dxa"/>
              <w:bottom w:w="105" w:type="dxa"/>
              <w:right w:w="150" w:type="dxa"/>
            </w:tcMar>
            <w:hideMark/>
          </w:tcPr>
          <w:p w:rsidR="00021269" w:rsidRPr="00873CDA" w:rsidRDefault="00021269" w:rsidP="00021269">
            <w:pPr>
              <w:spacing w:before="189" w:after="0" w:line="240" w:lineRule="auto"/>
              <w:textAlignment w:val="baseline"/>
              <w:rPr>
                <w:rFonts w:asciiTheme="minorHAnsi" w:hAnsiTheme="minorHAnsi" w:cs="Helvetica"/>
                <w:color w:val="000000"/>
                <w:szCs w:val="22"/>
                <w:lang w:eastAsia="en-AU"/>
              </w:rPr>
            </w:pPr>
            <w:r w:rsidRPr="00873CDA">
              <w:rPr>
                <w:rFonts w:asciiTheme="minorHAnsi" w:hAnsiTheme="minorHAnsi" w:cs="Helvetica"/>
                <w:color w:val="000000"/>
                <w:szCs w:val="22"/>
                <w:lang w:eastAsia="en-AU"/>
              </w:rPr>
              <w:t>Economic Development and Tourism</w:t>
            </w:r>
          </w:p>
        </w:tc>
      </w:tr>
    </w:tbl>
    <w:p w:rsidR="00021269" w:rsidRPr="00873CDA" w:rsidRDefault="00021269" w:rsidP="00021269"/>
    <w:p w:rsidR="00021269" w:rsidRPr="00873CDA" w:rsidRDefault="00021269" w:rsidP="00021269">
      <w:r w:rsidRPr="00873CDA">
        <w:br w:type="page"/>
      </w:r>
    </w:p>
    <w:p w:rsidR="00021269" w:rsidRPr="00873CDA" w:rsidRDefault="00021269" w:rsidP="00021269"/>
    <w:p w:rsidR="004001FB" w:rsidRPr="00873CDA" w:rsidRDefault="00A86276" w:rsidP="00021269">
      <w:pPr>
        <w:pStyle w:val="Heading4"/>
      </w:pPr>
      <w:r w:rsidRPr="00873CDA">
        <w:t>A</w:t>
      </w:r>
      <w:r w:rsidR="00D37A0C" w:rsidRPr="00873CDA">
        <w:t>cronyms</w:t>
      </w:r>
    </w:p>
    <w:tbl>
      <w:tblPr>
        <w:tblStyle w:val="CommitteeTable"/>
        <w:tblW w:w="9072" w:type="dxa"/>
        <w:tblInd w:w="-5" w:type="dxa"/>
        <w:tblLook w:val="04A0" w:firstRow="1" w:lastRow="0" w:firstColumn="1" w:lastColumn="0" w:noHBand="0" w:noVBand="1"/>
      </w:tblPr>
      <w:tblGrid>
        <w:gridCol w:w="2098"/>
        <w:gridCol w:w="6974"/>
      </w:tblGrid>
      <w:tr w:rsidR="00F43DE1" w:rsidRPr="00873CDA" w:rsidTr="002F2404">
        <w:trPr>
          <w:cnfStyle w:val="100000000000" w:firstRow="1" w:lastRow="0" w:firstColumn="0" w:lastColumn="0" w:oddVBand="0" w:evenVBand="0" w:oddHBand="0" w:evenHBand="0" w:firstRowFirstColumn="0" w:firstRowLastColumn="0" w:lastRowFirstColumn="0" w:lastRowLastColumn="0"/>
        </w:trPr>
        <w:tc>
          <w:tcPr>
            <w:tcW w:w="2098" w:type="dxa"/>
          </w:tcPr>
          <w:p w:rsidR="00F43DE1" w:rsidRPr="00873CDA" w:rsidRDefault="00F43DE1" w:rsidP="0056020D">
            <w:pPr>
              <w:pStyle w:val="TableText"/>
              <w:rPr>
                <w:b w:val="0"/>
              </w:rPr>
            </w:pPr>
            <w:r w:rsidRPr="00873CDA">
              <w:rPr>
                <w:b w:val="0"/>
              </w:rPr>
              <w:t>CMAG</w:t>
            </w:r>
          </w:p>
        </w:tc>
        <w:tc>
          <w:tcPr>
            <w:tcW w:w="6974" w:type="dxa"/>
          </w:tcPr>
          <w:p w:rsidR="00F43DE1" w:rsidRPr="00873CDA" w:rsidRDefault="00F43DE1" w:rsidP="0056020D">
            <w:pPr>
              <w:pStyle w:val="TableText"/>
              <w:rPr>
                <w:b w:val="0"/>
              </w:rPr>
            </w:pPr>
            <w:r w:rsidRPr="00873CDA">
              <w:rPr>
                <w:b w:val="0"/>
              </w:rPr>
              <w:t>Canberra Museum and Gallery</w:t>
            </w:r>
          </w:p>
        </w:tc>
      </w:tr>
      <w:tr w:rsidR="00FD509B" w:rsidRPr="00873CDA"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873CDA" w:rsidRDefault="00021269" w:rsidP="0056020D">
            <w:pPr>
              <w:pStyle w:val="TableText"/>
              <w:rPr>
                <w:b/>
              </w:rPr>
            </w:pPr>
            <w:r w:rsidRPr="00873CDA">
              <w:t>CMTEDD</w:t>
            </w:r>
          </w:p>
        </w:tc>
        <w:tc>
          <w:tcPr>
            <w:tcW w:w="6974" w:type="dxa"/>
          </w:tcPr>
          <w:p w:rsidR="00FD509B" w:rsidRPr="00873CDA" w:rsidRDefault="00021269" w:rsidP="0056020D">
            <w:pPr>
              <w:pStyle w:val="TableText"/>
              <w:rPr>
                <w:b/>
              </w:rPr>
            </w:pPr>
            <w:r w:rsidRPr="00873CDA">
              <w:t>Chief Minister, Treasury and Economic Development Directorate</w:t>
            </w:r>
          </w:p>
        </w:tc>
      </w:tr>
      <w:tr w:rsidR="00FD509B" w:rsidRPr="00873CDA" w:rsidTr="002F2404">
        <w:tc>
          <w:tcPr>
            <w:tcW w:w="2098" w:type="dxa"/>
          </w:tcPr>
          <w:p w:rsidR="00FD509B" w:rsidRPr="00873CDA" w:rsidRDefault="00021269" w:rsidP="0056020D">
            <w:pPr>
              <w:pStyle w:val="TableText"/>
            </w:pPr>
            <w:bookmarkStart w:id="30" w:name="RowTitle_Acronyms"/>
            <w:bookmarkEnd w:id="30"/>
            <w:r w:rsidRPr="00873CDA">
              <w:t>EPSDD</w:t>
            </w:r>
          </w:p>
        </w:tc>
        <w:tc>
          <w:tcPr>
            <w:tcW w:w="6974" w:type="dxa"/>
          </w:tcPr>
          <w:p w:rsidR="00FD509B" w:rsidRPr="00873CDA" w:rsidRDefault="00021269" w:rsidP="0056020D">
            <w:pPr>
              <w:pStyle w:val="TableText"/>
            </w:pPr>
            <w:r w:rsidRPr="00873CDA">
              <w:t>Environment, Planning and Sustainable Development Directorate</w:t>
            </w:r>
          </w:p>
        </w:tc>
      </w:tr>
      <w:tr w:rsidR="00FD509B" w:rsidRPr="00873CDA"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873CDA" w:rsidRDefault="00A41E01" w:rsidP="0056020D">
            <w:pPr>
              <w:pStyle w:val="TableText"/>
            </w:pPr>
            <w:r w:rsidRPr="00873CDA">
              <w:t>NCA</w:t>
            </w:r>
          </w:p>
        </w:tc>
        <w:tc>
          <w:tcPr>
            <w:tcW w:w="6974" w:type="dxa"/>
          </w:tcPr>
          <w:p w:rsidR="00FD509B" w:rsidRPr="00873CDA" w:rsidRDefault="00A41E01" w:rsidP="0056020D">
            <w:pPr>
              <w:pStyle w:val="TableText"/>
            </w:pPr>
            <w:r w:rsidRPr="00873CDA">
              <w:t>National Capital Authority</w:t>
            </w:r>
          </w:p>
        </w:tc>
      </w:tr>
      <w:tr w:rsidR="00FD509B" w:rsidRPr="00873CDA" w:rsidTr="002F2404">
        <w:tc>
          <w:tcPr>
            <w:tcW w:w="2098" w:type="dxa"/>
          </w:tcPr>
          <w:p w:rsidR="00FD509B" w:rsidRPr="00873CDA" w:rsidRDefault="00A41E01" w:rsidP="0056020D">
            <w:pPr>
              <w:pStyle w:val="TableText"/>
            </w:pPr>
            <w:r w:rsidRPr="00873CDA">
              <w:t>NSW</w:t>
            </w:r>
          </w:p>
        </w:tc>
        <w:tc>
          <w:tcPr>
            <w:tcW w:w="6974" w:type="dxa"/>
          </w:tcPr>
          <w:p w:rsidR="00FD509B" w:rsidRPr="00873CDA" w:rsidRDefault="00A41E01" w:rsidP="0056020D">
            <w:pPr>
              <w:pStyle w:val="TableText"/>
            </w:pPr>
            <w:r w:rsidRPr="00873CDA">
              <w:t>New South Wales</w:t>
            </w:r>
          </w:p>
        </w:tc>
      </w:tr>
    </w:tbl>
    <w:p w:rsidR="00D37A0C" w:rsidRPr="00873CDA" w:rsidRDefault="00D37A0C" w:rsidP="00D37A0C"/>
    <w:p w:rsidR="00C87697" w:rsidRPr="00873CDA" w:rsidRDefault="00C87697" w:rsidP="0064133C">
      <w:pPr>
        <w:pStyle w:val="TOCHeading"/>
        <w:sectPr w:rsidR="00C87697" w:rsidRPr="00873CDA" w:rsidSect="001C2D1C">
          <w:headerReference w:type="even" r:id="rId17"/>
          <w:headerReference w:type="default" r:id="rId18"/>
          <w:footerReference w:type="even" r:id="rId19"/>
          <w:footerReference w:type="default" r:id="rId20"/>
          <w:type w:val="oddPage"/>
          <w:pgSz w:w="11907" w:h="16840" w:code="9"/>
          <w:pgMar w:top="1588" w:right="1418" w:bottom="1418" w:left="1418" w:header="720" w:footer="851" w:gutter="0"/>
          <w:pgNumType w:fmt="lowerRoman" w:start="1"/>
          <w:cols w:space="720"/>
          <w:docGrid w:linePitch="360"/>
        </w:sectPr>
      </w:pPr>
    </w:p>
    <w:p w:rsidR="005973EA" w:rsidRPr="00873CDA" w:rsidRDefault="00566B91" w:rsidP="0064133C">
      <w:pPr>
        <w:pStyle w:val="TOCHeading"/>
      </w:pPr>
      <w:r w:rsidRPr="00873CDA">
        <w:t>Table of Contents</w:t>
      </w:r>
    </w:p>
    <w:p w:rsidR="00873CDA" w:rsidRPr="00873CDA" w:rsidRDefault="00171CA7">
      <w:pPr>
        <w:pStyle w:val="TOC1"/>
        <w:rPr>
          <w:rFonts w:asciiTheme="minorHAnsi" w:eastAsiaTheme="minorEastAsia" w:hAnsiTheme="minorHAnsi" w:cstheme="minorBidi"/>
          <w:b w:val="0"/>
          <w:bCs w:val="0"/>
          <w:smallCaps w:val="0"/>
          <w:noProof/>
          <w:spacing w:val="0"/>
          <w:sz w:val="22"/>
          <w:szCs w:val="22"/>
          <w:lang w:eastAsia="en-AU"/>
        </w:rPr>
      </w:pPr>
      <w:r w:rsidRPr="00873CDA">
        <w:fldChar w:fldCharType="begin"/>
      </w:r>
      <w:r w:rsidR="00383DFC" w:rsidRPr="00873CDA">
        <w:instrText xml:space="preserve"> TOC \h \z \t "Heading 2,1,Heading 3,2" </w:instrText>
      </w:r>
      <w:r w:rsidRPr="00873CDA">
        <w:fldChar w:fldCharType="separate"/>
      </w:r>
      <w:hyperlink w:anchor="_Toc962209" w:history="1">
        <w:r w:rsidR="00873CDA" w:rsidRPr="00873CDA">
          <w:rPr>
            <w:rStyle w:val="Hyperlink"/>
            <w:noProof/>
          </w:rPr>
          <w:t>The Committee</w:t>
        </w:r>
        <w:r w:rsidR="00873CDA" w:rsidRPr="00873CDA">
          <w:rPr>
            <w:noProof/>
            <w:webHidden/>
          </w:rPr>
          <w:tab/>
        </w:r>
        <w:r w:rsidR="00873CDA" w:rsidRPr="00873CDA">
          <w:rPr>
            <w:noProof/>
            <w:webHidden/>
          </w:rPr>
          <w:fldChar w:fldCharType="begin"/>
        </w:r>
        <w:r w:rsidR="00873CDA" w:rsidRPr="00873CDA">
          <w:rPr>
            <w:noProof/>
            <w:webHidden/>
          </w:rPr>
          <w:instrText xml:space="preserve"> PAGEREF _Toc962209 \h </w:instrText>
        </w:r>
        <w:r w:rsidR="00873CDA" w:rsidRPr="00873CDA">
          <w:rPr>
            <w:noProof/>
            <w:webHidden/>
          </w:rPr>
        </w:r>
        <w:r w:rsidR="00873CDA" w:rsidRPr="00873CDA">
          <w:rPr>
            <w:noProof/>
            <w:webHidden/>
          </w:rPr>
          <w:fldChar w:fldCharType="separate"/>
        </w:r>
        <w:r w:rsidR="00873CDA" w:rsidRPr="00873CDA">
          <w:rPr>
            <w:noProof/>
            <w:webHidden/>
          </w:rPr>
          <w:t>i</w:t>
        </w:r>
        <w:r w:rsidR="00873CDA"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10" w:history="1">
        <w:r w:rsidRPr="00873CDA">
          <w:rPr>
            <w:rStyle w:val="Hyperlink"/>
            <w:noProof/>
          </w:rPr>
          <w:t>Committee Membership</w:t>
        </w:r>
        <w:r w:rsidRPr="00873CDA">
          <w:rPr>
            <w:noProof/>
            <w:webHidden/>
          </w:rPr>
          <w:tab/>
        </w:r>
        <w:r w:rsidRPr="00873CDA">
          <w:rPr>
            <w:noProof/>
            <w:webHidden/>
          </w:rPr>
          <w:fldChar w:fldCharType="begin"/>
        </w:r>
        <w:r w:rsidRPr="00873CDA">
          <w:rPr>
            <w:noProof/>
            <w:webHidden/>
          </w:rPr>
          <w:instrText xml:space="preserve"> PAGEREF _Toc962210 \h </w:instrText>
        </w:r>
        <w:r w:rsidRPr="00873CDA">
          <w:rPr>
            <w:noProof/>
            <w:webHidden/>
          </w:rPr>
        </w:r>
        <w:r w:rsidRPr="00873CDA">
          <w:rPr>
            <w:noProof/>
            <w:webHidden/>
          </w:rPr>
          <w:fldChar w:fldCharType="separate"/>
        </w:r>
        <w:r w:rsidRPr="00873CDA">
          <w:rPr>
            <w:noProof/>
            <w:webHidden/>
          </w:rPr>
          <w:t>i</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11" w:history="1">
        <w:r w:rsidRPr="00873CDA">
          <w:rPr>
            <w:rStyle w:val="Hyperlink"/>
            <w:noProof/>
          </w:rPr>
          <w:t>Secretariat</w:t>
        </w:r>
        <w:r w:rsidRPr="00873CDA">
          <w:rPr>
            <w:noProof/>
            <w:webHidden/>
          </w:rPr>
          <w:tab/>
        </w:r>
        <w:r w:rsidRPr="00873CDA">
          <w:rPr>
            <w:noProof/>
            <w:webHidden/>
          </w:rPr>
          <w:fldChar w:fldCharType="begin"/>
        </w:r>
        <w:r w:rsidRPr="00873CDA">
          <w:rPr>
            <w:noProof/>
            <w:webHidden/>
          </w:rPr>
          <w:instrText xml:space="preserve"> PAGEREF _Toc962211 \h </w:instrText>
        </w:r>
        <w:r w:rsidRPr="00873CDA">
          <w:rPr>
            <w:noProof/>
            <w:webHidden/>
          </w:rPr>
        </w:r>
        <w:r w:rsidRPr="00873CDA">
          <w:rPr>
            <w:noProof/>
            <w:webHidden/>
          </w:rPr>
          <w:fldChar w:fldCharType="separate"/>
        </w:r>
        <w:r w:rsidRPr="00873CDA">
          <w:rPr>
            <w:noProof/>
            <w:webHidden/>
          </w:rPr>
          <w:t>i</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12" w:history="1">
        <w:r w:rsidRPr="00873CDA">
          <w:rPr>
            <w:rStyle w:val="Hyperlink"/>
            <w:noProof/>
          </w:rPr>
          <w:t>Contact Information</w:t>
        </w:r>
        <w:r w:rsidRPr="00873CDA">
          <w:rPr>
            <w:noProof/>
            <w:webHidden/>
          </w:rPr>
          <w:tab/>
        </w:r>
        <w:r w:rsidRPr="00873CDA">
          <w:rPr>
            <w:noProof/>
            <w:webHidden/>
          </w:rPr>
          <w:fldChar w:fldCharType="begin"/>
        </w:r>
        <w:r w:rsidRPr="00873CDA">
          <w:rPr>
            <w:noProof/>
            <w:webHidden/>
          </w:rPr>
          <w:instrText xml:space="preserve"> PAGEREF _Toc962212 \h </w:instrText>
        </w:r>
        <w:r w:rsidRPr="00873CDA">
          <w:rPr>
            <w:noProof/>
            <w:webHidden/>
          </w:rPr>
        </w:r>
        <w:r w:rsidRPr="00873CDA">
          <w:rPr>
            <w:noProof/>
            <w:webHidden/>
          </w:rPr>
          <w:fldChar w:fldCharType="separate"/>
        </w:r>
        <w:r w:rsidRPr="00873CDA">
          <w:rPr>
            <w:noProof/>
            <w:webHidden/>
          </w:rPr>
          <w:t>i</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13" w:history="1">
        <w:r w:rsidRPr="00873CDA">
          <w:rPr>
            <w:rStyle w:val="Hyperlink"/>
            <w:noProof/>
          </w:rPr>
          <w:t>Resolution of appointment</w:t>
        </w:r>
        <w:r w:rsidRPr="00873CDA">
          <w:rPr>
            <w:noProof/>
            <w:webHidden/>
          </w:rPr>
          <w:tab/>
        </w:r>
        <w:r w:rsidRPr="00873CDA">
          <w:rPr>
            <w:noProof/>
            <w:webHidden/>
          </w:rPr>
          <w:fldChar w:fldCharType="begin"/>
        </w:r>
        <w:r w:rsidRPr="00873CDA">
          <w:rPr>
            <w:noProof/>
            <w:webHidden/>
          </w:rPr>
          <w:instrText xml:space="preserve"> PAGEREF _Toc962213 \h </w:instrText>
        </w:r>
        <w:r w:rsidRPr="00873CDA">
          <w:rPr>
            <w:noProof/>
            <w:webHidden/>
          </w:rPr>
        </w:r>
        <w:r w:rsidRPr="00873CDA">
          <w:rPr>
            <w:noProof/>
            <w:webHidden/>
          </w:rPr>
          <w:fldChar w:fldCharType="separate"/>
        </w:r>
        <w:r w:rsidRPr="00873CDA">
          <w:rPr>
            <w:noProof/>
            <w:webHidden/>
          </w:rPr>
          <w:t>ii</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14" w:history="1">
        <w:r w:rsidRPr="00873CDA">
          <w:rPr>
            <w:rStyle w:val="Hyperlink"/>
            <w:noProof/>
          </w:rPr>
          <w:t>Terms of reference</w:t>
        </w:r>
        <w:r w:rsidRPr="00873CDA">
          <w:rPr>
            <w:noProof/>
            <w:webHidden/>
          </w:rPr>
          <w:tab/>
        </w:r>
        <w:r w:rsidRPr="00873CDA">
          <w:rPr>
            <w:noProof/>
            <w:webHidden/>
          </w:rPr>
          <w:fldChar w:fldCharType="begin"/>
        </w:r>
        <w:r w:rsidRPr="00873CDA">
          <w:rPr>
            <w:noProof/>
            <w:webHidden/>
          </w:rPr>
          <w:instrText xml:space="preserve"> PAGEREF _Toc962214 \h </w:instrText>
        </w:r>
        <w:r w:rsidRPr="00873CDA">
          <w:rPr>
            <w:noProof/>
            <w:webHidden/>
          </w:rPr>
        </w:r>
        <w:r w:rsidRPr="00873CDA">
          <w:rPr>
            <w:noProof/>
            <w:webHidden/>
          </w:rPr>
          <w:fldChar w:fldCharType="separate"/>
        </w:r>
        <w:r w:rsidRPr="00873CDA">
          <w:rPr>
            <w:noProof/>
            <w:webHidden/>
          </w:rPr>
          <w:t>ii</w:t>
        </w:r>
        <w:r w:rsidRPr="00873CDA">
          <w:rPr>
            <w:noProof/>
            <w:webHidden/>
          </w:rPr>
          <w:fldChar w:fldCharType="end"/>
        </w:r>
      </w:hyperlink>
    </w:p>
    <w:p w:rsidR="00873CDA" w:rsidRPr="00873CDA" w:rsidRDefault="00873CDA">
      <w:pPr>
        <w:pStyle w:val="TOC1"/>
        <w:rPr>
          <w:rFonts w:asciiTheme="minorHAnsi" w:eastAsiaTheme="minorEastAsia" w:hAnsiTheme="minorHAnsi" w:cstheme="minorBidi"/>
          <w:b w:val="0"/>
          <w:bCs w:val="0"/>
          <w:smallCaps w:val="0"/>
          <w:noProof/>
          <w:spacing w:val="0"/>
          <w:sz w:val="22"/>
          <w:szCs w:val="22"/>
          <w:lang w:eastAsia="en-AU"/>
        </w:rPr>
      </w:pPr>
      <w:hyperlink w:anchor="_Toc962215" w:history="1">
        <w:r w:rsidRPr="00873CDA">
          <w:rPr>
            <w:rStyle w:val="Hyperlink"/>
            <w:noProof/>
          </w:rPr>
          <w:t>Recommendations</w:t>
        </w:r>
        <w:r w:rsidRPr="00873CDA">
          <w:rPr>
            <w:noProof/>
            <w:webHidden/>
          </w:rPr>
          <w:tab/>
        </w:r>
        <w:r w:rsidRPr="00873CDA">
          <w:rPr>
            <w:noProof/>
            <w:webHidden/>
          </w:rPr>
          <w:fldChar w:fldCharType="begin"/>
        </w:r>
        <w:r w:rsidRPr="00873CDA">
          <w:rPr>
            <w:noProof/>
            <w:webHidden/>
          </w:rPr>
          <w:instrText xml:space="preserve"> PAGEREF _Toc962215 \h </w:instrText>
        </w:r>
        <w:r w:rsidRPr="00873CDA">
          <w:rPr>
            <w:noProof/>
            <w:webHidden/>
          </w:rPr>
        </w:r>
        <w:r w:rsidRPr="00873CDA">
          <w:rPr>
            <w:noProof/>
            <w:webHidden/>
          </w:rPr>
          <w:fldChar w:fldCharType="separate"/>
        </w:r>
        <w:r w:rsidRPr="00873CDA">
          <w:rPr>
            <w:noProof/>
            <w:webHidden/>
          </w:rPr>
          <w:t>ix</w:t>
        </w:r>
        <w:r w:rsidRPr="00873CDA">
          <w:rPr>
            <w:noProof/>
            <w:webHidden/>
          </w:rPr>
          <w:fldChar w:fldCharType="end"/>
        </w:r>
      </w:hyperlink>
    </w:p>
    <w:p w:rsidR="00873CDA" w:rsidRPr="00873CDA" w:rsidRDefault="00873CDA">
      <w:pPr>
        <w:pStyle w:val="TOC1"/>
        <w:rPr>
          <w:rFonts w:asciiTheme="minorHAnsi" w:eastAsiaTheme="minorEastAsia" w:hAnsiTheme="minorHAnsi" w:cstheme="minorBidi"/>
          <w:b w:val="0"/>
          <w:bCs w:val="0"/>
          <w:smallCaps w:val="0"/>
          <w:noProof/>
          <w:spacing w:val="0"/>
          <w:sz w:val="22"/>
          <w:szCs w:val="22"/>
          <w:lang w:eastAsia="en-AU"/>
        </w:rPr>
      </w:pPr>
      <w:hyperlink w:anchor="_Toc962216" w:history="1">
        <w:r w:rsidRPr="00873CDA">
          <w:rPr>
            <w:rStyle w:val="Hyperlink"/>
            <w:noProof/>
          </w:rPr>
          <w:t>1</w:t>
        </w:r>
        <w:r w:rsidRPr="00873CDA">
          <w:rPr>
            <w:rFonts w:asciiTheme="minorHAnsi" w:eastAsiaTheme="minorEastAsia" w:hAnsiTheme="minorHAnsi" w:cstheme="minorBidi"/>
            <w:b w:val="0"/>
            <w:bCs w:val="0"/>
            <w:smallCaps w:val="0"/>
            <w:noProof/>
            <w:spacing w:val="0"/>
            <w:sz w:val="22"/>
            <w:szCs w:val="22"/>
            <w:lang w:eastAsia="en-AU"/>
          </w:rPr>
          <w:tab/>
        </w:r>
        <w:r w:rsidRPr="00873CDA">
          <w:rPr>
            <w:rStyle w:val="Hyperlink"/>
            <w:noProof/>
          </w:rPr>
          <w:t>Introduction</w:t>
        </w:r>
        <w:r w:rsidRPr="00873CDA">
          <w:rPr>
            <w:noProof/>
            <w:webHidden/>
          </w:rPr>
          <w:tab/>
        </w:r>
        <w:r w:rsidRPr="00873CDA">
          <w:rPr>
            <w:noProof/>
            <w:webHidden/>
          </w:rPr>
          <w:fldChar w:fldCharType="begin"/>
        </w:r>
        <w:r w:rsidRPr="00873CDA">
          <w:rPr>
            <w:noProof/>
            <w:webHidden/>
          </w:rPr>
          <w:instrText xml:space="preserve"> PAGEREF _Toc962216 \h </w:instrText>
        </w:r>
        <w:r w:rsidRPr="00873CDA">
          <w:rPr>
            <w:noProof/>
            <w:webHidden/>
          </w:rPr>
        </w:r>
        <w:r w:rsidRPr="00873CDA">
          <w:rPr>
            <w:noProof/>
            <w:webHidden/>
          </w:rPr>
          <w:fldChar w:fldCharType="separate"/>
        </w:r>
        <w:r w:rsidRPr="00873CDA">
          <w:rPr>
            <w:noProof/>
            <w:webHidden/>
          </w:rPr>
          <w:t>1</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17" w:history="1">
        <w:r w:rsidRPr="00873CDA">
          <w:rPr>
            <w:rStyle w:val="Hyperlink"/>
            <w:noProof/>
          </w:rPr>
          <w:t>Conduct of the Inquiry</w:t>
        </w:r>
        <w:r w:rsidRPr="00873CDA">
          <w:rPr>
            <w:noProof/>
            <w:webHidden/>
          </w:rPr>
          <w:tab/>
        </w:r>
        <w:r w:rsidRPr="00873CDA">
          <w:rPr>
            <w:noProof/>
            <w:webHidden/>
          </w:rPr>
          <w:fldChar w:fldCharType="begin"/>
        </w:r>
        <w:r w:rsidRPr="00873CDA">
          <w:rPr>
            <w:noProof/>
            <w:webHidden/>
          </w:rPr>
          <w:instrText xml:space="preserve"> PAGEREF _Toc962217 \h </w:instrText>
        </w:r>
        <w:r w:rsidRPr="00873CDA">
          <w:rPr>
            <w:noProof/>
            <w:webHidden/>
          </w:rPr>
        </w:r>
        <w:r w:rsidRPr="00873CDA">
          <w:rPr>
            <w:noProof/>
            <w:webHidden/>
          </w:rPr>
          <w:fldChar w:fldCharType="separate"/>
        </w:r>
        <w:r w:rsidRPr="00873CDA">
          <w:rPr>
            <w:noProof/>
            <w:webHidden/>
          </w:rPr>
          <w:t>1</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18" w:history="1">
        <w:r w:rsidRPr="00873CDA">
          <w:rPr>
            <w:rStyle w:val="Hyperlink"/>
            <w:noProof/>
          </w:rPr>
          <w:t>Structure of the Report</w:t>
        </w:r>
        <w:r w:rsidRPr="00873CDA">
          <w:rPr>
            <w:noProof/>
            <w:webHidden/>
          </w:rPr>
          <w:tab/>
        </w:r>
        <w:r w:rsidRPr="00873CDA">
          <w:rPr>
            <w:noProof/>
            <w:webHidden/>
          </w:rPr>
          <w:fldChar w:fldCharType="begin"/>
        </w:r>
        <w:r w:rsidRPr="00873CDA">
          <w:rPr>
            <w:noProof/>
            <w:webHidden/>
          </w:rPr>
          <w:instrText xml:space="preserve"> PAGEREF _Toc962218 \h </w:instrText>
        </w:r>
        <w:r w:rsidRPr="00873CDA">
          <w:rPr>
            <w:noProof/>
            <w:webHidden/>
          </w:rPr>
        </w:r>
        <w:r w:rsidRPr="00873CDA">
          <w:rPr>
            <w:noProof/>
            <w:webHidden/>
          </w:rPr>
          <w:fldChar w:fldCharType="separate"/>
        </w:r>
        <w:r w:rsidRPr="00873CDA">
          <w:rPr>
            <w:noProof/>
            <w:webHidden/>
          </w:rPr>
          <w:t>2</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19" w:history="1">
        <w:r w:rsidRPr="00873CDA">
          <w:rPr>
            <w:rStyle w:val="Hyperlink"/>
            <w:noProof/>
          </w:rPr>
          <w:t>Acknowledgements</w:t>
        </w:r>
        <w:r w:rsidRPr="00873CDA">
          <w:rPr>
            <w:noProof/>
            <w:webHidden/>
          </w:rPr>
          <w:tab/>
        </w:r>
        <w:r w:rsidRPr="00873CDA">
          <w:rPr>
            <w:noProof/>
            <w:webHidden/>
          </w:rPr>
          <w:fldChar w:fldCharType="begin"/>
        </w:r>
        <w:r w:rsidRPr="00873CDA">
          <w:rPr>
            <w:noProof/>
            <w:webHidden/>
          </w:rPr>
          <w:instrText xml:space="preserve"> PAGEREF _Toc962219 \h </w:instrText>
        </w:r>
        <w:r w:rsidRPr="00873CDA">
          <w:rPr>
            <w:noProof/>
            <w:webHidden/>
          </w:rPr>
        </w:r>
        <w:r w:rsidRPr="00873CDA">
          <w:rPr>
            <w:noProof/>
            <w:webHidden/>
          </w:rPr>
          <w:fldChar w:fldCharType="separate"/>
        </w:r>
        <w:r w:rsidRPr="00873CDA">
          <w:rPr>
            <w:noProof/>
            <w:webHidden/>
          </w:rPr>
          <w:t>2</w:t>
        </w:r>
        <w:r w:rsidRPr="00873CDA">
          <w:rPr>
            <w:noProof/>
            <w:webHidden/>
          </w:rPr>
          <w:fldChar w:fldCharType="end"/>
        </w:r>
      </w:hyperlink>
    </w:p>
    <w:p w:rsidR="00873CDA" w:rsidRPr="00873CDA" w:rsidRDefault="00873CDA">
      <w:pPr>
        <w:pStyle w:val="TOC1"/>
        <w:rPr>
          <w:rFonts w:asciiTheme="minorHAnsi" w:eastAsiaTheme="minorEastAsia" w:hAnsiTheme="minorHAnsi" w:cstheme="minorBidi"/>
          <w:b w:val="0"/>
          <w:bCs w:val="0"/>
          <w:smallCaps w:val="0"/>
          <w:noProof/>
          <w:spacing w:val="0"/>
          <w:sz w:val="22"/>
          <w:szCs w:val="22"/>
          <w:lang w:eastAsia="en-AU"/>
        </w:rPr>
      </w:pPr>
      <w:hyperlink w:anchor="_Toc962220" w:history="1">
        <w:r w:rsidRPr="00873CDA">
          <w:rPr>
            <w:rStyle w:val="Hyperlink"/>
            <w:noProof/>
          </w:rPr>
          <w:t>2</w:t>
        </w:r>
        <w:r w:rsidRPr="00873CDA">
          <w:rPr>
            <w:rFonts w:asciiTheme="minorHAnsi" w:eastAsiaTheme="minorEastAsia" w:hAnsiTheme="minorHAnsi" w:cstheme="minorBidi"/>
            <w:b w:val="0"/>
            <w:bCs w:val="0"/>
            <w:smallCaps w:val="0"/>
            <w:noProof/>
            <w:spacing w:val="0"/>
            <w:sz w:val="22"/>
            <w:szCs w:val="22"/>
            <w:lang w:eastAsia="en-AU"/>
          </w:rPr>
          <w:tab/>
        </w:r>
        <w:r w:rsidRPr="00873CDA">
          <w:rPr>
            <w:rStyle w:val="Hyperlink"/>
            <w:noProof/>
          </w:rPr>
          <w:t>Annual reporting requirements</w:t>
        </w:r>
        <w:r w:rsidRPr="00873CDA">
          <w:rPr>
            <w:noProof/>
            <w:webHidden/>
          </w:rPr>
          <w:tab/>
        </w:r>
        <w:r w:rsidRPr="00873CDA">
          <w:rPr>
            <w:noProof/>
            <w:webHidden/>
          </w:rPr>
          <w:fldChar w:fldCharType="begin"/>
        </w:r>
        <w:r w:rsidRPr="00873CDA">
          <w:rPr>
            <w:noProof/>
            <w:webHidden/>
          </w:rPr>
          <w:instrText xml:space="preserve"> PAGEREF _Toc962220 \h </w:instrText>
        </w:r>
        <w:r w:rsidRPr="00873CDA">
          <w:rPr>
            <w:noProof/>
            <w:webHidden/>
          </w:rPr>
        </w:r>
        <w:r w:rsidRPr="00873CDA">
          <w:rPr>
            <w:noProof/>
            <w:webHidden/>
          </w:rPr>
          <w:fldChar w:fldCharType="separate"/>
        </w:r>
        <w:r w:rsidRPr="00873CDA">
          <w:rPr>
            <w:noProof/>
            <w:webHidden/>
          </w:rPr>
          <w:t>3</w:t>
        </w:r>
        <w:r w:rsidRPr="00873CDA">
          <w:rPr>
            <w:noProof/>
            <w:webHidden/>
          </w:rPr>
          <w:fldChar w:fldCharType="end"/>
        </w:r>
      </w:hyperlink>
    </w:p>
    <w:p w:rsidR="00873CDA" w:rsidRPr="00873CDA" w:rsidRDefault="00873CDA">
      <w:pPr>
        <w:pStyle w:val="TOC1"/>
        <w:rPr>
          <w:rFonts w:asciiTheme="minorHAnsi" w:eastAsiaTheme="minorEastAsia" w:hAnsiTheme="minorHAnsi" w:cstheme="minorBidi"/>
          <w:b w:val="0"/>
          <w:bCs w:val="0"/>
          <w:smallCaps w:val="0"/>
          <w:noProof/>
          <w:spacing w:val="0"/>
          <w:sz w:val="22"/>
          <w:szCs w:val="22"/>
          <w:lang w:eastAsia="en-AU"/>
        </w:rPr>
      </w:pPr>
      <w:hyperlink w:anchor="_Toc962221" w:history="1">
        <w:r w:rsidRPr="00873CDA">
          <w:rPr>
            <w:rStyle w:val="Hyperlink"/>
            <w:noProof/>
          </w:rPr>
          <w:t>3</w:t>
        </w:r>
        <w:r w:rsidRPr="00873CDA">
          <w:rPr>
            <w:rFonts w:asciiTheme="minorHAnsi" w:eastAsiaTheme="minorEastAsia" w:hAnsiTheme="minorHAnsi" w:cstheme="minorBidi"/>
            <w:b w:val="0"/>
            <w:bCs w:val="0"/>
            <w:smallCaps w:val="0"/>
            <w:noProof/>
            <w:spacing w:val="0"/>
            <w:sz w:val="22"/>
            <w:szCs w:val="22"/>
            <w:lang w:eastAsia="en-AU"/>
          </w:rPr>
          <w:tab/>
        </w:r>
        <w:r w:rsidRPr="00873CDA">
          <w:rPr>
            <w:rStyle w:val="Hyperlink"/>
            <w:noProof/>
          </w:rPr>
          <w:t>Chief Minister, Treasury and Economic Development Directorate</w:t>
        </w:r>
        <w:r w:rsidRPr="00873CDA">
          <w:rPr>
            <w:noProof/>
            <w:webHidden/>
          </w:rPr>
          <w:tab/>
        </w:r>
        <w:r w:rsidRPr="00873CDA">
          <w:rPr>
            <w:noProof/>
            <w:webHidden/>
          </w:rPr>
          <w:fldChar w:fldCharType="begin"/>
        </w:r>
        <w:r w:rsidRPr="00873CDA">
          <w:rPr>
            <w:noProof/>
            <w:webHidden/>
          </w:rPr>
          <w:instrText xml:space="preserve"> PAGEREF _Toc962221 \h </w:instrText>
        </w:r>
        <w:r w:rsidRPr="00873CDA">
          <w:rPr>
            <w:noProof/>
            <w:webHidden/>
          </w:rPr>
        </w:r>
        <w:r w:rsidRPr="00873CDA">
          <w:rPr>
            <w:noProof/>
            <w:webHidden/>
          </w:rPr>
          <w:fldChar w:fldCharType="separate"/>
        </w:r>
        <w:r w:rsidRPr="00873CDA">
          <w:rPr>
            <w:noProof/>
            <w:webHidden/>
          </w:rPr>
          <w:t>5</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22" w:history="1">
        <w:r w:rsidRPr="00873CDA">
          <w:rPr>
            <w:rStyle w:val="Hyperlink"/>
            <w:noProof/>
          </w:rPr>
          <w:t>Infrastructure Finance and Capital Works</w:t>
        </w:r>
        <w:r w:rsidRPr="00873CDA">
          <w:rPr>
            <w:noProof/>
            <w:webHidden/>
          </w:rPr>
          <w:tab/>
        </w:r>
        <w:r w:rsidRPr="00873CDA">
          <w:rPr>
            <w:noProof/>
            <w:webHidden/>
          </w:rPr>
          <w:fldChar w:fldCharType="begin"/>
        </w:r>
        <w:r w:rsidRPr="00873CDA">
          <w:rPr>
            <w:noProof/>
            <w:webHidden/>
          </w:rPr>
          <w:instrText xml:space="preserve"> PAGEREF _Toc962222 \h </w:instrText>
        </w:r>
        <w:r w:rsidRPr="00873CDA">
          <w:rPr>
            <w:noProof/>
            <w:webHidden/>
          </w:rPr>
        </w:r>
        <w:r w:rsidRPr="00873CDA">
          <w:rPr>
            <w:noProof/>
            <w:webHidden/>
          </w:rPr>
          <w:fldChar w:fldCharType="separate"/>
        </w:r>
        <w:r w:rsidRPr="00873CDA">
          <w:rPr>
            <w:noProof/>
            <w:webHidden/>
          </w:rPr>
          <w:t>6</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23" w:history="1">
        <w:r w:rsidRPr="00873CDA">
          <w:rPr>
            <w:rStyle w:val="Hyperlink"/>
            <w:noProof/>
          </w:rPr>
          <w:t>Venues</w:t>
        </w:r>
        <w:r w:rsidRPr="00873CDA">
          <w:rPr>
            <w:noProof/>
            <w:webHidden/>
          </w:rPr>
          <w:tab/>
        </w:r>
        <w:r w:rsidRPr="00873CDA">
          <w:rPr>
            <w:noProof/>
            <w:webHidden/>
          </w:rPr>
          <w:fldChar w:fldCharType="begin"/>
        </w:r>
        <w:r w:rsidRPr="00873CDA">
          <w:rPr>
            <w:noProof/>
            <w:webHidden/>
          </w:rPr>
          <w:instrText xml:space="preserve"> PAGEREF _Toc962223 \h </w:instrText>
        </w:r>
        <w:r w:rsidRPr="00873CDA">
          <w:rPr>
            <w:noProof/>
            <w:webHidden/>
          </w:rPr>
        </w:r>
        <w:r w:rsidRPr="00873CDA">
          <w:rPr>
            <w:noProof/>
            <w:webHidden/>
          </w:rPr>
          <w:fldChar w:fldCharType="separate"/>
        </w:r>
        <w:r w:rsidRPr="00873CDA">
          <w:rPr>
            <w:noProof/>
            <w:webHidden/>
          </w:rPr>
          <w:t>7</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24" w:history="1">
        <w:r w:rsidRPr="00873CDA">
          <w:rPr>
            <w:rStyle w:val="Hyperlink"/>
            <w:noProof/>
          </w:rPr>
          <w:t>Government Policy Reform</w:t>
        </w:r>
        <w:r w:rsidRPr="00873CDA">
          <w:rPr>
            <w:noProof/>
            <w:webHidden/>
          </w:rPr>
          <w:tab/>
        </w:r>
        <w:r w:rsidRPr="00873CDA">
          <w:rPr>
            <w:noProof/>
            <w:webHidden/>
          </w:rPr>
          <w:fldChar w:fldCharType="begin"/>
        </w:r>
        <w:r w:rsidRPr="00873CDA">
          <w:rPr>
            <w:noProof/>
            <w:webHidden/>
          </w:rPr>
          <w:instrText xml:space="preserve"> PAGEREF _Toc962224 \h </w:instrText>
        </w:r>
        <w:r w:rsidRPr="00873CDA">
          <w:rPr>
            <w:noProof/>
            <w:webHidden/>
          </w:rPr>
        </w:r>
        <w:r w:rsidRPr="00873CDA">
          <w:rPr>
            <w:noProof/>
            <w:webHidden/>
          </w:rPr>
          <w:fldChar w:fldCharType="separate"/>
        </w:r>
        <w:r w:rsidRPr="00873CDA">
          <w:rPr>
            <w:noProof/>
            <w:webHidden/>
          </w:rPr>
          <w:t>8</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25" w:history="1">
        <w:r w:rsidRPr="00873CDA">
          <w:rPr>
            <w:rStyle w:val="Hyperlink"/>
            <w:noProof/>
          </w:rPr>
          <w:t>Coordinated Communications and community engagement</w:t>
        </w:r>
        <w:r w:rsidRPr="00873CDA">
          <w:rPr>
            <w:noProof/>
            <w:webHidden/>
          </w:rPr>
          <w:tab/>
        </w:r>
        <w:r w:rsidRPr="00873CDA">
          <w:rPr>
            <w:noProof/>
            <w:webHidden/>
          </w:rPr>
          <w:fldChar w:fldCharType="begin"/>
        </w:r>
        <w:r w:rsidRPr="00873CDA">
          <w:rPr>
            <w:noProof/>
            <w:webHidden/>
          </w:rPr>
          <w:instrText xml:space="preserve"> PAGEREF _Toc962225 \h </w:instrText>
        </w:r>
        <w:r w:rsidRPr="00873CDA">
          <w:rPr>
            <w:noProof/>
            <w:webHidden/>
          </w:rPr>
        </w:r>
        <w:r w:rsidRPr="00873CDA">
          <w:rPr>
            <w:noProof/>
            <w:webHidden/>
          </w:rPr>
          <w:fldChar w:fldCharType="separate"/>
        </w:r>
        <w:r w:rsidRPr="00873CDA">
          <w:rPr>
            <w:noProof/>
            <w:webHidden/>
          </w:rPr>
          <w:t>8</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26" w:history="1">
        <w:r w:rsidRPr="00873CDA">
          <w:rPr>
            <w:rStyle w:val="Hyperlink"/>
            <w:noProof/>
          </w:rPr>
          <w:t>Innovation Trade and Investment</w:t>
        </w:r>
        <w:r w:rsidRPr="00873CDA">
          <w:rPr>
            <w:noProof/>
            <w:webHidden/>
          </w:rPr>
          <w:tab/>
        </w:r>
        <w:r w:rsidRPr="00873CDA">
          <w:rPr>
            <w:noProof/>
            <w:webHidden/>
          </w:rPr>
          <w:fldChar w:fldCharType="begin"/>
        </w:r>
        <w:r w:rsidRPr="00873CDA">
          <w:rPr>
            <w:noProof/>
            <w:webHidden/>
          </w:rPr>
          <w:instrText xml:space="preserve"> PAGEREF _Toc962226 \h </w:instrText>
        </w:r>
        <w:r w:rsidRPr="00873CDA">
          <w:rPr>
            <w:noProof/>
            <w:webHidden/>
          </w:rPr>
        </w:r>
        <w:r w:rsidRPr="00873CDA">
          <w:rPr>
            <w:noProof/>
            <w:webHidden/>
          </w:rPr>
          <w:fldChar w:fldCharType="separate"/>
        </w:r>
        <w:r w:rsidRPr="00873CDA">
          <w:rPr>
            <w:noProof/>
            <w:webHidden/>
          </w:rPr>
          <w:t>10</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27" w:history="1">
        <w:r w:rsidRPr="00873CDA">
          <w:rPr>
            <w:rStyle w:val="Hyperlink"/>
            <w:noProof/>
          </w:rPr>
          <w:t>Visit Canberra</w:t>
        </w:r>
        <w:r w:rsidRPr="00873CDA">
          <w:rPr>
            <w:noProof/>
            <w:webHidden/>
          </w:rPr>
          <w:tab/>
        </w:r>
        <w:r w:rsidRPr="00873CDA">
          <w:rPr>
            <w:noProof/>
            <w:webHidden/>
          </w:rPr>
          <w:fldChar w:fldCharType="begin"/>
        </w:r>
        <w:r w:rsidRPr="00873CDA">
          <w:rPr>
            <w:noProof/>
            <w:webHidden/>
          </w:rPr>
          <w:instrText xml:space="preserve"> PAGEREF _Toc962227 \h </w:instrText>
        </w:r>
        <w:r w:rsidRPr="00873CDA">
          <w:rPr>
            <w:noProof/>
            <w:webHidden/>
          </w:rPr>
        </w:r>
        <w:r w:rsidRPr="00873CDA">
          <w:rPr>
            <w:noProof/>
            <w:webHidden/>
          </w:rPr>
          <w:fldChar w:fldCharType="separate"/>
        </w:r>
        <w:r w:rsidRPr="00873CDA">
          <w:rPr>
            <w:noProof/>
            <w:webHidden/>
          </w:rPr>
          <w:t>10</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28" w:history="1">
        <w:r w:rsidRPr="00873CDA">
          <w:rPr>
            <w:rStyle w:val="Hyperlink"/>
            <w:noProof/>
          </w:rPr>
          <w:t>Events ACT</w:t>
        </w:r>
        <w:r w:rsidRPr="00873CDA">
          <w:rPr>
            <w:noProof/>
            <w:webHidden/>
          </w:rPr>
          <w:tab/>
        </w:r>
        <w:r w:rsidRPr="00873CDA">
          <w:rPr>
            <w:noProof/>
            <w:webHidden/>
          </w:rPr>
          <w:fldChar w:fldCharType="begin"/>
        </w:r>
        <w:r w:rsidRPr="00873CDA">
          <w:rPr>
            <w:noProof/>
            <w:webHidden/>
          </w:rPr>
          <w:instrText xml:space="preserve"> PAGEREF _Toc962228 \h </w:instrText>
        </w:r>
        <w:r w:rsidRPr="00873CDA">
          <w:rPr>
            <w:noProof/>
            <w:webHidden/>
          </w:rPr>
        </w:r>
        <w:r w:rsidRPr="00873CDA">
          <w:rPr>
            <w:noProof/>
            <w:webHidden/>
          </w:rPr>
          <w:fldChar w:fldCharType="separate"/>
        </w:r>
        <w:r w:rsidRPr="00873CDA">
          <w:rPr>
            <w:noProof/>
            <w:webHidden/>
          </w:rPr>
          <w:t>11</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29" w:history="1">
        <w:r w:rsidRPr="00873CDA">
          <w:rPr>
            <w:rStyle w:val="Hyperlink"/>
            <w:noProof/>
          </w:rPr>
          <w:t>ACT Government Procurement Board and Procurement ACT</w:t>
        </w:r>
        <w:r w:rsidRPr="00873CDA">
          <w:rPr>
            <w:noProof/>
            <w:webHidden/>
          </w:rPr>
          <w:tab/>
        </w:r>
        <w:r w:rsidRPr="00873CDA">
          <w:rPr>
            <w:noProof/>
            <w:webHidden/>
          </w:rPr>
          <w:fldChar w:fldCharType="begin"/>
        </w:r>
        <w:r w:rsidRPr="00873CDA">
          <w:rPr>
            <w:noProof/>
            <w:webHidden/>
          </w:rPr>
          <w:instrText xml:space="preserve"> PAGEREF _Toc962229 \h </w:instrText>
        </w:r>
        <w:r w:rsidRPr="00873CDA">
          <w:rPr>
            <w:noProof/>
            <w:webHidden/>
          </w:rPr>
        </w:r>
        <w:r w:rsidRPr="00873CDA">
          <w:rPr>
            <w:noProof/>
            <w:webHidden/>
          </w:rPr>
          <w:fldChar w:fldCharType="separate"/>
        </w:r>
        <w:r w:rsidRPr="00873CDA">
          <w:rPr>
            <w:noProof/>
            <w:webHidden/>
          </w:rPr>
          <w:t>11</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30" w:history="1">
        <w:r w:rsidRPr="00873CDA">
          <w:rPr>
            <w:rStyle w:val="Hyperlink"/>
            <w:noProof/>
          </w:rPr>
          <w:t>Access Canberra</w:t>
        </w:r>
        <w:r w:rsidRPr="00873CDA">
          <w:rPr>
            <w:noProof/>
            <w:webHidden/>
          </w:rPr>
          <w:tab/>
        </w:r>
        <w:r w:rsidRPr="00873CDA">
          <w:rPr>
            <w:noProof/>
            <w:webHidden/>
          </w:rPr>
          <w:fldChar w:fldCharType="begin"/>
        </w:r>
        <w:r w:rsidRPr="00873CDA">
          <w:rPr>
            <w:noProof/>
            <w:webHidden/>
          </w:rPr>
          <w:instrText xml:space="preserve"> PAGEREF _Toc962230 \h </w:instrText>
        </w:r>
        <w:r w:rsidRPr="00873CDA">
          <w:rPr>
            <w:noProof/>
            <w:webHidden/>
          </w:rPr>
        </w:r>
        <w:r w:rsidRPr="00873CDA">
          <w:rPr>
            <w:noProof/>
            <w:webHidden/>
          </w:rPr>
          <w:fldChar w:fldCharType="separate"/>
        </w:r>
        <w:r w:rsidRPr="00873CDA">
          <w:rPr>
            <w:noProof/>
            <w:webHidden/>
          </w:rPr>
          <w:t>11</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31" w:history="1">
        <w:r w:rsidRPr="00873CDA">
          <w:rPr>
            <w:rStyle w:val="Hyperlink"/>
            <w:noProof/>
          </w:rPr>
          <w:t>Arts engagement and Cultural Facilities Corporation</w:t>
        </w:r>
        <w:r w:rsidRPr="00873CDA">
          <w:rPr>
            <w:noProof/>
            <w:webHidden/>
          </w:rPr>
          <w:tab/>
        </w:r>
        <w:r w:rsidRPr="00873CDA">
          <w:rPr>
            <w:noProof/>
            <w:webHidden/>
          </w:rPr>
          <w:fldChar w:fldCharType="begin"/>
        </w:r>
        <w:r w:rsidRPr="00873CDA">
          <w:rPr>
            <w:noProof/>
            <w:webHidden/>
          </w:rPr>
          <w:instrText xml:space="preserve"> PAGEREF _Toc962231 \h </w:instrText>
        </w:r>
        <w:r w:rsidRPr="00873CDA">
          <w:rPr>
            <w:noProof/>
            <w:webHidden/>
          </w:rPr>
        </w:r>
        <w:r w:rsidRPr="00873CDA">
          <w:rPr>
            <w:noProof/>
            <w:webHidden/>
          </w:rPr>
          <w:fldChar w:fldCharType="separate"/>
        </w:r>
        <w:r w:rsidRPr="00873CDA">
          <w:rPr>
            <w:noProof/>
            <w:webHidden/>
          </w:rPr>
          <w:t>14</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32" w:history="1">
        <w:r w:rsidRPr="00873CDA">
          <w:rPr>
            <w:rStyle w:val="Hyperlink"/>
            <w:noProof/>
          </w:rPr>
          <w:t>Community Facilities</w:t>
        </w:r>
        <w:r w:rsidRPr="00873CDA">
          <w:rPr>
            <w:noProof/>
            <w:webHidden/>
          </w:rPr>
          <w:tab/>
        </w:r>
        <w:r w:rsidRPr="00873CDA">
          <w:rPr>
            <w:noProof/>
            <w:webHidden/>
          </w:rPr>
          <w:fldChar w:fldCharType="begin"/>
        </w:r>
        <w:r w:rsidRPr="00873CDA">
          <w:rPr>
            <w:noProof/>
            <w:webHidden/>
          </w:rPr>
          <w:instrText xml:space="preserve"> PAGEREF _Toc962232 \h </w:instrText>
        </w:r>
        <w:r w:rsidRPr="00873CDA">
          <w:rPr>
            <w:noProof/>
            <w:webHidden/>
          </w:rPr>
        </w:r>
        <w:r w:rsidRPr="00873CDA">
          <w:rPr>
            <w:noProof/>
            <w:webHidden/>
          </w:rPr>
          <w:fldChar w:fldCharType="separate"/>
        </w:r>
        <w:r w:rsidRPr="00873CDA">
          <w:rPr>
            <w:noProof/>
            <w:webHidden/>
          </w:rPr>
          <w:t>15</w:t>
        </w:r>
        <w:r w:rsidRPr="00873CDA">
          <w:rPr>
            <w:noProof/>
            <w:webHidden/>
          </w:rPr>
          <w:fldChar w:fldCharType="end"/>
        </w:r>
      </w:hyperlink>
    </w:p>
    <w:p w:rsidR="00873CDA" w:rsidRPr="00873CDA" w:rsidRDefault="00873CDA">
      <w:pPr>
        <w:pStyle w:val="TOC1"/>
        <w:rPr>
          <w:rFonts w:asciiTheme="minorHAnsi" w:eastAsiaTheme="minorEastAsia" w:hAnsiTheme="minorHAnsi" w:cstheme="minorBidi"/>
          <w:b w:val="0"/>
          <w:bCs w:val="0"/>
          <w:smallCaps w:val="0"/>
          <w:noProof/>
          <w:spacing w:val="0"/>
          <w:sz w:val="22"/>
          <w:szCs w:val="22"/>
          <w:lang w:eastAsia="en-AU"/>
        </w:rPr>
      </w:pPr>
      <w:hyperlink w:anchor="_Toc962233" w:history="1">
        <w:r w:rsidRPr="00873CDA">
          <w:rPr>
            <w:rStyle w:val="Hyperlink"/>
            <w:noProof/>
          </w:rPr>
          <w:t>4</w:t>
        </w:r>
        <w:r w:rsidRPr="00873CDA">
          <w:rPr>
            <w:rFonts w:asciiTheme="minorHAnsi" w:eastAsiaTheme="minorEastAsia" w:hAnsiTheme="minorHAnsi" w:cstheme="minorBidi"/>
            <w:b w:val="0"/>
            <w:bCs w:val="0"/>
            <w:smallCaps w:val="0"/>
            <w:noProof/>
            <w:spacing w:val="0"/>
            <w:sz w:val="22"/>
            <w:szCs w:val="22"/>
            <w:lang w:eastAsia="en-AU"/>
          </w:rPr>
          <w:tab/>
        </w:r>
        <w:r w:rsidRPr="00873CDA">
          <w:rPr>
            <w:rStyle w:val="Hyperlink"/>
            <w:noProof/>
          </w:rPr>
          <w:t>Conclusion</w:t>
        </w:r>
        <w:r w:rsidRPr="00873CDA">
          <w:rPr>
            <w:noProof/>
            <w:webHidden/>
          </w:rPr>
          <w:tab/>
        </w:r>
        <w:r w:rsidRPr="00873CDA">
          <w:rPr>
            <w:noProof/>
            <w:webHidden/>
          </w:rPr>
          <w:fldChar w:fldCharType="begin"/>
        </w:r>
        <w:r w:rsidRPr="00873CDA">
          <w:rPr>
            <w:noProof/>
            <w:webHidden/>
          </w:rPr>
          <w:instrText xml:space="preserve"> PAGEREF _Toc962233 \h </w:instrText>
        </w:r>
        <w:r w:rsidRPr="00873CDA">
          <w:rPr>
            <w:noProof/>
            <w:webHidden/>
          </w:rPr>
        </w:r>
        <w:r w:rsidRPr="00873CDA">
          <w:rPr>
            <w:noProof/>
            <w:webHidden/>
          </w:rPr>
          <w:fldChar w:fldCharType="separate"/>
        </w:r>
        <w:r w:rsidRPr="00873CDA">
          <w:rPr>
            <w:noProof/>
            <w:webHidden/>
          </w:rPr>
          <w:t>17</w:t>
        </w:r>
        <w:r w:rsidRPr="00873CDA">
          <w:rPr>
            <w:noProof/>
            <w:webHidden/>
          </w:rPr>
          <w:fldChar w:fldCharType="end"/>
        </w:r>
      </w:hyperlink>
    </w:p>
    <w:p w:rsidR="00873CDA" w:rsidRPr="00873CDA" w:rsidRDefault="00873CDA">
      <w:pPr>
        <w:pStyle w:val="TOC1"/>
        <w:rPr>
          <w:rFonts w:asciiTheme="minorHAnsi" w:eastAsiaTheme="minorEastAsia" w:hAnsiTheme="minorHAnsi" w:cstheme="minorBidi"/>
          <w:b w:val="0"/>
          <w:bCs w:val="0"/>
          <w:smallCaps w:val="0"/>
          <w:noProof/>
          <w:spacing w:val="0"/>
          <w:sz w:val="22"/>
          <w:szCs w:val="22"/>
          <w:lang w:eastAsia="en-AU"/>
        </w:rPr>
      </w:pPr>
      <w:hyperlink w:anchor="_Toc962234" w:history="1">
        <w:r w:rsidRPr="00873CDA">
          <w:rPr>
            <w:rStyle w:val="Hyperlink"/>
            <w:noProof/>
          </w:rPr>
          <w:t>Appendix A - Witnesses</w:t>
        </w:r>
        <w:r w:rsidRPr="00873CDA">
          <w:rPr>
            <w:noProof/>
            <w:webHidden/>
          </w:rPr>
          <w:tab/>
        </w:r>
        <w:r w:rsidRPr="00873CDA">
          <w:rPr>
            <w:noProof/>
            <w:webHidden/>
          </w:rPr>
          <w:fldChar w:fldCharType="begin"/>
        </w:r>
        <w:r w:rsidRPr="00873CDA">
          <w:rPr>
            <w:noProof/>
            <w:webHidden/>
          </w:rPr>
          <w:instrText xml:space="preserve"> PAGEREF _Toc962234 \h </w:instrText>
        </w:r>
        <w:r w:rsidRPr="00873CDA">
          <w:rPr>
            <w:noProof/>
            <w:webHidden/>
          </w:rPr>
        </w:r>
        <w:r w:rsidRPr="00873CDA">
          <w:rPr>
            <w:noProof/>
            <w:webHidden/>
          </w:rPr>
          <w:fldChar w:fldCharType="separate"/>
        </w:r>
        <w:r w:rsidRPr="00873CDA">
          <w:rPr>
            <w:noProof/>
            <w:webHidden/>
          </w:rPr>
          <w:t>19</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35" w:history="1">
        <w:r w:rsidRPr="00873CDA">
          <w:rPr>
            <w:rStyle w:val="Hyperlink"/>
            <w:noProof/>
          </w:rPr>
          <w:t>Monday 5 November 2018</w:t>
        </w:r>
        <w:r w:rsidRPr="00873CDA">
          <w:rPr>
            <w:noProof/>
            <w:webHidden/>
          </w:rPr>
          <w:tab/>
        </w:r>
        <w:r w:rsidRPr="00873CDA">
          <w:rPr>
            <w:noProof/>
            <w:webHidden/>
          </w:rPr>
          <w:fldChar w:fldCharType="begin"/>
        </w:r>
        <w:r w:rsidRPr="00873CDA">
          <w:rPr>
            <w:noProof/>
            <w:webHidden/>
          </w:rPr>
          <w:instrText xml:space="preserve"> PAGEREF _Toc962235 \h </w:instrText>
        </w:r>
        <w:r w:rsidRPr="00873CDA">
          <w:rPr>
            <w:noProof/>
            <w:webHidden/>
          </w:rPr>
        </w:r>
        <w:r w:rsidRPr="00873CDA">
          <w:rPr>
            <w:noProof/>
            <w:webHidden/>
          </w:rPr>
          <w:fldChar w:fldCharType="separate"/>
        </w:r>
        <w:r w:rsidRPr="00873CDA">
          <w:rPr>
            <w:noProof/>
            <w:webHidden/>
          </w:rPr>
          <w:t>19</w:t>
        </w:r>
        <w:r w:rsidRPr="00873CDA">
          <w:rPr>
            <w:noProof/>
            <w:webHidden/>
          </w:rPr>
          <w:fldChar w:fldCharType="end"/>
        </w:r>
      </w:hyperlink>
    </w:p>
    <w:p w:rsidR="00873CDA" w:rsidRPr="00873CDA" w:rsidRDefault="00873CDA">
      <w:pPr>
        <w:pStyle w:val="TOC2"/>
        <w:rPr>
          <w:rFonts w:asciiTheme="minorHAnsi" w:eastAsiaTheme="minorEastAsia" w:hAnsiTheme="minorHAnsi" w:cstheme="minorBidi"/>
          <w:b w:val="0"/>
          <w:noProof/>
          <w:sz w:val="22"/>
          <w:szCs w:val="22"/>
          <w:lang w:eastAsia="en-AU"/>
        </w:rPr>
      </w:pPr>
      <w:hyperlink w:anchor="_Toc962236" w:history="1">
        <w:r w:rsidRPr="00873CDA">
          <w:rPr>
            <w:rStyle w:val="Hyperlink"/>
            <w:noProof/>
          </w:rPr>
          <w:t>Wednesday 7 November 2018</w:t>
        </w:r>
        <w:r w:rsidRPr="00873CDA">
          <w:rPr>
            <w:noProof/>
            <w:webHidden/>
          </w:rPr>
          <w:tab/>
        </w:r>
        <w:r w:rsidRPr="00873CDA">
          <w:rPr>
            <w:noProof/>
            <w:webHidden/>
          </w:rPr>
          <w:fldChar w:fldCharType="begin"/>
        </w:r>
        <w:r w:rsidRPr="00873CDA">
          <w:rPr>
            <w:noProof/>
            <w:webHidden/>
          </w:rPr>
          <w:instrText xml:space="preserve"> PAGEREF _Toc962236 \h </w:instrText>
        </w:r>
        <w:r w:rsidRPr="00873CDA">
          <w:rPr>
            <w:noProof/>
            <w:webHidden/>
          </w:rPr>
        </w:r>
        <w:r w:rsidRPr="00873CDA">
          <w:rPr>
            <w:noProof/>
            <w:webHidden/>
          </w:rPr>
          <w:fldChar w:fldCharType="separate"/>
        </w:r>
        <w:r w:rsidRPr="00873CDA">
          <w:rPr>
            <w:noProof/>
            <w:webHidden/>
          </w:rPr>
          <w:t>20</w:t>
        </w:r>
        <w:r w:rsidRPr="00873CDA">
          <w:rPr>
            <w:noProof/>
            <w:webHidden/>
          </w:rPr>
          <w:fldChar w:fldCharType="end"/>
        </w:r>
      </w:hyperlink>
    </w:p>
    <w:p w:rsidR="00873CDA" w:rsidRPr="00873CDA" w:rsidRDefault="00873CDA">
      <w:pPr>
        <w:pStyle w:val="TOC1"/>
        <w:rPr>
          <w:rFonts w:asciiTheme="minorHAnsi" w:eastAsiaTheme="minorEastAsia" w:hAnsiTheme="minorHAnsi" w:cstheme="minorBidi"/>
          <w:b w:val="0"/>
          <w:bCs w:val="0"/>
          <w:smallCaps w:val="0"/>
          <w:noProof/>
          <w:spacing w:val="0"/>
          <w:sz w:val="22"/>
          <w:szCs w:val="22"/>
          <w:lang w:eastAsia="en-AU"/>
        </w:rPr>
      </w:pPr>
      <w:hyperlink w:anchor="_Toc962237" w:history="1">
        <w:r w:rsidRPr="00873CDA">
          <w:rPr>
            <w:rStyle w:val="Hyperlink"/>
            <w:noProof/>
          </w:rPr>
          <w:t>Appendix B – Questions taken on Notice/ Questions on Notice</w:t>
        </w:r>
        <w:r w:rsidRPr="00873CDA">
          <w:rPr>
            <w:noProof/>
            <w:webHidden/>
          </w:rPr>
          <w:tab/>
        </w:r>
        <w:r w:rsidRPr="00873CDA">
          <w:rPr>
            <w:noProof/>
            <w:webHidden/>
          </w:rPr>
          <w:fldChar w:fldCharType="begin"/>
        </w:r>
        <w:r w:rsidRPr="00873CDA">
          <w:rPr>
            <w:noProof/>
            <w:webHidden/>
          </w:rPr>
          <w:instrText xml:space="preserve"> PAGEREF _Toc962237 \h </w:instrText>
        </w:r>
        <w:r w:rsidRPr="00873CDA">
          <w:rPr>
            <w:noProof/>
            <w:webHidden/>
          </w:rPr>
        </w:r>
        <w:r w:rsidRPr="00873CDA">
          <w:rPr>
            <w:noProof/>
            <w:webHidden/>
          </w:rPr>
          <w:fldChar w:fldCharType="separate"/>
        </w:r>
        <w:r w:rsidRPr="00873CDA">
          <w:rPr>
            <w:noProof/>
            <w:webHidden/>
          </w:rPr>
          <w:t>21</w:t>
        </w:r>
        <w:r w:rsidRPr="00873CDA">
          <w:rPr>
            <w:noProof/>
            <w:webHidden/>
          </w:rPr>
          <w:fldChar w:fldCharType="end"/>
        </w:r>
      </w:hyperlink>
    </w:p>
    <w:p w:rsidR="005973EA" w:rsidRPr="00873CDA" w:rsidRDefault="00171CA7">
      <w:r w:rsidRPr="00873CDA">
        <w:fldChar w:fldCharType="end"/>
      </w:r>
    </w:p>
    <w:p w:rsidR="006F1579" w:rsidRPr="00873CDA" w:rsidRDefault="006F1579" w:rsidP="005973EA">
      <w:pPr>
        <w:sectPr w:rsidR="006F1579" w:rsidRPr="00873CDA" w:rsidSect="00C87697">
          <w:type w:val="oddPage"/>
          <w:pgSz w:w="11907" w:h="16840" w:code="9"/>
          <w:pgMar w:top="1588" w:right="1418" w:bottom="1418" w:left="1418" w:header="720" w:footer="851" w:gutter="0"/>
          <w:pgNumType w:fmt="lowerRoman"/>
          <w:cols w:space="720"/>
          <w:docGrid w:linePitch="360"/>
        </w:sectPr>
      </w:pPr>
    </w:p>
    <w:p w:rsidR="004001FB" w:rsidRPr="00873CDA" w:rsidRDefault="004001FB" w:rsidP="007104A7">
      <w:pPr>
        <w:pStyle w:val="Heading2"/>
        <w:numPr>
          <w:ilvl w:val="0"/>
          <w:numId w:val="0"/>
        </w:numPr>
      </w:pPr>
      <w:bookmarkStart w:id="31" w:name="_Toc962215"/>
      <w:r w:rsidRPr="00873CDA">
        <w:lastRenderedPageBreak/>
        <w:t>Recommendations</w:t>
      </w:r>
      <w:bookmarkEnd w:id="31"/>
    </w:p>
    <w:p w:rsidR="004571A4" w:rsidRPr="00873CDA" w:rsidRDefault="004571A4">
      <w:pPr>
        <w:pStyle w:val="TOC1"/>
        <w:rPr>
          <w:rFonts w:asciiTheme="minorHAnsi" w:eastAsiaTheme="minorEastAsia" w:hAnsiTheme="minorHAnsi" w:cstheme="minorBidi"/>
          <w:b w:val="0"/>
          <w:bCs w:val="0"/>
          <w:smallCaps w:val="0"/>
          <w:noProof/>
          <w:spacing w:val="0"/>
          <w:sz w:val="22"/>
          <w:szCs w:val="22"/>
          <w:lang w:eastAsia="en-AU"/>
        </w:rPr>
      </w:pPr>
      <w:r w:rsidRPr="00873CDA">
        <w:fldChar w:fldCharType="begin"/>
      </w:r>
      <w:r w:rsidRPr="00873CDA">
        <w:instrText xml:space="preserve"> TOC \n \h \z \t "Recommendation Heading,1,Recommendation Text,2,Recommendation Bullet,3" </w:instrText>
      </w:r>
      <w:r w:rsidRPr="00873CDA">
        <w:fldChar w:fldCharType="separate"/>
      </w:r>
      <w:hyperlink w:anchor="_Toc515663" w:history="1">
        <w:r w:rsidRPr="00873CDA">
          <w:rPr>
            <w:rStyle w:val="Hyperlink"/>
            <w:noProof/>
          </w:rPr>
          <w:t>Recommendation 1</w:t>
        </w:r>
      </w:hyperlink>
    </w:p>
    <w:p w:rsidR="004571A4" w:rsidRPr="00873CDA" w:rsidRDefault="005B52D2">
      <w:pPr>
        <w:pStyle w:val="TOC2"/>
        <w:rPr>
          <w:rFonts w:asciiTheme="minorHAnsi" w:eastAsiaTheme="minorEastAsia" w:hAnsiTheme="minorHAnsi" w:cstheme="minorBidi"/>
          <w:b w:val="0"/>
          <w:noProof/>
          <w:sz w:val="22"/>
          <w:szCs w:val="22"/>
          <w:lang w:eastAsia="en-AU"/>
        </w:rPr>
      </w:pPr>
      <w:hyperlink w:anchor="_Toc515664" w:history="1">
        <w:r w:rsidR="004571A4" w:rsidRPr="00873CDA">
          <w:rPr>
            <w:rStyle w:val="Hyperlink"/>
            <w:noProof/>
          </w:rPr>
          <w:t>3.9</w:t>
        </w:r>
        <w:r w:rsidR="004571A4" w:rsidRPr="00873CDA">
          <w:rPr>
            <w:rFonts w:asciiTheme="minorHAnsi" w:eastAsiaTheme="minorEastAsia" w:hAnsiTheme="minorHAnsi" w:cstheme="minorBidi"/>
            <w:b w:val="0"/>
            <w:noProof/>
            <w:sz w:val="22"/>
            <w:szCs w:val="22"/>
            <w:lang w:eastAsia="en-AU"/>
          </w:rPr>
          <w:tab/>
        </w:r>
        <w:r w:rsidR="004571A4" w:rsidRPr="00873CDA">
          <w:rPr>
            <w:rStyle w:val="Hyperlink"/>
            <w:noProof/>
          </w:rPr>
          <w:t>The Committee recommends that the ACT Government continue to work with the NSW and Commonwealth governments on improvements to the Sydney to Canberra rail link and that the Chief Minister update the Assembly on progress by the last sitting date in August 2018.</w:t>
        </w:r>
      </w:hyperlink>
    </w:p>
    <w:p w:rsidR="004571A4" w:rsidRPr="00873CDA" w:rsidRDefault="005B52D2">
      <w:pPr>
        <w:pStyle w:val="TOC1"/>
        <w:rPr>
          <w:rFonts w:asciiTheme="minorHAnsi" w:eastAsiaTheme="minorEastAsia" w:hAnsiTheme="minorHAnsi" w:cstheme="minorBidi"/>
          <w:b w:val="0"/>
          <w:bCs w:val="0"/>
          <w:smallCaps w:val="0"/>
          <w:noProof/>
          <w:spacing w:val="0"/>
          <w:sz w:val="22"/>
          <w:szCs w:val="22"/>
          <w:lang w:eastAsia="en-AU"/>
        </w:rPr>
      </w:pPr>
      <w:hyperlink w:anchor="_Toc515665" w:history="1">
        <w:r w:rsidR="004571A4" w:rsidRPr="00873CDA">
          <w:rPr>
            <w:rStyle w:val="Hyperlink"/>
            <w:noProof/>
          </w:rPr>
          <w:t>Recommendation 2</w:t>
        </w:r>
      </w:hyperlink>
    </w:p>
    <w:p w:rsidR="004571A4" w:rsidRPr="00873CDA" w:rsidRDefault="005B52D2">
      <w:pPr>
        <w:pStyle w:val="TOC2"/>
        <w:tabs>
          <w:tab w:val="left" w:pos="1276"/>
        </w:tabs>
        <w:rPr>
          <w:rFonts w:asciiTheme="minorHAnsi" w:eastAsiaTheme="minorEastAsia" w:hAnsiTheme="minorHAnsi" w:cstheme="minorBidi"/>
          <w:b w:val="0"/>
          <w:noProof/>
          <w:sz w:val="22"/>
          <w:szCs w:val="22"/>
          <w:lang w:eastAsia="en-AU"/>
        </w:rPr>
      </w:pPr>
      <w:hyperlink w:anchor="_Toc515666" w:history="1">
        <w:r w:rsidR="004571A4" w:rsidRPr="00873CDA">
          <w:rPr>
            <w:rStyle w:val="Hyperlink"/>
            <w:noProof/>
          </w:rPr>
          <w:t>3.19</w:t>
        </w:r>
        <w:r w:rsidR="004571A4" w:rsidRPr="00873CDA">
          <w:rPr>
            <w:rFonts w:asciiTheme="minorHAnsi" w:eastAsiaTheme="minorEastAsia" w:hAnsiTheme="minorHAnsi" w:cstheme="minorBidi"/>
            <w:b w:val="0"/>
            <w:noProof/>
            <w:sz w:val="22"/>
            <w:szCs w:val="22"/>
            <w:lang w:eastAsia="en-AU"/>
          </w:rPr>
          <w:tab/>
        </w:r>
        <w:r w:rsidR="004571A4" w:rsidRPr="00873CDA">
          <w:rPr>
            <w:rStyle w:val="Hyperlink"/>
            <w:noProof/>
          </w:rPr>
          <w:t>The Committee recommends that annual expenditure on the Creative Services Panel be reported on in the Chief Minister, Treasury and Economic Development Directorate annual report.</w:t>
        </w:r>
      </w:hyperlink>
    </w:p>
    <w:p w:rsidR="004571A4" w:rsidRPr="00873CDA" w:rsidRDefault="005B52D2">
      <w:pPr>
        <w:pStyle w:val="TOC1"/>
        <w:rPr>
          <w:rFonts w:asciiTheme="minorHAnsi" w:eastAsiaTheme="minorEastAsia" w:hAnsiTheme="minorHAnsi" w:cstheme="minorBidi"/>
          <w:b w:val="0"/>
          <w:bCs w:val="0"/>
          <w:smallCaps w:val="0"/>
          <w:noProof/>
          <w:spacing w:val="0"/>
          <w:sz w:val="22"/>
          <w:szCs w:val="22"/>
          <w:lang w:eastAsia="en-AU"/>
        </w:rPr>
      </w:pPr>
      <w:hyperlink w:anchor="_Toc515667" w:history="1">
        <w:r w:rsidR="004571A4" w:rsidRPr="00873CDA">
          <w:rPr>
            <w:rStyle w:val="Hyperlink"/>
            <w:noProof/>
          </w:rPr>
          <w:t>Recommendation 3</w:t>
        </w:r>
      </w:hyperlink>
    </w:p>
    <w:p w:rsidR="004571A4" w:rsidRPr="00873CDA" w:rsidRDefault="005B52D2">
      <w:pPr>
        <w:pStyle w:val="TOC2"/>
        <w:tabs>
          <w:tab w:val="left" w:pos="1276"/>
        </w:tabs>
        <w:rPr>
          <w:rFonts w:asciiTheme="minorHAnsi" w:eastAsiaTheme="minorEastAsia" w:hAnsiTheme="minorHAnsi" w:cstheme="minorBidi"/>
          <w:b w:val="0"/>
          <w:noProof/>
          <w:sz w:val="22"/>
          <w:szCs w:val="22"/>
          <w:lang w:eastAsia="en-AU"/>
        </w:rPr>
      </w:pPr>
      <w:hyperlink w:anchor="_Toc515668" w:history="1">
        <w:r w:rsidR="004571A4" w:rsidRPr="00873CDA">
          <w:rPr>
            <w:rStyle w:val="Hyperlink"/>
            <w:noProof/>
          </w:rPr>
          <w:t>3.28</w:t>
        </w:r>
        <w:r w:rsidR="004571A4" w:rsidRPr="00873CDA">
          <w:rPr>
            <w:rFonts w:asciiTheme="minorHAnsi" w:eastAsiaTheme="minorEastAsia" w:hAnsiTheme="minorHAnsi" w:cstheme="minorBidi"/>
            <w:b w:val="0"/>
            <w:noProof/>
            <w:sz w:val="22"/>
            <w:szCs w:val="22"/>
            <w:lang w:eastAsia="en-AU"/>
          </w:rPr>
          <w:tab/>
        </w:r>
        <w:r w:rsidR="004571A4" w:rsidRPr="00873CDA">
          <w:rPr>
            <w:rStyle w:val="Hyperlink"/>
            <w:noProof/>
          </w:rPr>
          <w:t>The Committee recommends that Access Canberra seek to improve their communication around the expected timeframe for action on logged jobs and provide the public with updates on occasions when those timeframes will not be met.</w:t>
        </w:r>
      </w:hyperlink>
    </w:p>
    <w:p w:rsidR="004571A4" w:rsidRPr="00873CDA" w:rsidRDefault="005B52D2">
      <w:pPr>
        <w:pStyle w:val="TOC1"/>
        <w:rPr>
          <w:rFonts w:asciiTheme="minorHAnsi" w:eastAsiaTheme="minorEastAsia" w:hAnsiTheme="minorHAnsi" w:cstheme="minorBidi"/>
          <w:b w:val="0"/>
          <w:bCs w:val="0"/>
          <w:smallCaps w:val="0"/>
          <w:noProof/>
          <w:spacing w:val="0"/>
          <w:sz w:val="22"/>
          <w:szCs w:val="22"/>
          <w:lang w:eastAsia="en-AU"/>
        </w:rPr>
      </w:pPr>
      <w:hyperlink w:anchor="_Toc515669" w:history="1">
        <w:r w:rsidR="004571A4" w:rsidRPr="00873CDA">
          <w:rPr>
            <w:rStyle w:val="Hyperlink"/>
            <w:noProof/>
          </w:rPr>
          <w:t>Recommendation 4</w:t>
        </w:r>
      </w:hyperlink>
    </w:p>
    <w:p w:rsidR="004571A4" w:rsidRPr="00873CDA" w:rsidRDefault="005B52D2">
      <w:pPr>
        <w:pStyle w:val="TOC2"/>
        <w:tabs>
          <w:tab w:val="left" w:pos="1276"/>
        </w:tabs>
        <w:rPr>
          <w:rFonts w:asciiTheme="minorHAnsi" w:eastAsiaTheme="minorEastAsia" w:hAnsiTheme="minorHAnsi" w:cstheme="minorBidi"/>
          <w:b w:val="0"/>
          <w:noProof/>
          <w:sz w:val="22"/>
          <w:szCs w:val="22"/>
          <w:lang w:eastAsia="en-AU"/>
        </w:rPr>
      </w:pPr>
      <w:hyperlink w:anchor="_Toc515670" w:history="1">
        <w:r w:rsidR="004571A4" w:rsidRPr="00873CDA">
          <w:rPr>
            <w:rStyle w:val="Hyperlink"/>
            <w:noProof/>
          </w:rPr>
          <w:t>3.32</w:t>
        </w:r>
        <w:r w:rsidR="004571A4" w:rsidRPr="00873CDA">
          <w:rPr>
            <w:rFonts w:asciiTheme="minorHAnsi" w:eastAsiaTheme="minorEastAsia" w:hAnsiTheme="minorHAnsi" w:cstheme="minorBidi"/>
            <w:b w:val="0"/>
            <w:noProof/>
            <w:sz w:val="22"/>
            <w:szCs w:val="22"/>
            <w:lang w:eastAsia="en-AU"/>
          </w:rPr>
          <w:tab/>
        </w:r>
        <w:r w:rsidR="004571A4" w:rsidRPr="00873CDA">
          <w:rPr>
            <w:rStyle w:val="Hyperlink"/>
            <w:noProof/>
          </w:rPr>
          <w:t>The Committee recommends that Access Canberra consider introducing a cooldown period between class C builder’s licence applications, to increase that chance that failed applicants take time to improve their skills.</w:t>
        </w:r>
      </w:hyperlink>
    </w:p>
    <w:p w:rsidR="004571A4" w:rsidRPr="00873CDA" w:rsidRDefault="005B52D2">
      <w:pPr>
        <w:pStyle w:val="TOC1"/>
        <w:rPr>
          <w:rFonts w:asciiTheme="minorHAnsi" w:eastAsiaTheme="minorEastAsia" w:hAnsiTheme="minorHAnsi" w:cstheme="minorBidi"/>
          <w:b w:val="0"/>
          <w:bCs w:val="0"/>
          <w:smallCaps w:val="0"/>
          <w:noProof/>
          <w:spacing w:val="0"/>
          <w:sz w:val="22"/>
          <w:szCs w:val="22"/>
          <w:lang w:eastAsia="en-AU"/>
        </w:rPr>
      </w:pPr>
      <w:hyperlink w:anchor="_Toc515671" w:history="1">
        <w:r w:rsidR="004571A4" w:rsidRPr="00873CDA">
          <w:rPr>
            <w:rStyle w:val="Hyperlink"/>
            <w:noProof/>
          </w:rPr>
          <w:t>Recommendation 5</w:t>
        </w:r>
      </w:hyperlink>
    </w:p>
    <w:p w:rsidR="004571A4" w:rsidRPr="00873CDA" w:rsidRDefault="005B52D2">
      <w:pPr>
        <w:pStyle w:val="TOC2"/>
        <w:tabs>
          <w:tab w:val="left" w:pos="1276"/>
        </w:tabs>
        <w:rPr>
          <w:rFonts w:asciiTheme="minorHAnsi" w:eastAsiaTheme="minorEastAsia" w:hAnsiTheme="minorHAnsi" w:cstheme="minorBidi"/>
          <w:b w:val="0"/>
          <w:noProof/>
          <w:sz w:val="22"/>
          <w:szCs w:val="22"/>
          <w:lang w:eastAsia="en-AU"/>
        </w:rPr>
      </w:pPr>
      <w:hyperlink w:anchor="_Toc515672" w:history="1">
        <w:r w:rsidR="004571A4" w:rsidRPr="00873CDA">
          <w:rPr>
            <w:rStyle w:val="Hyperlink"/>
            <w:noProof/>
          </w:rPr>
          <w:t>3.37</w:t>
        </w:r>
        <w:r w:rsidR="004571A4" w:rsidRPr="00873CDA">
          <w:rPr>
            <w:rFonts w:asciiTheme="minorHAnsi" w:eastAsiaTheme="minorEastAsia" w:hAnsiTheme="minorHAnsi" w:cstheme="minorBidi"/>
            <w:b w:val="0"/>
            <w:noProof/>
            <w:sz w:val="22"/>
            <w:szCs w:val="22"/>
            <w:lang w:eastAsia="en-AU"/>
          </w:rPr>
          <w:tab/>
        </w:r>
        <w:r w:rsidR="004571A4" w:rsidRPr="00873CDA">
          <w:rPr>
            <w:rStyle w:val="Hyperlink"/>
            <w:noProof/>
          </w:rPr>
          <w:t>The Committee recommends that ACT Property Group compile and publish a list of all community facilities available for event hire, including details of how to contact the relevant group managing bookings.</w:t>
        </w:r>
      </w:hyperlink>
    </w:p>
    <w:p w:rsidR="00930625" w:rsidRPr="00873CDA" w:rsidRDefault="004571A4" w:rsidP="004571A4">
      <w:pPr>
        <w:sectPr w:rsidR="00930625" w:rsidRPr="00873CDA" w:rsidSect="00AC0996">
          <w:footerReference w:type="default" r:id="rId21"/>
          <w:type w:val="oddPage"/>
          <w:pgSz w:w="11907" w:h="16840" w:code="9"/>
          <w:pgMar w:top="1588" w:right="1418" w:bottom="1418" w:left="1418" w:header="720" w:footer="851" w:gutter="0"/>
          <w:pgNumType w:fmt="lowerRoman"/>
          <w:cols w:space="720"/>
          <w:docGrid w:linePitch="360"/>
        </w:sectPr>
      </w:pPr>
      <w:r w:rsidRPr="00873CDA">
        <w:fldChar w:fldCharType="end"/>
      </w:r>
    </w:p>
    <w:p w:rsidR="00111850" w:rsidRPr="00873CDA" w:rsidRDefault="0016435D" w:rsidP="00687244">
      <w:pPr>
        <w:pStyle w:val="Heading2"/>
      </w:pPr>
      <w:bookmarkStart w:id="32" w:name="_Toc962216"/>
      <w:r w:rsidRPr="00873CDA">
        <w:lastRenderedPageBreak/>
        <w:t>Introduction</w:t>
      </w:r>
      <w:bookmarkEnd w:id="32"/>
    </w:p>
    <w:p w:rsidR="0016435D" w:rsidRPr="00873CDA" w:rsidRDefault="0016435D" w:rsidP="0016435D">
      <w:pPr>
        <w:pStyle w:val="BodyText"/>
      </w:pPr>
      <w:r w:rsidRPr="00873CDA">
        <w:t>On 25 October 2018, the Assembly referred the annual and financial reports for the calendar year 2017 and the financial year 2017-2018 to Assembly committees for report by the last sitting day in March 2019, in accordance with a schedule. The reports were presented to the Assembly pursuant to the Annual Reports (Government Agencies) Act 2004.</w:t>
      </w:r>
    </w:p>
    <w:p w:rsidR="0016435D" w:rsidRPr="00873CDA" w:rsidRDefault="0016435D" w:rsidP="0016435D">
      <w:pPr>
        <w:pStyle w:val="BodyText"/>
      </w:pPr>
      <w:r w:rsidRPr="00873CDA">
        <w:t>The following sections of the Chief Minister, Treasury and Economic Development Directorate annual report were referred to the Standing Committee on Economic Development and Tourism (the Committee):</w:t>
      </w:r>
    </w:p>
    <w:p w:rsidR="006F1579" w:rsidRPr="00873CDA" w:rsidRDefault="0016435D" w:rsidP="0016435D">
      <w:pPr>
        <w:pStyle w:val="ListBullet"/>
      </w:pPr>
      <w:r w:rsidRPr="00873CDA">
        <w:t>Infrastructure finance;</w:t>
      </w:r>
    </w:p>
    <w:p w:rsidR="0016435D" w:rsidRPr="00873CDA" w:rsidRDefault="0016435D" w:rsidP="0016435D">
      <w:pPr>
        <w:pStyle w:val="ListBullet"/>
      </w:pPr>
      <w:r w:rsidRPr="00873CDA">
        <w:t>Capital works;</w:t>
      </w:r>
    </w:p>
    <w:p w:rsidR="0016435D" w:rsidRPr="00873CDA" w:rsidRDefault="0016435D" w:rsidP="0016435D">
      <w:pPr>
        <w:pStyle w:val="ListBullet"/>
      </w:pPr>
      <w:r w:rsidRPr="00873CDA">
        <w:t>Venues;</w:t>
      </w:r>
    </w:p>
    <w:p w:rsidR="0016435D" w:rsidRPr="00873CDA" w:rsidRDefault="0016435D" w:rsidP="0016435D">
      <w:pPr>
        <w:pStyle w:val="ListBullet"/>
      </w:pPr>
      <w:r w:rsidRPr="00873CDA">
        <w:t>Government accommodation and property services;</w:t>
      </w:r>
    </w:p>
    <w:p w:rsidR="0016435D" w:rsidRPr="00873CDA" w:rsidRDefault="0016435D" w:rsidP="0016435D">
      <w:pPr>
        <w:pStyle w:val="ListBullet"/>
      </w:pPr>
      <w:r w:rsidRPr="00873CDA">
        <w:t>Director of Territory Records;</w:t>
      </w:r>
    </w:p>
    <w:p w:rsidR="0016435D" w:rsidRPr="00873CDA" w:rsidRDefault="0016435D" w:rsidP="0016435D">
      <w:pPr>
        <w:pStyle w:val="ListBullet"/>
      </w:pPr>
      <w:r w:rsidRPr="00873CDA">
        <w:t>ACT Executive;</w:t>
      </w:r>
    </w:p>
    <w:p w:rsidR="0016435D" w:rsidRPr="00873CDA" w:rsidRDefault="0016435D" w:rsidP="0016435D">
      <w:pPr>
        <w:pStyle w:val="ListBullet"/>
      </w:pPr>
      <w:r w:rsidRPr="00873CDA">
        <w:t>Digital strategy;</w:t>
      </w:r>
    </w:p>
    <w:p w:rsidR="0016435D" w:rsidRPr="00873CDA" w:rsidRDefault="0016435D" w:rsidP="0016435D">
      <w:pPr>
        <w:pStyle w:val="ListBullet"/>
      </w:pPr>
      <w:r w:rsidRPr="00873CDA">
        <w:t>Government policy reform;</w:t>
      </w:r>
    </w:p>
    <w:p w:rsidR="0016435D" w:rsidRPr="00873CDA" w:rsidRDefault="0016435D" w:rsidP="0016435D">
      <w:pPr>
        <w:pStyle w:val="ListBullet"/>
      </w:pPr>
      <w:r w:rsidRPr="00873CDA">
        <w:t>Coordinated communication and community engagement;</w:t>
      </w:r>
    </w:p>
    <w:p w:rsidR="0016435D" w:rsidRPr="00873CDA" w:rsidRDefault="0016435D" w:rsidP="0016435D">
      <w:pPr>
        <w:pStyle w:val="ListBullet"/>
      </w:pPr>
      <w:r w:rsidRPr="00873CDA">
        <w:t>Innovation, trade and investment;</w:t>
      </w:r>
    </w:p>
    <w:p w:rsidR="0016435D" w:rsidRPr="00873CDA" w:rsidRDefault="0016435D" w:rsidP="0016435D">
      <w:pPr>
        <w:pStyle w:val="ListBullet"/>
      </w:pPr>
      <w:r w:rsidRPr="00873CDA">
        <w:t>VisitCanberra;</w:t>
      </w:r>
    </w:p>
    <w:p w:rsidR="0016435D" w:rsidRPr="00873CDA" w:rsidRDefault="0016435D" w:rsidP="0016435D">
      <w:pPr>
        <w:pStyle w:val="ListBullet"/>
      </w:pPr>
      <w:r w:rsidRPr="00873CDA">
        <w:t>Events;</w:t>
      </w:r>
    </w:p>
    <w:p w:rsidR="0016435D" w:rsidRPr="00873CDA" w:rsidRDefault="0016435D" w:rsidP="0016435D">
      <w:pPr>
        <w:pStyle w:val="ListBullet"/>
      </w:pPr>
      <w:r w:rsidRPr="00873CDA">
        <w:t>ACT Government Procurement Board;</w:t>
      </w:r>
    </w:p>
    <w:p w:rsidR="0016435D" w:rsidRPr="00873CDA" w:rsidRDefault="001C734F" w:rsidP="0016435D">
      <w:pPr>
        <w:pStyle w:val="ListBullet"/>
      </w:pPr>
      <w:r w:rsidRPr="00873CDA">
        <w:t>Procurement ACT;</w:t>
      </w:r>
    </w:p>
    <w:p w:rsidR="001C734F" w:rsidRPr="00873CDA" w:rsidRDefault="001C734F" w:rsidP="0016435D">
      <w:pPr>
        <w:pStyle w:val="ListBullet"/>
      </w:pPr>
      <w:r w:rsidRPr="00873CDA">
        <w:t>ACT Construction Occupations;</w:t>
      </w:r>
    </w:p>
    <w:p w:rsidR="001C734F" w:rsidRPr="00873CDA" w:rsidRDefault="001C734F" w:rsidP="0016435D">
      <w:pPr>
        <w:pStyle w:val="ListBullet"/>
      </w:pPr>
      <w:r w:rsidRPr="00873CDA">
        <w:t>Access Canberra;</w:t>
      </w:r>
    </w:p>
    <w:p w:rsidR="001C734F" w:rsidRPr="00873CDA" w:rsidRDefault="001C734F" w:rsidP="0016435D">
      <w:pPr>
        <w:pStyle w:val="ListBullet"/>
      </w:pPr>
      <w:r w:rsidRPr="00873CDA">
        <w:t>Community facilities – including property services and charging policy; and</w:t>
      </w:r>
    </w:p>
    <w:p w:rsidR="001C734F" w:rsidRPr="00873CDA" w:rsidRDefault="001C734F" w:rsidP="0016435D">
      <w:pPr>
        <w:pStyle w:val="ListBullet"/>
      </w:pPr>
      <w:r w:rsidRPr="00873CDA">
        <w:t>Arts engagement.</w:t>
      </w:r>
    </w:p>
    <w:p w:rsidR="00B0702E" w:rsidRPr="00873CDA" w:rsidRDefault="001C734F" w:rsidP="00C715C2">
      <w:pPr>
        <w:pStyle w:val="BodyText"/>
      </w:pPr>
      <w:r w:rsidRPr="00873CDA">
        <w:t>The annual report of the Cultural Facilities Corporation was also referred to the Committee.</w:t>
      </w:r>
    </w:p>
    <w:p w:rsidR="001C734F" w:rsidRPr="00873CDA" w:rsidRDefault="001C734F" w:rsidP="001C734F">
      <w:pPr>
        <w:pStyle w:val="Heading3"/>
      </w:pPr>
      <w:bookmarkStart w:id="33" w:name="_Toc962217"/>
      <w:r w:rsidRPr="00873CDA">
        <w:t>Conduct of the Inquiry</w:t>
      </w:r>
      <w:bookmarkEnd w:id="33"/>
    </w:p>
    <w:p w:rsidR="001C734F" w:rsidRPr="00873CDA" w:rsidRDefault="001C734F" w:rsidP="001C734F">
      <w:pPr>
        <w:pStyle w:val="BodyText"/>
      </w:pPr>
      <w:r w:rsidRPr="00873CDA">
        <w:t xml:space="preserve">The Committee held two public hearings on 5 and 7 November 2018. At these hearings, the Committee heard evidence from 34 witnesses. Full details of witnesses who appeared are available in Appendix </w:t>
      </w:r>
      <w:r w:rsidR="00F43DE1" w:rsidRPr="00873CDA">
        <w:t>A</w:t>
      </w:r>
      <w:r w:rsidRPr="00873CDA">
        <w:t xml:space="preserve"> of this report. Transcripts from the hearings are available at </w:t>
      </w:r>
      <w:hyperlink r:id="rId22" w:anchor="economic" w:history="1">
        <w:r w:rsidRPr="00873CDA">
          <w:rPr>
            <w:rStyle w:val="Hyperlink"/>
          </w:rPr>
          <w:t>http://www.hansard.act.gov.au/hansard/2017/comms/default.htm#economic</w:t>
        </w:r>
      </w:hyperlink>
      <w:r w:rsidRPr="00873CDA">
        <w:t xml:space="preserve">. </w:t>
      </w:r>
    </w:p>
    <w:p w:rsidR="001C734F" w:rsidRPr="00873CDA" w:rsidRDefault="001C734F" w:rsidP="001C734F">
      <w:pPr>
        <w:pStyle w:val="BodyText"/>
      </w:pPr>
      <w:r w:rsidRPr="00873CDA">
        <w:lastRenderedPageBreak/>
        <w:t xml:space="preserve">A total of 26 questions were taken on notice during the public hearings and 48 questions were placed on notice after the hearings. Please refer to Appendix </w:t>
      </w:r>
      <w:r w:rsidR="00F43DE1" w:rsidRPr="00873CDA">
        <w:t>B</w:t>
      </w:r>
      <w:r w:rsidRPr="00873CDA">
        <w:t xml:space="preserve"> for a list of the questions. Answers to the questions are provided on the inquiry webpage: </w:t>
      </w:r>
      <w:hyperlink r:id="rId23" w:history="1">
        <w:r w:rsidRPr="00873CDA">
          <w:rPr>
            <w:rStyle w:val="Hyperlink"/>
          </w:rPr>
          <w:t>https://www.parliament.act.gov.au/in-committees/standing-committees-current-assembly/standing-committee-on-economic-development-and-tourism/inquiry-into-annual-and-financial-reports-2017-2018/answers-to-qons-and-qtons</w:t>
        </w:r>
      </w:hyperlink>
      <w:r w:rsidRPr="00873CDA">
        <w:t xml:space="preserve">. </w:t>
      </w:r>
    </w:p>
    <w:p w:rsidR="001C734F" w:rsidRPr="00873CDA" w:rsidRDefault="001C734F" w:rsidP="001C734F">
      <w:pPr>
        <w:pStyle w:val="BodyText"/>
      </w:pPr>
      <w:r w:rsidRPr="00873CDA">
        <w:t>Most responses to questions taken on notice at public hearings were received promptly. The Committee would like to thank Ministers and directorate staff for their prompt return of responses. References to questions taken on notice are included throughout this report in footnotes.</w:t>
      </w:r>
    </w:p>
    <w:p w:rsidR="003B6CB6" w:rsidRPr="00873CDA" w:rsidRDefault="003B6CB6" w:rsidP="003B6CB6">
      <w:pPr>
        <w:pStyle w:val="Heading3"/>
      </w:pPr>
      <w:bookmarkStart w:id="34" w:name="_Toc962218"/>
      <w:r w:rsidRPr="00873CDA">
        <w:t>Structure of the Report</w:t>
      </w:r>
      <w:bookmarkEnd w:id="34"/>
    </w:p>
    <w:p w:rsidR="003B6CB6" w:rsidRPr="00873CDA" w:rsidRDefault="003B6CB6" w:rsidP="003B6CB6">
      <w:pPr>
        <w:pStyle w:val="BodyText"/>
      </w:pPr>
      <w:r w:rsidRPr="00873CDA">
        <w:t>This report presents a summary of the Committee's inquiry into the annual reports material listed in paragraph 1.2. In developing this report, the Committee has primarily focused on the issues that were raised at public hearings.</w:t>
      </w:r>
    </w:p>
    <w:p w:rsidR="003B6CB6" w:rsidRPr="00873CDA" w:rsidRDefault="003B6CB6" w:rsidP="003B6CB6">
      <w:pPr>
        <w:pStyle w:val="BodyText"/>
      </w:pPr>
      <w:r w:rsidRPr="00873CDA">
        <w:t>The structure of this report is as follows:</w:t>
      </w:r>
    </w:p>
    <w:p w:rsidR="003B6CB6" w:rsidRPr="00873CDA" w:rsidRDefault="003B6CB6" w:rsidP="003B6CB6">
      <w:pPr>
        <w:pStyle w:val="ListBullet"/>
      </w:pPr>
      <w:r w:rsidRPr="00873CDA">
        <w:t>Chapter 1: Introduction</w:t>
      </w:r>
    </w:p>
    <w:p w:rsidR="003B6CB6" w:rsidRPr="00873CDA" w:rsidRDefault="003B6CB6" w:rsidP="003B6CB6">
      <w:pPr>
        <w:pStyle w:val="ListBullet"/>
      </w:pPr>
      <w:r w:rsidRPr="00873CDA">
        <w:t>Chapter 2: Annual reporting requirements</w:t>
      </w:r>
    </w:p>
    <w:p w:rsidR="003B6CB6" w:rsidRPr="00873CDA" w:rsidRDefault="003B6CB6" w:rsidP="003B6CB6">
      <w:pPr>
        <w:pStyle w:val="ListBullet"/>
      </w:pPr>
      <w:r w:rsidRPr="00873CDA">
        <w:t>Chapter 3: Chief Minister, Treasury and Economic Development Directorate</w:t>
      </w:r>
    </w:p>
    <w:p w:rsidR="003B6CB6" w:rsidRPr="00873CDA" w:rsidRDefault="003B6CB6" w:rsidP="003B6CB6">
      <w:pPr>
        <w:pStyle w:val="ListBullet"/>
      </w:pPr>
      <w:r w:rsidRPr="00873CDA">
        <w:t>Chapter 4: Conclusion</w:t>
      </w:r>
    </w:p>
    <w:p w:rsidR="003B6CB6" w:rsidRPr="00873CDA" w:rsidRDefault="003B6CB6" w:rsidP="003B6CB6">
      <w:pPr>
        <w:pStyle w:val="Heading3"/>
      </w:pPr>
      <w:bookmarkStart w:id="35" w:name="_Toc962219"/>
      <w:r w:rsidRPr="00873CDA">
        <w:t>Acknowledgements</w:t>
      </w:r>
      <w:bookmarkEnd w:id="35"/>
    </w:p>
    <w:p w:rsidR="003B6CB6" w:rsidRPr="00873CDA" w:rsidRDefault="003B6CB6" w:rsidP="003B6CB6">
      <w:pPr>
        <w:pStyle w:val="BodyText"/>
      </w:pPr>
      <w:r w:rsidRPr="00873CDA">
        <w:t>The Committee thanks relevant ACT Government Ministers and accompanying directorate officials for providing their time and expertise as witnesses at its annual reports hearings.</w:t>
      </w:r>
    </w:p>
    <w:p w:rsidR="003B6CB6" w:rsidRPr="00873CDA" w:rsidRDefault="003B6CB6" w:rsidP="003B6CB6">
      <w:pPr>
        <w:pStyle w:val="BodyText"/>
        <w:numPr>
          <w:ilvl w:val="0"/>
          <w:numId w:val="0"/>
        </w:numPr>
        <w:ind w:left="567"/>
      </w:pPr>
    </w:p>
    <w:p w:rsidR="003B6CB6" w:rsidRPr="00873CDA" w:rsidRDefault="003B6CB6" w:rsidP="00CD7F25">
      <w:pPr>
        <w:pStyle w:val="Heading2"/>
      </w:pPr>
      <w:bookmarkStart w:id="36" w:name="_Toc962220"/>
      <w:r w:rsidRPr="00873CDA">
        <w:lastRenderedPageBreak/>
        <w:t>Annual reporting requirements</w:t>
      </w:r>
      <w:bookmarkEnd w:id="36"/>
    </w:p>
    <w:p w:rsidR="003B6CB6" w:rsidRPr="00873CDA" w:rsidRDefault="003B6CB6" w:rsidP="003B6CB6">
      <w:pPr>
        <w:pStyle w:val="BodyText"/>
      </w:pPr>
      <w:r w:rsidRPr="00873CDA">
        <w:t xml:space="preserve">The </w:t>
      </w:r>
      <w:r w:rsidRPr="00873CDA">
        <w:rPr>
          <w:i/>
        </w:rPr>
        <w:t>Annual Reports (Government Agencies) Act 2004</w:t>
      </w:r>
      <w:r w:rsidRPr="00873CDA">
        <w:t xml:space="preserve"> sets the framework for annual reporting across the ACT public sector. In accordance with the </w:t>
      </w:r>
      <w:r w:rsidRPr="00873CDA">
        <w:rPr>
          <w:i/>
        </w:rPr>
        <w:t>Annual Reports (Government Agencies) Act 2004</w:t>
      </w:r>
      <w:r w:rsidRPr="00873CDA">
        <w:t>, the Annual Reports Directions (the Directions) are issued annually to outline agency reporting requirements.</w:t>
      </w:r>
    </w:p>
    <w:p w:rsidR="003B6CB6" w:rsidRPr="00873CDA" w:rsidRDefault="003B6CB6" w:rsidP="003B6CB6">
      <w:pPr>
        <w:pStyle w:val="BodyText"/>
      </w:pPr>
      <w:r w:rsidRPr="00873CDA">
        <w:t xml:space="preserve">As specified in the Directions, annual reports are 'reports from agency heads to their responsible Minister, the Legislative Assembly and the public'. Annual reports enable agencies to provide an account of their performance, through Ministers, to the Legislative Assembly and the wider community.  </w:t>
      </w:r>
    </w:p>
    <w:p w:rsidR="003B6CB6" w:rsidRPr="00873CDA" w:rsidRDefault="003B6CB6" w:rsidP="003B6CB6">
      <w:pPr>
        <w:pStyle w:val="BodyText"/>
      </w:pPr>
      <w:r w:rsidRPr="00873CDA">
        <w:t>The Directions state that an effective annual report will:</w:t>
      </w:r>
    </w:p>
    <w:p w:rsidR="003B6CB6" w:rsidRPr="00873CDA" w:rsidRDefault="003B6CB6" w:rsidP="003B6CB6">
      <w:pPr>
        <w:pStyle w:val="ListBullet"/>
      </w:pPr>
      <w:r w:rsidRPr="00873CDA">
        <w:t>provide clear information about the directorate/public sector body's purpose, priorities, outputs and achievements;</w:t>
      </w:r>
    </w:p>
    <w:p w:rsidR="003B6CB6" w:rsidRPr="00873CDA" w:rsidRDefault="00021269" w:rsidP="003B6CB6">
      <w:pPr>
        <w:pStyle w:val="ListBullet"/>
      </w:pPr>
      <w:r w:rsidRPr="00873CDA">
        <w:t>focus on results and outcomes,</w:t>
      </w:r>
      <w:r w:rsidR="003B6CB6" w:rsidRPr="00873CDA">
        <w:t xml:space="preserve"> communicate the success or shortfalls of the directorate/public sector body's activities in pursuing government objectives in the reporting year, while accounting for the resources used in the process and explaining changes in performance over time;</w:t>
      </w:r>
    </w:p>
    <w:p w:rsidR="003B6CB6" w:rsidRPr="00873CDA" w:rsidRDefault="003B6CB6" w:rsidP="003B6CB6">
      <w:pPr>
        <w:pStyle w:val="ListBullet"/>
      </w:pPr>
      <w:r w:rsidRPr="00873CDA">
        <w:t>discus</w:t>
      </w:r>
      <w:r w:rsidR="00021269" w:rsidRPr="00873CDA">
        <w:t>s results against expectations,</w:t>
      </w:r>
      <w:r w:rsidRPr="00873CDA">
        <w:t xml:space="preserve"> provide sufficient information and analysis for the Legislative Assembly and community to make a fully informed judgment on a directorate/public sector body's performance;</w:t>
      </w:r>
    </w:p>
    <w:p w:rsidR="003B6CB6" w:rsidRPr="00873CDA" w:rsidRDefault="003B6CB6" w:rsidP="003B6CB6">
      <w:pPr>
        <w:pStyle w:val="ListBullet"/>
      </w:pPr>
      <w:r w:rsidRPr="00873CDA">
        <w:t>clearly identify any changes to structures or functions of the directorate/public sector body in the reporting period;</w:t>
      </w:r>
    </w:p>
    <w:p w:rsidR="003B6CB6" w:rsidRPr="00873CDA" w:rsidRDefault="003B6CB6" w:rsidP="003B6CB6">
      <w:pPr>
        <w:pStyle w:val="ListBullet"/>
      </w:pPr>
      <w:r w:rsidRPr="00873CDA">
        <w:t>report on directorate/public sector body financial and operational performance and clearly link this with budgeted priorities and financial projections as set out in annual Budget Estimate Papers and the entity Statement of Intent and Corporate Plan;</w:t>
      </w:r>
    </w:p>
    <w:p w:rsidR="003B6CB6" w:rsidRPr="00873CDA" w:rsidRDefault="003B6CB6" w:rsidP="003B6CB6">
      <w:pPr>
        <w:pStyle w:val="ListBullet"/>
      </w:pPr>
      <w:r w:rsidRPr="00873CDA">
        <w:t>provide performance information that is complete and informative, linking costs and results to provide evidence of value for money;</w:t>
      </w:r>
    </w:p>
    <w:p w:rsidR="003B6CB6" w:rsidRPr="00873CDA" w:rsidRDefault="003B6CB6" w:rsidP="003B6CB6">
      <w:pPr>
        <w:pStyle w:val="ListBullet"/>
      </w:pPr>
      <w:r w:rsidRPr="00873CDA">
        <w:t>discuss risks and environmental factors affecting the directorate/public sector body's ability to achieve objectives including any strategies employed to manage these factors, and forecast future needs and expectations;</w:t>
      </w:r>
    </w:p>
    <w:p w:rsidR="003B6CB6" w:rsidRPr="00873CDA" w:rsidRDefault="003B6CB6" w:rsidP="003B6CB6">
      <w:pPr>
        <w:pStyle w:val="ListBullet"/>
      </w:pPr>
      <w:r w:rsidRPr="00873CDA">
        <w:t>recognise the diverse needs and backgrounds of stakeholder groups and present information in a manner that is useful to the maximum number of users while maintaining a suitable level of detail; and</w:t>
      </w:r>
    </w:p>
    <w:p w:rsidR="003B6CB6" w:rsidRPr="00873CDA" w:rsidRDefault="003B6CB6" w:rsidP="003B6CB6">
      <w:pPr>
        <w:pStyle w:val="ListBullet"/>
      </w:pPr>
      <w:r w:rsidRPr="00873CDA">
        <w:t xml:space="preserve">comply with legislative reporting requirements including the Annual Reports Act and the Directions.  </w:t>
      </w:r>
    </w:p>
    <w:p w:rsidR="003B6CB6" w:rsidRPr="00873CDA" w:rsidRDefault="003B6CB6" w:rsidP="003B6CB6">
      <w:pPr>
        <w:pStyle w:val="BodyText"/>
      </w:pPr>
      <w:r w:rsidRPr="00873CDA">
        <w:lastRenderedPageBreak/>
        <w:t>Annual reports are public documents and available for use by stakeholders, including educational and research institutions, and the broader community. They provide a valuable tool for public reporting, accountability and transparency.</w:t>
      </w:r>
    </w:p>
    <w:p w:rsidR="003B6CB6" w:rsidRPr="00873CDA" w:rsidRDefault="003B6CB6" w:rsidP="003B6CB6">
      <w:pPr>
        <w:pStyle w:val="Heading4"/>
      </w:pPr>
      <w:r w:rsidRPr="00873CDA">
        <w:t>TIMING AND PRESENTATION OF REPORTS</w:t>
      </w:r>
    </w:p>
    <w:p w:rsidR="003B6CB6" w:rsidRPr="00873CDA" w:rsidRDefault="003B6CB6" w:rsidP="003B6CB6">
      <w:pPr>
        <w:pStyle w:val="BodyText"/>
      </w:pPr>
      <w:r w:rsidRPr="00873CDA">
        <w:t xml:space="preserve">The </w:t>
      </w:r>
      <w:r w:rsidR="002F1BA1" w:rsidRPr="00873CDA">
        <w:t xml:space="preserve">Annual Report </w:t>
      </w:r>
      <w:r w:rsidRPr="00873CDA">
        <w:t>Directions for 20</w:t>
      </w:r>
      <w:r w:rsidR="002F1BA1" w:rsidRPr="00873CDA">
        <w:t>17-</w:t>
      </w:r>
      <w:r w:rsidRPr="00873CDA">
        <w:t>1</w:t>
      </w:r>
      <w:r w:rsidR="008B4B6D" w:rsidRPr="00873CDA">
        <w:t>8</w:t>
      </w:r>
      <w:r w:rsidR="002F1BA1" w:rsidRPr="00873CDA">
        <w:t xml:space="preserve"> (dated 30 May 2017 and tabled in the Assembly on 8 June 2018)</w:t>
      </w:r>
      <w:r w:rsidRPr="00873CDA">
        <w:t xml:space="preserve"> required annual reports to be presented to the responsible Minister before the close of business on Friday </w:t>
      </w:r>
      <w:r w:rsidR="002F1BA1" w:rsidRPr="00873CDA">
        <w:t>5</w:t>
      </w:r>
      <w:r w:rsidRPr="00873CDA">
        <w:t xml:space="preserve"> October 201</w:t>
      </w:r>
      <w:r w:rsidR="002F1BA1" w:rsidRPr="00873CDA">
        <w:t>8</w:t>
      </w:r>
      <w:r w:rsidRPr="00873CDA">
        <w:t>. Unless an extension of time was granted under section 14 of the Act, annual reports were required to be given to the Speaker's Office by th</w:t>
      </w:r>
      <w:r w:rsidR="002F1BA1" w:rsidRPr="00873CDA">
        <w:t>e close of business on Friday 12</w:t>
      </w:r>
      <w:r w:rsidRPr="00873CDA">
        <w:t xml:space="preserve"> October 201</w:t>
      </w:r>
      <w:r w:rsidR="002F1BA1" w:rsidRPr="00873CDA">
        <w:t>8</w:t>
      </w:r>
      <w:r w:rsidRPr="00873CDA">
        <w:t>.</w:t>
      </w:r>
    </w:p>
    <w:p w:rsidR="003B6CB6" w:rsidRPr="00873CDA" w:rsidRDefault="003B6CB6" w:rsidP="003B6CB6">
      <w:pPr>
        <w:pStyle w:val="BodyText"/>
      </w:pPr>
      <w:r w:rsidRPr="00873CDA">
        <w:t>All reports examined by the Committee were presented to the Speaker by the required date</w:t>
      </w:r>
      <w:r w:rsidR="002F1BA1" w:rsidRPr="00873CDA">
        <w:t>.</w:t>
      </w:r>
    </w:p>
    <w:p w:rsidR="006F1579" w:rsidRPr="00873CDA" w:rsidRDefault="00FA5F62" w:rsidP="00CD7F25">
      <w:pPr>
        <w:pStyle w:val="Heading2"/>
      </w:pPr>
      <w:bookmarkStart w:id="37" w:name="_Toc962221"/>
      <w:r w:rsidRPr="00873CDA">
        <w:lastRenderedPageBreak/>
        <w:t>Chief Minister, Treasury and Economic Development Directorate</w:t>
      </w:r>
      <w:bookmarkEnd w:id="37"/>
    </w:p>
    <w:p w:rsidR="007A166C" w:rsidRPr="00873CDA" w:rsidRDefault="007A166C" w:rsidP="007A166C">
      <w:pPr>
        <w:pStyle w:val="BodyText"/>
      </w:pPr>
      <w:r w:rsidRPr="00873CDA">
        <w:t>From 1 July 2017, under new Administrative Arrangements, the Directorate moved to two streams:</w:t>
      </w:r>
    </w:p>
    <w:p w:rsidR="007A166C" w:rsidRPr="00873CDA" w:rsidRDefault="007A166C" w:rsidP="007A166C">
      <w:pPr>
        <w:pStyle w:val="Quote"/>
      </w:pPr>
      <w:r w:rsidRPr="00873CDA">
        <w:t>the Chief Minister stream, headed by the Director-General CMTEDD, comprising the following functions:</w:t>
      </w:r>
    </w:p>
    <w:p w:rsidR="007A166C" w:rsidRPr="00873CDA" w:rsidRDefault="007A166C" w:rsidP="007A166C">
      <w:pPr>
        <w:pStyle w:val="QuoteBullet"/>
      </w:pPr>
      <w:r w:rsidRPr="00873CDA">
        <w:t>Office of the Head of Service;</w:t>
      </w:r>
    </w:p>
    <w:p w:rsidR="007A166C" w:rsidRPr="00873CDA" w:rsidRDefault="007A166C" w:rsidP="007A166C">
      <w:pPr>
        <w:pStyle w:val="QuoteBullet"/>
      </w:pPr>
      <w:r w:rsidRPr="00873CDA">
        <w:t>Policy and Cabinet;</w:t>
      </w:r>
    </w:p>
    <w:p w:rsidR="007A166C" w:rsidRPr="00873CDA" w:rsidRDefault="007A166C" w:rsidP="007A166C">
      <w:pPr>
        <w:pStyle w:val="QuoteBullet"/>
      </w:pPr>
      <w:r w:rsidRPr="00873CDA">
        <w:t>Strategic Finance;</w:t>
      </w:r>
    </w:p>
    <w:p w:rsidR="007A166C" w:rsidRPr="00873CDA" w:rsidRDefault="007A166C" w:rsidP="007A166C">
      <w:pPr>
        <w:pStyle w:val="QuoteBullet"/>
      </w:pPr>
      <w:r w:rsidRPr="00873CDA">
        <w:t>Communications and Engagement;</w:t>
      </w:r>
    </w:p>
    <w:p w:rsidR="007A166C" w:rsidRPr="00873CDA" w:rsidRDefault="007A166C" w:rsidP="007A166C">
      <w:pPr>
        <w:pStyle w:val="QuoteBullet"/>
      </w:pPr>
      <w:r w:rsidRPr="00873CDA">
        <w:t>Enterprise Canberra;</w:t>
      </w:r>
    </w:p>
    <w:p w:rsidR="007A166C" w:rsidRPr="00873CDA" w:rsidRDefault="007A166C" w:rsidP="007A166C">
      <w:pPr>
        <w:pStyle w:val="QuoteBullet"/>
      </w:pPr>
      <w:r w:rsidRPr="00873CDA">
        <w:t>Workforce Capability and Governance;</w:t>
      </w:r>
    </w:p>
    <w:p w:rsidR="007A166C" w:rsidRPr="00873CDA" w:rsidRDefault="007A166C" w:rsidP="007A166C">
      <w:pPr>
        <w:pStyle w:val="QuoteBullet"/>
      </w:pPr>
      <w:r w:rsidRPr="00873CDA">
        <w:t>Access Canberra;</w:t>
      </w:r>
    </w:p>
    <w:p w:rsidR="007A166C" w:rsidRPr="00873CDA" w:rsidRDefault="007A166C" w:rsidP="007A166C">
      <w:pPr>
        <w:pStyle w:val="QuoteBullet"/>
      </w:pPr>
      <w:r w:rsidRPr="00873CDA">
        <w:t>Corporate; and</w:t>
      </w:r>
    </w:p>
    <w:p w:rsidR="007A166C" w:rsidRPr="00873CDA" w:rsidRDefault="007A166C" w:rsidP="007A166C">
      <w:pPr>
        <w:pStyle w:val="QuoteBullet"/>
      </w:pPr>
      <w:r w:rsidRPr="00873CDA">
        <w:t>Office of the Chief Digital Officer.</w:t>
      </w:r>
    </w:p>
    <w:p w:rsidR="007A166C" w:rsidRPr="00873CDA" w:rsidRDefault="007A166C" w:rsidP="007A166C">
      <w:pPr>
        <w:pStyle w:val="Quote"/>
      </w:pPr>
      <w:r w:rsidRPr="00873CDA">
        <w:t>the Treasury stream, headed by the Under Treasurer, which comprises two sub-streams:</w:t>
      </w:r>
    </w:p>
    <w:p w:rsidR="007A166C" w:rsidRPr="00873CDA" w:rsidRDefault="007A166C" w:rsidP="007A166C">
      <w:pPr>
        <w:pStyle w:val="QuoteBullet"/>
        <w:ind w:left="1701" w:hanging="425"/>
      </w:pPr>
      <w:r w:rsidRPr="00873CDA">
        <w:t>Economic, Budget and Industrial Relations, headed by the Deputy Under Treasurer, comprising the following functions:</w:t>
      </w:r>
    </w:p>
    <w:p w:rsidR="007A166C" w:rsidRPr="00873CDA" w:rsidRDefault="007A166C" w:rsidP="007A166C">
      <w:pPr>
        <w:pStyle w:val="QuoteBullet"/>
      </w:pPr>
      <w:r w:rsidRPr="00873CDA">
        <w:t>Finance and Budget;</w:t>
      </w:r>
    </w:p>
    <w:p w:rsidR="007A166C" w:rsidRPr="00873CDA" w:rsidRDefault="007A166C" w:rsidP="007A166C">
      <w:pPr>
        <w:pStyle w:val="QuoteBullet"/>
      </w:pPr>
      <w:r w:rsidRPr="00873CDA">
        <w:t>Revenue Management;</w:t>
      </w:r>
    </w:p>
    <w:p w:rsidR="007A166C" w:rsidRPr="00873CDA" w:rsidRDefault="007A166C" w:rsidP="007A166C">
      <w:pPr>
        <w:pStyle w:val="QuoteBullet"/>
      </w:pPr>
      <w:r w:rsidRPr="00873CDA">
        <w:t>Workplace Safety and industrial Relations; and</w:t>
      </w:r>
    </w:p>
    <w:p w:rsidR="007A166C" w:rsidRPr="00873CDA" w:rsidRDefault="007A166C" w:rsidP="007A166C">
      <w:pPr>
        <w:pStyle w:val="QuoteBullet"/>
      </w:pPr>
      <w:r w:rsidRPr="00873CDA">
        <w:t>Economic and Financial Policy Group.</w:t>
      </w:r>
    </w:p>
    <w:p w:rsidR="007A166C" w:rsidRPr="00873CDA" w:rsidRDefault="007A166C" w:rsidP="007A166C">
      <w:pPr>
        <w:pStyle w:val="QuoteBullet"/>
        <w:ind w:left="1701" w:hanging="425"/>
      </w:pPr>
      <w:r w:rsidRPr="00873CDA">
        <w:t>Commercial Services and Infrastructure, headed by the Deputy Under Treasurer, comprising the following functions:</w:t>
      </w:r>
    </w:p>
    <w:p w:rsidR="007A166C" w:rsidRPr="00873CDA" w:rsidRDefault="007A166C" w:rsidP="007A166C">
      <w:pPr>
        <w:pStyle w:val="QuoteBullet"/>
      </w:pPr>
      <w:r w:rsidRPr="00873CDA">
        <w:t>Shared Services;</w:t>
      </w:r>
    </w:p>
    <w:p w:rsidR="007A166C" w:rsidRPr="00873CDA" w:rsidRDefault="007A166C" w:rsidP="007A166C">
      <w:pPr>
        <w:pStyle w:val="QuoteBullet"/>
      </w:pPr>
      <w:r w:rsidRPr="00873CDA">
        <w:t>Infrastructure Finance;</w:t>
      </w:r>
    </w:p>
    <w:p w:rsidR="007A166C" w:rsidRPr="00873CDA" w:rsidRDefault="007A166C" w:rsidP="007A166C">
      <w:pPr>
        <w:pStyle w:val="QuoteBullet"/>
      </w:pPr>
      <w:r w:rsidRPr="00873CDA">
        <w:t>Procurement and Special Projects;</w:t>
      </w:r>
    </w:p>
    <w:p w:rsidR="007A166C" w:rsidRPr="00873CDA" w:rsidRDefault="007A166C" w:rsidP="007A166C">
      <w:pPr>
        <w:pStyle w:val="QuoteBullet"/>
      </w:pPr>
      <w:r w:rsidRPr="00873CDA">
        <w:t>Procurement, Property and Venues; and</w:t>
      </w:r>
    </w:p>
    <w:p w:rsidR="00FA5F62" w:rsidRPr="00873CDA" w:rsidRDefault="007A166C" w:rsidP="007A166C">
      <w:pPr>
        <w:pStyle w:val="QuoteBullet"/>
      </w:pPr>
      <w:r w:rsidRPr="00873CDA">
        <w:t>ACT Insurance Authority (ACTIA).</w:t>
      </w:r>
    </w:p>
    <w:p w:rsidR="007A166C" w:rsidRPr="00873CDA" w:rsidRDefault="007A166C" w:rsidP="007A166C">
      <w:pPr>
        <w:pStyle w:val="BodyText"/>
      </w:pPr>
      <w:r w:rsidRPr="00873CDA">
        <w:t>On 5 and 7 November 2018, the Committee examined the following areas of CMTEDD’s 2017-18 Annual Report</w:t>
      </w:r>
    </w:p>
    <w:p w:rsidR="007A166C" w:rsidRPr="00873CDA" w:rsidRDefault="007A166C" w:rsidP="007A166C">
      <w:pPr>
        <w:pStyle w:val="ListBullet"/>
      </w:pPr>
      <w:r w:rsidRPr="00873CDA">
        <w:t>Infrastructure finance;</w:t>
      </w:r>
    </w:p>
    <w:p w:rsidR="007A166C" w:rsidRPr="00873CDA" w:rsidRDefault="007A166C" w:rsidP="007A166C">
      <w:pPr>
        <w:pStyle w:val="ListBullet"/>
      </w:pPr>
      <w:r w:rsidRPr="00873CDA">
        <w:t>Capital works;</w:t>
      </w:r>
    </w:p>
    <w:p w:rsidR="007A166C" w:rsidRPr="00873CDA" w:rsidRDefault="007A166C" w:rsidP="007A166C">
      <w:pPr>
        <w:pStyle w:val="ListBullet"/>
      </w:pPr>
      <w:r w:rsidRPr="00873CDA">
        <w:lastRenderedPageBreak/>
        <w:t>Venues;</w:t>
      </w:r>
    </w:p>
    <w:p w:rsidR="007A166C" w:rsidRPr="00873CDA" w:rsidRDefault="007A166C" w:rsidP="007A166C">
      <w:pPr>
        <w:pStyle w:val="ListBullet"/>
      </w:pPr>
      <w:r w:rsidRPr="00873CDA">
        <w:t>Government accommodation and property services;</w:t>
      </w:r>
    </w:p>
    <w:p w:rsidR="007A166C" w:rsidRPr="00873CDA" w:rsidRDefault="007A166C" w:rsidP="007A166C">
      <w:pPr>
        <w:pStyle w:val="ListBullet"/>
      </w:pPr>
      <w:r w:rsidRPr="00873CDA">
        <w:t>Director of Territory Records;</w:t>
      </w:r>
    </w:p>
    <w:p w:rsidR="007A166C" w:rsidRPr="00873CDA" w:rsidRDefault="007A166C" w:rsidP="007A166C">
      <w:pPr>
        <w:pStyle w:val="ListBullet"/>
      </w:pPr>
      <w:r w:rsidRPr="00873CDA">
        <w:t>ACT Executive;</w:t>
      </w:r>
    </w:p>
    <w:p w:rsidR="007A166C" w:rsidRPr="00873CDA" w:rsidRDefault="007A166C" w:rsidP="007A166C">
      <w:pPr>
        <w:pStyle w:val="ListBullet"/>
      </w:pPr>
      <w:r w:rsidRPr="00873CDA">
        <w:t>Digital strategy;</w:t>
      </w:r>
    </w:p>
    <w:p w:rsidR="007A166C" w:rsidRPr="00873CDA" w:rsidRDefault="007A166C" w:rsidP="007A166C">
      <w:pPr>
        <w:pStyle w:val="ListBullet"/>
      </w:pPr>
      <w:r w:rsidRPr="00873CDA">
        <w:t>Government policy reform;</w:t>
      </w:r>
    </w:p>
    <w:p w:rsidR="007A166C" w:rsidRPr="00873CDA" w:rsidRDefault="007A166C" w:rsidP="007A166C">
      <w:pPr>
        <w:pStyle w:val="ListBullet"/>
      </w:pPr>
      <w:r w:rsidRPr="00873CDA">
        <w:t>Coordinated communication and community engagement;</w:t>
      </w:r>
    </w:p>
    <w:p w:rsidR="007A166C" w:rsidRPr="00873CDA" w:rsidRDefault="007A166C" w:rsidP="007A166C">
      <w:pPr>
        <w:pStyle w:val="ListBullet"/>
      </w:pPr>
      <w:r w:rsidRPr="00873CDA">
        <w:t>Innovation, trade and investment;</w:t>
      </w:r>
    </w:p>
    <w:p w:rsidR="007A166C" w:rsidRPr="00873CDA" w:rsidRDefault="007A166C" w:rsidP="007A166C">
      <w:pPr>
        <w:pStyle w:val="ListBullet"/>
      </w:pPr>
      <w:r w:rsidRPr="00873CDA">
        <w:t>VisitCanberra;</w:t>
      </w:r>
    </w:p>
    <w:p w:rsidR="007A166C" w:rsidRPr="00873CDA" w:rsidRDefault="007A166C" w:rsidP="007A166C">
      <w:pPr>
        <w:pStyle w:val="ListBullet"/>
      </w:pPr>
      <w:r w:rsidRPr="00873CDA">
        <w:t>Events;</w:t>
      </w:r>
    </w:p>
    <w:p w:rsidR="007A166C" w:rsidRPr="00873CDA" w:rsidRDefault="007A166C" w:rsidP="007A166C">
      <w:pPr>
        <w:pStyle w:val="ListBullet"/>
      </w:pPr>
      <w:r w:rsidRPr="00873CDA">
        <w:t>ACT Government Procurement Board;</w:t>
      </w:r>
    </w:p>
    <w:p w:rsidR="007A166C" w:rsidRPr="00873CDA" w:rsidRDefault="007A166C" w:rsidP="007A166C">
      <w:pPr>
        <w:pStyle w:val="ListBullet"/>
      </w:pPr>
      <w:r w:rsidRPr="00873CDA">
        <w:t>Procurement ACT;</w:t>
      </w:r>
    </w:p>
    <w:p w:rsidR="007A166C" w:rsidRPr="00873CDA" w:rsidRDefault="007A166C" w:rsidP="007A166C">
      <w:pPr>
        <w:pStyle w:val="ListBullet"/>
      </w:pPr>
      <w:r w:rsidRPr="00873CDA">
        <w:t>ACT Construction Occupations;</w:t>
      </w:r>
    </w:p>
    <w:p w:rsidR="007A166C" w:rsidRPr="00873CDA" w:rsidRDefault="007A166C" w:rsidP="007A166C">
      <w:pPr>
        <w:pStyle w:val="ListBullet"/>
      </w:pPr>
      <w:r w:rsidRPr="00873CDA">
        <w:t>Access Canberra;</w:t>
      </w:r>
    </w:p>
    <w:p w:rsidR="007A166C" w:rsidRPr="00873CDA" w:rsidRDefault="007A166C" w:rsidP="007A166C">
      <w:pPr>
        <w:pStyle w:val="ListBullet"/>
      </w:pPr>
      <w:r w:rsidRPr="00873CDA">
        <w:t>Community facilities – including property services and charging policy; and</w:t>
      </w:r>
    </w:p>
    <w:p w:rsidR="007A166C" w:rsidRPr="00873CDA" w:rsidRDefault="007A166C" w:rsidP="007A166C">
      <w:pPr>
        <w:pStyle w:val="ListBullet"/>
      </w:pPr>
      <w:r w:rsidRPr="00873CDA">
        <w:t>Arts engagement.</w:t>
      </w:r>
    </w:p>
    <w:p w:rsidR="007A166C" w:rsidRPr="00873CDA" w:rsidRDefault="007A166C" w:rsidP="007A166C">
      <w:pPr>
        <w:pStyle w:val="BodyText"/>
      </w:pPr>
      <w:r w:rsidRPr="00873CDA">
        <w:t xml:space="preserve">Other areas of the CMTEDD report were considered by other standing committees. </w:t>
      </w:r>
    </w:p>
    <w:p w:rsidR="007A166C" w:rsidRPr="00873CDA" w:rsidRDefault="007A166C" w:rsidP="007A166C">
      <w:pPr>
        <w:pStyle w:val="BodyText"/>
      </w:pPr>
      <w:r w:rsidRPr="00873CDA">
        <w:t>As part of its examination of arts engagement and venues the Committee also examined the report of the Cultural Facilities Corporation.</w:t>
      </w:r>
    </w:p>
    <w:p w:rsidR="00FA5F62" w:rsidRPr="00873CDA" w:rsidRDefault="00FA5F62" w:rsidP="00FA5F62">
      <w:pPr>
        <w:pStyle w:val="Heading3"/>
      </w:pPr>
      <w:bookmarkStart w:id="38" w:name="_Toc962222"/>
      <w:r w:rsidRPr="00873CDA">
        <w:t>Infrastructure Finance and Capital Works</w:t>
      </w:r>
      <w:bookmarkEnd w:id="38"/>
    </w:p>
    <w:p w:rsidR="00FA5F62" w:rsidRPr="00873CDA" w:rsidRDefault="00FA5F62" w:rsidP="00FA5F62">
      <w:pPr>
        <w:pStyle w:val="BodyText"/>
      </w:pPr>
      <w:r w:rsidRPr="00873CDA">
        <w:t>The Committee discussed the following issues:</w:t>
      </w:r>
    </w:p>
    <w:p w:rsidR="00FA5F62" w:rsidRPr="00873CDA" w:rsidRDefault="006732C3" w:rsidP="00EA050C">
      <w:pPr>
        <w:pStyle w:val="ListBullet"/>
      </w:pPr>
      <w:bookmarkStart w:id="39" w:name="_Toc502671593"/>
      <w:bookmarkStart w:id="40" w:name="_Toc502671771"/>
      <w:bookmarkStart w:id="41" w:name="_Toc502671877"/>
      <w:bookmarkStart w:id="42" w:name="_Toc502672809"/>
      <w:r w:rsidRPr="00873CDA">
        <w:t>Gundaroo Drive</w:t>
      </w:r>
      <w:r w:rsidR="004B0CEA" w:rsidRPr="00873CDA">
        <w:t xml:space="preserve"> upgrade</w:t>
      </w:r>
      <w:r w:rsidRPr="00873CDA">
        <w:t>;</w:t>
      </w:r>
      <w:r w:rsidR="00C53AE3" w:rsidRPr="00873CDA">
        <w:rPr>
          <w:rStyle w:val="FootnoteReference"/>
        </w:rPr>
        <w:footnoteReference w:id="2"/>
      </w:r>
    </w:p>
    <w:p w:rsidR="006732C3" w:rsidRPr="00873CDA" w:rsidRDefault="00FE780A" w:rsidP="00EA050C">
      <w:pPr>
        <w:pStyle w:val="ListBullet"/>
      </w:pPr>
      <w:r w:rsidRPr="00873CDA">
        <w:t xml:space="preserve">Canberra to Sydney rail line </w:t>
      </w:r>
      <w:r w:rsidR="004B0CEA" w:rsidRPr="00873CDA">
        <w:t>upgrade</w:t>
      </w:r>
      <w:r w:rsidRPr="00873CDA">
        <w:t>;</w:t>
      </w:r>
      <w:r w:rsidR="00EA288B" w:rsidRPr="00873CDA">
        <w:rPr>
          <w:rStyle w:val="FootnoteReference"/>
        </w:rPr>
        <w:footnoteReference w:id="3"/>
      </w:r>
      <w:r w:rsidR="008C17E0" w:rsidRPr="00873CDA">
        <w:t xml:space="preserve"> and</w:t>
      </w:r>
    </w:p>
    <w:p w:rsidR="004B0CEA" w:rsidRPr="00873CDA" w:rsidRDefault="00861089" w:rsidP="00EA050C">
      <w:pPr>
        <w:pStyle w:val="ListBullet"/>
      </w:pPr>
      <w:r w:rsidRPr="00873CDA">
        <w:t>Light rail</w:t>
      </w:r>
      <w:r w:rsidR="008C17E0" w:rsidRPr="00873CDA">
        <w:t>.</w:t>
      </w:r>
      <w:r w:rsidR="008C17E0" w:rsidRPr="00873CDA">
        <w:rPr>
          <w:rStyle w:val="FootnoteReference"/>
        </w:rPr>
        <w:footnoteReference w:id="4"/>
      </w:r>
    </w:p>
    <w:p w:rsidR="00AA0364" w:rsidRPr="00873CDA" w:rsidRDefault="00AA0364" w:rsidP="00AA0364">
      <w:pPr>
        <w:pStyle w:val="Heading4"/>
      </w:pPr>
      <w:r w:rsidRPr="00873CDA">
        <w:t>Canberra to Sydney rail line</w:t>
      </w:r>
    </w:p>
    <w:p w:rsidR="00AA0364" w:rsidRPr="00873CDA" w:rsidRDefault="00AA0364" w:rsidP="00AA0364">
      <w:pPr>
        <w:pStyle w:val="BodyText"/>
      </w:pPr>
      <w:r w:rsidRPr="00873CDA">
        <w:t xml:space="preserve">The Committee asked about plans to upgrade the Canberra to Sydney rail line in line of the failure of the business case in securing funding from the Commonwealth. The Chief Minister </w:t>
      </w:r>
      <w:r w:rsidRPr="00873CDA">
        <w:lastRenderedPageBreak/>
        <w:t>informed the Committee that both sides of NSW politics had committed to progressing the project. Proceeds from the sale of the NSW share of the Snowy Hydro scheme has been identified as a source of funding. With the rolling stock for CountryLink services nearing its end of economic life the NSW Government has committed to purchasing new trains. The 2019 Federal Election may see commitments for federal funding towards the project.</w:t>
      </w:r>
      <w:r w:rsidR="00D24968" w:rsidRPr="00873CDA">
        <w:rPr>
          <w:rStyle w:val="FootnoteReference"/>
        </w:rPr>
        <w:footnoteReference w:id="5"/>
      </w:r>
    </w:p>
    <w:p w:rsidR="00AA0364" w:rsidRPr="00873CDA" w:rsidRDefault="00AA0364" w:rsidP="00AA0364">
      <w:pPr>
        <w:pStyle w:val="BodyText"/>
      </w:pPr>
      <w:r w:rsidRPr="00873CDA">
        <w:t xml:space="preserve">The Chief Minister noted that any improvement in transport connectivity would benefit both the ACT and the wider Canberra region. In comparison to </w:t>
      </w:r>
      <w:r w:rsidR="00D24968" w:rsidRPr="00873CDA">
        <w:t xml:space="preserve">sections of </w:t>
      </w:r>
      <w:r w:rsidRPr="00873CDA">
        <w:t>the NSW</w:t>
      </w:r>
      <w:r w:rsidR="00D24968" w:rsidRPr="00873CDA">
        <w:t xml:space="preserve"> line, the ACT section of the tracks is in good order. An improved rail service would, in the longer term, require improvements to Canberra railway station.</w:t>
      </w:r>
      <w:r w:rsidR="00D24968" w:rsidRPr="00873CDA">
        <w:rPr>
          <w:rStyle w:val="FootnoteReference"/>
        </w:rPr>
        <w:footnoteReference w:id="6"/>
      </w:r>
    </w:p>
    <w:p w:rsidR="00021269" w:rsidRPr="00873CDA" w:rsidRDefault="00021269" w:rsidP="00021269">
      <w:pPr>
        <w:pStyle w:val="Heading5"/>
      </w:pPr>
      <w:r w:rsidRPr="00873CDA">
        <w:t>Committee comment</w:t>
      </w:r>
    </w:p>
    <w:p w:rsidR="00021269" w:rsidRPr="00873CDA" w:rsidRDefault="00021269" w:rsidP="00021269">
      <w:pPr>
        <w:pStyle w:val="BodyText"/>
      </w:pPr>
      <w:r w:rsidRPr="00873CDA">
        <w:t>The Committee</w:t>
      </w:r>
      <w:r w:rsidR="00A41E01" w:rsidRPr="00873CDA">
        <w:t xml:space="preserve"> notes the potential benefits to Canberra and the region from an improved rail link and looks forward to the issue being further pursued after the federal and NSW elections later this year.</w:t>
      </w:r>
    </w:p>
    <w:tbl>
      <w:tblPr>
        <w:tblStyle w:val="TableGrid"/>
        <w:tblW w:w="0" w:type="auto"/>
        <w:tblInd w:w="-142" w:type="dxa"/>
        <w:tblLook w:val="04A0" w:firstRow="1" w:lastRow="0" w:firstColumn="1" w:lastColumn="0" w:noHBand="0" w:noVBand="1"/>
      </w:tblPr>
      <w:tblGrid>
        <w:gridCol w:w="9061"/>
      </w:tblGrid>
      <w:tr w:rsidR="00A41E01" w:rsidRPr="00873CDA" w:rsidTr="002A1ED1">
        <w:tc>
          <w:tcPr>
            <w:tcW w:w="9061" w:type="dxa"/>
            <w:tcBorders>
              <w:top w:val="nil"/>
              <w:left w:val="nil"/>
              <w:bottom w:val="nil"/>
              <w:right w:val="nil"/>
            </w:tcBorders>
          </w:tcPr>
          <w:p w:rsidR="00A41E01" w:rsidRPr="00873CDA" w:rsidRDefault="00A41E01" w:rsidP="002A1ED1">
            <w:pPr>
              <w:pStyle w:val="RecommendationHeading"/>
            </w:pPr>
            <w:bookmarkStart w:id="43" w:name="_Toc515663"/>
            <w:r w:rsidRPr="00873CDA">
              <w:t xml:space="preserve">Recommendation </w:t>
            </w:r>
            <w:r w:rsidRPr="00873CDA">
              <w:rPr>
                <w:noProof/>
              </w:rPr>
              <w:fldChar w:fldCharType="begin"/>
            </w:r>
            <w:r w:rsidRPr="00873CDA">
              <w:rPr>
                <w:noProof/>
              </w:rPr>
              <w:instrText xml:space="preserve"> seq NumList </w:instrText>
            </w:r>
            <w:r w:rsidRPr="00873CDA">
              <w:rPr>
                <w:noProof/>
              </w:rPr>
              <w:fldChar w:fldCharType="separate"/>
            </w:r>
            <w:r w:rsidR="00C87697" w:rsidRPr="00873CDA">
              <w:rPr>
                <w:noProof/>
              </w:rPr>
              <w:t>1</w:t>
            </w:r>
            <w:bookmarkEnd w:id="43"/>
            <w:r w:rsidRPr="00873CDA">
              <w:rPr>
                <w:noProof/>
              </w:rPr>
              <w:fldChar w:fldCharType="end"/>
            </w:r>
          </w:p>
          <w:p w:rsidR="00A41E01" w:rsidRPr="00873CDA" w:rsidRDefault="00A41E01" w:rsidP="00A41E01">
            <w:pPr>
              <w:pStyle w:val="RecommendationText"/>
              <w:spacing w:before="240"/>
              <w:ind w:hanging="533"/>
            </w:pPr>
            <w:bookmarkStart w:id="44" w:name="_Toc515664"/>
            <w:r w:rsidRPr="00873CDA">
              <w:t>The Committee recommends that the ACT Government continue to work with the NSW and Commonwealth governments on improvements to the Sydney to Canberra rail link and that the Chief Minister update the Assembly on progress by the last sitting date in August 2018.</w:t>
            </w:r>
            <w:bookmarkEnd w:id="44"/>
          </w:p>
        </w:tc>
      </w:tr>
    </w:tbl>
    <w:p w:rsidR="00FA5F62" w:rsidRPr="00873CDA" w:rsidRDefault="00FA5F62" w:rsidP="00FA5F62">
      <w:pPr>
        <w:pStyle w:val="Heading3"/>
      </w:pPr>
      <w:bookmarkStart w:id="45" w:name="_Toc962223"/>
      <w:r w:rsidRPr="00873CDA">
        <w:t>Venues</w:t>
      </w:r>
      <w:bookmarkEnd w:id="45"/>
    </w:p>
    <w:p w:rsidR="00FA5F62" w:rsidRPr="00873CDA" w:rsidRDefault="00FA5F62" w:rsidP="00FA5F62">
      <w:pPr>
        <w:pStyle w:val="BodyText"/>
      </w:pPr>
      <w:r w:rsidRPr="00873CDA">
        <w:t>The Committee discussed the following issues:</w:t>
      </w:r>
    </w:p>
    <w:p w:rsidR="00A45D01" w:rsidRPr="00873CDA" w:rsidRDefault="00A45D01" w:rsidP="00EA050C">
      <w:pPr>
        <w:pStyle w:val="ListBullet"/>
      </w:pPr>
      <w:r w:rsidRPr="00873CDA">
        <w:t>Manuka Oval media centre;</w:t>
      </w:r>
      <w:r w:rsidR="00EA288B" w:rsidRPr="00873CDA">
        <w:rPr>
          <w:rStyle w:val="FootnoteReference"/>
        </w:rPr>
        <w:footnoteReference w:id="7"/>
      </w:r>
    </w:p>
    <w:p w:rsidR="00A45D01" w:rsidRPr="00873CDA" w:rsidRDefault="00A45D01" w:rsidP="00EA050C">
      <w:pPr>
        <w:pStyle w:val="ListBullet"/>
      </w:pPr>
      <w:r w:rsidRPr="00873CDA">
        <w:t>Declining crowd attendance;</w:t>
      </w:r>
      <w:r w:rsidR="008C17E0" w:rsidRPr="00873CDA">
        <w:rPr>
          <w:rStyle w:val="FootnoteReference"/>
        </w:rPr>
        <w:footnoteReference w:id="8"/>
      </w:r>
    </w:p>
    <w:p w:rsidR="00A45D01" w:rsidRPr="00873CDA" w:rsidRDefault="00A45D01" w:rsidP="00EA050C">
      <w:pPr>
        <w:pStyle w:val="ListBullet"/>
      </w:pPr>
      <w:r w:rsidRPr="00873CDA">
        <w:t>Prime Minister’s XI;</w:t>
      </w:r>
      <w:r w:rsidR="008C17E0" w:rsidRPr="00873CDA">
        <w:rPr>
          <w:rStyle w:val="FootnoteReference"/>
        </w:rPr>
        <w:footnoteReference w:id="9"/>
      </w:r>
      <w:r w:rsidR="008C17E0" w:rsidRPr="00873CDA">
        <w:t xml:space="preserve"> and</w:t>
      </w:r>
    </w:p>
    <w:p w:rsidR="00861089" w:rsidRPr="00873CDA" w:rsidRDefault="008C17E0" w:rsidP="00EA050C">
      <w:pPr>
        <w:pStyle w:val="ListBullet"/>
      </w:pPr>
      <w:r w:rsidRPr="00873CDA">
        <w:t>Stadium infrastructure renewal.</w:t>
      </w:r>
      <w:r w:rsidRPr="00873CDA">
        <w:rPr>
          <w:rStyle w:val="FootnoteReference"/>
        </w:rPr>
        <w:footnoteReference w:id="10"/>
      </w:r>
    </w:p>
    <w:p w:rsidR="00B211B5" w:rsidRPr="00873CDA" w:rsidRDefault="00B211B5" w:rsidP="00B211B5">
      <w:pPr>
        <w:pStyle w:val="Heading3"/>
      </w:pPr>
      <w:bookmarkStart w:id="46" w:name="_Toc962224"/>
      <w:r w:rsidRPr="00873CDA">
        <w:lastRenderedPageBreak/>
        <w:t>Government Policy Reform</w:t>
      </w:r>
      <w:bookmarkEnd w:id="46"/>
    </w:p>
    <w:p w:rsidR="00B211B5" w:rsidRPr="00873CDA" w:rsidRDefault="00B211B5" w:rsidP="00B211B5">
      <w:pPr>
        <w:pStyle w:val="BodyText"/>
      </w:pPr>
      <w:r w:rsidRPr="00873CDA">
        <w:t>The Committee discussed the following issues:</w:t>
      </w:r>
    </w:p>
    <w:p w:rsidR="00B211B5" w:rsidRPr="00873CDA" w:rsidRDefault="00B211B5" w:rsidP="00EA050C">
      <w:pPr>
        <w:pStyle w:val="ListBullet"/>
      </w:pPr>
      <w:r w:rsidRPr="00873CDA">
        <w:t>La</w:t>
      </w:r>
      <w:r w:rsidR="00360F43" w:rsidRPr="00873CDA">
        <w:t>nd T</w:t>
      </w:r>
      <w:r w:rsidRPr="00873CDA">
        <w:t xml:space="preserve">itle </w:t>
      </w:r>
      <w:r w:rsidR="00360F43" w:rsidRPr="00873CDA">
        <w:t>Act review;</w:t>
      </w:r>
      <w:r w:rsidR="008C17E0" w:rsidRPr="00873CDA">
        <w:rPr>
          <w:rStyle w:val="FootnoteReference"/>
        </w:rPr>
        <w:footnoteReference w:id="11"/>
      </w:r>
    </w:p>
    <w:p w:rsidR="00B211B5" w:rsidRPr="00873CDA" w:rsidRDefault="00B211B5" w:rsidP="00EA050C">
      <w:pPr>
        <w:pStyle w:val="ListBullet"/>
      </w:pPr>
      <w:r w:rsidRPr="00873CDA">
        <w:t>Population growth;</w:t>
      </w:r>
      <w:r w:rsidR="008C17E0" w:rsidRPr="00873CDA">
        <w:rPr>
          <w:rStyle w:val="FootnoteReference"/>
        </w:rPr>
        <w:footnoteReference w:id="12"/>
      </w:r>
      <w:r w:rsidR="00755AC1" w:rsidRPr="00873CDA">
        <w:t xml:space="preserve"> and</w:t>
      </w:r>
    </w:p>
    <w:p w:rsidR="00B211B5" w:rsidRPr="00873CDA" w:rsidRDefault="0097472B" w:rsidP="00EA050C">
      <w:pPr>
        <w:pStyle w:val="ListBullet"/>
      </w:pPr>
      <w:r w:rsidRPr="00873CDA">
        <w:t>Serv</w:t>
      </w:r>
      <w:r w:rsidR="00755AC1" w:rsidRPr="00873CDA">
        <w:t>ice delivery for Norfolk Island.</w:t>
      </w:r>
      <w:r w:rsidR="00755AC1" w:rsidRPr="00873CDA">
        <w:rPr>
          <w:rStyle w:val="FootnoteReference"/>
        </w:rPr>
        <w:footnoteReference w:id="13"/>
      </w:r>
    </w:p>
    <w:p w:rsidR="00D24968" w:rsidRPr="00873CDA" w:rsidRDefault="00D24968" w:rsidP="00D24968">
      <w:pPr>
        <w:pStyle w:val="Heading4"/>
      </w:pPr>
      <w:r w:rsidRPr="00873CDA">
        <w:t>Service delivery for Norfolk Island</w:t>
      </w:r>
    </w:p>
    <w:p w:rsidR="00D24968" w:rsidRPr="00873CDA" w:rsidRDefault="00E146D4" w:rsidP="00D24968">
      <w:pPr>
        <w:pStyle w:val="BodyText"/>
      </w:pPr>
      <w:r w:rsidRPr="00873CDA">
        <w:t>The Committee asked about the Commonwealth proposal for the ACT to take over service delivery on Norfolk Island. The Chief Minister noted that after initial engagement with the Commonwealth there had been no follow-up since Mr Turnbull ceased to be Prime Minister. The Chief Minister indicated that it was highly unlikely that the ACT would become involved. The ACT Government intended to continue to engage with the Commonwealth bu</w:t>
      </w:r>
      <w:r w:rsidR="00C56766" w:rsidRPr="00873CDA">
        <w:t>t</w:t>
      </w:r>
      <w:r w:rsidRPr="00873CDA">
        <w:t xml:space="preserve"> there were </w:t>
      </w:r>
      <w:r w:rsidR="00C56766" w:rsidRPr="00873CDA">
        <w:t>clear issues including:</w:t>
      </w:r>
    </w:p>
    <w:p w:rsidR="00C56766" w:rsidRPr="00873CDA" w:rsidRDefault="00C56766" w:rsidP="00C56766">
      <w:pPr>
        <w:pStyle w:val="ListBullet"/>
      </w:pPr>
      <w:r w:rsidRPr="00873CDA">
        <w:t>Whether such an arrangement would have the support of Norfolk Islanders;</w:t>
      </w:r>
    </w:p>
    <w:p w:rsidR="00C56766" w:rsidRPr="00873CDA" w:rsidRDefault="00C56766" w:rsidP="00C56766">
      <w:pPr>
        <w:pStyle w:val="ListBullet"/>
      </w:pPr>
      <w:r w:rsidRPr="00873CDA">
        <w:t>The lack of direct aviation access;</w:t>
      </w:r>
    </w:p>
    <w:p w:rsidR="00C56766" w:rsidRPr="00873CDA" w:rsidRDefault="00C56766" w:rsidP="00C56766">
      <w:pPr>
        <w:pStyle w:val="ListBullet"/>
      </w:pPr>
      <w:r w:rsidRPr="00873CDA">
        <w:t>The need for all costs to be met by the Commonwealth so that ACT taxpayers were not out of pocket.</w:t>
      </w:r>
      <w:r w:rsidRPr="00873CDA">
        <w:rPr>
          <w:rStyle w:val="FootnoteReference"/>
        </w:rPr>
        <w:footnoteReference w:id="14"/>
      </w:r>
    </w:p>
    <w:p w:rsidR="00C56766" w:rsidRPr="00873CDA" w:rsidRDefault="00C56766" w:rsidP="00C56766">
      <w:pPr>
        <w:pStyle w:val="BodyText"/>
      </w:pPr>
      <w:r w:rsidRPr="00873CDA">
        <w:t>The Chief Minister noted that current service delivery arrangements with New South Wales continue into the 2020s so it was not an issue that needed immediate resolution.</w:t>
      </w:r>
      <w:r w:rsidRPr="00873CDA">
        <w:rPr>
          <w:rStyle w:val="FootnoteReference"/>
        </w:rPr>
        <w:footnoteReference w:id="15"/>
      </w:r>
    </w:p>
    <w:p w:rsidR="00C56766" w:rsidRPr="00873CDA" w:rsidRDefault="00C56766" w:rsidP="00C56766">
      <w:pPr>
        <w:pStyle w:val="Heading5"/>
      </w:pPr>
      <w:r w:rsidRPr="00873CDA">
        <w:t>Committee Comment</w:t>
      </w:r>
    </w:p>
    <w:p w:rsidR="00C56766" w:rsidRPr="00873CDA" w:rsidRDefault="00C56766" w:rsidP="00C56766">
      <w:pPr>
        <w:pStyle w:val="BodyText"/>
      </w:pPr>
      <w:r w:rsidRPr="00873CDA">
        <w:t>The Committee notes the Chief Minister’s comments and agrees that such an arrangement should only proceed with the support of Norfolk Islanders and cross-party support both federally and in the ACT.</w:t>
      </w:r>
    </w:p>
    <w:p w:rsidR="00AD31D2" w:rsidRPr="00873CDA" w:rsidRDefault="00AD31D2" w:rsidP="00AD31D2">
      <w:pPr>
        <w:pStyle w:val="Heading3"/>
      </w:pPr>
      <w:bookmarkStart w:id="47" w:name="_Toc962225"/>
      <w:r w:rsidRPr="00873CDA">
        <w:t>Coordinated Communications and community engagement</w:t>
      </w:r>
      <w:bookmarkEnd w:id="47"/>
    </w:p>
    <w:p w:rsidR="00AD31D2" w:rsidRPr="00873CDA" w:rsidRDefault="00AD31D2" w:rsidP="00AD31D2">
      <w:pPr>
        <w:pStyle w:val="BodyText"/>
      </w:pPr>
      <w:r w:rsidRPr="00873CDA">
        <w:t>The Committee discussed the following issues:</w:t>
      </w:r>
    </w:p>
    <w:p w:rsidR="00AD31D2" w:rsidRPr="00873CDA" w:rsidRDefault="00AD31D2" w:rsidP="00EA050C">
      <w:pPr>
        <w:pStyle w:val="ListBullet"/>
      </w:pPr>
      <w:r w:rsidRPr="00873CDA">
        <w:lastRenderedPageBreak/>
        <w:t>Deliberative democracy;</w:t>
      </w:r>
      <w:r w:rsidR="00FD65FB" w:rsidRPr="00873CDA">
        <w:rPr>
          <w:rStyle w:val="FootnoteReference"/>
        </w:rPr>
        <w:footnoteReference w:id="16"/>
      </w:r>
    </w:p>
    <w:p w:rsidR="000260E6" w:rsidRPr="00873CDA" w:rsidRDefault="000260E6" w:rsidP="00EA050C">
      <w:pPr>
        <w:pStyle w:val="ListBullet"/>
      </w:pPr>
      <w:r w:rsidRPr="00873CDA">
        <w:t>Whole of Government communication strategy;</w:t>
      </w:r>
      <w:r w:rsidR="00FD65FB" w:rsidRPr="00873CDA">
        <w:rPr>
          <w:rStyle w:val="FootnoteReference"/>
        </w:rPr>
        <w:footnoteReference w:id="17"/>
      </w:r>
    </w:p>
    <w:p w:rsidR="000260E6" w:rsidRPr="00873CDA" w:rsidRDefault="000260E6" w:rsidP="00EA050C">
      <w:pPr>
        <w:pStyle w:val="ListBullet"/>
      </w:pPr>
      <w:r w:rsidRPr="00873CDA">
        <w:t>Your Say website;</w:t>
      </w:r>
      <w:r w:rsidR="00FD65FB" w:rsidRPr="00873CDA">
        <w:rPr>
          <w:rStyle w:val="FootnoteReference"/>
        </w:rPr>
        <w:footnoteReference w:id="18"/>
      </w:r>
      <w:r w:rsidR="00FD65FB" w:rsidRPr="00873CDA">
        <w:t xml:space="preserve"> and</w:t>
      </w:r>
    </w:p>
    <w:p w:rsidR="000260E6" w:rsidRPr="00873CDA" w:rsidRDefault="000260E6" w:rsidP="00EA050C">
      <w:pPr>
        <w:pStyle w:val="ListBullet"/>
      </w:pPr>
      <w:r w:rsidRPr="00873CDA">
        <w:t>Creative services panel</w:t>
      </w:r>
      <w:r w:rsidR="00FD65FB" w:rsidRPr="00873CDA">
        <w:t>.</w:t>
      </w:r>
      <w:r w:rsidR="00FD65FB" w:rsidRPr="00873CDA">
        <w:rPr>
          <w:rStyle w:val="FootnoteReference"/>
        </w:rPr>
        <w:footnoteReference w:id="19"/>
      </w:r>
      <w:r w:rsidR="00360F43" w:rsidRPr="00873CDA">
        <w:t xml:space="preserve"> </w:t>
      </w:r>
    </w:p>
    <w:p w:rsidR="00D24968" w:rsidRPr="00873CDA" w:rsidRDefault="00D24968" w:rsidP="00B01FB3">
      <w:pPr>
        <w:pStyle w:val="Heading4"/>
      </w:pPr>
      <w:r w:rsidRPr="00873CDA">
        <w:t>Creative Services Panel</w:t>
      </w:r>
    </w:p>
    <w:p w:rsidR="00B01FB3" w:rsidRPr="00873CDA" w:rsidRDefault="00B01FB3" w:rsidP="00B01FB3">
      <w:pPr>
        <w:pStyle w:val="BodyText"/>
      </w:pPr>
      <w:r w:rsidRPr="00873CDA">
        <w:t xml:space="preserve">The Committee asked about the Whole of Government Creative Services panel which is listed in the contracts register with a value of $50 million. The Committee was informed that the panel covers providers of marketing, advertising, production, communications and engagement, photography and video, digital and graphic design. The panel has been in place since October 2017 but an additional category, media placement, was added in August 2018. </w:t>
      </w:r>
      <w:r w:rsidR="0017673C" w:rsidRPr="00873CDA">
        <w:t>The contract for the panel is six years long and the addition of the media placement category saw its value rise from $30 million to $50 million. The value indicates an authorised cap for expenditure and not actual expenditure incurred. In its first year of operation $1.9 million of work was placed through the panel.</w:t>
      </w:r>
      <w:r w:rsidR="0017673C" w:rsidRPr="00873CDA">
        <w:rPr>
          <w:rStyle w:val="FootnoteReference"/>
        </w:rPr>
        <w:footnoteReference w:id="20"/>
      </w:r>
    </w:p>
    <w:p w:rsidR="0017673C" w:rsidRPr="00873CDA" w:rsidRDefault="0017673C" w:rsidP="00B01FB3">
      <w:pPr>
        <w:pStyle w:val="BodyText"/>
      </w:pPr>
      <w:r w:rsidRPr="00873CDA">
        <w:t>Providers go through a process to qualify for the panel. Individual agencies lodge requests for work from the panel, using funds within their own budgets. The Committee was informed that the amounts spent on individual contracts was often quite low, in the $1,000-$2,000 range.</w:t>
      </w:r>
      <w:r w:rsidRPr="00873CDA">
        <w:rPr>
          <w:rStyle w:val="FootnoteReference"/>
        </w:rPr>
        <w:footnoteReference w:id="21"/>
      </w:r>
    </w:p>
    <w:p w:rsidR="0017673C" w:rsidRPr="00873CDA" w:rsidRDefault="0017673C" w:rsidP="0017673C">
      <w:pPr>
        <w:pStyle w:val="Heading5"/>
      </w:pPr>
      <w:r w:rsidRPr="00873CDA">
        <w:t>Committee comment</w:t>
      </w:r>
    </w:p>
    <w:p w:rsidR="0017673C" w:rsidRPr="00873CDA" w:rsidRDefault="0017673C" w:rsidP="0017673C">
      <w:pPr>
        <w:pStyle w:val="BodyText"/>
      </w:pPr>
      <w:r w:rsidRPr="00873CDA">
        <w:t>The Committee notes the advice that there will be a review of the panel now it has been operating for over a year.</w:t>
      </w:r>
      <w:r w:rsidRPr="00873CDA">
        <w:rPr>
          <w:rStyle w:val="FootnoteReference"/>
        </w:rPr>
        <w:footnoteReference w:id="22"/>
      </w:r>
      <w:r w:rsidR="00C57679" w:rsidRPr="00873CDA">
        <w:t xml:space="preserve"> Given the value of the panel contract covers six years the Committee believes that it would be helpful to have the annual expenditure under the panel included in annual reporting.</w:t>
      </w:r>
    </w:p>
    <w:tbl>
      <w:tblPr>
        <w:tblStyle w:val="TableGrid"/>
        <w:tblW w:w="0" w:type="auto"/>
        <w:tblInd w:w="-142" w:type="dxa"/>
        <w:tblLook w:val="04A0" w:firstRow="1" w:lastRow="0" w:firstColumn="1" w:lastColumn="0" w:noHBand="0" w:noVBand="1"/>
      </w:tblPr>
      <w:tblGrid>
        <w:gridCol w:w="9061"/>
      </w:tblGrid>
      <w:tr w:rsidR="00C57679" w:rsidRPr="00873CDA" w:rsidTr="00E146D4">
        <w:tc>
          <w:tcPr>
            <w:tcW w:w="9061" w:type="dxa"/>
            <w:tcBorders>
              <w:top w:val="nil"/>
              <w:left w:val="nil"/>
              <w:bottom w:val="nil"/>
              <w:right w:val="nil"/>
            </w:tcBorders>
          </w:tcPr>
          <w:p w:rsidR="00C57679" w:rsidRPr="00873CDA" w:rsidRDefault="00C57679" w:rsidP="00E146D4">
            <w:pPr>
              <w:pStyle w:val="RecommendationHeading"/>
            </w:pPr>
            <w:bookmarkStart w:id="48" w:name="_Toc515665"/>
            <w:r w:rsidRPr="00873CDA">
              <w:t xml:space="preserve">Recommendation </w:t>
            </w:r>
            <w:r w:rsidRPr="00873CDA">
              <w:rPr>
                <w:noProof/>
              </w:rPr>
              <w:fldChar w:fldCharType="begin"/>
            </w:r>
            <w:r w:rsidRPr="00873CDA">
              <w:rPr>
                <w:noProof/>
              </w:rPr>
              <w:instrText xml:space="preserve"> seq NumList </w:instrText>
            </w:r>
            <w:r w:rsidRPr="00873CDA">
              <w:rPr>
                <w:noProof/>
              </w:rPr>
              <w:fldChar w:fldCharType="separate"/>
            </w:r>
            <w:r w:rsidR="00C87697" w:rsidRPr="00873CDA">
              <w:rPr>
                <w:noProof/>
              </w:rPr>
              <w:t>2</w:t>
            </w:r>
            <w:bookmarkEnd w:id="48"/>
            <w:r w:rsidRPr="00873CDA">
              <w:rPr>
                <w:noProof/>
              </w:rPr>
              <w:fldChar w:fldCharType="end"/>
            </w:r>
          </w:p>
          <w:p w:rsidR="00C57679" w:rsidRPr="00873CDA" w:rsidRDefault="00C57679" w:rsidP="00C57679">
            <w:pPr>
              <w:pStyle w:val="RecommendationText"/>
              <w:spacing w:before="240"/>
              <w:ind w:hanging="533"/>
            </w:pPr>
            <w:bookmarkStart w:id="49" w:name="_Toc515666"/>
            <w:r w:rsidRPr="00873CDA">
              <w:t>The Committee recommends that annual expenditure on the Creative Services Panel be reported on in the Chief Minister, Treasury and Economic Development Directorate annual report.</w:t>
            </w:r>
            <w:bookmarkEnd w:id="49"/>
          </w:p>
        </w:tc>
      </w:tr>
    </w:tbl>
    <w:p w:rsidR="00360F43" w:rsidRPr="00873CDA" w:rsidRDefault="00360F43" w:rsidP="00360F43">
      <w:pPr>
        <w:pStyle w:val="Heading3"/>
      </w:pPr>
      <w:bookmarkStart w:id="50" w:name="_Toc962226"/>
      <w:r w:rsidRPr="00873CDA">
        <w:lastRenderedPageBreak/>
        <w:t>Innovation Trade and Investment</w:t>
      </w:r>
      <w:bookmarkEnd w:id="50"/>
    </w:p>
    <w:p w:rsidR="00360F43" w:rsidRPr="00873CDA" w:rsidRDefault="00360F43" w:rsidP="00360F43">
      <w:pPr>
        <w:pStyle w:val="BodyText"/>
      </w:pPr>
      <w:r w:rsidRPr="00873CDA">
        <w:t>The Committee discussed the following issues:</w:t>
      </w:r>
    </w:p>
    <w:p w:rsidR="00360F43" w:rsidRPr="00873CDA" w:rsidRDefault="00360F43" w:rsidP="00EA050C">
      <w:pPr>
        <w:pStyle w:val="ListBullet"/>
      </w:pPr>
      <w:r w:rsidRPr="00873CDA">
        <w:t>Commissioner for International Engagement;</w:t>
      </w:r>
      <w:r w:rsidR="00205424" w:rsidRPr="00873CDA">
        <w:rPr>
          <w:rStyle w:val="FootnoteReference"/>
        </w:rPr>
        <w:footnoteReference w:id="23"/>
      </w:r>
    </w:p>
    <w:p w:rsidR="00360F43" w:rsidRPr="00873CDA" w:rsidRDefault="009F28D5" w:rsidP="00EA050C">
      <w:pPr>
        <w:pStyle w:val="ListBullet"/>
      </w:pPr>
      <w:r w:rsidRPr="00873CDA">
        <w:t>Australian Space Agency</w:t>
      </w:r>
      <w:r w:rsidR="00825BF7" w:rsidRPr="00873CDA">
        <w:t>;</w:t>
      </w:r>
      <w:r w:rsidR="00825BF7" w:rsidRPr="00873CDA">
        <w:rPr>
          <w:rStyle w:val="FootnoteReference"/>
        </w:rPr>
        <w:footnoteReference w:id="24"/>
      </w:r>
      <w:r w:rsidRPr="00873CDA">
        <w:t xml:space="preserve"> </w:t>
      </w:r>
    </w:p>
    <w:p w:rsidR="0066624C" w:rsidRPr="00873CDA" w:rsidRDefault="0066624C" w:rsidP="00EA050C">
      <w:pPr>
        <w:pStyle w:val="ListBullet"/>
      </w:pPr>
      <w:r w:rsidRPr="00873CDA">
        <w:t>Economic diversification and the Chinese economy;</w:t>
      </w:r>
      <w:r w:rsidR="004A6F3E" w:rsidRPr="00873CDA">
        <w:rPr>
          <w:rStyle w:val="FootnoteReference"/>
        </w:rPr>
        <w:footnoteReference w:id="25"/>
      </w:r>
    </w:p>
    <w:p w:rsidR="0066624C" w:rsidRPr="00873CDA" w:rsidRDefault="0066624C" w:rsidP="00EA050C">
      <w:pPr>
        <w:pStyle w:val="ListBullet"/>
      </w:pPr>
      <w:r w:rsidRPr="00873CDA">
        <w:t>Engagement with Indonesia and Korea;</w:t>
      </w:r>
      <w:r w:rsidR="004A6F3E" w:rsidRPr="00873CDA">
        <w:rPr>
          <w:rStyle w:val="FootnoteReference"/>
        </w:rPr>
        <w:footnoteReference w:id="26"/>
      </w:r>
    </w:p>
    <w:p w:rsidR="0066624C" w:rsidRPr="00873CDA" w:rsidRDefault="00B50667" w:rsidP="00EA050C">
      <w:pPr>
        <w:pStyle w:val="ListBullet"/>
      </w:pPr>
      <w:r w:rsidRPr="00873CDA">
        <w:t>Energy sector exports;</w:t>
      </w:r>
      <w:r w:rsidR="004A6F3E" w:rsidRPr="00873CDA">
        <w:rPr>
          <w:rStyle w:val="FootnoteReference"/>
        </w:rPr>
        <w:footnoteReference w:id="27"/>
      </w:r>
    </w:p>
    <w:p w:rsidR="00B50667" w:rsidRPr="00873CDA" w:rsidRDefault="00B50667" w:rsidP="00EA050C">
      <w:pPr>
        <w:pStyle w:val="ListBullet"/>
      </w:pPr>
      <w:r w:rsidRPr="00873CDA">
        <w:t>Trade Connect grants;</w:t>
      </w:r>
      <w:r w:rsidR="00115EEE" w:rsidRPr="00873CDA">
        <w:rPr>
          <w:rStyle w:val="FootnoteReference"/>
        </w:rPr>
        <w:footnoteReference w:id="28"/>
      </w:r>
    </w:p>
    <w:p w:rsidR="00B50667" w:rsidRPr="00873CDA" w:rsidRDefault="006070B8" w:rsidP="00EA050C">
      <w:pPr>
        <w:pStyle w:val="ListBullet"/>
      </w:pPr>
      <w:r w:rsidRPr="00873CDA">
        <w:t>Innovation and Development Fund and Innovation Connect;</w:t>
      </w:r>
      <w:r w:rsidR="00115EEE" w:rsidRPr="00873CDA">
        <w:rPr>
          <w:rStyle w:val="FootnoteReference"/>
        </w:rPr>
        <w:footnoteReference w:id="29"/>
      </w:r>
    </w:p>
    <w:p w:rsidR="006070B8" w:rsidRPr="00873CDA" w:rsidRDefault="006070B8" w:rsidP="00EA050C">
      <w:pPr>
        <w:pStyle w:val="ListBullet"/>
      </w:pPr>
      <w:r w:rsidRPr="00873CDA">
        <w:t>Health innovation</w:t>
      </w:r>
      <w:r w:rsidR="00F420E1" w:rsidRPr="00873CDA">
        <w:t>;</w:t>
      </w:r>
      <w:r w:rsidR="00115EEE" w:rsidRPr="00873CDA">
        <w:rPr>
          <w:rStyle w:val="FootnoteReference"/>
        </w:rPr>
        <w:footnoteReference w:id="30"/>
      </w:r>
      <w:r w:rsidR="00C1782A" w:rsidRPr="00873CDA">
        <w:t xml:space="preserve"> and</w:t>
      </w:r>
    </w:p>
    <w:p w:rsidR="00F420E1" w:rsidRPr="00873CDA" w:rsidRDefault="00F420E1" w:rsidP="00EA050C">
      <w:pPr>
        <w:pStyle w:val="ListBullet"/>
      </w:pPr>
      <w:r w:rsidRPr="00873CDA">
        <w:t>Hotels</w:t>
      </w:r>
      <w:r w:rsidR="00C1782A" w:rsidRPr="00873CDA">
        <w:t>.</w:t>
      </w:r>
      <w:r w:rsidR="00115EEE" w:rsidRPr="00873CDA">
        <w:rPr>
          <w:rStyle w:val="FootnoteReference"/>
        </w:rPr>
        <w:footnoteReference w:id="31"/>
      </w:r>
    </w:p>
    <w:p w:rsidR="00EA050C" w:rsidRPr="00873CDA" w:rsidRDefault="00EA050C" w:rsidP="00EA050C">
      <w:pPr>
        <w:pStyle w:val="Heading3"/>
      </w:pPr>
      <w:bookmarkStart w:id="51" w:name="_Toc962227"/>
      <w:r w:rsidRPr="00873CDA">
        <w:t>Visit Canberra</w:t>
      </w:r>
      <w:bookmarkEnd w:id="51"/>
    </w:p>
    <w:p w:rsidR="00EA050C" w:rsidRPr="00873CDA" w:rsidRDefault="00EA050C" w:rsidP="00EA050C">
      <w:pPr>
        <w:pStyle w:val="BodyText"/>
      </w:pPr>
      <w:r w:rsidRPr="00873CDA">
        <w:t>The Committee discussed the following issues:</w:t>
      </w:r>
    </w:p>
    <w:p w:rsidR="00EA050C" w:rsidRPr="00873CDA" w:rsidRDefault="00EA050C" w:rsidP="00EA050C">
      <w:pPr>
        <w:pStyle w:val="ListBullet"/>
      </w:pPr>
      <w:r w:rsidRPr="00873CDA">
        <w:rPr>
          <w:i/>
        </w:rPr>
        <w:t>Lonely Planet</w:t>
      </w:r>
      <w:r w:rsidRPr="00873CDA">
        <w:t xml:space="preserve"> and tourism marketing;</w:t>
      </w:r>
      <w:r w:rsidRPr="00873CDA">
        <w:rPr>
          <w:rStyle w:val="FootnoteReference"/>
        </w:rPr>
        <w:footnoteReference w:id="32"/>
      </w:r>
    </w:p>
    <w:p w:rsidR="00EA050C" w:rsidRPr="00873CDA" w:rsidRDefault="00EA050C" w:rsidP="00EA050C">
      <w:pPr>
        <w:pStyle w:val="ListBullet"/>
      </w:pPr>
      <w:r w:rsidRPr="00873CDA">
        <w:t>Target markets for tourism advertising;</w:t>
      </w:r>
      <w:r w:rsidRPr="00873CDA">
        <w:rPr>
          <w:rStyle w:val="FootnoteReference"/>
        </w:rPr>
        <w:footnoteReference w:id="33"/>
      </w:r>
    </w:p>
    <w:p w:rsidR="00EA050C" w:rsidRPr="00873CDA" w:rsidRDefault="00EA050C" w:rsidP="00EA050C">
      <w:pPr>
        <w:pStyle w:val="ListBullet"/>
      </w:pPr>
      <w:r w:rsidRPr="00873CDA">
        <w:t>Visitor numbers and spend;</w:t>
      </w:r>
      <w:r w:rsidRPr="00873CDA">
        <w:rPr>
          <w:rStyle w:val="FootnoteReference"/>
        </w:rPr>
        <w:footnoteReference w:id="34"/>
      </w:r>
    </w:p>
    <w:p w:rsidR="00EA050C" w:rsidRPr="00873CDA" w:rsidRDefault="00EA050C" w:rsidP="00EA050C">
      <w:pPr>
        <w:pStyle w:val="ListBullet"/>
      </w:pPr>
      <w:r w:rsidRPr="00873CDA">
        <w:t xml:space="preserve">Canberrans’ awareness of </w:t>
      </w:r>
      <w:r w:rsidRPr="00873CDA">
        <w:rPr>
          <w:i/>
        </w:rPr>
        <w:t>Lonely Planet</w:t>
      </w:r>
      <w:r w:rsidRPr="00873CDA">
        <w:t xml:space="preserve"> accolade;</w:t>
      </w:r>
      <w:r w:rsidRPr="00873CDA">
        <w:rPr>
          <w:rStyle w:val="FootnoteReference"/>
        </w:rPr>
        <w:footnoteReference w:id="35"/>
      </w:r>
    </w:p>
    <w:p w:rsidR="00EA050C" w:rsidRPr="00873CDA" w:rsidRDefault="00EA050C" w:rsidP="00EA050C">
      <w:pPr>
        <w:pStyle w:val="ListBullet"/>
      </w:pPr>
      <w:r w:rsidRPr="00873CDA">
        <w:t>Domestic aviation opportunities;</w:t>
      </w:r>
      <w:r w:rsidRPr="00873CDA">
        <w:rPr>
          <w:rStyle w:val="FootnoteReference"/>
        </w:rPr>
        <w:footnoteReference w:id="36"/>
      </w:r>
    </w:p>
    <w:p w:rsidR="00EA050C" w:rsidRPr="00873CDA" w:rsidRDefault="00EA050C" w:rsidP="00EA050C">
      <w:pPr>
        <w:pStyle w:val="ListBullet"/>
      </w:pPr>
      <w:r w:rsidRPr="00873CDA">
        <w:t>Support for Chinese tourism;</w:t>
      </w:r>
      <w:r w:rsidRPr="00873CDA">
        <w:rPr>
          <w:rStyle w:val="FootnoteReference"/>
        </w:rPr>
        <w:footnoteReference w:id="37"/>
      </w:r>
    </w:p>
    <w:p w:rsidR="001834E8" w:rsidRPr="00873CDA" w:rsidRDefault="001834E8" w:rsidP="00EA050C">
      <w:pPr>
        <w:pStyle w:val="ListBullet"/>
      </w:pPr>
      <w:r w:rsidRPr="00873CDA">
        <w:t>“One good thing after another” campaign;</w:t>
      </w:r>
      <w:r w:rsidRPr="00873CDA">
        <w:rPr>
          <w:rStyle w:val="FootnoteReference"/>
        </w:rPr>
        <w:footnoteReference w:id="38"/>
      </w:r>
      <w:r w:rsidR="00E845B7" w:rsidRPr="00873CDA">
        <w:t xml:space="preserve"> and</w:t>
      </w:r>
    </w:p>
    <w:p w:rsidR="001834E8" w:rsidRPr="00873CDA" w:rsidRDefault="001834E8" w:rsidP="00EA050C">
      <w:pPr>
        <w:pStyle w:val="ListBullet"/>
      </w:pPr>
      <w:r w:rsidRPr="00873CDA">
        <w:lastRenderedPageBreak/>
        <w:t>Accommodation mix</w:t>
      </w:r>
      <w:r w:rsidR="00E845B7" w:rsidRPr="00873CDA">
        <w:t>.</w:t>
      </w:r>
      <w:r w:rsidRPr="00873CDA">
        <w:rPr>
          <w:rStyle w:val="FootnoteReference"/>
        </w:rPr>
        <w:footnoteReference w:id="39"/>
      </w:r>
    </w:p>
    <w:p w:rsidR="00EA050C" w:rsidRPr="00873CDA" w:rsidRDefault="00EA050C" w:rsidP="00EA050C">
      <w:pPr>
        <w:pStyle w:val="Heading3"/>
      </w:pPr>
      <w:bookmarkStart w:id="52" w:name="_Toc962228"/>
      <w:r w:rsidRPr="00873CDA">
        <w:t>Events ACT</w:t>
      </w:r>
      <w:bookmarkEnd w:id="52"/>
    </w:p>
    <w:p w:rsidR="00EA050C" w:rsidRPr="00873CDA" w:rsidRDefault="00EA050C" w:rsidP="00EA050C">
      <w:pPr>
        <w:pStyle w:val="BodyText"/>
      </w:pPr>
      <w:r w:rsidRPr="00873CDA">
        <w:t>The Committee discussed the following issues:</w:t>
      </w:r>
    </w:p>
    <w:p w:rsidR="00EA050C" w:rsidRPr="00873CDA" w:rsidRDefault="00EA050C" w:rsidP="00EA050C">
      <w:pPr>
        <w:pStyle w:val="ListBullet"/>
      </w:pPr>
      <w:r w:rsidRPr="00873CDA">
        <w:t>Floriade</w:t>
      </w:r>
      <w:r w:rsidR="001834E8" w:rsidRPr="00873CDA">
        <w:t xml:space="preserve"> budget</w:t>
      </w:r>
      <w:r w:rsidRPr="00873CDA">
        <w:t>;</w:t>
      </w:r>
      <w:r w:rsidRPr="00873CDA">
        <w:rPr>
          <w:rStyle w:val="FootnoteReference"/>
        </w:rPr>
        <w:footnoteReference w:id="40"/>
      </w:r>
    </w:p>
    <w:p w:rsidR="001834E8" w:rsidRPr="00873CDA" w:rsidRDefault="001834E8" w:rsidP="00EA050C">
      <w:pPr>
        <w:pStyle w:val="ListBullet"/>
      </w:pPr>
      <w:r w:rsidRPr="00873CDA">
        <w:t>Floriade attendance and satisfaction;</w:t>
      </w:r>
      <w:r w:rsidRPr="00873CDA">
        <w:rPr>
          <w:rStyle w:val="FootnoteReference"/>
        </w:rPr>
        <w:footnoteReference w:id="41"/>
      </w:r>
    </w:p>
    <w:p w:rsidR="001834E8" w:rsidRPr="00873CDA" w:rsidRDefault="00E845B7" w:rsidP="00EA050C">
      <w:pPr>
        <w:pStyle w:val="ListBullet"/>
      </w:pPr>
      <w:r w:rsidRPr="00873CDA">
        <w:t>Events on NCA land;</w:t>
      </w:r>
      <w:r w:rsidRPr="00873CDA">
        <w:rPr>
          <w:rStyle w:val="FootnoteReference"/>
        </w:rPr>
        <w:footnoteReference w:id="42"/>
      </w:r>
      <w:r w:rsidRPr="00873CDA">
        <w:t xml:space="preserve"> and</w:t>
      </w:r>
    </w:p>
    <w:p w:rsidR="00E845B7" w:rsidRPr="00873CDA" w:rsidRDefault="00E845B7" w:rsidP="00EA050C">
      <w:pPr>
        <w:pStyle w:val="ListBullet"/>
      </w:pPr>
      <w:r w:rsidRPr="00873CDA">
        <w:t>Events moving to Queanbeyan.</w:t>
      </w:r>
      <w:r w:rsidRPr="00873CDA">
        <w:rPr>
          <w:rStyle w:val="FootnoteReference"/>
        </w:rPr>
        <w:footnoteReference w:id="43"/>
      </w:r>
    </w:p>
    <w:p w:rsidR="005C3ABC" w:rsidRPr="00873CDA" w:rsidRDefault="00F51369" w:rsidP="005C3ABC">
      <w:pPr>
        <w:pStyle w:val="Heading3"/>
      </w:pPr>
      <w:bookmarkStart w:id="53" w:name="_Toc962229"/>
      <w:r w:rsidRPr="00873CDA">
        <w:t>ACT Government Procurement Board and Procurement ACT</w:t>
      </w:r>
      <w:bookmarkEnd w:id="53"/>
    </w:p>
    <w:p w:rsidR="005C3ABC" w:rsidRPr="00873CDA" w:rsidRDefault="005C3ABC" w:rsidP="005C3ABC">
      <w:pPr>
        <w:pStyle w:val="BodyText"/>
      </w:pPr>
      <w:r w:rsidRPr="00873CDA">
        <w:t>The Committee discussed the following issues:</w:t>
      </w:r>
    </w:p>
    <w:p w:rsidR="00815E9F" w:rsidRPr="00873CDA" w:rsidRDefault="00F51369" w:rsidP="00EA050C">
      <w:pPr>
        <w:pStyle w:val="ListBullet"/>
      </w:pPr>
      <w:r w:rsidRPr="00873CDA">
        <w:t>Government Procurement (Secure Local Jobs) Amendment Bill 2018;</w:t>
      </w:r>
      <w:r w:rsidR="00354914" w:rsidRPr="00873CDA">
        <w:rPr>
          <w:rStyle w:val="FootnoteReference"/>
        </w:rPr>
        <w:footnoteReference w:id="44"/>
      </w:r>
    </w:p>
    <w:p w:rsidR="00A03BE5" w:rsidRPr="00873CDA" w:rsidRDefault="00F51369" w:rsidP="00EA050C">
      <w:pPr>
        <w:pStyle w:val="ListBullet"/>
      </w:pPr>
      <w:r w:rsidRPr="00873CDA">
        <w:t>Aboriginal and Torres Strait Islander procurement;</w:t>
      </w:r>
      <w:r w:rsidR="00354914" w:rsidRPr="00873CDA">
        <w:rPr>
          <w:rStyle w:val="FootnoteReference"/>
        </w:rPr>
        <w:footnoteReference w:id="45"/>
      </w:r>
    </w:p>
    <w:p w:rsidR="00F51369" w:rsidRPr="00873CDA" w:rsidRDefault="00354914" w:rsidP="00EA050C">
      <w:pPr>
        <w:pStyle w:val="ListBullet"/>
      </w:pPr>
      <w:r w:rsidRPr="00873CDA">
        <w:t>Sustainable procurement polic</w:t>
      </w:r>
      <w:r w:rsidR="004415B4" w:rsidRPr="00873CDA">
        <w:t>y;</w:t>
      </w:r>
      <w:r w:rsidRPr="00873CDA">
        <w:rPr>
          <w:rStyle w:val="FootnoteReference"/>
        </w:rPr>
        <w:footnoteReference w:id="46"/>
      </w:r>
    </w:p>
    <w:p w:rsidR="004415B4" w:rsidRPr="00873CDA" w:rsidRDefault="001B53D5" w:rsidP="00EA050C">
      <w:pPr>
        <w:pStyle w:val="ListBullet"/>
      </w:pPr>
      <w:r w:rsidRPr="00873CDA">
        <w:t>Contractor Central;</w:t>
      </w:r>
      <w:r w:rsidR="00824C35" w:rsidRPr="00873CDA">
        <w:rPr>
          <w:rStyle w:val="FootnoteReference"/>
        </w:rPr>
        <w:footnoteReference w:id="47"/>
      </w:r>
    </w:p>
    <w:p w:rsidR="001B53D5" w:rsidRPr="00873CDA" w:rsidRDefault="001B53D5" w:rsidP="00EA050C">
      <w:pPr>
        <w:pStyle w:val="ListBullet"/>
      </w:pPr>
      <w:r w:rsidRPr="00873CDA">
        <w:t>ACT Government Procurement Board and interaction with agencies;</w:t>
      </w:r>
      <w:r w:rsidR="00824C35" w:rsidRPr="00873CDA">
        <w:rPr>
          <w:rStyle w:val="FootnoteReference"/>
        </w:rPr>
        <w:footnoteReference w:id="48"/>
      </w:r>
      <w:r w:rsidR="007D7EBD" w:rsidRPr="00873CDA">
        <w:t xml:space="preserve"> </w:t>
      </w:r>
      <w:r w:rsidR="00824C35" w:rsidRPr="00873CDA">
        <w:t xml:space="preserve">and </w:t>
      </w:r>
    </w:p>
    <w:p w:rsidR="001B53D5" w:rsidRPr="00873CDA" w:rsidRDefault="001B53D5" w:rsidP="00EA050C">
      <w:pPr>
        <w:pStyle w:val="ListBullet"/>
      </w:pPr>
      <w:r w:rsidRPr="00873CDA">
        <w:t>Riverview development</w:t>
      </w:r>
      <w:r w:rsidR="00824C35" w:rsidRPr="00873CDA">
        <w:t>.</w:t>
      </w:r>
      <w:r w:rsidR="00824C35" w:rsidRPr="00873CDA">
        <w:rPr>
          <w:rStyle w:val="FootnoteReference"/>
        </w:rPr>
        <w:footnoteReference w:id="49"/>
      </w:r>
    </w:p>
    <w:p w:rsidR="00E5607A" w:rsidRPr="00873CDA" w:rsidRDefault="00E5607A" w:rsidP="00E5607A">
      <w:pPr>
        <w:pStyle w:val="Heading3"/>
      </w:pPr>
      <w:bookmarkStart w:id="54" w:name="_Toc962230"/>
      <w:r w:rsidRPr="00873CDA">
        <w:t>Access Canberra</w:t>
      </w:r>
      <w:bookmarkEnd w:id="54"/>
    </w:p>
    <w:p w:rsidR="00900E2B" w:rsidRPr="00873CDA" w:rsidRDefault="00900E2B" w:rsidP="00E5607A">
      <w:pPr>
        <w:pStyle w:val="BodyText"/>
      </w:pPr>
      <w:r w:rsidRPr="00873CDA">
        <w:t>The Committee discussed Access Canberra’s functions. This discussion at times touched on matters contained in the Environment, Planning and Sustainable Development Directorate annual report.</w:t>
      </w:r>
    </w:p>
    <w:p w:rsidR="00E5607A" w:rsidRPr="00873CDA" w:rsidRDefault="00E5607A" w:rsidP="00E5607A">
      <w:pPr>
        <w:pStyle w:val="BodyText"/>
      </w:pPr>
      <w:r w:rsidRPr="00873CDA">
        <w:lastRenderedPageBreak/>
        <w:t>The Committee discussed the following issues:</w:t>
      </w:r>
    </w:p>
    <w:p w:rsidR="003A4B6A" w:rsidRPr="00873CDA" w:rsidRDefault="00E5607A" w:rsidP="00EA050C">
      <w:pPr>
        <w:pStyle w:val="ListBullet"/>
      </w:pPr>
      <w:r w:rsidRPr="00873CDA">
        <w:t>Customer satisfaction with contact centre</w:t>
      </w:r>
      <w:r w:rsidR="00396C34" w:rsidRPr="00873CDA">
        <w:t>;</w:t>
      </w:r>
      <w:r w:rsidR="006F65B5" w:rsidRPr="00873CDA">
        <w:rPr>
          <w:rStyle w:val="FootnoteReference"/>
        </w:rPr>
        <w:footnoteReference w:id="50"/>
      </w:r>
    </w:p>
    <w:p w:rsidR="00E5607A" w:rsidRPr="00873CDA" w:rsidRDefault="00396C34" w:rsidP="00EA050C">
      <w:pPr>
        <w:pStyle w:val="ListBullet"/>
      </w:pPr>
      <w:r w:rsidRPr="00873CDA">
        <w:t>Chat function;</w:t>
      </w:r>
      <w:r w:rsidR="00D504DA" w:rsidRPr="00873CDA">
        <w:rPr>
          <w:rStyle w:val="FootnoteReference"/>
        </w:rPr>
        <w:footnoteReference w:id="51"/>
      </w:r>
    </w:p>
    <w:p w:rsidR="00396C34" w:rsidRPr="00873CDA" w:rsidRDefault="00396C34" w:rsidP="00EA050C">
      <w:pPr>
        <w:pStyle w:val="ListBullet"/>
      </w:pPr>
      <w:r w:rsidRPr="00873CDA">
        <w:t>Feedback at service centres;</w:t>
      </w:r>
      <w:r w:rsidR="00D504DA" w:rsidRPr="00873CDA">
        <w:rPr>
          <w:rStyle w:val="FootnoteReference"/>
        </w:rPr>
        <w:footnoteReference w:id="52"/>
      </w:r>
    </w:p>
    <w:p w:rsidR="00396C34" w:rsidRPr="00873CDA" w:rsidRDefault="00396C34" w:rsidP="00EA050C">
      <w:pPr>
        <w:pStyle w:val="ListBullet"/>
      </w:pPr>
      <w:r w:rsidRPr="00873CDA">
        <w:t>Rapid regulatory response team;</w:t>
      </w:r>
      <w:r w:rsidR="00D504DA" w:rsidRPr="00873CDA">
        <w:rPr>
          <w:rStyle w:val="FootnoteReference"/>
        </w:rPr>
        <w:footnoteReference w:id="53"/>
      </w:r>
    </w:p>
    <w:p w:rsidR="00396C34" w:rsidRPr="00873CDA" w:rsidRDefault="003A6760" w:rsidP="00EA050C">
      <w:pPr>
        <w:pStyle w:val="ListBullet"/>
      </w:pPr>
      <w:r w:rsidRPr="00873CDA">
        <w:t>Data on building complaints;</w:t>
      </w:r>
      <w:r w:rsidR="00D504DA" w:rsidRPr="00873CDA">
        <w:rPr>
          <w:rStyle w:val="FootnoteReference"/>
        </w:rPr>
        <w:footnoteReference w:id="54"/>
      </w:r>
    </w:p>
    <w:p w:rsidR="003A6760" w:rsidRPr="00873CDA" w:rsidRDefault="003A6760" w:rsidP="00EA050C">
      <w:pPr>
        <w:pStyle w:val="ListBullet"/>
      </w:pPr>
      <w:r w:rsidRPr="00873CDA">
        <w:t>Construction documentation requirements;</w:t>
      </w:r>
      <w:r w:rsidR="00D504DA" w:rsidRPr="00873CDA">
        <w:rPr>
          <w:rStyle w:val="FootnoteReference"/>
        </w:rPr>
        <w:footnoteReference w:id="55"/>
      </w:r>
    </w:p>
    <w:p w:rsidR="003A6760" w:rsidRPr="00873CDA" w:rsidRDefault="003E084F" w:rsidP="00EA050C">
      <w:pPr>
        <w:pStyle w:val="ListBullet"/>
      </w:pPr>
      <w:r w:rsidRPr="00873CDA">
        <w:t>A</w:t>
      </w:r>
      <w:r w:rsidR="00A41E01" w:rsidRPr="00873CDA">
        <w:t xml:space="preserve">dministrative and </w:t>
      </w:r>
      <w:r w:rsidRPr="00873CDA">
        <w:t>C</w:t>
      </w:r>
      <w:r w:rsidR="00A41E01" w:rsidRPr="00873CDA">
        <w:t xml:space="preserve">ivil </w:t>
      </w:r>
      <w:r w:rsidRPr="00873CDA">
        <w:t>A</w:t>
      </w:r>
      <w:r w:rsidR="00A41E01" w:rsidRPr="00873CDA">
        <w:t xml:space="preserve">ppeals </w:t>
      </w:r>
      <w:r w:rsidRPr="00873CDA">
        <w:t>T</w:t>
      </w:r>
      <w:r w:rsidR="00A41E01" w:rsidRPr="00873CDA">
        <w:t>ribunal</w:t>
      </w:r>
      <w:r w:rsidRPr="00873CDA">
        <w:t xml:space="preserve"> cases;</w:t>
      </w:r>
      <w:r w:rsidR="00D504DA" w:rsidRPr="00873CDA">
        <w:rPr>
          <w:rStyle w:val="FootnoteReference"/>
        </w:rPr>
        <w:footnoteReference w:id="56"/>
      </w:r>
    </w:p>
    <w:p w:rsidR="003E084F" w:rsidRPr="00873CDA" w:rsidRDefault="003E084F" w:rsidP="00EA050C">
      <w:pPr>
        <w:pStyle w:val="ListBullet"/>
      </w:pPr>
      <w:r w:rsidRPr="00873CDA">
        <w:t>Worksafe inspections</w:t>
      </w:r>
      <w:r w:rsidR="00E525B0" w:rsidRPr="00873CDA">
        <w:t>;</w:t>
      </w:r>
      <w:r w:rsidR="00D504DA" w:rsidRPr="00873CDA">
        <w:rPr>
          <w:rStyle w:val="FootnoteReference"/>
        </w:rPr>
        <w:footnoteReference w:id="57"/>
      </w:r>
    </w:p>
    <w:p w:rsidR="00E525B0" w:rsidRPr="00873CDA" w:rsidRDefault="00E525B0" w:rsidP="00EA050C">
      <w:pPr>
        <w:pStyle w:val="ListBullet"/>
      </w:pPr>
      <w:r w:rsidRPr="00873CDA">
        <w:t>Building industry regulatory reform;</w:t>
      </w:r>
      <w:r w:rsidR="00D504DA" w:rsidRPr="00873CDA">
        <w:rPr>
          <w:rStyle w:val="FootnoteReference"/>
        </w:rPr>
        <w:footnoteReference w:id="58"/>
      </w:r>
      <w:r w:rsidRPr="00873CDA">
        <w:t xml:space="preserve"> </w:t>
      </w:r>
    </w:p>
    <w:p w:rsidR="00E525B0" w:rsidRPr="00873CDA" w:rsidRDefault="00D800D5" w:rsidP="00EA050C">
      <w:pPr>
        <w:pStyle w:val="ListBullet"/>
      </w:pPr>
      <w:r w:rsidRPr="00873CDA">
        <w:t>Occupational registration for architects;</w:t>
      </w:r>
      <w:r w:rsidR="00BB2D6E" w:rsidRPr="00873CDA">
        <w:rPr>
          <w:rStyle w:val="FootnoteReference"/>
        </w:rPr>
        <w:footnoteReference w:id="59"/>
      </w:r>
    </w:p>
    <w:p w:rsidR="00D800D5" w:rsidRPr="00873CDA" w:rsidRDefault="00D800D5" w:rsidP="00EA050C">
      <w:pPr>
        <w:pStyle w:val="ListBullet"/>
      </w:pPr>
      <w:r w:rsidRPr="00873CDA">
        <w:t>Fix My Street</w:t>
      </w:r>
      <w:r w:rsidR="00D475B7" w:rsidRPr="00873CDA">
        <w:t>;</w:t>
      </w:r>
      <w:r w:rsidR="00BB2D6E" w:rsidRPr="00873CDA">
        <w:rPr>
          <w:rStyle w:val="FootnoteReference"/>
        </w:rPr>
        <w:footnoteReference w:id="60"/>
      </w:r>
      <w:r w:rsidR="00BB2D6E" w:rsidRPr="00873CDA">
        <w:t xml:space="preserve"> </w:t>
      </w:r>
    </w:p>
    <w:p w:rsidR="00D475B7" w:rsidRPr="00873CDA" w:rsidRDefault="00D475B7" w:rsidP="00EA050C">
      <w:pPr>
        <w:pStyle w:val="ListBullet"/>
      </w:pPr>
      <w:r w:rsidRPr="00873CDA">
        <w:t>Online birth registration;</w:t>
      </w:r>
      <w:r w:rsidR="00BB2D6E" w:rsidRPr="00873CDA">
        <w:rPr>
          <w:rStyle w:val="FootnoteReference"/>
        </w:rPr>
        <w:footnoteReference w:id="61"/>
      </w:r>
    </w:p>
    <w:p w:rsidR="00D475B7" w:rsidRPr="00873CDA" w:rsidRDefault="00D475B7" w:rsidP="00EA050C">
      <w:pPr>
        <w:pStyle w:val="ListBullet"/>
      </w:pPr>
      <w:r w:rsidRPr="00873CDA">
        <w:t>Class C builders examination;</w:t>
      </w:r>
      <w:r w:rsidR="00BB2D6E" w:rsidRPr="00873CDA">
        <w:rPr>
          <w:rStyle w:val="FootnoteReference"/>
        </w:rPr>
        <w:footnoteReference w:id="62"/>
      </w:r>
    </w:p>
    <w:p w:rsidR="00D475B7" w:rsidRPr="00873CDA" w:rsidRDefault="00DD7704" w:rsidP="00EA050C">
      <w:pPr>
        <w:pStyle w:val="ListBullet"/>
      </w:pPr>
      <w:r w:rsidRPr="00873CDA">
        <w:t>Construction audit team;</w:t>
      </w:r>
      <w:r w:rsidR="00804B55" w:rsidRPr="00873CDA">
        <w:rPr>
          <w:rStyle w:val="FootnoteReference"/>
        </w:rPr>
        <w:footnoteReference w:id="63"/>
      </w:r>
    </w:p>
    <w:p w:rsidR="00DD7704" w:rsidRPr="00873CDA" w:rsidRDefault="007D4C42" w:rsidP="00EA050C">
      <w:pPr>
        <w:pStyle w:val="ListBullet"/>
      </w:pPr>
      <w:r w:rsidRPr="00873CDA">
        <w:t>Building hoardings;</w:t>
      </w:r>
      <w:r w:rsidR="00804B55" w:rsidRPr="00873CDA">
        <w:rPr>
          <w:rStyle w:val="FootnoteReference"/>
        </w:rPr>
        <w:footnoteReference w:id="64"/>
      </w:r>
    </w:p>
    <w:p w:rsidR="007D4C42" w:rsidRPr="00873CDA" w:rsidRDefault="007D4C42" w:rsidP="00EA050C">
      <w:pPr>
        <w:pStyle w:val="ListBullet"/>
      </w:pPr>
      <w:r w:rsidRPr="00873CDA">
        <w:t>Energy efficiency disclosure system review;</w:t>
      </w:r>
      <w:r w:rsidR="00804B55" w:rsidRPr="00873CDA">
        <w:rPr>
          <w:rStyle w:val="FootnoteReference"/>
        </w:rPr>
        <w:footnoteReference w:id="65"/>
      </w:r>
      <w:r w:rsidR="00C1782A" w:rsidRPr="00873CDA">
        <w:t xml:space="preserve"> and</w:t>
      </w:r>
    </w:p>
    <w:p w:rsidR="007D4C42" w:rsidRPr="00873CDA" w:rsidRDefault="00E011D4" w:rsidP="00EA050C">
      <w:pPr>
        <w:pStyle w:val="ListBullet"/>
      </w:pPr>
      <w:r w:rsidRPr="00873CDA">
        <w:t>EPSDD staff profile</w:t>
      </w:r>
      <w:r w:rsidR="00C1782A" w:rsidRPr="00873CDA">
        <w:t>.</w:t>
      </w:r>
      <w:r w:rsidR="00804B55" w:rsidRPr="00873CDA">
        <w:rPr>
          <w:rStyle w:val="FootnoteReference"/>
        </w:rPr>
        <w:footnoteReference w:id="66"/>
      </w:r>
    </w:p>
    <w:p w:rsidR="00CA2529" w:rsidRPr="00873CDA" w:rsidRDefault="00CA2529" w:rsidP="00CA2529">
      <w:pPr>
        <w:pStyle w:val="Heading4"/>
      </w:pPr>
      <w:r w:rsidRPr="00873CDA">
        <w:t>Fix my Street</w:t>
      </w:r>
    </w:p>
    <w:p w:rsidR="00CA2529" w:rsidRPr="00873CDA" w:rsidRDefault="00CA2529" w:rsidP="00CA2529">
      <w:pPr>
        <w:pStyle w:val="BodyText"/>
      </w:pPr>
      <w:r w:rsidRPr="00873CDA">
        <w:t xml:space="preserve">The Committee asked about customer satisfaction with Fix my Street. The Committee was informed that there have been a range of improvements to Fix my Street over recent years, including allowing customers to view jobs that have already been raised. Officials noted that </w:t>
      </w:r>
      <w:r w:rsidRPr="00873CDA">
        <w:lastRenderedPageBreak/>
        <w:t xml:space="preserve">feedback from the public highlighted the </w:t>
      </w:r>
      <w:r w:rsidR="00D653E9" w:rsidRPr="00873CDA">
        <w:t>importance to customers of receiving updates on the work resulting from their engagement. Current work is focussed on linking the front-end Fix my Street system with the back-end system where jobs are managed to supply automatic responses to customers.</w:t>
      </w:r>
    </w:p>
    <w:p w:rsidR="00D653E9" w:rsidRPr="00873CDA" w:rsidRDefault="00D653E9" w:rsidP="00D653E9">
      <w:pPr>
        <w:pStyle w:val="Heading5"/>
      </w:pPr>
      <w:r w:rsidRPr="00873CDA">
        <w:t>Committee comment</w:t>
      </w:r>
    </w:p>
    <w:p w:rsidR="00D653E9" w:rsidRPr="00873CDA" w:rsidRDefault="00D653E9" w:rsidP="00D653E9">
      <w:pPr>
        <w:pStyle w:val="BodyText"/>
      </w:pPr>
      <w:r w:rsidRPr="00873CDA">
        <w:t xml:space="preserve">The Committee notes concern from members of the public about a lack of updates from Fix my Street on whether a job is progressing or has been delayed. The Committee acknowledges that individual directorates rather than Access Canberra </w:t>
      </w:r>
      <w:r w:rsidR="00B40C28" w:rsidRPr="00873CDA">
        <w:t xml:space="preserve">may have information on job progress but </w:t>
      </w:r>
      <w:r w:rsidRPr="00873CDA">
        <w:t xml:space="preserve">encourages the ACT Government to investigate ways of improving the information flow so that the public is not left </w:t>
      </w:r>
      <w:r w:rsidR="00B40C28" w:rsidRPr="00873CDA">
        <w:t>wondering whether their issues are</w:t>
      </w:r>
      <w:r w:rsidRPr="00873CDA">
        <w:t xml:space="preserve"> being progressed.</w:t>
      </w:r>
    </w:p>
    <w:tbl>
      <w:tblPr>
        <w:tblStyle w:val="TableGrid"/>
        <w:tblW w:w="0" w:type="auto"/>
        <w:tblInd w:w="-142" w:type="dxa"/>
        <w:tblLook w:val="04A0" w:firstRow="1" w:lastRow="0" w:firstColumn="1" w:lastColumn="0" w:noHBand="0" w:noVBand="1"/>
      </w:tblPr>
      <w:tblGrid>
        <w:gridCol w:w="9061"/>
      </w:tblGrid>
      <w:tr w:rsidR="00B40C28" w:rsidRPr="00873CDA" w:rsidTr="00021269">
        <w:tc>
          <w:tcPr>
            <w:tcW w:w="9061" w:type="dxa"/>
            <w:tcBorders>
              <w:top w:val="nil"/>
              <w:left w:val="nil"/>
              <w:bottom w:val="nil"/>
              <w:right w:val="nil"/>
            </w:tcBorders>
          </w:tcPr>
          <w:p w:rsidR="00B40C28" w:rsidRPr="00873CDA" w:rsidRDefault="00B40C28" w:rsidP="00021269">
            <w:pPr>
              <w:pStyle w:val="RecommendationHeading"/>
            </w:pPr>
            <w:bookmarkStart w:id="55" w:name="_Toc515667"/>
            <w:r w:rsidRPr="00873CDA">
              <w:t xml:space="preserve">Recommendation </w:t>
            </w:r>
            <w:r w:rsidRPr="00873CDA">
              <w:rPr>
                <w:noProof/>
              </w:rPr>
              <w:fldChar w:fldCharType="begin"/>
            </w:r>
            <w:r w:rsidRPr="00873CDA">
              <w:rPr>
                <w:noProof/>
              </w:rPr>
              <w:instrText xml:space="preserve"> seq NumList </w:instrText>
            </w:r>
            <w:r w:rsidRPr="00873CDA">
              <w:rPr>
                <w:noProof/>
              </w:rPr>
              <w:fldChar w:fldCharType="separate"/>
            </w:r>
            <w:r w:rsidR="00C87697" w:rsidRPr="00873CDA">
              <w:rPr>
                <w:noProof/>
              </w:rPr>
              <w:t>3</w:t>
            </w:r>
            <w:bookmarkEnd w:id="55"/>
            <w:r w:rsidRPr="00873CDA">
              <w:rPr>
                <w:noProof/>
              </w:rPr>
              <w:fldChar w:fldCharType="end"/>
            </w:r>
          </w:p>
          <w:p w:rsidR="00B40C28" w:rsidRPr="00873CDA" w:rsidRDefault="00B40C28" w:rsidP="00B40C28">
            <w:pPr>
              <w:pStyle w:val="RecommendationText"/>
              <w:spacing w:before="240"/>
              <w:ind w:hanging="533"/>
            </w:pPr>
            <w:bookmarkStart w:id="56" w:name="_Toc515668"/>
            <w:r w:rsidRPr="00873CDA">
              <w:t>The Committee recommends that Access Canberra seek to improve their communication around the expected timeframe for action on logged jobs and provide the public with updates on occasions when those timeframes will not be met.</w:t>
            </w:r>
            <w:bookmarkEnd w:id="56"/>
          </w:p>
        </w:tc>
      </w:tr>
    </w:tbl>
    <w:p w:rsidR="00900E2B" w:rsidRPr="00873CDA" w:rsidRDefault="00900E2B" w:rsidP="00900E2B">
      <w:pPr>
        <w:pStyle w:val="Heading4"/>
      </w:pPr>
      <w:r w:rsidRPr="00873CDA">
        <w:t>Class C builder’s examination</w:t>
      </w:r>
    </w:p>
    <w:p w:rsidR="00D653E9" w:rsidRPr="00873CDA" w:rsidRDefault="00900E2B" w:rsidP="00900E2B">
      <w:pPr>
        <w:pStyle w:val="BodyText"/>
      </w:pPr>
      <w:r w:rsidRPr="00873CDA">
        <w:t>The Committee asked about the Class C builder’s examination. The Committee was informed that the current system allowed builders to apply for a licence and sit the exam and if they fail to sit the exam for a second time under the one application fee. If the exam is failed on a second occasion the licence is refused. There is about a 50 per cent failure rate on the first sitting of the exam, and about 50 per cent of those who resit fail on the second attempt.</w:t>
      </w:r>
      <w:r w:rsidRPr="00873CDA">
        <w:rPr>
          <w:rStyle w:val="FootnoteReference"/>
        </w:rPr>
        <w:footnoteReference w:id="67"/>
      </w:r>
      <w:r w:rsidRPr="00873CDA">
        <w:t xml:space="preserve"> The decision to allow two attempts based on a single fee was based on applicants being unfamiliar with examinations and failing through nervousness rather than a lack of knowledge.</w:t>
      </w:r>
      <w:r w:rsidRPr="00873CDA">
        <w:rPr>
          <w:rStyle w:val="FootnoteReference"/>
        </w:rPr>
        <w:footnoteReference w:id="68"/>
      </w:r>
    </w:p>
    <w:p w:rsidR="00900E2B" w:rsidRPr="00873CDA" w:rsidRDefault="00900E2B" w:rsidP="00900E2B">
      <w:pPr>
        <w:pStyle w:val="BodyText"/>
      </w:pPr>
      <w:r w:rsidRPr="00873CDA">
        <w:t>Officials indicated that they believed there was a decline in applications being made immediately upon eligibility and that prospective applicants were taking more time to prepare themselves.</w:t>
      </w:r>
      <w:r w:rsidRPr="00873CDA">
        <w:rPr>
          <w:rStyle w:val="FootnoteReference"/>
        </w:rPr>
        <w:footnoteReference w:id="69"/>
      </w:r>
    </w:p>
    <w:p w:rsidR="00900E2B" w:rsidRPr="00873CDA" w:rsidRDefault="00900E2B" w:rsidP="00900E2B">
      <w:pPr>
        <w:pStyle w:val="Heading5"/>
      </w:pPr>
      <w:r w:rsidRPr="00873CDA">
        <w:t>Committee comment</w:t>
      </w:r>
    </w:p>
    <w:p w:rsidR="00900E2B" w:rsidRPr="00873CDA" w:rsidRDefault="00900E2B" w:rsidP="00900E2B">
      <w:pPr>
        <w:pStyle w:val="BodyText"/>
      </w:pPr>
      <w:r w:rsidRPr="00873CDA">
        <w:t>The Committee notes that there is no cool down period between failing the second attempt at the exam and being able to make another application for a licence.</w:t>
      </w:r>
    </w:p>
    <w:tbl>
      <w:tblPr>
        <w:tblStyle w:val="TableGrid"/>
        <w:tblW w:w="0" w:type="auto"/>
        <w:tblInd w:w="-142" w:type="dxa"/>
        <w:tblLook w:val="04A0" w:firstRow="1" w:lastRow="0" w:firstColumn="1" w:lastColumn="0" w:noHBand="0" w:noVBand="1"/>
      </w:tblPr>
      <w:tblGrid>
        <w:gridCol w:w="9061"/>
      </w:tblGrid>
      <w:tr w:rsidR="00900E2B" w:rsidRPr="00873CDA" w:rsidTr="00021269">
        <w:tc>
          <w:tcPr>
            <w:tcW w:w="9061" w:type="dxa"/>
            <w:tcBorders>
              <w:top w:val="nil"/>
              <w:left w:val="nil"/>
              <w:bottom w:val="nil"/>
              <w:right w:val="nil"/>
            </w:tcBorders>
          </w:tcPr>
          <w:p w:rsidR="00900E2B" w:rsidRPr="00873CDA" w:rsidRDefault="00900E2B" w:rsidP="00021269">
            <w:pPr>
              <w:pStyle w:val="RecommendationHeading"/>
            </w:pPr>
            <w:bookmarkStart w:id="57" w:name="_Toc515669"/>
            <w:r w:rsidRPr="00873CDA">
              <w:lastRenderedPageBreak/>
              <w:t xml:space="preserve">Recommendation </w:t>
            </w:r>
            <w:r w:rsidRPr="00873CDA">
              <w:rPr>
                <w:noProof/>
              </w:rPr>
              <w:fldChar w:fldCharType="begin"/>
            </w:r>
            <w:r w:rsidRPr="00873CDA">
              <w:rPr>
                <w:noProof/>
              </w:rPr>
              <w:instrText xml:space="preserve"> seq NumList </w:instrText>
            </w:r>
            <w:r w:rsidRPr="00873CDA">
              <w:rPr>
                <w:noProof/>
              </w:rPr>
              <w:fldChar w:fldCharType="separate"/>
            </w:r>
            <w:r w:rsidR="00C87697" w:rsidRPr="00873CDA">
              <w:rPr>
                <w:noProof/>
              </w:rPr>
              <w:t>4</w:t>
            </w:r>
            <w:bookmarkEnd w:id="57"/>
            <w:r w:rsidRPr="00873CDA">
              <w:rPr>
                <w:noProof/>
              </w:rPr>
              <w:fldChar w:fldCharType="end"/>
            </w:r>
          </w:p>
          <w:p w:rsidR="00900E2B" w:rsidRPr="00873CDA" w:rsidRDefault="00900E2B" w:rsidP="00900E2B">
            <w:pPr>
              <w:pStyle w:val="RecommendationText"/>
              <w:spacing w:before="240"/>
              <w:ind w:hanging="533"/>
            </w:pPr>
            <w:bookmarkStart w:id="58" w:name="_Toc515670"/>
            <w:r w:rsidRPr="00873CDA">
              <w:t>The Committee recommends that Access Canberra consider introducing a cooldown period between class C builder’s licence applications, to increase that chance that failed applicants take time to improve their skills.</w:t>
            </w:r>
            <w:bookmarkEnd w:id="58"/>
          </w:p>
        </w:tc>
      </w:tr>
    </w:tbl>
    <w:p w:rsidR="00D475B7" w:rsidRPr="00873CDA" w:rsidRDefault="00D475B7" w:rsidP="00D475B7">
      <w:pPr>
        <w:pStyle w:val="Heading3"/>
      </w:pPr>
      <w:bookmarkStart w:id="59" w:name="_Toc962231"/>
      <w:r w:rsidRPr="00873CDA">
        <w:t>Arts engagement and Cultural Facilities Corporation</w:t>
      </w:r>
      <w:bookmarkEnd w:id="59"/>
      <w:r w:rsidR="00D504DA" w:rsidRPr="00873CDA">
        <w:t xml:space="preserve"> </w:t>
      </w:r>
    </w:p>
    <w:p w:rsidR="00D475B7" w:rsidRPr="00873CDA" w:rsidRDefault="00D475B7" w:rsidP="00D475B7">
      <w:pPr>
        <w:pStyle w:val="BodyText"/>
      </w:pPr>
      <w:r w:rsidRPr="00873CDA">
        <w:t>The Committee discussed the following issues:</w:t>
      </w:r>
    </w:p>
    <w:p w:rsidR="00D475B7" w:rsidRPr="00873CDA" w:rsidRDefault="00636280" w:rsidP="00EA050C">
      <w:pPr>
        <w:pStyle w:val="ListBullet"/>
      </w:pPr>
      <w:r w:rsidRPr="00873CDA">
        <w:t>Canberra Theatre upgrade</w:t>
      </w:r>
      <w:r w:rsidR="00D475B7" w:rsidRPr="00873CDA">
        <w:t>;</w:t>
      </w:r>
      <w:r w:rsidR="00804B55" w:rsidRPr="00873CDA">
        <w:rPr>
          <w:rStyle w:val="FootnoteReference"/>
        </w:rPr>
        <w:footnoteReference w:id="70"/>
      </w:r>
    </w:p>
    <w:p w:rsidR="00636280" w:rsidRPr="00873CDA" w:rsidRDefault="00636280" w:rsidP="00EA050C">
      <w:pPr>
        <w:pStyle w:val="ListBullet"/>
      </w:pPr>
      <w:r w:rsidRPr="00873CDA">
        <w:t>Pop-up Gungahlin and Woden arts festivals;</w:t>
      </w:r>
      <w:r w:rsidR="00804B55" w:rsidRPr="00873CDA">
        <w:rPr>
          <w:rStyle w:val="FootnoteReference"/>
        </w:rPr>
        <w:footnoteReference w:id="71"/>
      </w:r>
    </w:p>
    <w:p w:rsidR="00636280" w:rsidRPr="00873CDA" w:rsidRDefault="00636280" w:rsidP="00EA050C">
      <w:pPr>
        <w:pStyle w:val="ListBullet"/>
      </w:pPr>
      <w:r w:rsidRPr="00873CDA">
        <w:t>Implementation of recommendations from Auditor-General on public art;</w:t>
      </w:r>
      <w:r w:rsidR="00804B55" w:rsidRPr="00873CDA">
        <w:rPr>
          <w:rStyle w:val="FootnoteReference"/>
        </w:rPr>
        <w:footnoteReference w:id="72"/>
      </w:r>
    </w:p>
    <w:p w:rsidR="00636280" w:rsidRPr="00873CDA" w:rsidRDefault="00636280" w:rsidP="00EA050C">
      <w:pPr>
        <w:pStyle w:val="ListBullet"/>
      </w:pPr>
      <w:r w:rsidRPr="00873CDA">
        <w:t>Support for live music;</w:t>
      </w:r>
      <w:r w:rsidR="00804B55" w:rsidRPr="00873CDA">
        <w:rPr>
          <w:rStyle w:val="FootnoteReference"/>
        </w:rPr>
        <w:footnoteReference w:id="73"/>
      </w:r>
    </w:p>
    <w:p w:rsidR="00636280" w:rsidRPr="00873CDA" w:rsidRDefault="00756701" w:rsidP="00EA050C">
      <w:pPr>
        <w:pStyle w:val="ListBullet"/>
      </w:pPr>
      <w:r w:rsidRPr="00873CDA">
        <w:t>Music H-course;</w:t>
      </w:r>
      <w:r w:rsidR="00804B55" w:rsidRPr="00873CDA">
        <w:rPr>
          <w:rStyle w:val="FootnoteReference"/>
        </w:rPr>
        <w:footnoteReference w:id="74"/>
      </w:r>
    </w:p>
    <w:p w:rsidR="00756701" w:rsidRPr="00873CDA" w:rsidRDefault="00756701" w:rsidP="00EA050C">
      <w:pPr>
        <w:pStyle w:val="ListBullet"/>
      </w:pPr>
      <w:r w:rsidRPr="00873CDA">
        <w:t>CMAG renovations;</w:t>
      </w:r>
      <w:r w:rsidR="00804B55" w:rsidRPr="00873CDA">
        <w:rPr>
          <w:rStyle w:val="FootnoteReference"/>
        </w:rPr>
        <w:footnoteReference w:id="75"/>
      </w:r>
    </w:p>
    <w:p w:rsidR="00756701" w:rsidRPr="00873CDA" w:rsidRDefault="00756701" w:rsidP="00EA050C">
      <w:pPr>
        <w:pStyle w:val="ListBullet"/>
      </w:pPr>
      <w:r w:rsidRPr="00873CDA">
        <w:t>Belconnen Arts Centre stage 2;</w:t>
      </w:r>
      <w:r w:rsidR="00804B55" w:rsidRPr="00873CDA">
        <w:rPr>
          <w:rStyle w:val="FootnoteReference"/>
        </w:rPr>
        <w:footnoteReference w:id="76"/>
      </w:r>
    </w:p>
    <w:p w:rsidR="00756701" w:rsidRPr="00873CDA" w:rsidRDefault="00756701" w:rsidP="00EA050C">
      <w:pPr>
        <w:pStyle w:val="ListBullet"/>
      </w:pPr>
      <w:r w:rsidRPr="00873CDA">
        <w:t>Impact of nearby construction on Canberra Theatre;</w:t>
      </w:r>
      <w:r w:rsidR="00804B55" w:rsidRPr="00873CDA">
        <w:rPr>
          <w:rStyle w:val="FootnoteReference"/>
        </w:rPr>
        <w:footnoteReference w:id="77"/>
      </w:r>
    </w:p>
    <w:p w:rsidR="00756701" w:rsidRPr="00873CDA" w:rsidRDefault="00136659" w:rsidP="00EA050C">
      <w:pPr>
        <w:pStyle w:val="ListBullet"/>
      </w:pPr>
      <w:r w:rsidRPr="00873CDA">
        <w:t>Kingston Arts Precinct;</w:t>
      </w:r>
      <w:r w:rsidR="00817200" w:rsidRPr="00873CDA">
        <w:rPr>
          <w:rStyle w:val="FootnoteReference"/>
        </w:rPr>
        <w:footnoteReference w:id="78"/>
      </w:r>
    </w:p>
    <w:p w:rsidR="00136659" w:rsidRPr="00873CDA" w:rsidRDefault="00136659" w:rsidP="00EA050C">
      <w:pPr>
        <w:pStyle w:val="ListBullet"/>
      </w:pPr>
      <w:r w:rsidRPr="00873CDA">
        <w:t>Minister’s Creative Council;</w:t>
      </w:r>
      <w:r w:rsidR="00817200" w:rsidRPr="00873CDA">
        <w:rPr>
          <w:rStyle w:val="FootnoteReference"/>
        </w:rPr>
        <w:footnoteReference w:id="79"/>
      </w:r>
    </w:p>
    <w:p w:rsidR="00136659" w:rsidRPr="00873CDA" w:rsidRDefault="00E41944" w:rsidP="00EA050C">
      <w:pPr>
        <w:pStyle w:val="ListBullet"/>
      </w:pPr>
      <w:r w:rsidRPr="00873CDA">
        <w:t>Aboriginal and Torres Strait Islander Arts Action Plan;</w:t>
      </w:r>
      <w:r w:rsidR="00817200" w:rsidRPr="00873CDA">
        <w:rPr>
          <w:rStyle w:val="FootnoteReference"/>
        </w:rPr>
        <w:footnoteReference w:id="80"/>
      </w:r>
    </w:p>
    <w:p w:rsidR="00E41944" w:rsidRPr="00873CDA" w:rsidRDefault="00E41944" w:rsidP="00EA050C">
      <w:pPr>
        <w:pStyle w:val="ListBullet"/>
      </w:pPr>
      <w:r w:rsidRPr="00873CDA">
        <w:t>Arts funding plan;</w:t>
      </w:r>
      <w:r w:rsidR="00817200" w:rsidRPr="00873CDA">
        <w:rPr>
          <w:rStyle w:val="FootnoteReference"/>
        </w:rPr>
        <w:footnoteReference w:id="81"/>
      </w:r>
    </w:p>
    <w:p w:rsidR="00E41944" w:rsidRPr="00873CDA" w:rsidRDefault="00E41944" w:rsidP="00EA050C">
      <w:pPr>
        <w:pStyle w:val="ListBullet"/>
      </w:pPr>
      <w:r w:rsidRPr="00873CDA">
        <w:t>Arts residencies funding;</w:t>
      </w:r>
      <w:r w:rsidR="00817200" w:rsidRPr="00873CDA">
        <w:rPr>
          <w:rStyle w:val="FootnoteReference"/>
        </w:rPr>
        <w:footnoteReference w:id="82"/>
      </w:r>
    </w:p>
    <w:p w:rsidR="00E41944" w:rsidRPr="00873CDA" w:rsidRDefault="007D5D15" w:rsidP="00EA050C">
      <w:pPr>
        <w:pStyle w:val="ListBullet"/>
      </w:pPr>
      <w:r w:rsidRPr="00873CDA">
        <w:lastRenderedPageBreak/>
        <w:t>Entertainment precincts;</w:t>
      </w:r>
      <w:r w:rsidR="00817200" w:rsidRPr="00873CDA">
        <w:rPr>
          <w:rStyle w:val="FootnoteReference"/>
        </w:rPr>
        <w:footnoteReference w:id="83"/>
      </w:r>
      <w:r w:rsidR="00817200" w:rsidRPr="00873CDA">
        <w:t xml:space="preserve"> and</w:t>
      </w:r>
    </w:p>
    <w:p w:rsidR="007D5D15" w:rsidRPr="00873CDA" w:rsidRDefault="007D5D15" w:rsidP="00EA050C">
      <w:pPr>
        <w:pStyle w:val="ListBullet"/>
      </w:pPr>
      <w:r w:rsidRPr="00873CDA">
        <w:t>Energy efficie</w:t>
      </w:r>
      <w:r w:rsidR="00817200" w:rsidRPr="00873CDA">
        <w:t>ncy upgrades to arts facilities.</w:t>
      </w:r>
      <w:r w:rsidR="00817200" w:rsidRPr="00873CDA">
        <w:rPr>
          <w:rStyle w:val="FootnoteReference"/>
        </w:rPr>
        <w:footnoteReference w:id="84"/>
      </w:r>
    </w:p>
    <w:p w:rsidR="00241539" w:rsidRPr="00873CDA" w:rsidRDefault="00241539" w:rsidP="00241539">
      <w:pPr>
        <w:pStyle w:val="Heading3"/>
      </w:pPr>
      <w:bookmarkStart w:id="60" w:name="_Toc962232"/>
      <w:r w:rsidRPr="00873CDA">
        <w:t>Community Facilities</w:t>
      </w:r>
      <w:bookmarkEnd w:id="60"/>
    </w:p>
    <w:p w:rsidR="00241539" w:rsidRPr="00873CDA" w:rsidRDefault="00241539" w:rsidP="00241539">
      <w:pPr>
        <w:pStyle w:val="BodyText"/>
      </w:pPr>
      <w:r w:rsidRPr="00873CDA">
        <w:t>The Committee discussed the following issues:</w:t>
      </w:r>
    </w:p>
    <w:p w:rsidR="00241539" w:rsidRPr="00873CDA" w:rsidRDefault="00241539" w:rsidP="00241539">
      <w:pPr>
        <w:pStyle w:val="ListBullet"/>
      </w:pPr>
      <w:r w:rsidRPr="00873CDA">
        <w:t>Tjillari Justice Aboriginal Corporation facilities;</w:t>
      </w:r>
      <w:r w:rsidRPr="00873CDA">
        <w:rPr>
          <w:rStyle w:val="FootnoteReference"/>
        </w:rPr>
        <w:footnoteReference w:id="85"/>
      </w:r>
    </w:p>
    <w:p w:rsidR="00241539" w:rsidRPr="00873CDA" w:rsidRDefault="00241539" w:rsidP="00241539">
      <w:pPr>
        <w:pStyle w:val="ListBullet"/>
      </w:pPr>
      <w:r w:rsidRPr="00873CDA">
        <w:rPr>
          <w:rFonts w:asciiTheme="minorHAnsi" w:hAnsiTheme="minorHAnsi" w:cs="Arial"/>
          <w:shd w:val="clear" w:color="auto" w:fill="FFFFFF"/>
        </w:rPr>
        <w:t>Ahmadiyya</w:t>
      </w:r>
      <w:r w:rsidRPr="00873CDA">
        <w:t xml:space="preserve"> Muslim Association mosque site;</w:t>
      </w:r>
      <w:r w:rsidRPr="00873CDA">
        <w:rPr>
          <w:rStyle w:val="FootnoteReference"/>
        </w:rPr>
        <w:footnoteReference w:id="86"/>
      </w:r>
    </w:p>
    <w:p w:rsidR="00241539" w:rsidRPr="00873CDA" w:rsidRDefault="00241539" w:rsidP="00241539">
      <w:pPr>
        <w:pStyle w:val="ListBullet"/>
      </w:pPr>
      <w:r w:rsidRPr="00873CDA">
        <w:t>Woden’s future community facility;</w:t>
      </w:r>
      <w:r w:rsidRPr="00873CDA">
        <w:rPr>
          <w:rStyle w:val="FootnoteReference"/>
        </w:rPr>
        <w:footnoteReference w:id="87"/>
      </w:r>
    </w:p>
    <w:p w:rsidR="00241539" w:rsidRPr="00873CDA" w:rsidRDefault="00241539" w:rsidP="00241539">
      <w:pPr>
        <w:pStyle w:val="ListBullet"/>
      </w:pPr>
      <w:r w:rsidRPr="00873CDA">
        <w:t>List of community facilities;</w:t>
      </w:r>
      <w:r w:rsidRPr="00873CDA">
        <w:rPr>
          <w:rStyle w:val="FootnoteReference"/>
        </w:rPr>
        <w:footnoteReference w:id="88"/>
      </w:r>
      <w:r w:rsidRPr="00873CDA">
        <w:t xml:space="preserve"> </w:t>
      </w:r>
    </w:p>
    <w:p w:rsidR="00241539" w:rsidRPr="00873CDA" w:rsidRDefault="00241539" w:rsidP="00241539">
      <w:pPr>
        <w:pStyle w:val="ListBullet"/>
      </w:pPr>
      <w:r w:rsidRPr="00873CDA">
        <w:t>Fees for hire of community facilities;</w:t>
      </w:r>
      <w:r w:rsidRPr="00873CDA">
        <w:rPr>
          <w:rStyle w:val="FootnoteReference"/>
        </w:rPr>
        <w:footnoteReference w:id="89"/>
      </w:r>
    </w:p>
    <w:p w:rsidR="00241539" w:rsidRPr="00873CDA" w:rsidRDefault="00241539" w:rsidP="00241539">
      <w:pPr>
        <w:pStyle w:val="ListBullet"/>
      </w:pPr>
      <w:r w:rsidRPr="00873CDA">
        <w:t>Availability of community spaces for lease;</w:t>
      </w:r>
      <w:r w:rsidRPr="00873CDA">
        <w:rPr>
          <w:rStyle w:val="FootnoteReference"/>
        </w:rPr>
        <w:footnoteReference w:id="90"/>
      </w:r>
    </w:p>
    <w:p w:rsidR="00241539" w:rsidRPr="00873CDA" w:rsidRDefault="00241539" w:rsidP="00241539">
      <w:pPr>
        <w:pStyle w:val="ListBullet"/>
      </w:pPr>
      <w:r w:rsidRPr="00873CDA">
        <w:t>ACT Disability, Aged and Carer Advocacy Service facility;</w:t>
      </w:r>
      <w:r w:rsidRPr="00873CDA">
        <w:rPr>
          <w:rStyle w:val="FootnoteReference"/>
        </w:rPr>
        <w:footnoteReference w:id="91"/>
      </w:r>
    </w:p>
    <w:p w:rsidR="00241539" w:rsidRPr="00873CDA" w:rsidRDefault="00241539" w:rsidP="00241539">
      <w:pPr>
        <w:pStyle w:val="ListBullet"/>
      </w:pPr>
      <w:r w:rsidRPr="00873CDA">
        <w:t>Weston Rape Crisis Centre facility;</w:t>
      </w:r>
      <w:r w:rsidRPr="00873CDA">
        <w:rPr>
          <w:rStyle w:val="FootnoteReference"/>
        </w:rPr>
        <w:footnoteReference w:id="92"/>
      </w:r>
    </w:p>
    <w:p w:rsidR="00241539" w:rsidRPr="00873CDA" w:rsidRDefault="00241539" w:rsidP="00241539">
      <w:pPr>
        <w:pStyle w:val="ListBullet"/>
      </w:pPr>
      <w:r w:rsidRPr="00873CDA">
        <w:t>Peppercorn rent for community groups;</w:t>
      </w:r>
      <w:r w:rsidRPr="00873CDA">
        <w:rPr>
          <w:rStyle w:val="FootnoteReference"/>
        </w:rPr>
        <w:footnoteReference w:id="93"/>
      </w:r>
      <w:r w:rsidRPr="00873CDA">
        <w:t xml:space="preserve"> and</w:t>
      </w:r>
    </w:p>
    <w:p w:rsidR="00241539" w:rsidRPr="00873CDA" w:rsidRDefault="00241539" w:rsidP="00241539">
      <w:pPr>
        <w:pStyle w:val="ListBullet"/>
      </w:pPr>
      <w:r w:rsidRPr="00873CDA">
        <w:t>Booking system.</w:t>
      </w:r>
      <w:r w:rsidRPr="00873CDA">
        <w:rPr>
          <w:rStyle w:val="FootnoteReference"/>
        </w:rPr>
        <w:footnoteReference w:id="94"/>
      </w:r>
    </w:p>
    <w:p w:rsidR="00241539" w:rsidRPr="00873CDA" w:rsidRDefault="006A7B27" w:rsidP="006A7B27">
      <w:pPr>
        <w:pStyle w:val="Heading4"/>
      </w:pPr>
      <w:r w:rsidRPr="00873CDA">
        <w:t>Booking community facilities</w:t>
      </w:r>
    </w:p>
    <w:p w:rsidR="006A7B27" w:rsidRPr="00873CDA" w:rsidRDefault="006A7B27" w:rsidP="006A7B27">
      <w:pPr>
        <w:pStyle w:val="BodyText"/>
      </w:pPr>
      <w:r w:rsidRPr="00873CDA">
        <w:t xml:space="preserve">The Committee inquired whether there was a comprehensive list of community facilities available for booking for events and meetings. The Committee was informed that most venues were available through the Access Canberra website but that there are some other venues, such as community halls, that are managed by </w:t>
      </w:r>
      <w:r w:rsidR="008D65B6" w:rsidRPr="00873CDA">
        <w:t>community</w:t>
      </w:r>
      <w:r w:rsidRPr="00873CDA">
        <w:t xml:space="preserve"> groups</w:t>
      </w:r>
      <w:r w:rsidR="008D65B6" w:rsidRPr="00873CDA">
        <w:t>.</w:t>
      </w:r>
      <w:r w:rsidR="00A57864" w:rsidRPr="00873CDA">
        <w:rPr>
          <w:rStyle w:val="FootnoteReference"/>
        </w:rPr>
        <w:footnoteReference w:id="95"/>
      </w:r>
      <w:r w:rsidR="00A57864" w:rsidRPr="00873CDA">
        <w:t xml:space="preserve"> There is no centralised booking system for community facilities.</w:t>
      </w:r>
      <w:r w:rsidR="00A57864" w:rsidRPr="00873CDA">
        <w:rPr>
          <w:rStyle w:val="FootnoteReference"/>
        </w:rPr>
        <w:footnoteReference w:id="96"/>
      </w:r>
    </w:p>
    <w:p w:rsidR="002D7A94" w:rsidRPr="00873CDA" w:rsidRDefault="002D7A94" w:rsidP="002D7A94">
      <w:pPr>
        <w:pStyle w:val="Heading5"/>
      </w:pPr>
      <w:r w:rsidRPr="00873CDA">
        <w:lastRenderedPageBreak/>
        <w:t>COMMITTEE COMMENT</w:t>
      </w:r>
    </w:p>
    <w:p w:rsidR="002D7A94" w:rsidRPr="00873CDA" w:rsidRDefault="002D7A94" w:rsidP="002D7A94">
      <w:pPr>
        <w:pStyle w:val="BodyText"/>
      </w:pPr>
      <w:r w:rsidRPr="00873CDA">
        <w:t>Members of the public are unlikely to know whether a particular community facility is managed by ACT Property Group, another directorate or a community group. The Committee believes that a centralised booking facility would be ideal but even a comprehensive list of all community facilities available for event hire would be an improvement.</w:t>
      </w:r>
    </w:p>
    <w:tbl>
      <w:tblPr>
        <w:tblStyle w:val="TableGrid"/>
        <w:tblW w:w="0" w:type="auto"/>
        <w:tblInd w:w="-142" w:type="dxa"/>
        <w:tblLook w:val="04A0" w:firstRow="1" w:lastRow="0" w:firstColumn="1" w:lastColumn="0" w:noHBand="0" w:noVBand="1"/>
      </w:tblPr>
      <w:tblGrid>
        <w:gridCol w:w="9061"/>
      </w:tblGrid>
      <w:tr w:rsidR="002D7A94" w:rsidRPr="00873CDA" w:rsidTr="00E146D4">
        <w:tc>
          <w:tcPr>
            <w:tcW w:w="9061" w:type="dxa"/>
            <w:tcBorders>
              <w:top w:val="nil"/>
              <w:left w:val="nil"/>
              <w:bottom w:val="nil"/>
              <w:right w:val="nil"/>
            </w:tcBorders>
          </w:tcPr>
          <w:p w:rsidR="002D7A94" w:rsidRPr="00873CDA" w:rsidRDefault="002D7A94" w:rsidP="00E146D4">
            <w:pPr>
              <w:pStyle w:val="RecommendationHeading"/>
            </w:pPr>
            <w:bookmarkStart w:id="61" w:name="_Toc515671"/>
            <w:r w:rsidRPr="00873CDA">
              <w:t xml:space="preserve">Recommendation </w:t>
            </w:r>
            <w:r w:rsidRPr="00873CDA">
              <w:rPr>
                <w:noProof/>
              </w:rPr>
              <w:fldChar w:fldCharType="begin"/>
            </w:r>
            <w:r w:rsidRPr="00873CDA">
              <w:rPr>
                <w:noProof/>
              </w:rPr>
              <w:instrText xml:space="preserve"> seq NumList </w:instrText>
            </w:r>
            <w:r w:rsidRPr="00873CDA">
              <w:rPr>
                <w:noProof/>
              </w:rPr>
              <w:fldChar w:fldCharType="separate"/>
            </w:r>
            <w:r w:rsidR="00C87697" w:rsidRPr="00873CDA">
              <w:rPr>
                <w:noProof/>
              </w:rPr>
              <w:t>5</w:t>
            </w:r>
            <w:bookmarkEnd w:id="61"/>
            <w:r w:rsidRPr="00873CDA">
              <w:rPr>
                <w:noProof/>
              </w:rPr>
              <w:fldChar w:fldCharType="end"/>
            </w:r>
          </w:p>
          <w:p w:rsidR="002D7A94" w:rsidRPr="00873CDA" w:rsidRDefault="002D7A94" w:rsidP="002D7A94">
            <w:pPr>
              <w:pStyle w:val="RecommendationText"/>
              <w:spacing w:before="240"/>
              <w:ind w:hanging="533"/>
            </w:pPr>
            <w:bookmarkStart w:id="62" w:name="_Toc515672"/>
            <w:r w:rsidRPr="00873CDA">
              <w:t>The Committee recommends that ACT Property Group compile and publish a list of all community facilities available for event hire, including details of how to contact the relevant group managing bookings.</w:t>
            </w:r>
            <w:bookmarkEnd w:id="62"/>
          </w:p>
        </w:tc>
      </w:tr>
    </w:tbl>
    <w:p w:rsidR="002D7A94" w:rsidRPr="00873CDA" w:rsidRDefault="00A240F0" w:rsidP="002D7A94">
      <w:pPr>
        <w:pStyle w:val="BodyText"/>
        <w:numPr>
          <w:ilvl w:val="0"/>
          <w:numId w:val="0"/>
        </w:numPr>
        <w:ind w:left="567"/>
      </w:pPr>
      <w:r w:rsidRPr="00873CDA">
        <w:tab/>
      </w:r>
    </w:p>
    <w:p w:rsidR="00A240F0" w:rsidRPr="00873CDA" w:rsidRDefault="00A240F0" w:rsidP="002D7A94">
      <w:pPr>
        <w:pStyle w:val="BodyText"/>
        <w:numPr>
          <w:ilvl w:val="0"/>
          <w:numId w:val="0"/>
        </w:numPr>
        <w:ind w:left="567"/>
      </w:pPr>
    </w:p>
    <w:p w:rsidR="00151F03" w:rsidRPr="00873CDA" w:rsidRDefault="00F43DE1" w:rsidP="007104A7">
      <w:pPr>
        <w:pStyle w:val="Heading2"/>
      </w:pPr>
      <w:bookmarkStart w:id="63" w:name="_Toc502672957"/>
      <w:bookmarkStart w:id="64" w:name="_Toc962233"/>
      <w:bookmarkEnd w:id="39"/>
      <w:bookmarkEnd w:id="40"/>
      <w:bookmarkEnd w:id="41"/>
      <w:bookmarkEnd w:id="42"/>
      <w:bookmarkEnd w:id="63"/>
      <w:r w:rsidRPr="00873CDA">
        <w:lastRenderedPageBreak/>
        <w:t>Conclusion</w:t>
      </w:r>
      <w:bookmarkEnd w:id="64"/>
    </w:p>
    <w:p w:rsidR="00F43DE1" w:rsidRPr="00873CDA" w:rsidRDefault="00F43DE1" w:rsidP="00F43DE1">
      <w:pPr>
        <w:pStyle w:val="BodyText"/>
      </w:pPr>
      <w:bookmarkStart w:id="65" w:name="_Toc502671595"/>
      <w:bookmarkStart w:id="66" w:name="_Toc502671773"/>
      <w:bookmarkStart w:id="67" w:name="_Toc502671879"/>
      <w:bookmarkStart w:id="68" w:name="_Toc502672811"/>
      <w:r w:rsidRPr="00873CDA">
        <w:t xml:space="preserve">The Committee has made </w:t>
      </w:r>
      <w:r w:rsidR="001F640E" w:rsidRPr="00873CDA">
        <w:t>five</w:t>
      </w:r>
      <w:r w:rsidRPr="00873CDA">
        <w:t xml:space="preserve"> recommendations in this report relating to CMTEDD.</w:t>
      </w:r>
    </w:p>
    <w:p w:rsidR="00F43DE1" w:rsidRPr="00873CDA" w:rsidRDefault="00F43DE1" w:rsidP="00F43DE1">
      <w:pPr>
        <w:pStyle w:val="BodyText"/>
      </w:pPr>
      <w:r w:rsidRPr="00873CDA">
        <w:t>The Committee would like to thank ACT Government Ministers and directorate officials for their contribution to this inquiry and for their timely return of answers to questions taken on notice.</w:t>
      </w:r>
    </w:p>
    <w:p w:rsidR="00151F03" w:rsidRPr="00873CDA" w:rsidRDefault="001F640E" w:rsidP="00E10D31">
      <w:pPr>
        <w:pStyle w:val="Signature"/>
      </w:pPr>
      <w:bookmarkStart w:id="69" w:name="_Toc514657293"/>
      <w:bookmarkStart w:id="70" w:name="_Toc514657344"/>
      <w:bookmarkEnd w:id="65"/>
      <w:bookmarkEnd w:id="66"/>
      <w:bookmarkEnd w:id="67"/>
      <w:bookmarkEnd w:id="68"/>
      <w:bookmarkEnd w:id="69"/>
      <w:bookmarkEnd w:id="70"/>
      <w:r w:rsidRPr="00873CDA">
        <w:t>Jeremy Hanson MLA</w:t>
      </w:r>
    </w:p>
    <w:p w:rsidR="00151F03" w:rsidRPr="00873CDA" w:rsidRDefault="00151F03" w:rsidP="00E10D31">
      <w:r w:rsidRPr="00873CDA">
        <w:t>Chair</w:t>
      </w:r>
    </w:p>
    <w:p w:rsidR="00151F03" w:rsidRPr="00873CDA" w:rsidRDefault="00C1782A" w:rsidP="00E10D31">
      <w:r w:rsidRPr="00873CDA">
        <w:t>7</w:t>
      </w:r>
      <w:r w:rsidR="006655DF" w:rsidRPr="00873CDA">
        <w:t xml:space="preserve"> February 2019</w:t>
      </w:r>
    </w:p>
    <w:p w:rsidR="004D2594" w:rsidRPr="00873CDA" w:rsidRDefault="004D2594" w:rsidP="00C715C2">
      <w:pPr>
        <w:pStyle w:val="BodyText"/>
        <w:ind w:left="0" w:firstLine="0"/>
        <w:sectPr w:rsidR="004D2594" w:rsidRPr="00873CDA" w:rsidSect="0064133C">
          <w:footerReference w:type="default" r:id="rId24"/>
          <w:type w:val="oddPage"/>
          <w:pgSz w:w="11907" w:h="16840" w:code="9"/>
          <w:pgMar w:top="1588" w:right="1418" w:bottom="1418" w:left="1418" w:header="720" w:footer="851" w:gutter="0"/>
          <w:pgNumType w:start="1"/>
          <w:cols w:space="720"/>
          <w:docGrid w:linePitch="360"/>
        </w:sectPr>
      </w:pPr>
    </w:p>
    <w:p w:rsidR="00151F03" w:rsidRPr="00873CDA" w:rsidRDefault="00151F03" w:rsidP="007104A7">
      <w:pPr>
        <w:pStyle w:val="Heading2"/>
        <w:numPr>
          <w:ilvl w:val="0"/>
          <w:numId w:val="0"/>
        </w:numPr>
        <w:ind w:left="567" w:hanging="567"/>
      </w:pPr>
      <w:bookmarkStart w:id="71" w:name="_Toc502671596"/>
      <w:bookmarkStart w:id="72" w:name="_Toc502671774"/>
      <w:bookmarkStart w:id="73" w:name="_Toc502671880"/>
      <w:bookmarkStart w:id="74" w:name="_Toc502672812"/>
      <w:bookmarkStart w:id="75" w:name="_Toc962234"/>
      <w:r w:rsidRPr="00873CDA">
        <w:lastRenderedPageBreak/>
        <w:t>Appendix A</w:t>
      </w:r>
      <w:bookmarkEnd w:id="71"/>
      <w:bookmarkEnd w:id="72"/>
      <w:bookmarkEnd w:id="73"/>
      <w:bookmarkEnd w:id="74"/>
      <w:r w:rsidR="009174E4" w:rsidRPr="00873CDA">
        <w:t xml:space="preserve"> - </w:t>
      </w:r>
      <w:r w:rsidR="008B2935" w:rsidRPr="00873CDA">
        <w:t>W</w:t>
      </w:r>
      <w:r w:rsidR="00182DF1" w:rsidRPr="00873CDA">
        <w:t>itnesses</w:t>
      </w:r>
      <w:bookmarkEnd w:id="75"/>
    </w:p>
    <w:p w:rsidR="00151F03" w:rsidRPr="00873CDA" w:rsidRDefault="00F43DE1" w:rsidP="004C30A4">
      <w:pPr>
        <w:pStyle w:val="Heading3"/>
        <w:ind w:hanging="567"/>
      </w:pPr>
      <w:bookmarkStart w:id="76" w:name="_Toc962235"/>
      <w:r w:rsidRPr="00873CDA">
        <w:t>Monday 5 November 2018</w:t>
      </w:r>
      <w:bookmarkEnd w:id="76"/>
    </w:p>
    <w:p w:rsidR="00F43DE1" w:rsidRPr="00873CDA" w:rsidRDefault="00F43DE1" w:rsidP="00F43DE1">
      <w:pPr>
        <w:pStyle w:val="ListBullet"/>
      </w:pPr>
      <w:r w:rsidRPr="00873CDA">
        <w:t>Mr Andrew Barr, Chief Minister</w:t>
      </w:r>
      <w:r w:rsidR="004736CB" w:rsidRPr="00873CDA">
        <w:t>,</w:t>
      </w:r>
      <w:r w:rsidRPr="00873CDA">
        <w:t xml:space="preserve"> Treasurer</w:t>
      </w:r>
      <w:r w:rsidR="004736CB" w:rsidRPr="00873CDA">
        <w:t>, Minister for Tourism and Special Events and Minister for Trade, Industry and Investment</w:t>
      </w:r>
      <w:r w:rsidRPr="00873CDA">
        <w:t>;</w:t>
      </w:r>
    </w:p>
    <w:p w:rsidR="00F43DE1" w:rsidRPr="00873CDA" w:rsidRDefault="00F43DE1" w:rsidP="00F43DE1">
      <w:pPr>
        <w:pStyle w:val="ListBullet"/>
      </w:pPr>
      <w:r w:rsidRPr="00873CDA">
        <w:t>Mr David Nicol, Under-Treasurer, CMTEDD;</w:t>
      </w:r>
    </w:p>
    <w:p w:rsidR="00F43DE1" w:rsidRPr="00873CDA" w:rsidRDefault="00F43DE1" w:rsidP="00F43DE1">
      <w:pPr>
        <w:pStyle w:val="ListBullet"/>
      </w:pPr>
      <w:r w:rsidRPr="00873CDA">
        <w:t>Mr George Tomlins, Acting Executive Director, Infrastructure Finance and Capital Works, Commercial Services and Infrastructure, CMTEDD;</w:t>
      </w:r>
    </w:p>
    <w:p w:rsidR="00F43DE1" w:rsidRPr="00873CDA" w:rsidRDefault="00F43DE1" w:rsidP="00F43DE1">
      <w:pPr>
        <w:pStyle w:val="ListBullet"/>
      </w:pPr>
      <w:r w:rsidRPr="00873CDA">
        <w:t>Ms Liz Clarke, Director, Venues Canberra, Property and Venues, Commercial Services and Infrastructure, CMTEDD;</w:t>
      </w:r>
    </w:p>
    <w:p w:rsidR="00F43DE1" w:rsidRPr="00873CDA" w:rsidRDefault="00F43DE1" w:rsidP="00F43DE1">
      <w:pPr>
        <w:pStyle w:val="ListBullet"/>
      </w:pPr>
      <w:r w:rsidRPr="00873CDA">
        <w:t>Mr David Asteraki, Director Infrastructure Finance and Reform, Infrastructure Finance and Capital Works, Commercial Services and Infrastructure, CMTEDD</w:t>
      </w:r>
      <w:r w:rsidR="001F640E" w:rsidRPr="00873CDA">
        <w:t>;</w:t>
      </w:r>
    </w:p>
    <w:p w:rsidR="00F43DE1" w:rsidRPr="00873CDA" w:rsidRDefault="00F43DE1" w:rsidP="00F43DE1">
      <w:pPr>
        <w:pStyle w:val="ListBullet"/>
      </w:pPr>
      <w:r w:rsidRPr="00873CDA">
        <w:t>Ms Leesa Croke, Deputy Director General, Policy and Cabinet, CMTEDD</w:t>
      </w:r>
      <w:r w:rsidR="001F640E" w:rsidRPr="00873CDA">
        <w:t>;</w:t>
      </w:r>
    </w:p>
    <w:p w:rsidR="00F43DE1" w:rsidRPr="00873CDA" w:rsidRDefault="00F43DE1" w:rsidP="00F43DE1">
      <w:pPr>
        <w:pStyle w:val="ListBullet"/>
      </w:pPr>
      <w:r w:rsidRPr="00873CDA">
        <w:t>Ms Anita Perkins, Executive Director, Communications, CMTEDD;</w:t>
      </w:r>
    </w:p>
    <w:p w:rsidR="00F43DE1" w:rsidRPr="00873CDA" w:rsidRDefault="00F43DE1" w:rsidP="00F43DE1">
      <w:pPr>
        <w:pStyle w:val="ListBullet"/>
      </w:pPr>
      <w:r w:rsidRPr="00873CDA">
        <w:t>Mr Sam Engele, Executive Director, Policy and Cabinet, CMTEDD;</w:t>
      </w:r>
    </w:p>
    <w:p w:rsidR="00F43DE1" w:rsidRPr="00873CDA" w:rsidRDefault="00F43DE1" w:rsidP="00F43DE1">
      <w:pPr>
        <w:pStyle w:val="ListBullet"/>
      </w:pPr>
      <w:r w:rsidRPr="00873CDA">
        <w:t>Mr Ian Cox, Executive Director, Innovation Industry and Investment, CMTEDD;</w:t>
      </w:r>
    </w:p>
    <w:p w:rsidR="00F43DE1" w:rsidRPr="00873CDA" w:rsidRDefault="00F43DE1" w:rsidP="00F43DE1">
      <w:pPr>
        <w:pStyle w:val="ListBullet"/>
      </w:pPr>
      <w:r w:rsidRPr="00873CDA">
        <w:t>Mr Geoff Keogh, Director, Innovation Industry and Investment, CMTEDD;</w:t>
      </w:r>
    </w:p>
    <w:p w:rsidR="00F43DE1" w:rsidRPr="00873CDA" w:rsidRDefault="00F43DE1" w:rsidP="00F43DE1">
      <w:pPr>
        <w:pStyle w:val="ListBullet"/>
      </w:pPr>
      <w:r w:rsidRPr="00873CDA">
        <w:t>Mr Glen Hassett, Director, Innovation Industry and Investment, CMTEDD;</w:t>
      </w:r>
    </w:p>
    <w:p w:rsidR="00F43DE1" w:rsidRPr="00873CDA" w:rsidRDefault="00F43DE1" w:rsidP="00F43DE1">
      <w:pPr>
        <w:pStyle w:val="ListBullet"/>
      </w:pPr>
      <w:r w:rsidRPr="00873CDA">
        <w:t>Ms Kareena Arthy, Deputy Director General, Economic Development, CMTEDD</w:t>
      </w:r>
    </w:p>
    <w:p w:rsidR="00F43DE1" w:rsidRPr="00873CDA" w:rsidRDefault="00F43DE1" w:rsidP="00F43DE1">
      <w:pPr>
        <w:pStyle w:val="ListBullet"/>
        <w:rPr>
          <w:lang w:val="en-GB"/>
        </w:rPr>
      </w:pPr>
      <w:r w:rsidRPr="00873CDA">
        <w:rPr>
          <w:lang w:val="en-GB"/>
        </w:rPr>
        <w:t>Mr Jonathan Kobus, Director, Visit Canberra, CMTEDD;</w:t>
      </w:r>
      <w:r w:rsidRPr="00873CDA">
        <w:t xml:space="preserve"> </w:t>
      </w:r>
    </w:p>
    <w:p w:rsidR="00F43DE1" w:rsidRPr="00873CDA" w:rsidRDefault="00F43DE1" w:rsidP="00F43DE1">
      <w:pPr>
        <w:pStyle w:val="ListBullet"/>
        <w:rPr>
          <w:lang w:val="en-GB"/>
        </w:rPr>
      </w:pPr>
      <w:r w:rsidRPr="00873CDA">
        <w:rPr>
          <w:lang w:val="en-GB"/>
        </w:rPr>
        <w:t>Ms Jo Verden, Director, Events, CMTEDD;</w:t>
      </w:r>
    </w:p>
    <w:p w:rsidR="004736CB" w:rsidRPr="00873CDA" w:rsidRDefault="004736CB" w:rsidP="004736CB">
      <w:pPr>
        <w:pStyle w:val="ListBullet"/>
      </w:pPr>
      <w:r w:rsidRPr="00873CDA">
        <w:t>Ms Rachel Stephen-Smith MLA, Minister for Government Services and Procurement;</w:t>
      </w:r>
    </w:p>
    <w:p w:rsidR="004736CB" w:rsidRPr="00873CDA" w:rsidRDefault="004736CB" w:rsidP="004736CB">
      <w:pPr>
        <w:pStyle w:val="ListBullet"/>
      </w:pPr>
      <w:r w:rsidRPr="00873CDA">
        <w:t>Mr Glenn Bain, Executive Director, Procurement ACT, Commercial Services and Infrastructure, CMTEDD;</w:t>
      </w:r>
    </w:p>
    <w:p w:rsidR="004736CB" w:rsidRPr="00873CDA" w:rsidRDefault="004736CB" w:rsidP="004736CB">
      <w:pPr>
        <w:pStyle w:val="ListBullet"/>
      </w:pPr>
      <w:r w:rsidRPr="00873CDA">
        <w:t>Ms Meredith Whitten, Chair, ACT Government Procurement Board;</w:t>
      </w:r>
    </w:p>
    <w:p w:rsidR="004736CB" w:rsidRPr="00873CDA" w:rsidRDefault="004736CB" w:rsidP="004736CB">
      <w:pPr>
        <w:pStyle w:val="ListBullet"/>
      </w:pPr>
      <w:r w:rsidRPr="00873CDA">
        <w:t>Mr Andrew Parkinson, Director, Commercial Infrastructure, Infrastructure Finance and Capital Works, Commercial Services and Infrastructure, CMTEDD;</w:t>
      </w:r>
    </w:p>
    <w:p w:rsidR="004736CB" w:rsidRPr="00873CDA" w:rsidRDefault="004736CB" w:rsidP="004736CB">
      <w:pPr>
        <w:pStyle w:val="ListBullet"/>
      </w:pPr>
      <w:r w:rsidRPr="00873CDA">
        <w:t>Mr Dave Purser, Director, Goods and Services Procurement, Procurement ACT, Commercial Services and Infrastructure, CMTEDD</w:t>
      </w:r>
    </w:p>
    <w:p w:rsidR="004736CB" w:rsidRPr="00873CDA" w:rsidRDefault="004736CB" w:rsidP="004736CB">
      <w:pPr>
        <w:pStyle w:val="ListBullet"/>
      </w:pPr>
      <w:r w:rsidRPr="00873CDA">
        <w:t>Mr Chris Steel MLA, Minister for Community Services and Facilities;</w:t>
      </w:r>
    </w:p>
    <w:p w:rsidR="004736CB" w:rsidRPr="00873CDA" w:rsidRDefault="004736CB" w:rsidP="004736CB">
      <w:pPr>
        <w:pStyle w:val="ListBullet"/>
      </w:pPr>
      <w:r w:rsidRPr="00873CDA">
        <w:t>Mr Garry Gordon, Director, ACT Property Group, Property and Venues, Commercial Services and Infrastructure, CMTEDD;</w:t>
      </w:r>
    </w:p>
    <w:p w:rsidR="004736CB" w:rsidRPr="00873CDA" w:rsidRDefault="004736CB" w:rsidP="004736CB">
      <w:pPr>
        <w:pStyle w:val="ListBullet"/>
      </w:pPr>
      <w:r w:rsidRPr="00873CDA">
        <w:t>Mr Geoffrey Rutledge, Deputy Director-General, Sustainability and the Built Environment, EPSDD;</w:t>
      </w:r>
    </w:p>
    <w:p w:rsidR="004736CB" w:rsidRPr="00873CDA" w:rsidRDefault="004736CB" w:rsidP="004736CB">
      <w:pPr>
        <w:pStyle w:val="ListBullet"/>
      </w:pPr>
      <w:r w:rsidRPr="00873CDA">
        <w:t>Mr Ben Ponton, Director-General, EPSDD;</w:t>
      </w:r>
    </w:p>
    <w:p w:rsidR="004736CB" w:rsidRPr="00873CDA" w:rsidRDefault="004736CB" w:rsidP="004736CB">
      <w:pPr>
        <w:pStyle w:val="ListBullet"/>
      </w:pPr>
      <w:r w:rsidRPr="00873CDA">
        <w:lastRenderedPageBreak/>
        <w:t>Mr Daniel Bailey, Executive Director, Property and Venues, Commercial Services and Infrastructure, CMTEDD</w:t>
      </w:r>
    </w:p>
    <w:p w:rsidR="00C5534C" w:rsidRPr="00873CDA" w:rsidRDefault="00F43DE1" w:rsidP="004C30A4">
      <w:pPr>
        <w:pStyle w:val="Heading3"/>
        <w:ind w:hanging="567"/>
      </w:pPr>
      <w:bookmarkStart w:id="77" w:name="_Toc962236"/>
      <w:r w:rsidRPr="00873CDA">
        <w:t>Wednesday 7 November 2018</w:t>
      </w:r>
      <w:bookmarkEnd w:id="77"/>
    </w:p>
    <w:p w:rsidR="004736CB" w:rsidRPr="00873CDA" w:rsidRDefault="00182DF1" w:rsidP="004736CB">
      <w:pPr>
        <w:pStyle w:val="ListBullet"/>
      </w:pPr>
      <w:r w:rsidRPr="00873CDA">
        <w:t>W</w:t>
      </w:r>
      <w:r w:rsidR="004736CB" w:rsidRPr="00873CDA">
        <w:t xml:space="preserve"> Mr Gordon Ramsay, Minister for Business and Regulatory Services;</w:t>
      </w:r>
    </w:p>
    <w:p w:rsidR="004736CB" w:rsidRPr="00873CDA" w:rsidRDefault="004736CB" w:rsidP="004736CB">
      <w:pPr>
        <w:pStyle w:val="ListBullet"/>
      </w:pPr>
      <w:r w:rsidRPr="00873CDA">
        <w:t>Mr Dave Peffer, Deputy Director-General, Access Canberra, CMTEDD;</w:t>
      </w:r>
    </w:p>
    <w:p w:rsidR="004736CB" w:rsidRPr="00873CDA" w:rsidRDefault="004736CB" w:rsidP="004736CB">
      <w:pPr>
        <w:pStyle w:val="ListBullet"/>
      </w:pPr>
      <w:r w:rsidRPr="00873CDA">
        <w:t>Mr Ben Green, Acting Director, Regulatory, Solutions and Compliance, Access Canberra, CMTEDD;</w:t>
      </w:r>
    </w:p>
    <w:p w:rsidR="004736CB" w:rsidRPr="00873CDA" w:rsidRDefault="004736CB" w:rsidP="004736CB">
      <w:pPr>
        <w:pStyle w:val="ListBullet"/>
      </w:pPr>
      <w:r w:rsidRPr="00873CDA">
        <w:t>Ms Vanessa Morris, Senior Manager, Building Policy, EPSDD;</w:t>
      </w:r>
    </w:p>
    <w:p w:rsidR="004736CB" w:rsidRPr="00873CDA" w:rsidRDefault="004736CB" w:rsidP="004736CB">
      <w:pPr>
        <w:pStyle w:val="ListBullet"/>
      </w:pPr>
      <w:r w:rsidRPr="00873CDA">
        <w:t>Mr Ben Ponton, Director-General, EPSDD;</w:t>
      </w:r>
    </w:p>
    <w:p w:rsidR="004736CB" w:rsidRPr="00873CDA" w:rsidRDefault="004736CB" w:rsidP="004736CB">
      <w:pPr>
        <w:pStyle w:val="ListBullet"/>
      </w:pPr>
      <w:r w:rsidRPr="00873CDA">
        <w:t>Mr Greg Jones, Director, Workplace Protection, Access Canberra, CMTEDD;</w:t>
      </w:r>
    </w:p>
    <w:p w:rsidR="004736CB" w:rsidRPr="00873CDA" w:rsidRDefault="004736CB" w:rsidP="004736CB">
      <w:pPr>
        <w:pStyle w:val="ListBullet"/>
      </w:pPr>
      <w:r w:rsidRPr="00873CDA">
        <w:t>Mr Josh Rynehart, Director, Customer Coordination, Access Canberra, CMTEDD;</w:t>
      </w:r>
    </w:p>
    <w:p w:rsidR="004736CB" w:rsidRPr="00873CDA" w:rsidRDefault="004736CB" w:rsidP="004736CB">
      <w:pPr>
        <w:pStyle w:val="ListBullet"/>
        <w:rPr>
          <w:rFonts w:cs="Calibri"/>
          <w:lang w:val="en-GB"/>
        </w:rPr>
      </w:pPr>
      <w:r w:rsidRPr="00873CDA">
        <w:t>Mr Gordon Ramsay, Minister for the Arts and Cultural Events;</w:t>
      </w:r>
    </w:p>
    <w:p w:rsidR="004736CB" w:rsidRPr="00873CDA" w:rsidRDefault="004736CB" w:rsidP="004736CB">
      <w:pPr>
        <w:pStyle w:val="ListBullet"/>
        <w:rPr>
          <w:lang w:val="en-GB"/>
        </w:rPr>
      </w:pPr>
      <w:r w:rsidRPr="00873CDA">
        <w:rPr>
          <w:lang w:val="en-GB"/>
        </w:rPr>
        <w:t>Ms Harriet Elvin, CEO, Cultural Facilities Corporation;</w:t>
      </w:r>
    </w:p>
    <w:p w:rsidR="004736CB" w:rsidRPr="00873CDA" w:rsidRDefault="004736CB" w:rsidP="004736CB">
      <w:pPr>
        <w:pStyle w:val="ListBullet"/>
        <w:rPr>
          <w:lang w:val="en-GB"/>
        </w:rPr>
      </w:pPr>
      <w:r w:rsidRPr="00873CDA">
        <w:rPr>
          <w:lang w:val="en-GB"/>
        </w:rPr>
        <w:t>Ms Kareena Arthy, Deputy Director Genera</w:t>
      </w:r>
      <w:r w:rsidR="001F640E" w:rsidRPr="00873CDA">
        <w:rPr>
          <w:lang w:val="en-GB"/>
        </w:rPr>
        <w:t>l, Economic Development, CMTEDD</w:t>
      </w:r>
    </w:p>
    <w:p w:rsidR="00182DF1" w:rsidRPr="00873CDA" w:rsidRDefault="00182DF1" w:rsidP="004736CB">
      <w:pPr>
        <w:pStyle w:val="ListBullet"/>
        <w:numPr>
          <w:ilvl w:val="0"/>
          <w:numId w:val="0"/>
        </w:numPr>
        <w:ind w:left="964"/>
      </w:pPr>
    </w:p>
    <w:p w:rsidR="0052783F" w:rsidRPr="00873CDA" w:rsidRDefault="0052783F" w:rsidP="0052783F"/>
    <w:p w:rsidR="00E57CD5" w:rsidRPr="00873CDA" w:rsidRDefault="00E57CD5" w:rsidP="007104A7">
      <w:pPr>
        <w:pStyle w:val="Heading2"/>
        <w:numPr>
          <w:ilvl w:val="0"/>
          <w:numId w:val="0"/>
        </w:numPr>
      </w:pPr>
      <w:bookmarkStart w:id="78" w:name="_Toc502671598"/>
      <w:bookmarkStart w:id="79" w:name="_Toc502671776"/>
      <w:bookmarkStart w:id="80" w:name="_Toc502671882"/>
      <w:bookmarkStart w:id="81" w:name="_Toc502672814"/>
      <w:bookmarkStart w:id="82" w:name="_Toc962237"/>
      <w:r w:rsidRPr="00873CDA">
        <w:lastRenderedPageBreak/>
        <w:t xml:space="preserve">Appendix </w:t>
      </w:r>
      <w:r w:rsidR="004736CB" w:rsidRPr="00873CDA">
        <w:t>B</w:t>
      </w:r>
      <w:r w:rsidRPr="00873CDA">
        <w:t xml:space="preserve"> – Questions </w:t>
      </w:r>
      <w:r w:rsidR="0020415F" w:rsidRPr="00873CDA">
        <w:t>t</w:t>
      </w:r>
      <w:r w:rsidRPr="00873CDA">
        <w:t>aken on Notice/</w:t>
      </w:r>
      <w:r w:rsidR="007104A7" w:rsidRPr="00873CDA">
        <w:br/>
      </w:r>
      <w:r w:rsidRPr="00873CDA">
        <w:t>Questions on Notice</w:t>
      </w:r>
      <w:bookmarkEnd w:id="82"/>
    </w:p>
    <w:p w:rsidR="0020415F" w:rsidRPr="00873CDA" w:rsidRDefault="0020415F" w:rsidP="005F3356">
      <w:pPr>
        <w:pStyle w:val="Caption"/>
      </w:pPr>
      <w:r w:rsidRPr="00873CDA">
        <w:t xml:space="preserve">Questions taken on Notice </w:t>
      </w:r>
      <w:r w:rsidR="006655DF" w:rsidRPr="00873CDA">
        <w:t>– 5 November 2018</w:t>
      </w:r>
    </w:p>
    <w:tbl>
      <w:tblPr>
        <w:tblStyle w:val="CommitteeTable"/>
        <w:tblW w:w="9668" w:type="dxa"/>
        <w:tblInd w:w="108" w:type="dxa"/>
        <w:tblLook w:val="04A0" w:firstRow="1" w:lastRow="0" w:firstColumn="1" w:lastColumn="0" w:noHBand="0" w:noVBand="1"/>
      </w:tblPr>
      <w:tblGrid>
        <w:gridCol w:w="689"/>
        <w:gridCol w:w="1106"/>
        <w:gridCol w:w="1490"/>
        <w:gridCol w:w="2131"/>
        <w:gridCol w:w="4252"/>
      </w:tblGrid>
      <w:tr w:rsidR="00167B57" w:rsidRPr="00873CDA" w:rsidTr="001F640E">
        <w:trPr>
          <w:cnfStyle w:val="100000000000" w:firstRow="1" w:lastRow="0" w:firstColumn="0" w:lastColumn="0" w:oddVBand="0" w:evenVBand="0" w:oddHBand="0" w:evenHBand="0" w:firstRowFirstColumn="0" w:firstRowLastColumn="0" w:lastRowFirstColumn="0" w:lastRowLastColumn="0"/>
        </w:trPr>
        <w:tc>
          <w:tcPr>
            <w:tcW w:w="689" w:type="dxa"/>
          </w:tcPr>
          <w:p w:rsidR="00167B57" w:rsidRPr="00873CDA" w:rsidRDefault="00167B57" w:rsidP="001F640E">
            <w:pPr>
              <w:spacing w:after="80" w:line="240" w:lineRule="auto"/>
              <w:rPr>
                <w:rFonts w:ascii="Arial Narrow" w:hAnsi="Arial Narrow"/>
              </w:rPr>
            </w:pPr>
            <w:r w:rsidRPr="00873CDA">
              <w:rPr>
                <w:rFonts w:ascii="Arial Narrow" w:hAnsi="Arial Narrow"/>
              </w:rPr>
              <w:t>N</w:t>
            </w:r>
            <w:bookmarkStart w:id="83" w:name="ColumnTitle_QToN1"/>
            <w:bookmarkEnd w:id="83"/>
            <w:r w:rsidRPr="00873CDA">
              <w:rPr>
                <w:rFonts w:ascii="Arial Narrow" w:hAnsi="Arial Narrow"/>
              </w:rPr>
              <w:t>o.</w:t>
            </w:r>
          </w:p>
        </w:tc>
        <w:tc>
          <w:tcPr>
            <w:tcW w:w="1106" w:type="dxa"/>
          </w:tcPr>
          <w:p w:rsidR="00167B57" w:rsidRPr="00873CDA" w:rsidRDefault="00167B57" w:rsidP="001F640E">
            <w:pPr>
              <w:spacing w:after="80" w:line="240" w:lineRule="auto"/>
              <w:rPr>
                <w:rFonts w:ascii="Arial Narrow" w:hAnsi="Arial Narrow"/>
              </w:rPr>
            </w:pPr>
            <w:r w:rsidRPr="00873CDA">
              <w:rPr>
                <w:rFonts w:ascii="Arial Narrow" w:hAnsi="Arial Narrow"/>
              </w:rPr>
              <w:t>Hearing date</w:t>
            </w:r>
          </w:p>
        </w:tc>
        <w:tc>
          <w:tcPr>
            <w:tcW w:w="1490" w:type="dxa"/>
          </w:tcPr>
          <w:p w:rsidR="00167B57" w:rsidRPr="00873CDA" w:rsidRDefault="00167B57" w:rsidP="001F640E">
            <w:pPr>
              <w:spacing w:after="80" w:line="240" w:lineRule="auto"/>
              <w:rPr>
                <w:rFonts w:ascii="Arial Narrow" w:hAnsi="Arial Narrow"/>
              </w:rPr>
            </w:pPr>
            <w:r w:rsidRPr="00873CDA">
              <w:rPr>
                <w:rFonts w:ascii="Arial Narrow" w:hAnsi="Arial Narrow"/>
              </w:rPr>
              <w:t>Asked by</w:t>
            </w:r>
          </w:p>
        </w:tc>
        <w:tc>
          <w:tcPr>
            <w:tcW w:w="2131" w:type="dxa"/>
          </w:tcPr>
          <w:p w:rsidR="00167B57" w:rsidRPr="00873CDA" w:rsidRDefault="00167B57" w:rsidP="001F640E">
            <w:pPr>
              <w:spacing w:after="80" w:line="240" w:lineRule="auto"/>
              <w:rPr>
                <w:rFonts w:ascii="Arial Narrow" w:hAnsi="Arial Narrow"/>
              </w:rPr>
            </w:pPr>
            <w:r w:rsidRPr="00873CDA">
              <w:rPr>
                <w:rFonts w:ascii="Arial Narrow" w:hAnsi="Arial Narrow"/>
              </w:rPr>
              <w:t>Directorate/</w:t>
            </w:r>
            <w:r w:rsidRPr="00873CDA">
              <w:rPr>
                <w:rFonts w:ascii="Arial Narrow" w:hAnsi="Arial Narrow"/>
              </w:rPr>
              <w:br/>
              <w:t>Portfolio</w:t>
            </w:r>
          </w:p>
        </w:tc>
        <w:tc>
          <w:tcPr>
            <w:tcW w:w="4252" w:type="dxa"/>
          </w:tcPr>
          <w:p w:rsidR="00167B57" w:rsidRPr="00873CDA" w:rsidRDefault="00167B57" w:rsidP="001F640E">
            <w:pPr>
              <w:spacing w:after="80" w:line="240" w:lineRule="auto"/>
              <w:rPr>
                <w:rFonts w:ascii="Arial Narrow" w:hAnsi="Arial Narrow"/>
              </w:rPr>
            </w:pPr>
            <w:r w:rsidRPr="00873CDA">
              <w:rPr>
                <w:rFonts w:ascii="Arial Narrow" w:hAnsi="Arial Narrow"/>
              </w:rPr>
              <w:t>Subject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Height w:val="989"/>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1</w:t>
            </w:r>
          </w:p>
        </w:tc>
        <w:tc>
          <w:tcPr>
            <w:tcW w:w="1106" w:type="dxa"/>
            <w:vAlign w:val="top"/>
          </w:tcPr>
          <w:p w:rsidR="00167B57" w:rsidRPr="00873CDA" w:rsidRDefault="00167B57" w:rsidP="001F640E">
            <w:pPr>
              <w:spacing w:line="240" w:lineRule="auto"/>
              <w:rPr>
                <w:rFonts w:cs="Calibri"/>
                <w:bCs/>
                <w:szCs w:val="22"/>
              </w:rPr>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Hanson</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When Treasurer first became aware of delays in Gundaroo Drive project?</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2</w:t>
            </w:r>
          </w:p>
        </w:tc>
        <w:tc>
          <w:tcPr>
            <w:tcW w:w="1106" w:type="dxa"/>
            <w:vAlign w:val="top"/>
          </w:tcPr>
          <w:p w:rsidR="00167B57" w:rsidRPr="00873CDA" w:rsidRDefault="00167B57" w:rsidP="001F640E">
            <w:pPr>
              <w:spacing w:line="240" w:lineRule="auto"/>
              <w:rPr>
                <w:rFonts w:cs="Calibri"/>
                <w:bCs/>
                <w:szCs w:val="22"/>
              </w:rPr>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Hanson</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When was Treasurer advised that Gundaroo Drive project was to be audited?</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3</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Treasurer (referred to Planning)</w:t>
            </w:r>
          </w:p>
        </w:tc>
        <w:tc>
          <w:tcPr>
            <w:tcW w:w="4252" w:type="dxa"/>
            <w:vAlign w:val="top"/>
          </w:tcPr>
          <w:p w:rsidR="00167B57" w:rsidRPr="00873CDA" w:rsidRDefault="00167B57" w:rsidP="001F640E">
            <w:pPr>
              <w:spacing w:line="240" w:lineRule="auto"/>
              <w:rPr>
                <w:szCs w:val="22"/>
              </w:rPr>
            </w:pPr>
            <w:r w:rsidRPr="00873CDA">
              <w:rPr>
                <w:szCs w:val="22"/>
              </w:rPr>
              <w:t>Status of Kingston railway station upgrades</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4</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Milligan</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szCs w:val="22"/>
              </w:rPr>
            </w:pPr>
            <w:r w:rsidRPr="00873CDA">
              <w:rPr>
                <w:szCs w:val="22"/>
              </w:rPr>
              <w:t>Most common complaint on GIO Stadium match day experience and could it be improved?</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5</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How many meetings has the light rail steering committee had?</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6</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Exact date steering committee informed light rail project was running late.</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7</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How will the final level of monthly availability payments for light rail be communicated to the public?</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8</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Does the constructor have equity in the light rail consortium?</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9</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Le Couteur</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CMTEDD</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Are there any other proposals within directorates to use participative budgeting?</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10</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Le Couteur</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CMTEDD</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Is Better Suburbs for TCCS going to have a participatory budgeting element?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11</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CMTEDD</w:t>
            </w:r>
          </w:p>
        </w:tc>
        <w:tc>
          <w:tcPr>
            <w:tcW w:w="4252" w:type="dxa"/>
            <w:vAlign w:val="top"/>
          </w:tcPr>
          <w:p w:rsidR="00167B57" w:rsidRPr="00873CDA" w:rsidRDefault="00167B57" w:rsidP="001F640E">
            <w:pPr>
              <w:spacing w:line="240" w:lineRule="auto"/>
              <w:rPr>
                <w:szCs w:val="22"/>
              </w:rPr>
            </w:pPr>
            <w:r w:rsidRPr="00873CDA">
              <w:rPr>
                <w:szCs w:val="22"/>
              </w:rPr>
              <w:t>Why has the notified value of the contract for the creative services panel gone from $30 million to $50 million?</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lastRenderedPageBreak/>
              <w:t>12</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CMTEDD</w:t>
            </w:r>
          </w:p>
        </w:tc>
        <w:tc>
          <w:tcPr>
            <w:tcW w:w="4252" w:type="dxa"/>
            <w:vAlign w:val="top"/>
          </w:tcPr>
          <w:p w:rsidR="00167B57" w:rsidRPr="00873CDA" w:rsidRDefault="00167B57" w:rsidP="001F640E">
            <w:pPr>
              <w:spacing w:line="240" w:lineRule="auto"/>
              <w:rPr>
                <w:szCs w:val="22"/>
              </w:rPr>
            </w:pPr>
            <w:r w:rsidRPr="00873CDA">
              <w:rPr>
                <w:szCs w:val="22"/>
              </w:rPr>
              <w:t>Why did the value of the creative services panel increase following the execution date of the panel?</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13</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CMTEDD</w:t>
            </w:r>
          </w:p>
        </w:tc>
        <w:tc>
          <w:tcPr>
            <w:tcW w:w="4252" w:type="dxa"/>
            <w:vAlign w:val="top"/>
          </w:tcPr>
          <w:p w:rsidR="00167B57" w:rsidRPr="00873CDA" w:rsidRDefault="00167B57" w:rsidP="001F640E">
            <w:pPr>
              <w:spacing w:line="240" w:lineRule="auto"/>
              <w:rPr>
                <w:szCs w:val="22"/>
              </w:rPr>
            </w:pPr>
            <w:r w:rsidRPr="00873CDA">
              <w:rPr>
                <w:szCs w:val="22"/>
              </w:rPr>
              <w:t>Did the Chief Minister authorise this increased expenditure on the creative services panel?</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14</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CMTEDD</w:t>
            </w:r>
          </w:p>
        </w:tc>
        <w:tc>
          <w:tcPr>
            <w:tcW w:w="4252" w:type="dxa"/>
            <w:vAlign w:val="top"/>
          </w:tcPr>
          <w:p w:rsidR="00167B57" w:rsidRPr="00873CDA" w:rsidRDefault="00167B57" w:rsidP="001F640E">
            <w:pPr>
              <w:spacing w:line="240" w:lineRule="auto"/>
              <w:rPr>
                <w:szCs w:val="22"/>
              </w:rPr>
            </w:pPr>
            <w:r w:rsidRPr="00873CDA">
              <w:rPr>
                <w:szCs w:val="22"/>
              </w:rPr>
              <w:t>Regarding expenditure on the creative services panel what amount has gone through the campaign reviewer and what amount has not?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15</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tabs>
                <w:tab w:val="left" w:pos="336"/>
                <w:tab w:val="center" w:pos="514"/>
              </w:tabs>
              <w:spacing w:line="240" w:lineRule="auto"/>
              <w:rPr>
                <w:rFonts w:cs="Calibri"/>
                <w:bCs/>
                <w:szCs w:val="22"/>
              </w:rPr>
            </w:pPr>
            <w:r w:rsidRPr="00873CDA">
              <w:rPr>
                <w:rFonts w:cs="Calibri"/>
                <w:bCs/>
                <w:szCs w:val="22"/>
              </w:rPr>
              <w:t>Hanson</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EDD</w:t>
            </w:r>
          </w:p>
        </w:tc>
        <w:tc>
          <w:tcPr>
            <w:tcW w:w="4252" w:type="dxa"/>
            <w:vAlign w:val="top"/>
          </w:tcPr>
          <w:p w:rsidR="00167B57" w:rsidRPr="00873CDA" w:rsidRDefault="00167B57" w:rsidP="001F640E">
            <w:pPr>
              <w:pStyle w:val="ListParagraph"/>
              <w:spacing w:after="0" w:line="240" w:lineRule="auto"/>
              <w:ind w:left="0"/>
            </w:pPr>
            <w:r w:rsidRPr="00873CDA">
              <w:t>Can you supply a fuller summary of what the Commissioner for International Engagement does?</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16</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EDD (redirected to Health)</w:t>
            </w:r>
          </w:p>
        </w:tc>
        <w:tc>
          <w:tcPr>
            <w:tcW w:w="4252" w:type="dxa"/>
            <w:vAlign w:val="top"/>
          </w:tcPr>
          <w:p w:rsidR="00167B57" w:rsidRPr="00873CDA" w:rsidRDefault="00167B57" w:rsidP="001F640E">
            <w:pPr>
              <w:pStyle w:val="ListParagraph"/>
              <w:spacing w:after="0" w:line="240" w:lineRule="auto"/>
              <w:ind w:left="0"/>
            </w:pPr>
            <w:r w:rsidRPr="00873CDA">
              <w:t xml:space="preserve">What is the budget for Healthy and Active Living? How many people work on it? </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17</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EDD</w:t>
            </w:r>
          </w:p>
        </w:tc>
        <w:tc>
          <w:tcPr>
            <w:tcW w:w="4252" w:type="dxa"/>
            <w:vAlign w:val="top"/>
          </w:tcPr>
          <w:p w:rsidR="00167B57" w:rsidRPr="00873CDA" w:rsidRDefault="00167B57" w:rsidP="001F640E">
            <w:pPr>
              <w:pStyle w:val="ListParagraph"/>
              <w:spacing w:after="0" w:line="240" w:lineRule="auto"/>
              <w:ind w:left="0"/>
            </w:pPr>
            <w:r w:rsidRPr="00873CDA">
              <w:t>Is the Healthy and Active Living budget bigger than Study Canberra’s budget?</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18</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Cheyne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EDD</w:t>
            </w:r>
          </w:p>
        </w:tc>
        <w:tc>
          <w:tcPr>
            <w:tcW w:w="4252" w:type="dxa"/>
            <w:vAlign w:val="top"/>
          </w:tcPr>
          <w:p w:rsidR="00167B57" w:rsidRPr="00873CDA" w:rsidRDefault="00167B57" w:rsidP="001F640E">
            <w:pPr>
              <w:spacing w:line="240" w:lineRule="auto"/>
              <w:rPr>
                <w:szCs w:val="22"/>
              </w:rPr>
            </w:pPr>
            <w:r w:rsidRPr="00873CDA">
              <w:rPr>
                <w:szCs w:val="22"/>
              </w:rPr>
              <w:t>Did we do any surveys about how many Canberrans were aware that we had received the Lonely Planet accolade?</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19</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Wall</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EDD</w:t>
            </w:r>
          </w:p>
        </w:tc>
        <w:tc>
          <w:tcPr>
            <w:tcW w:w="4252" w:type="dxa"/>
            <w:vAlign w:val="top"/>
          </w:tcPr>
          <w:p w:rsidR="00167B57" w:rsidRPr="00873CDA" w:rsidRDefault="00167B57" w:rsidP="001F640E">
            <w:pPr>
              <w:spacing w:line="240" w:lineRule="auto"/>
              <w:rPr>
                <w:szCs w:val="22"/>
              </w:rPr>
            </w:pPr>
            <w:r w:rsidRPr="00873CDA">
              <w:rPr>
                <w:szCs w:val="22"/>
              </w:rPr>
              <w:t xml:space="preserve">Has Protiviti been engaged for any work within CMTEDD outside the Floriade audit and work on the Skills Canberra budget? </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20</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Wall</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EDD</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For Nightfest ticket sales, what is the breakdown for local purchasers versus visitors?</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21</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Procurement Board</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Why were the Riverview development contracts not on the radar of the Procurement Board?</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22</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Procurement Board</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The role of the Procurement Board in relation to the Dickson Tradies Club land swap and what they are doing about the Auditor-General recommendations made to the Procurement Board?</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lastRenderedPageBreak/>
              <w:t>23</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31" w:type="dxa"/>
            <w:vAlign w:val="top"/>
          </w:tcPr>
          <w:p w:rsidR="00167B57" w:rsidRPr="00873CDA" w:rsidRDefault="00167B57" w:rsidP="001F640E">
            <w:pPr>
              <w:spacing w:line="240" w:lineRule="auto"/>
              <w:rPr>
                <w:color w:val="000000"/>
                <w:lang w:eastAsia="en-AU"/>
              </w:rPr>
            </w:pPr>
            <w:r w:rsidRPr="00873CDA">
              <w:rPr>
                <w:rFonts w:cs="Calibri"/>
                <w:bCs/>
                <w:szCs w:val="22"/>
              </w:rPr>
              <w:t>Procurement Board</w:t>
            </w:r>
          </w:p>
        </w:tc>
        <w:tc>
          <w:tcPr>
            <w:tcW w:w="4252" w:type="dxa"/>
            <w:vAlign w:val="top"/>
          </w:tcPr>
          <w:p w:rsidR="00167B57" w:rsidRPr="00873CDA" w:rsidRDefault="00167B57" w:rsidP="001F640E">
            <w:pPr>
              <w:spacing w:line="240" w:lineRule="auto"/>
              <w:rPr>
                <w:color w:val="000000"/>
                <w:lang w:eastAsia="en-AU"/>
              </w:rPr>
            </w:pPr>
            <w:r w:rsidRPr="00873CDA">
              <w:rPr>
                <w:color w:val="000000"/>
                <w:lang w:eastAsia="en-AU"/>
              </w:rPr>
              <w:t>What is the role of the Procurement Board in relation to land purchases, and specifically the Riverview development?</w:t>
            </w:r>
          </w:p>
        </w:tc>
      </w:tr>
      <w:tr w:rsidR="00167B57" w:rsidRPr="00873CDA" w:rsidTr="001F640E">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24</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Le Couteur</w:t>
            </w:r>
          </w:p>
        </w:tc>
        <w:tc>
          <w:tcPr>
            <w:tcW w:w="2131" w:type="dxa"/>
            <w:vAlign w:val="top"/>
          </w:tcPr>
          <w:p w:rsidR="00167B57" w:rsidRPr="00873CDA" w:rsidRDefault="00167B57" w:rsidP="001F640E">
            <w:pPr>
              <w:spacing w:line="240" w:lineRule="auto"/>
              <w:rPr>
                <w:color w:val="000000"/>
                <w:lang w:eastAsia="en-AU"/>
              </w:rPr>
            </w:pPr>
            <w:r w:rsidRPr="00873CDA">
              <w:rPr>
                <w:color w:val="000000"/>
                <w:lang w:eastAsia="en-AU"/>
              </w:rPr>
              <w:t>EPSDD</w:t>
            </w:r>
          </w:p>
        </w:tc>
        <w:tc>
          <w:tcPr>
            <w:tcW w:w="4252" w:type="dxa"/>
            <w:vAlign w:val="top"/>
          </w:tcPr>
          <w:p w:rsidR="00167B57" w:rsidRPr="00873CDA" w:rsidRDefault="00167B57" w:rsidP="001F640E">
            <w:pPr>
              <w:spacing w:line="240" w:lineRule="auto"/>
              <w:rPr>
                <w:color w:val="000000"/>
                <w:lang w:eastAsia="en-AU"/>
              </w:rPr>
            </w:pPr>
            <w:r w:rsidRPr="00873CDA">
              <w:rPr>
                <w:color w:val="000000"/>
                <w:lang w:eastAsia="en-AU"/>
              </w:rPr>
              <w:t>Who is on the Woden community facilities working group?</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89" w:type="dxa"/>
            <w:vAlign w:val="top"/>
          </w:tcPr>
          <w:p w:rsidR="00167B57" w:rsidRPr="00873CDA" w:rsidRDefault="00167B57" w:rsidP="001F640E">
            <w:pPr>
              <w:spacing w:line="240" w:lineRule="auto"/>
              <w:rPr>
                <w:rFonts w:cs="Calibri"/>
                <w:bCs/>
                <w:szCs w:val="22"/>
              </w:rPr>
            </w:pPr>
            <w:r w:rsidRPr="00873CDA">
              <w:rPr>
                <w:rFonts w:cs="Calibri"/>
                <w:bCs/>
                <w:szCs w:val="22"/>
              </w:rPr>
              <w:t>25</w:t>
            </w:r>
          </w:p>
        </w:tc>
        <w:tc>
          <w:tcPr>
            <w:tcW w:w="1106" w:type="dxa"/>
            <w:vAlign w:val="top"/>
          </w:tcPr>
          <w:p w:rsidR="00167B57" w:rsidRPr="00873CDA" w:rsidRDefault="00167B57" w:rsidP="001F640E">
            <w:pPr>
              <w:spacing w:line="240" w:lineRule="auto"/>
            </w:pPr>
            <w:r w:rsidRPr="00873CDA">
              <w:rPr>
                <w:rFonts w:cs="Calibri"/>
                <w:bCs/>
                <w:szCs w:val="22"/>
              </w:rPr>
              <w:t>5/11/18</w:t>
            </w:r>
          </w:p>
        </w:tc>
        <w:tc>
          <w:tcPr>
            <w:tcW w:w="1490" w:type="dxa"/>
            <w:vAlign w:val="top"/>
          </w:tcPr>
          <w:p w:rsidR="00167B57" w:rsidRPr="00873CDA" w:rsidRDefault="00167B57" w:rsidP="001F640E">
            <w:pPr>
              <w:spacing w:line="240" w:lineRule="auto"/>
              <w:rPr>
                <w:rFonts w:cs="Calibri"/>
                <w:bCs/>
                <w:szCs w:val="22"/>
              </w:rPr>
            </w:pPr>
            <w:r w:rsidRPr="00873CDA">
              <w:rPr>
                <w:rFonts w:cs="Calibri"/>
                <w:bCs/>
                <w:szCs w:val="22"/>
              </w:rPr>
              <w:t>Hanson</w:t>
            </w:r>
          </w:p>
        </w:tc>
        <w:tc>
          <w:tcPr>
            <w:tcW w:w="2131" w:type="dxa"/>
            <w:vAlign w:val="top"/>
          </w:tcPr>
          <w:p w:rsidR="00167B57" w:rsidRPr="00873CDA" w:rsidRDefault="00167B57" w:rsidP="001F640E">
            <w:pPr>
              <w:spacing w:line="240" w:lineRule="auto"/>
              <w:rPr>
                <w:rFonts w:cs="Calibri"/>
                <w:bCs/>
                <w:szCs w:val="22"/>
              </w:rPr>
            </w:pPr>
            <w:r w:rsidRPr="00873CDA">
              <w:rPr>
                <w:rFonts w:cs="Calibri"/>
                <w:bCs/>
                <w:szCs w:val="22"/>
              </w:rPr>
              <w:t>EPSDD/CMTEDD</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What happened to 2017 funding for work on a coordinated community facilities booking system?</w:t>
            </w:r>
          </w:p>
        </w:tc>
      </w:tr>
    </w:tbl>
    <w:bookmarkEnd w:id="78"/>
    <w:bookmarkEnd w:id="79"/>
    <w:bookmarkEnd w:id="80"/>
    <w:bookmarkEnd w:id="81"/>
    <w:p w:rsidR="009F2BEB" w:rsidRPr="00873CDA" w:rsidRDefault="009F2BEB" w:rsidP="005F3356">
      <w:pPr>
        <w:pStyle w:val="Caption"/>
      </w:pPr>
      <w:r w:rsidRPr="00873CDA">
        <w:t>Questions</w:t>
      </w:r>
      <w:r w:rsidR="006655DF" w:rsidRPr="00873CDA">
        <w:t xml:space="preserve"> taken on Notice – 7 November 2018</w:t>
      </w:r>
    </w:p>
    <w:tbl>
      <w:tblPr>
        <w:tblStyle w:val="CommitteeTable"/>
        <w:tblW w:w="9668" w:type="dxa"/>
        <w:tblInd w:w="108" w:type="dxa"/>
        <w:tblLook w:val="04A0" w:firstRow="1" w:lastRow="0" w:firstColumn="1" w:lastColumn="0" w:noHBand="0" w:noVBand="1"/>
      </w:tblPr>
      <w:tblGrid>
        <w:gridCol w:w="691"/>
        <w:gridCol w:w="1108"/>
        <w:gridCol w:w="1498"/>
        <w:gridCol w:w="2119"/>
        <w:gridCol w:w="4252"/>
      </w:tblGrid>
      <w:tr w:rsidR="00167B57" w:rsidRPr="00873CDA" w:rsidTr="001F640E">
        <w:trPr>
          <w:cnfStyle w:val="100000000000" w:firstRow="1" w:lastRow="0" w:firstColumn="0" w:lastColumn="0" w:oddVBand="0" w:evenVBand="0" w:oddHBand="0" w:evenHBand="0" w:firstRowFirstColumn="0" w:firstRowLastColumn="0" w:lastRowFirstColumn="0" w:lastRowLastColumn="0"/>
        </w:trPr>
        <w:tc>
          <w:tcPr>
            <w:tcW w:w="691" w:type="dxa"/>
          </w:tcPr>
          <w:p w:rsidR="00167B57" w:rsidRPr="00873CDA" w:rsidRDefault="00167B57" w:rsidP="001F640E">
            <w:pPr>
              <w:spacing w:after="80" w:line="240" w:lineRule="auto"/>
              <w:rPr>
                <w:rFonts w:ascii="Arial Narrow" w:hAnsi="Arial Narrow"/>
              </w:rPr>
            </w:pPr>
            <w:r w:rsidRPr="00873CDA">
              <w:rPr>
                <w:rFonts w:ascii="Arial Narrow" w:hAnsi="Arial Narrow"/>
              </w:rPr>
              <w:t>No</w:t>
            </w:r>
            <w:bookmarkStart w:id="84" w:name="ColumnTitle_QToN2"/>
            <w:bookmarkEnd w:id="84"/>
            <w:r w:rsidRPr="00873CDA">
              <w:rPr>
                <w:rFonts w:ascii="Arial Narrow" w:hAnsi="Arial Narrow"/>
              </w:rPr>
              <w:t>.</w:t>
            </w:r>
          </w:p>
        </w:tc>
        <w:tc>
          <w:tcPr>
            <w:tcW w:w="1108" w:type="dxa"/>
          </w:tcPr>
          <w:p w:rsidR="00167B57" w:rsidRPr="00873CDA" w:rsidRDefault="00167B57" w:rsidP="001F640E">
            <w:pPr>
              <w:spacing w:after="80" w:line="240" w:lineRule="auto"/>
              <w:rPr>
                <w:rFonts w:ascii="Arial Narrow" w:hAnsi="Arial Narrow"/>
              </w:rPr>
            </w:pPr>
            <w:r w:rsidRPr="00873CDA">
              <w:rPr>
                <w:rFonts w:ascii="Arial Narrow" w:hAnsi="Arial Narrow"/>
              </w:rPr>
              <w:t>Hearing date</w:t>
            </w:r>
          </w:p>
        </w:tc>
        <w:tc>
          <w:tcPr>
            <w:tcW w:w="1498" w:type="dxa"/>
          </w:tcPr>
          <w:p w:rsidR="00167B57" w:rsidRPr="00873CDA" w:rsidRDefault="00167B57" w:rsidP="001F640E">
            <w:pPr>
              <w:spacing w:after="80" w:line="240" w:lineRule="auto"/>
              <w:rPr>
                <w:rFonts w:ascii="Arial Narrow" w:hAnsi="Arial Narrow"/>
              </w:rPr>
            </w:pPr>
            <w:r w:rsidRPr="00873CDA">
              <w:rPr>
                <w:rFonts w:ascii="Arial Narrow" w:hAnsi="Arial Narrow"/>
              </w:rPr>
              <w:t>Asked by</w:t>
            </w:r>
          </w:p>
        </w:tc>
        <w:tc>
          <w:tcPr>
            <w:tcW w:w="2119" w:type="dxa"/>
          </w:tcPr>
          <w:p w:rsidR="00167B57" w:rsidRPr="00873CDA" w:rsidRDefault="00167B57" w:rsidP="001F640E">
            <w:pPr>
              <w:spacing w:after="80" w:line="240" w:lineRule="auto"/>
              <w:rPr>
                <w:rFonts w:ascii="Arial Narrow" w:hAnsi="Arial Narrow"/>
              </w:rPr>
            </w:pPr>
            <w:r w:rsidRPr="00873CDA">
              <w:rPr>
                <w:rFonts w:ascii="Arial Narrow" w:hAnsi="Arial Narrow"/>
              </w:rPr>
              <w:t>Directorate/</w:t>
            </w:r>
            <w:r w:rsidRPr="00873CDA">
              <w:rPr>
                <w:rFonts w:ascii="Arial Narrow" w:hAnsi="Arial Narrow"/>
              </w:rPr>
              <w:br/>
              <w:t>Portfolio</w:t>
            </w:r>
          </w:p>
        </w:tc>
        <w:tc>
          <w:tcPr>
            <w:tcW w:w="4252" w:type="dxa"/>
          </w:tcPr>
          <w:p w:rsidR="00167B57" w:rsidRPr="00873CDA" w:rsidRDefault="00167B57" w:rsidP="001F640E">
            <w:pPr>
              <w:spacing w:after="80" w:line="240" w:lineRule="auto"/>
              <w:rPr>
                <w:rFonts w:ascii="Arial Narrow" w:hAnsi="Arial Narrow"/>
              </w:rPr>
            </w:pPr>
            <w:r w:rsidRPr="00873CDA">
              <w:rPr>
                <w:rFonts w:ascii="Arial Narrow" w:hAnsi="Arial Narrow"/>
              </w:rPr>
              <w:t>Subject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w:t>
            </w:r>
          </w:p>
        </w:tc>
        <w:tc>
          <w:tcPr>
            <w:tcW w:w="1108" w:type="dxa"/>
            <w:vAlign w:val="top"/>
          </w:tcPr>
          <w:p w:rsidR="00167B57" w:rsidRPr="00873CDA" w:rsidRDefault="00167B57" w:rsidP="001F640E">
            <w:pPr>
              <w:spacing w:line="240" w:lineRule="auto"/>
              <w:rPr>
                <w:rFonts w:cs="Calibri"/>
                <w:bCs/>
                <w:szCs w:val="22"/>
              </w:rPr>
            </w:pPr>
            <w:r w:rsidRPr="00873CDA">
              <w:rPr>
                <w:rFonts w:cs="Calibri"/>
                <w:bCs/>
                <w:szCs w:val="22"/>
              </w:rPr>
              <w:t>7/11/18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Cody</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EPSDD</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Breakdown of EPSDD staff profile: casual/part-time/full-time; gender, aboriginal and Torres Strait Islander, disability (see transcript for full list)</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w:t>
            </w:r>
          </w:p>
        </w:tc>
        <w:tc>
          <w:tcPr>
            <w:tcW w:w="1108" w:type="dxa"/>
            <w:vAlign w:val="top"/>
          </w:tcPr>
          <w:p w:rsidR="00167B57" w:rsidRPr="00873CDA" w:rsidRDefault="00167B57" w:rsidP="001F640E">
            <w:pPr>
              <w:spacing w:line="240" w:lineRule="auto"/>
              <w:rPr>
                <w:rFonts w:cs="Calibri"/>
                <w:bCs/>
                <w:szCs w:val="22"/>
              </w:rPr>
            </w:pPr>
            <w:r w:rsidRPr="00873CDA">
              <w:rPr>
                <w:rFonts w:cs="Calibri"/>
                <w:bCs/>
                <w:szCs w:val="22"/>
              </w:rPr>
              <w:t>7/11/18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Hanson</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Arts ACT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The number of arts residencies provided by each of the 5 participating organisations and for what.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w:t>
            </w:r>
          </w:p>
        </w:tc>
        <w:tc>
          <w:tcPr>
            <w:tcW w:w="1108" w:type="dxa"/>
            <w:vAlign w:val="top"/>
          </w:tcPr>
          <w:p w:rsidR="00167B57" w:rsidRPr="00873CDA" w:rsidRDefault="00167B57" w:rsidP="001F640E">
            <w:pPr>
              <w:spacing w:line="240" w:lineRule="auto"/>
              <w:rPr>
                <w:rFonts w:cs="Calibri"/>
                <w:bCs/>
                <w:szCs w:val="22"/>
              </w:rPr>
            </w:pPr>
            <w:r w:rsidRPr="00873CDA">
              <w:rPr>
                <w:rFonts w:cs="Calibri"/>
                <w:bCs/>
                <w:szCs w:val="22"/>
              </w:rPr>
              <w:t>7/11/18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Le Couteur</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Arts ACT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Update on energy efficiency upgrades in the five arts facilities provided for in the budget.</w:t>
            </w:r>
          </w:p>
        </w:tc>
      </w:tr>
    </w:tbl>
    <w:p w:rsidR="009F2BEB" w:rsidRPr="00873CDA" w:rsidRDefault="009F2BEB" w:rsidP="005F3356">
      <w:pPr>
        <w:pStyle w:val="Caption"/>
      </w:pPr>
      <w:r w:rsidRPr="00873CDA">
        <w:t>Que</w:t>
      </w:r>
      <w:r w:rsidR="006655DF" w:rsidRPr="00873CDA">
        <w:t>stions on Notice – 5 November 2018</w:t>
      </w:r>
    </w:p>
    <w:tbl>
      <w:tblPr>
        <w:tblStyle w:val="CommitteeTable"/>
        <w:tblW w:w="9668" w:type="dxa"/>
        <w:tblInd w:w="108" w:type="dxa"/>
        <w:tblLook w:val="04A0" w:firstRow="1" w:lastRow="0" w:firstColumn="1" w:lastColumn="0" w:noHBand="0" w:noVBand="1"/>
      </w:tblPr>
      <w:tblGrid>
        <w:gridCol w:w="691"/>
        <w:gridCol w:w="1108"/>
        <w:gridCol w:w="1498"/>
        <w:gridCol w:w="2119"/>
        <w:gridCol w:w="4252"/>
      </w:tblGrid>
      <w:tr w:rsidR="00167B57" w:rsidRPr="00873CDA" w:rsidTr="001F640E">
        <w:trPr>
          <w:cnfStyle w:val="100000000000" w:firstRow="1" w:lastRow="0" w:firstColumn="0" w:lastColumn="0" w:oddVBand="0" w:evenVBand="0" w:oddHBand="0" w:evenHBand="0" w:firstRowFirstColumn="0" w:firstRowLastColumn="0" w:lastRowFirstColumn="0" w:lastRowLastColumn="0"/>
        </w:trPr>
        <w:tc>
          <w:tcPr>
            <w:tcW w:w="691" w:type="dxa"/>
          </w:tcPr>
          <w:p w:rsidR="00167B57" w:rsidRPr="00873CDA" w:rsidRDefault="00167B57" w:rsidP="001F640E">
            <w:pPr>
              <w:spacing w:after="80" w:line="240" w:lineRule="auto"/>
              <w:rPr>
                <w:rFonts w:ascii="Arial Narrow" w:hAnsi="Arial Narrow"/>
              </w:rPr>
            </w:pPr>
            <w:r w:rsidRPr="00873CDA">
              <w:rPr>
                <w:rFonts w:ascii="Arial Narrow" w:hAnsi="Arial Narrow"/>
              </w:rPr>
              <w:t>N</w:t>
            </w:r>
            <w:bookmarkStart w:id="85" w:name="ColumnTitle_QoN1"/>
            <w:bookmarkEnd w:id="85"/>
            <w:r w:rsidRPr="00873CDA">
              <w:rPr>
                <w:rFonts w:ascii="Arial Narrow" w:hAnsi="Arial Narrow"/>
              </w:rPr>
              <w:t>o.</w:t>
            </w:r>
          </w:p>
        </w:tc>
        <w:tc>
          <w:tcPr>
            <w:tcW w:w="1108" w:type="dxa"/>
          </w:tcPr>
          <w:p w:rsidR="00167B57" w:rsidRPr="00873CDA" w:rsidRDefault="00167B57" w:rsidP="001F640E">
            <w:pPr>
              <w:spacing w:after="80" w:line="240" w:lineRule="auto"/>
              <w:rPr>
                <w:rFonts w:ascii="Arial Narrow" w:hAnsi="Arial Narrow"/>
              </w:rPr>
            </w:pPr>
            <w:r w:rsidRPr="00873CDA">
              <w:rPr>
                <w:rFonts w:ascii="Arial Narrow" w:hAnsi="Arial Narrow"/>
              </w:rPr>
              <w:t>Hearing date</w:t>
            </w:r>
          </w:p>
        </w:tc>
        <w:tc>
          <w:tcPr>
            <w:tcW w:w="1498" w:type="dxa"/>
          </w:tcPr>
          <w:p w:rsidR="00167B57" w:rsidRPr="00873CDA" w:rsidRDefault="00167B57" w:rsidP="001F640E">
            <w:pPr>
              <w:spacing w:after="80" w:line="240" w:lineRule="auto"/>
              <w:rPr>
                <w:rFonts w:ascii="Arial Narrow" w:hAnsi="Arial Narrow"/>
              </w:rPr>
            </w:pPr>
            <w:r w:rsidRPr="00873CDA">
              <w:rPr>
                <w:rFonts w:ascii="Arial Narrow" w:hAnsi="Arial Narrow"/>
              </w:rPr>
              <w:t>Asked by</w:t>
            </w:r>
          </w:p>
        </w:tc>
        <w:tc>
          <w:tcPr>
            <w:tcW w:w="2119" w:type="dxa"/>
          </w:tcPr>
          <w:p w:rsidR="00167B57" w:rsidRPr="00873CDA" w:rsidRDefault="00167B57" w:rsidP="001F640E">
            <w:pPr>
              <w:spacing w:after="80" w:line="240" w:lineRule="auto"/>
              <w:rPr>
                <w:rFonts w:ascii="Arial Narrow" w:hAnsi="Arial Narrow"/>
              </w:rPr>
            </w:pPr>
            <w:r w:rsidRPr="00873CDA">
              <w:rPr>
                <w:rFonts w:ascii="Arial Narrow" w:hAnsi="Arial Narrow"/>
              </w:rPr>
              <w:t>Directorate/</w:t>
            </w:r>
            <w:r w:rsidRPr="00873CDA">
              <w:rPr>
                <w:rFonts w:ascii="Arial Narrow" w:hAnsi="Arial Narrow"/>
              </w:rPr>
              <w:br/>
              <w:t>Portfolio</w:t>
            </w:r>
          </w:p>
        </w:tc>
        <w:tc>
          <w:tcPr>
            <w:tcW w:w="4252" w:type="dxa"/>
          </w:tcPr>
          <w:p w:rsidR="00167B57" w:rsidRPr="00873CDA" w:rsidRDefault="00167B57" w:rsidP="001F640E">
            <w:pPr>
              <w:spacing w:after="80" w:line="240" w:lineRule="auto"/>
              <w:rPr>
                <w:rFonts w:ascii="Arial Narrow" w:hAnsi="Arial Narrow"/>
              </w:rPr>
            </w:pPr>
            <w:r w:rsidRPr="00873CDA">
              <w:rPr>
                <w:rFonts w:ascii="Arial Narrow" w:hAnsi="Arial Narrow"/>
              </w:rPr>
              <w:t>Subject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w:t>
            </w:r>
          </w:p>
        </w:tc>
        <w:tc>
          <w:tcPr>
            <w:tcW w:w="1108" w:type="dxa"/>
            <w:vAlign w:val="top"/>
          </w:tcPr>
          <w:p w:rsidR="00167B57" w:rsidRPr="00873CDA" w:rsidRDefault="00167B57" w:rsidP="001F640E">
            <w:pPr>
              <w:spacing w:line="240" w:lineRule="auto"/>
              <w:rPr>
                <w:rFonts w:cs="Calibri"/>
                <w:bCs/>
                <w:szCs w:val="22"/>
              </w:rPr>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Milligan</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GIO Stadium</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w:t>
            </w:r>
          </w:p>
        </w:tc>
        <w:tc>
          <w:tcPr>
            <w:tcW w:w="1108" w:type="dxa"/>
            <w:vAlign w:val="top"/>
          </w:tcPr>
          <w:p w:rsidR="00167B57" w:rsidRPr="00873CDA" w:rsidRDefault="00167B57" w:rsidP="001F640E">
            <w:pPr>
              <w:spacing w:line="240" w:lineRule="auto"/>
              <w:rPr>
                <w:rFonts w:cs="Calibri"/>
                <w:bCs/>
                <w:szCs w:val="22"/>
              </w:rPr>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Milligan</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Manuka Oval</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Milligan</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 xml:space="preserve">Treasurer </w:t>
            </w:r>
          </w:p>
        </w:tc>
        <w:tc>
          <w:tcPr>
            <w:tcW w:w="4252" w:type="dxa"/>
            <w:vAlign w:val="top"/>
          </w:tcPr>
          <w:p w:rsidR="00167B57" w:rsidRPr="00873CDA" w:rsidRDefault="00167B57" w:rsidP="001F640E">
            <w:pPr>
              <w:spacing w:line="240" w:lineRule="auto"/>
              <w:rPr>
                <w:szCs w:val="22"/>
              </w:rPr>
            </w:pPr>
            <w:r w:rsidRPr="00873CDA">
              <w:rPr>
                <w:szCs w:val="22"/>
              </w:rPr>
              <w:t>Stromlo</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4</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Le Couteur</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Community Services and Facilities</w:t>
            </w:r>
          </w:p>
        </w:tc>
        <w:tc>
          <w:tcPr>
            <w:tcW w:w="4252" w:type="dxa"/>
            <w:vAlign w:val="top"/>
          </w:tcPr>
          <w:p w:rsidR="00167B57" w:rsidRPr="00873CDA" w:rsidRDefault="00167B57" w:rsidP="001F640E">
            <w:pPr>
              <w:spacing w:line="240" w:lineRule="auto"/>
              <w:rPr>
                <w:szCs w:val="22"/>
              </w:rPr>
            </w:pPr>
            <w:r w:rsidRPr="00873CDA">
              <w:rPr>
                <w:szCs w:val="22"/>
              </w:rPr>
              <w:t>Peppercorn rents</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lastRenderedPageBreak/>
              <w:t>5</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Wall</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Tourism And Special Events</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Events ACT staff</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6</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Wall</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Tourism And Special Events</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Events ACT staff training</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7</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Wall</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Trade, Industry and Investment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Local Industry Participation Policy</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8</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Wall</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Trade, Industry and Investment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Local Industry Advocate</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9</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Cody</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Chief Minister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CMTEDD Staff</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10</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Chief Minister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Operating Statement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11</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Chief Minister</w:t>
            </w:r>
          </w:p>
        </w:tc>
        <w:tc>
          <w:tcPr>
            <w:tcW w:w="4252" w:type="dxa"/>
            <w:vAlign w:val="top"/>
          </w:tcPr>
          <w:p w:rsidR="00167B57" w:rsidRPr="00873CDA" w:rsidRDefault="00167B57" w:rsidP="001F640E">
            <w:pPr>
              <w:spacing w:line="240" w:lineRule="auto"/>
              <w:rPr>
                <w:szCs w:val="22"/>
              </w:rPr>
            </w:pPr>
            <w:r w:rsidRPr="00873CDA">
              <w:rPr>
                <w:szCs w:val="22"/>
              </w:rPr>
              <w:t>Director of Territory Records</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12</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szCs w:val="22"/>
              </w:rPr>
            </w:pPr>
            <w:r w:rsidRPr="00873CDA">
              <w:rPr>
                <w:szCs w:val="22"/>
              </w:rPr>
              <w:t>Procurement complaints</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13</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szCs w:val="22"/>
              </w:rPr>
            </w:pPr>
            <w:r w:rsidRPr="00873CDA">
              <w:rPr>
                <w:szCs w:val="22"/>
              </w:rPr>
              <w:t>Compliance with requirements for value of contracts on notifiable contracts register</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14</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szCs w:val="22"/>
              </w:rPr>
            </w:pPr>
            <w:r w:rsidRPr="00873CDA">
              <w:rPr>
                <w:szCs w:val="22"/>
              </w:rPr>
              <w:t>Conflict of interests in procurement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15</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tabs>
                <w:tab w:val="left" w:pos="336"/>
                <w:tab w:val="center" w:pos="514"/>
              </w:tabs>
              <w:spacing w:line="240" w:lineRule="auto"/>
              <w:rPr>
                <w:rFonts w:cs="Calibri"/>
                <w:bCs/>
                <w:szCs w:val="22"/>
              </w:rPr>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Govt Services and Procurement</w:t>
            </w:r>
          </w:p>
        </w:tc>
        <w:tc>
          <w:tcPr>
            <w:tcW w:w="4252" w:type="dxa"/>
            <w:vAlign w:val="top"/>
          </w:tcPr>
          <w:p w:rsidR="00167B57" w:rsidRPr="00873CDA" w:rsidRDefault="00167B57" w:rsidP="001F640E">
            <w:pPr>
              <w:pStyle w:val="ListParagraph"/>
              <w:spacing w:after="0" w:line="240" w:lineRule="auto"/>
              <w:ind w:left="0"/>
            </w:pPr>
            <w:r w:rsidRPr="00873CDA">
              <w:t>Contractor Central contractors</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16</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Govt Services and Procurement</w:t>
            </w:r>
          </w:p>
        </w:tc>
        <w:tc>
          <w:tcPr>
            <w:tcW w:w="4252" w:type="dxa"/>
            <w:vAlign w:val="top"/>
          </w:tcPr>
          <w:p w:rsidR="00167B57" w:rsidRPr="00873CDA" w:rsidRDefault="00167B57" w:rsidP="001F640E">
            <w:pPr>
              <w:pStyle w:val="ListParagraph"/>
              <w:spacing w:after="0" w:line="240" w:lineRule="auto"/>
              <w:ind w:left="0"/>
            </w:pPr>
            <w:r w:rsidRPr="00873CDA">
              <w:t>Contractor Central guidelines or protocols</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17</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Govt Services and Procurement</w:t>
            </w:r>
          </w:p>
        </w:tc>
        <w:tc>
          <w:tcPr>
            <w:tcW w:w="4252" w:type="dxa"/>
            <w:vAlign w:val="top"/>
          </w:tcPr>
          <w:p w:rsidR="00167B57" w:rsidRPr="00873CDA" w:rsidRDefault="00167B57" w:rsidP="001F640E">
            <w:pPr>
              <w:pStyle w:val="ListParagraph"/>
              <w:spacing w:after="0" w:line="240" w:lineRule="auto"/>
              <w:ind w:left="0"/>
            </w:pPr>
            <w:r w:rsidRPr="00873CDA">
              <w:t>Contractor Central savings and spending</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18</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szCs w:val="22"/>
              </w:rPr>
            </w:pPr>
            <w:r w:rsidRPr="00873CDA">
              <w:rPr>
                <w:szCs w:val="22"/>
              </w:rPr>
              <w:t>Contractor Central timeline</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19</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szCs w:val="22"/>
              </w:rPr>
            </w:pPr>
            <w:r w:rsidRPr="00873CDA">
              <w:rPr>
                <w:szCs w:val="22"/>
              </w:rPr>
              <w:t>Contractor Central auditing, tracking and reporting</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lastRenderedPageBreak/>
              <w:t>20</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Contracts Register</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21</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e-tendering</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22</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Linking contracts and invoices</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23</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color w:val="000000"/>
                <w:lang w:eastAsia="en-AU"/>
              </w:rPr>
            </w:pPr>
            <w:r w:rsidRPr="00873CDA">
              <w:rPr>
                <w:color w:val="000000"/>
                <w:lang w:eastAsia="en-AU"/>
              </w:rPr>
              <w:t>Notifiable invoices register</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24</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Govt Services and Procurement (redirected to SLA)</w:t>
            </w:r>
          </w:p>
        </w:tc>
        <w:tc>
          <w:tcPr>
            <w:tcW w:w="4252" w:type="dxa"/>
            <w:vAlign w:val="top"/>
          </w:tcPr>
          <w:p w:rsidR="00167B57" w:rsidRPr="00873CDA" w:rsidRDefault="00167B57" w:rsidP="001F640E">
            <w:pPr>
              <w:spacing w:line="240" w:lineRule="auto"/>
              <w:rPr>
                <w:color w:val="000000"/>
                <w:lang w:eastAsia="en-AU"/>
              </w:rPr>
            </w:pPr>
            <w:r w:rsidRPr="00873CDA">
              <w:rPr>
                <w:color w:val="000000"/>
                <w:lang w:eastAsia="en-AU"/>
              </w:rPr>
              <w:t>Riverview contracts</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25</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Whole of Government procurement compliance</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26</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Whole of Government procurement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27</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Govt Services and Procurement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Procurement Board follow-up</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28</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Govt Services and Procurement</w:t>
            </w:r>
          </w:p>
        </w:tc>
        <w:tc>
          <w:tcPr>
            <w:tcW w:w="4252" w:type="dxa"/>
            <w:vAlign w:val="top"/>
          </w:tcPr>
          <w:p w:rsidR="00167B57" w:rsidRPr="00873CDA" w:rsidRDefault="00167B57" w:rsidP="001F640E">
            <w:pPr>
              <w:tabs>
                <w:tab w:val="left" w:pos="1056"/>
              </w:tabs>
              <w:spacing w:line="240" w:lineRule="auto"/>
              <w:rPr>
                <w:rFonts w:cs="Calibri"/>
                <w:bCs/>
                <w:szCs w:val="22"/>
              </w:rPr>
            </w:pPr>
            <w:r w:rsidRPr="00873CDA">
              <w:rPr>
                <w:rFonts w:cs="Calibri"/>
                <w:bCs/>
                <w:szCs w:val="22"/>
              </w:rPr>
              <w:t>Procurement Board proposals considered</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29</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Tourism and Special Events/CM</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Lonely Planet advertising spend</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30</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Chief Minister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UC hospital advertising spend</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31</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Chief Minister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Centre of Data Excellence</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32</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Chief Minister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Health data</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33</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pPr>
            <w:r w:rsidRPr="00873CDA">
              <w:rPr>
                <w:rFonts w:cs="Calibri"/>
                <w:bCs/>
                <w:szCs w:val="22"/>
              </w:rPr>
              <w:t>Chief Minister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City Deals</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34</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Chief Minister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 xml:space="preserve">Review of </w:t>
            </w:r>
            <w:r w:rsidRPr="00873CDA">
              <w:rPr>
                <w:rFonts w:cs="Calibri"/>
                <w:bCs/>
                <w:i/>
                <w:szCs w:val="22"/>
              </w:rPr>
              <w:t>Land Titles Act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lastRenderedPageBreak/>
              <w:t>35</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Chief Minister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Behaviourally informed service and program design</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36</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Capital Works budget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37</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Courts Project</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38</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Light Rail</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39</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Treasurer</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Service Delivery Model</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40</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Trade, Industry and Investment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Business feedback</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41</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Trade, Industry and Investment (redirected Tourism)</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Flights between Hobart and Canberra</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42</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Trade, Industry and Investment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Innovation spending</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43</w:t>
            </w:r>
          </w:p>
        </w:tc>
        <w:tc>
          <w:tcPr>
            <w:tcW w:w="1108" w:type="dxa"/>
            <w:vAlign w:val="top"/>
          </w:tcPr>
          <w:p w:rsidR="00167B57" w:rsidRPr="00873CDA" w:rsidRDefault="00167B57" w:rsidP="001F640E">
            <w:pPr>
              <w:spacing w:line="240" w:lineRule="auto"/>
            </w:pPr>
            <w:r w:rsidRPr="00873CDA">
              <w:rPr>
                <w:rFonts w:cs="Calibri"/>
                <w:bCs/>
                <w:szCs w:val="22"/>
              </w:rPr>
              <w:t>5/11/18</w:t>
            </w:r>
          </w:p>
        </w:tc>
        <w:tc>
          <w:tcPr>
            <w:tcW w:w="1498" w:type="dxa"/>
            <w:vAlign w:val="top"/>
          </w:tcPr>
          <w:p w:rsidR="00167B57" w:rsidRPr="00873CDA" w:rsidRDefault="00167B57" w:rsidP="001F640E">
            <w:pPr>
              <w:spacing w:line="240" w:lineRule="auto"/>
            </w:pPr>
            <w:r w:rsidRPr="00873CDA">
              <w:rPr>
                <w:rFonts w:cs="Calibri"/>
                <w:bCs/>
                <w:szCs w:val="22"/>
              </w:rPr>
              <w:t>Coe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Trade, Industry and Investment</w:t>
            </w:r>
          </w:p>
        </w:tc>
        <w:tc>
          <w:tcPr>
            <w:tcW w:w="4252" w:type="dxa"/>
            <w:vAlign w:val="top"/>
          </w:tcPr>
          <w:p w:rsidR="00167B57" w:rsidRPr="00873CDA" w:rsidRDefault="00167B57" w:rsidP="001F640E">
            <w:pPr>
              <w:spacing w:line="240" w:lineRule="auto"/>
              <w:rPr>
                <w:rFonts w:cs="Calibri"/>
                <w:bCs/>
                <w:szCs w:val="22"/>
              </w:rPr>
            </w:pPr>
            <w:r w:rsidRPr="00873CDA">
              <w:rPr>
                <w:rFonts w:cs="Calibri"/>
                <w:bCs/>
                <w:szCs w:val="22"/>
              </w:rPr>
              <w:t>Staffing and Study Canberra</w:t>
            </w:r>
          </w:p>
        </w:tc>
      </w:tr>
    </w:tbl>
    <w:p w:rsidR="009F2BEB" w:rsidRPr="00873CDA" w:rsidRDefault="009F2BEB" w:rsidP="005F3356">
      <w:pPr>
        <w:pStyle w:val="Caption"/>
      </w:pPr>
      <w:r w:rsidRPr="00873CDA">
        <w:t>Que</w:t>
      </w:r>
      <w:r w:rsidR="006655DF" w:rsidRPr="00873CDA">
        <w:t>stions on Notice – 7 November 2018</w:t>
      </w:r>
    </w:p>
    <w:tbl>
      <w:tblPr>
        <w:tblStyle w:val="CommitteeTable"/>
        <w:tblW w:w="9243" w:type="dxa"/>
        <w:tblInd w:w="108" w:type="dxa"/>
        <w:tblLook w:val="04A0" w:firstRow="1" w:lastRow="0" w:firstColumn="1" w:lastColumn="0" w:noHBand="0" w:noVBand="1"/>
      </w:tblPr>
      <w:tblGrid>
        <w:gridCol w:w="691"/>
        <w:gridCol w:w="1108"/>
        <w:gridCol w:w="1498"/>
        <w:gridCol w:w="2119"/>
        <w:gridCol w:w="3827"/>
      </w:tblGrid>
      <w:tr w:rsidR="00167B57" w:rsidRPr="00873CDA" w:rsidTr="001F640E">
        <w:trPr>
          <w:cnfStyle w:val="100000000000" w:firstRow="1" w:lastRow="0" w:firstColumn="0" w:lastColumn="0" w:oddVBand="0" w:evenVBand="0" w:oddHBand="0" w:evenHBand="0" w:firstRowFirstColumn="0" w:firstRowLastColumn="0" w:lastRowFirstColumn="0" w:lastRowLastColumn="0"/>
        </w:trPr>
        <w:tc>
          <w:tcPr>
            <w:tcW w:w="691" w:type="dxa"/>
          </w:tcPr>
          <w:p w:rsidR="00167B57" w:rsidRPr="00873CDA" w:rsidRDefault="00167B57" w:rsidP="001F640E">
            <w:pPr>
              <w:spacing w:after="80" w:line="240" w:lineRule="auto"/>
              <w:rPr>
                <w:rFonts w:ascii="Arial Narrow" w:hAnsi="Arial Narrow"/>
              </w:rPr>
            </w:pPr>
            <w:r w:rsidRPr="00873CDA">
              <w:rPr>
                <w:rFonts w:ascii="Arial Narrow" w:hAnsi="Arial Narrow"/>
              </w:rPr>
              <w:t>No</w:t>
            </w:r>
            <w:bookmarkStart w:id="86" w:name="ColumnTitle_QoN2"/>
            <w:bookmarkEnd w:id="86"/>
            <w:r w:rsidRPr="00873CDA">
              <w:rPr>
                <w:rFonts w:ascii="Arial Narrow" w:hAnsi="Arial Narrow"/>
              </w:rPr>
              <w:t>.</w:t>
            </w:r>
          </w:p>
        </w:tc>
        <w:tc>
          <w:tcPr>
            <w:tcW w:w="1108" w:type="dxa"/>
          </w:tcPr>
          <w:p w:rsidR="00167B57" w:rsidRPr="00873CDA" w:rsidRDefault="00167B57" w:rsidP="001F640E">
            <w:pPr>
              <w:spacing w:after="80" w:line="240" w:lineRule="auto"/>
              <w:rPr>
                <w:rFonts w:ascii="Arial Narrow" w:hAnsi="Arial Narrow"/>
              </w:rPr>
            </w:pPr>
            <w:r w:rsidRPr="00873CDA">
              <w:rPr>
                <w:rFonts w:ascii="Arial Narrow" w:hAnsi="Arial Narrow"/>
              </w:rPr>
              <w:t>Hearing date</w:t>
            </w:r>
          </w:p>
        </w:tc>
        <w:tc>
          <w:tcPr>
            <w:tcW w:w="1498" w:type="dxa"/>
          </w:tcPr>
          <w:p w:rsidR="00167B57" w:rsidRPr="00873CDA" w:rsidRDefault="00167B57" w:rsidP="001F640E">
            <w:pPr>
              <w:spacing w:after="80" w:line="240" w:lineRule="auto"/>
              <w:rPr>
                <w:rFonts w:ascii="Arial Narrow" w:hAnsi="Arial Narrow"/>
              </w:rPr>
            </w:pPr>
            <w:r w:rsidRPr="00873CDA">
              <w:rPr>
                <w:rFonts w:ascii="Arial Narrow" w:hAnsi="Arial Narrow"/>
              </w:rPr>
              <w:t>Asked by</w:t>
            </w:r>
          </w:p>
        </w:tc>
        <w:tc>
          <w:tcPr>
            <w:tcW w:w="2119" w:type="dxa"/>
          </w:tcPr>
          <w:p w:rsidR="00167B57" w:rsidRPr="00873CDA" w:rsidRDefault="00167B57" w:rsidP="001F640E">
            <w:pPr>
              <w:spacing w:after="80" w:line="240" w:lineRule="auto"/>
              <w:rPr>
                <w:rFonts w:ascii="Arial Narrow" w:hAnsi="Arial Narrow"/>
              </w:rPr>
            </w:pPr>
            <w:r w:rsidRPr="00873CDA">
              <w:rPr>
                <w:rFonts w:ascii="Arial Narrow" w:hAnsi="Arial Narrow"/>
              </w:rPr>
              <w:t>Directorate/</w:t>
            </w:r>
            <w:r w:rsidRPr="00873CDA">
              <w:rPr>
                <w:rFonts w:ascii="Arial Narrow" w:hAnsi="Arial Narrow"/>
              </w:rPr>
              <w:br/>
              <w:t>Portfolio</w:t>
            </w:r>
          </w:p>
        </w:tc>
        <w:tc>
          <w:tcPr>
            <w:tcW w:w="3827" w:type="dxa"/>
          </w:tcPr>
          <w:p w:rsidR="00167B57" w:rsidRPr="00873CDA" w:rsidRDefault="00167B57" w:rsidP="001F640E">
            <w:pPr>
              <w:spacing w:after="80" w:line="240" w:lineRule="auto"/>
              <w:rPr>
                <w:rFonts w:ascii="Arial Narrow" w:hAnsi="Arial Narrow"/>
              </w:rPr>
            </w:pPr>
            <w:r w:rsidRPr="00873CDA">
              <w:rPr>
                <w:rFonts w:ascii="Arial Narrow" w:hAnsi="Arial Narrow"/>
              </w:rPr>
              <w:t>Subject</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1</w:t>
            </w:r>
          </w:p>
        </w:tc>
        <w:tc>
          <w:tcPr>
            <w:tcW w:w="1108" w:type="dxa"/>
            <w:vAlign w:val="top"/>
          </w:tcPr>
          <w:p w:rsidR="00167B57" w:rsidRPr="00873CDA" w:rsidRDefault="00167B57" w:rsidP="001F640E">
            <w:pPr>
              <w:spacing w:line="240" w:lineRule="auto"/>
              <w:rPr>
                <w:rFonts w:cs="Calibri"/>
                <w:bCs/>
                <w:szCs w:val="22"/>
              </w:rPr>
            </w:pPr>
            <w:r w:rsidRPr="00873CDA">
              <w:rPr>
                <w:rFonts w:cs="Calibri"/>
                <w:bCs/>
                <w:szCs w:val="22"/>
              </w:rPr>
              <w:t>7/11/18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Cheyne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Regulatory Services</w:t>
            </w:r>
          </w:p>
        </w:tc>
        <w:tc>
          <w:tcPr>
            <w:tcW w:w="3827" w:type="dxa"/>
            <w:vAlign w:val="top"/>
          </w:tcPr>
          <w:p w:rsidR="00167B57" w:rsidRPr="00873CDA" w:rsidRDefault="00167B57" w:rsidP="001F640E">
            <w:pPr>
              <w:spacing w:line="240" w:lineRule="auto"/>
              <w:rPr>
                <w:rFonts w:cs="Calibri"/>
                <w:bCs/>
                <w:szCs w:val="22"/>
              </w:rPr>
            </w:pPr>
            <w:r w:rsidRPr="00873CDA">
              <w:rPr>
                <w:rFonts w:cs="Calibri"/>
                <w:bCs/>
                <w:szCs w:val="22"/>
              </w:rPr>
              <w:t>Traffic infringements</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2</w:t>
            </w:r>
          </w:p>
        </w:tc>
        <w:tc>
          <w:tcPr>
            <w:tcW w:w="1108" w:type="dxa"/>
            <w:vAlign w:val="top"/>
          </w:tcPr>
          <w:p w:rsidR="00167B57" w:rsidRPr="00873CDA" w:rsidRDefault="00167B57" w:rsidP="001F640E">
            <w:pPr>
              <w:spacing w:line="240" w:lineRule="auto"/>
            </w:pPr>
            <w:r w:rsidRPr="00873CDA">
              <w:rPr>
                <w:rFonts w:cs="Calibri"/>
                <w:bCs/>
                <w:szCs w:val="22"/>
              </w:rPr>
              <w:t>7/11/18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Cody</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Arts and Cultural Events</w:t>
            </w:r>
          </w:p>
        </w:tc>
        <w:tc>
          <w:tcPr>
            <w:tcW w:w="3827" w:type="dxa"/>
            <w:vAlign w:val="top"/>
          </w:tcPr>
          <w:p w:rsidR="00167B57" w:rsidRPr="00873CDA" w:rsidRDefault="00167B57" w:rsidP="001F640E">
            <w:pPr>
              <w:spacing w:line="240" w:lineRule="auto"/>
              <w:rPr>
                <w:rFonts w:cs="Calibri"/>
                <w:bCs/>
                <w:szCs w:val="22"/>
              </w:rPr>
            </w:pPr>
            <w:r w:rsidRPr="00873CDA">
              <w:rPr>
                <w:rFonts w:cs="Calibri"/>
                <w:bCs/>
                <w:szCs w:val="22"/>
              </w:rPr>
              <w:t>Arts ACT Staffing</w:t>
            </w:r>
          </w:p>
        </w:tc>
      </w:tr>
      <w:tr w:rsidR="00167B57" w:rsidRPr="00873CDA"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3</w:t>
            </w:r>
          </w:p>
        </w:tc>
        <w:tc>
          <w:tcPr>
            <w:tcW w:w="1108" w:type="dxa"/>
            <w:vAlign w:val="top"/>
          </w:tcPr>
          <w:p w:rsidR="00167B57" w:rsidRPr="00873CDA" w:rsidRDefault="00167B57" w:rsidP="001F640E">
            <w:pPr>
              <w:spacing w:line="240" w:lineRule="auto"/>
            </w:pPr>
            <w:r w:rsidRPr="00873CDA">
              <w:rPr>
                <w:rFonts w:cs="Calibri"/>
                <w:bCs/>
                <w:szCs w:val="22"/>
              </w:rPr>
              <w:t>7/11/18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Dunne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Arts and Cultural Events</w:t>
            </w:r>
          </w:p>
        </w:tc>
        <w:tc>
          <w:tcPr>
            <w:tcW w:w="3827" w:type="dxa"/>
            <w:vAlign w:val="top"/>
          </w:tcPr>
          <w:p w:rsidR="00167B57" w:rsidRPr="00873CDA" w:rsidRDefault="00167B57" w:rsidP="001F640E">
            <w:pPr>
              <w:spacing w:line="240" w:lineRule="auto"/>
              <w:rPr>
                <w:szCs w:val="22"/>
              </w:rPr>
            </w:pPr>
            <w:r w:rsidRPr="00873CDA">
              <w:rPr>
                <w:szCs w:val="22"/>
              </w:rPr>
              <w:t>Arts Engagement</w:t>
            </w:r>
          </w:p>
        </w:tc>
      </w:tr>
      <w:tr w:rsidR="00167B57" w:rsidRPr="00873CDA" w:rsidTr="001F640E">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t>4</w:t>
            </w:r>
          </w:p>
        </w:tc>
        <w:tc>
          <w:tcPr>
            <w:tcW w:w="1108" w:type="dxa"/>
            <w:vAlign w:val="top"/>
          </w:tcPr>
          <w:p w:rsidR="00167B57" w:rsidRPr="00873CDA" w:rsidRDefault="00167B57" w:rsidP="001F640E">
            <w:pPr>
              <w:spacing w:line="240" w:lineRule="auto"/>
            </w:pPr>
            <w:r w:rsidRPr="00873CDA">
              <w:rPr>
                <w:rFonts w:cs="Calibri"/>
                <w:bCs/>
                <w:szCs w:val="22"/>
              </w:rPr>
              <w:t>7/11/18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Dunne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Arts and Cultural Events</w:t>
            </w:r>
          </w:p>
        </w:tc>
        <w:tc>
          <w:tcPr>
            <w:tcW w:w="3827" w:type="dxa"/>
            <w:vAlign w:val="top"/>
          </w:tcPr>
          <w:p w:rsidR="00167B57" w:rsidRPr="00873CDA" w:rsidRDefault="00167B57" w:rsidP="001F640E">
            <w:pPr>
              <w:spacing w:line="240" w:lineRule="auto"/>
              <w:rPr>
                <w:szCs w:val="22"/>
              </w:rPr>
            </w:pPr>
            <w:r w:rsidRPr="00873CDA">
              <w:rPr>
                <w:szCs w:val="22"/>
              </w:rPr>
              <w:t>Cultural Facilities Corporation</w:t>
            </w:r>
          </w:p>
        </w:tc>
      </w:tr>
      <w:tr w:rsidR="00167B57" w:rsidTr="001F640E">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167B57" w:rsidRPr="00873CDA" w:rsidRDefault="00167B57" w:rsidP="001F640E">
            <w:pPr>
              <w:spacing w:line="240" w:lineRule="auto"/>
              <w:rPr>
                <w:rFonts w:cs="Calibri"/>
                <w:bCs/>
                <w:szCs w:val="22"/>
              </w:rPr>
            </w:pPr>
            <w:r w:rsidRPr="00873CDA">
              <w:rPr>
                <w:rFonts w:cs="Calibri"/>
                <w:bCs/>
                <w:szCs w:val="22"/>
              </w:rPr>
              <w:lastRenderedPageBreak/>
              <w:t>5</w:t>
            </w:r>
          </w:p>
        </w:tc>
        <w:tc>
          <w:tcPr>
            <w:tcW w:w="1108" w:type="dxa"/>
            <w:vAlign w:val="top"/>
          </w:tcPr>
          <w:p w:rsidR="00167B57" w:rsidRPr="00873CDA" w:rsidRDefault="00167B57" w:rsidP="001F640E">
            <w:pPr>
              <w:spacing w:line="240" w:lineRule="auto"/>
            </w:pPr>
            <w:r w:rsidRPr="00873CDA">
              <w:rPr>
                <w:rFonts w:cs="Calibri"/>
                <w:bCs/>
                <w:szCs w:val="22"/>
              </w:rPr>
              <w:t>7/11/18</w:t>
            </w:r>
          </w:p>
        </w:tc>
        <w:tc>
          <w:tcPr>
            <w:tcW w:w="1498" w:type="dxa"/>
            <w:vAlign w:val="top"/>
          </w:tcPr>
          <w:p w:rsidR="00167B57" w:rsidRPr="00873CDA" w:rsidRDefault="00167B57" w:rsidP="001F640E">
            <w:pPr>
              <w:spacing w:line="240" w:lineRule="auto"/>
              <w:rPr>
                <w:rFonts w:cs="Calibri"/>
                <w:bCs/>
                <w:szCs w:val="22"/>
              </w:rPr>
            </w:pPr>
            <w:r w:rsidRPr="00873CDA">
              <w:rPr>
                <w:rFonts w:cs="Calibri"/>
                <w:bCs/>
                <w:szCs w:val="22"/>
              </w:rPr>
              <w:t>Dunne</w:t>
            </w:r>
          </w:p>
        </w:tc>
        <w:tc>
          <w:tcPr>
            <w:tcW w:w="2119" w:type="dxa"/>
            <w:vAlign w:val="top"/>
          </w:tcPr>
          <w:p w:rsidR="00167B57" w:rsidRPr="00873CDA" w:rsidRDefault="00167B57" w:rsidP="001F640E">
            <w:pPr>
              <w:spacing w:line="240" w:lineRule="auto"/>
              <w:rPr>
                <w:rFonts w:cs="Calibri"/>
                <w:bCs/>
                <w:szCs w:val="22"/>
              </w:rPr>
            </w:pPr>
            <w:r w:rsidRPr="00873CDA">
              <w:rPr>
                <w:rFonts w:cs="Calibri"/>
                <w:bCs/>
                <w:szCs w:val="22"/>
              </w:rPr>
              <w:t>Arts and Cultural Events</w:t>
            </w:r>
          </w:p>
        </w:tc>
        <w:tc>
          <w:tcPr>
            <w:tcW w:w="3827" w:type="dxa"/>
            <w:vAlign w:val="top"/>
          </w:tcPr>
          <w:p w:rsidR="00167B57" w:rsidRPr="002B7E94" w:rsidRDefault="00167B57" w:rsidP="001F640E">
            <w:pPr>
              <w:spacing w:line="240" w:lineRule="auto"/>
              <w:rPr>
                <w:szCs w:val="22"/>
              </w:rPr>
            </w:pPr>
            <w:r w:rsidRPr="00873CDA">
              <w:rPr>
                <w:szCs w:val="22"/>
              </w:rPr>
              <w:t>artsACT ANU funding</w:t>
            </w:r>
          </w:p>
        </w:tc>
      </w:tr>
    </w:tbl>
    <w:p w:rsidR="007A5047" w:rsidRPr="00E57CD5" w:rsidRDefault="007A5047" w:rsidP="00742132">
      <w:bookmarkStart w:id="87" w:name="_GoBack"/>
      <w:bookmarkEnd w:id="87"/>
    </w:p>
    <w:sectPr w:rsidR="007A5047" w:rsidRPr="00E57CD5" w:rsidSect="004D2594">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ED1" w:rsidRDefault="002A1ED1">
      <w:r>
        <w:separator/>
      </w:r>
    </w:p>
    <w:p w:rsidR="002A1ED1" w:rsidRDefault="002A1ED1"/>
    <w:p w:rsidR="002A1ED1" w:rsidRDefault="002A1ED1"/>
    <w:p w:rsidR="002A1ED1" w:rsidRDefault="002A1ED1"/>
    <w:p w:rsidR="002A1ED1" w:rsidRDefault="002A1ED1"/>
  </w:endnote>
  <w:endnote w:type="continuationSeparator" w:id="0">
    <w:p w:rsidR="002A1ED1" w:rsidRDefault="002A1ED1">
      <w:r>
        <w:continuationSeparator/>
      </w:r>
    </w:p>
    <w:p w:rsidR="002A1ED1" w:rsidRDefault="002A1ED1"/>
    <w:p w:rsidR="002A1ED1" w:rsidRDefault="002A1ED1"/>
    <w:p w:rsidR="002A1ED1" w:rsidRDefault="002A1ED1"/>
    <w:p w:rsidR="002A1ED1" w:rsidRDefault="002A1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14D65B90-568F-4CF6-BAF8-C989E9D93A72}"/>
    <w:embedBold r:id="rId2" w:fontKey="{4E90DE98-389A-43EC-BB1D-4B1F588FD631}"/>
  </w:font>
  <w:font w:name="Calibri">
    <w:panose1 w:val="020F0502020204030204"/>
    <w:charset w:val="00"/>
    <w:family w:val="swiss"/>
    <w:pitch w:val="variable"/>
    <w:sig w:usb0="E00002FF" w:usb1="4000ACFF" w:usb2="00000001" w:usb3="00000000" w:csb0="0000019F" w:csb1="00000000"/>
    <w:embedRegular r:id="rId3" w:fontKey="{932E9CC1-D595-4253-870C-1F84E5F7065A}"/>
    <w:embedBold r:id="rId4" w:fontKey="{C09D7883-1055-4926-BF21-84AFF09DC428}"/>
    <w:embedItalic r:id="rId5" w:fontKey="{118C1D8D-C230-4C6B-8E64-0937987179AC}"/>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697" w:rsidRDefault="00C876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ED1" w:rsidRDefault="002A1ED1"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697" w:rsidRDefault="00C8769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ED1" w:rsidRDefault="002A1ED1">
    <w:pPr>
      <w:pStyle w:val="Footer"/>
    </w:pPr>
    <w:r>
      <w:fldChar w:fldCharType="begin"/>
    </w:r>
    <w:r>
      <w:instrText xml:space="preserve"> PAGE   \* MERGEFORMAT </w:instrText>
    </w:r>
    <w:r>
      <w:fldChar w:fldCharType="separate"/>
    </w:r>
    <w:r w:rsidR="005B52D2">
      <w:rPr>
        <w:noProof/>
      </w:rPr>
      <w:t>26</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ED1" w:rsidRDefault="002A1ED1">
    <w:pPr>
      <w:pStyle w:val="Footer"/>
      <w:jc w:val="right"/>
    </w:pPr>
    <w:r>
      <w:fldChar w:fldCharType="begin"/>
    </w:r>
    <w:r>
      <w:instrText xml:space="preserve"> PAGE   \* MERGEFORMAT </w:instrText>
    </w:r>
    <w:r>
      <w:fldChar w:fldCharType="separate"/>
    </w:r>
    <w:r w:rsidR="00873CDA">
      <w:rPr>
        <w:noProof/>
      </w:rPr>
      <w:t>iii</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ED1" w:rsidRDefault="002A1ED1">
    <w:pPr>
      <w:pStyle w:val="Footer"/>
      <w:jc w:val="right"/>
    </w:pPr>
    <w:r>
      <w:fldChar w:fldCharType="begin"/>
    </w:r>
    <w:r>
      <w:instrText xml:space="preserve"> PAGE   \* MERGEFORMAT </w:instrText>
    </w:r>
    <w:r>
      <w:fldChar w:fldCharType="separate"/>
    </w:r>
    <w:r w:rsidR="00873CDA">
      <w:rPr>
        <w:noProof/>
      </w:rPr>
      <w:t>ix</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ED1" w:rsidRDefault="002A1ED1">
    <w:pPr>
      <w:pStyle w:val="Footer"/>
      <w:jc w:val="right"/>
    </w:pPr>
    <w:r>
      <w:fldChar w:fldCharType="begin"/>
    </w:r>
    <w:r>
      <w:instrText xml:space="preserve"> PAGE   \* MERGEFORMAT </w:instrText>
    </w:r>
    <w:r>
      <w:fldChar w:fldCharType="separate"/>
    </w:r>
    <w:r w:rsidR="005B52D2">
      <w:rPr>
        <w:noProof/>
      </w:rPr>
      <w:t>27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ED1" w:rsidRDefault="002A1ED1">
      <w:r>
        <w:separator/>
      </w:r>
    </w:p>
  </w:footnote>
  <w:footnote w:type="continuationSeparator" w:id="0">
    <w:p w:rsidR="002A1ED1" w:rsidRDefault="002A1ED1">
      <w:r>
        <w:continuationSeparator/>
      </w:r>
    </w:p>
    <w:p w:rsidR="002A1ED1" w:rsidRDefault="002A1ED1"/>
    <w:p w:rsidR="002A1ED1" w:rsidRDefault="002A1ED1"/>
    <w:p w:rsidR="002A1ED1" w:rsidRDefault="002A1ED1"/>
    <w:p w:rsidR="002A1ED1" w:rsidRDefault="002A1ED1"/>
  </w:footnote>
  <w:footnote w:id="1">
    <w:p w:rsidR="002A1ED1" w:rsidRDefault="002A1ED1" w:rsidP="00021269">
      <w:pPr>
        <w:pStyle w:val="FootnoteText"/>
        <w:spacing w:before="0" w:after="0" w:line="240" w:lineRule="auto"/>
      </w:pPr>
      <w:r>
        <w:rPr>
          <w:rStyle w:val="FootnoteReference"/>
        </w:rPr>
        <w:footnoteRef/>
      </w:r>
      <w:r>
        <w:t xml:space="preserve"> </w:t>
      </w:r>
      <w:r w:rsidRPr="008A6934">
        <w:rPr>
          <w:rStyle w:val="FooterChar"/>
        </w:rPr>
        <w:t xml:space="preserve">Legislative Assembly for the ACT, Minutes of Proceedings No. 2, </w:t>
      </w:r>
      <w:r>
        <w:rPr>
          <w:rStyle w:val="FooterChar"/>
        </w:rPr>
        <w:t>13 December 2016, pp. 13-16</w:t>
      </w:r>
      <w:r w:rsidRPr="008A6934">
        <w:rPr>
          <w:rStyle w:val="FooterChar"/>
        </w:rPr>
        <w:t xml:space="preserve">, accessible at </w:t>
      </w:r>
      <w:hyperlink r:id="rId1" w:history="1">
        <w:r w:rsidRPr="00C83C66">
          <w:rPr>
            <w:rStyle w:val="Hyperlink"/>
          </w:rPr>
          <w:t>http://www.parliament.act.gov.au/in-the-assembly/minutes_of_proceedings</w:t>
        </w:r>
      </w:hyperlink>
      <w:r>
        <w:t xml:space="preserve">. </w:t>
      </w:r>
    </w:p>
  </w:footnote>
  <w:footnote w:id="2">
    <w:p w:rsidR="002A1ED1" w:rsidRDefault="002A1ED1">
      <w:pPr>
        <w:pStyle w:val="FootnoteText"/>
      </w:pPr>
      <w:r>
        <w:rPr>
          <w:rStyle w:val="FootnoteReference"/>
        </w:rPr>
        <w:footnoteRef/>
      </w:r>
      <w:r>
        <w:t xml:space="preserve"> </w:t>
      </w:r>
      <w:r>
        <w:rPr>
          <w:i/>
        </w:rPr>
        <w:t>Transcript of Evidence</w:t>
      </w:r>
      <w:r>
        <w:t>, 5 November 2019, pp. 1-3.</w:t>
      </w:r>
    </w:p>
  </w:footnote>
  <w:footnote w:id="3">
    <w:p w:rsidR="002A1ED1" w:rsidRDefault="002A1ED1">
      <w:pPr>
        <w:pStyle w:val="FootnoteText"/>
      </w:pPr>
      <w:r>
        <w:rPr>
          <w:rStyle w:val="FootnoteReference"/>
        </w:rPr>
        <w:footnoteRef/>
      </w:r>
      <w:r>
        <w:t xml:space="preserve"> </w:t>
      </w:r>
      <w:r>
        <w:rPr>
          <w:i/>
        </w:rPr>
        <w:t>Transcript of Evidence</w:t>
      </w:r>
      <w:r>
        <w:t>, 5 November 2019, pp. 3-6.</w:t>
      </w:r>
    </w:p>
  </w:footnote>
  <w:footnote w:id="4">
    <w:p w:rsidR="002A1ED1" w:rsidRDefault="002A1ED1">
      <w:pPr>
        <w:pStyle w:val="FootnoteText"/>
      </w:pPr>
      <w:r>
        <w:rPr>
          <w:rStyle w:val="FootnoteReference"/>
        </w:rPr>
        <w:footnoteRef/>
      </w:r>
      <w:r>
        <w:t xml:space="preserve"> </w:t>
      </w:r>
      <w:r>
        <w:rPr>
          <w:i/>
        </w:rPr>
        <w:t>Transcript of Evidence</w:t>
      </w:r>
      <w:r>
        <w:t>, 5 November 2019, pp. 11-16.</w:t>
      </w:r>
    </w:p>
  </w:footnote>
  <w:footnote w:id="5">
    <w:p w:rsidR="002A1ED1" w:rsidRDefault="002A1ED1">
      <w:pPr>
        <w:pStyle w:val="FootnoteText"/>
      </w:pPr>
      <w:r>
        <w:rPr>
          <w:rStyle w:val="FootnoteReference"/>
        </w:rPr>
        <w:footnoteRef/>
      </w:r>
      <w:r>
        <w:t xml:space="preserve"> </w:t>
      </w:r>
      <w:r>
        <w:rPr>
          <w:i/>
        </w:rPr>
        <w:t>Transcript of Evidence</w:t>
      </w:r>
      <w:r>
        <w:t>, 5 November 2019, pp. 3-4.</w:t>
      </w:r>
    </w:p>
  </w:footnote>
  <w:footnote w:id="6">
    <w:p w:rsidR="002A1ED1" w:rsidRDefault="002A1ED1">
      <w:pPr>
        <w:pStyle w:val="FootnoteText"/>
      </w:pPr>
      <w:r>
        <w:rPr>
          <w:rStyle w:val="FootnoteReference"/>
        </w:rPr>
        <w:footnoteRef/>
      </w:r>
      <w:r>
        <w:t xml:space="preserve"> </w:t>
      </w:r>
      <w:r>
        <w:rPr>
          <w:i/>
        </w:rPr>
        <w:t>Transcript of Evidence</w:t>
      </w:r>
      <w:r>
        <w:t>, 5 November 2019, p. 5.</w:t>
      </w:r>
    </w:p>
  </w:footnote>
  <w:footnote w:id="7">
    <w:p w:rsidR="002A1ED1" w:rsidRDefault="002A1ED1">
      <w:pPr>
        <w:pStyle w:val="FootnoteText"/>
      </w:pPr>
      <w:r>
        <w:rPr>
          <w:rStyle w:val="FootnoteReference"/>
        </w:rPr>
        <w:footnoteRef/>
      </w:r>
      <w:r>
        <w:t xml:space="preserve"> </w:t>
      </w:r>
      <w:r>
        <w:rPr>
          <w:i/>
        </w:rPr>
        <w:t>Transcript of Evidence</w:t>
      </w:r>
      <w:r>
        <w:t>, 5 November 2019, pp. 6-7.</w:t>
      </w:r>
    </w:p>
  </w:footnote>
  <w:footnote w:id="8">
    <w:p w:rsidR="002A1ED1" w:rsidRDefault="002A1ED1">
      <w:pPr>
        <w:pStyle w:val="FootnoteText"/>
      </w:pPr>
      <w:r>
        <w:rPr>
          <w:rStyle w:val="FootnoteReference"/>
        </w:rPr>
        <w:footnoteRef/>
      </w:r>
      <w:r>
        <w:t xml:space="preserve"> </w:t>
      </w:r>
      <w:r>
        <w:rPr>
          <w:i/>
        </w:rPr>
        <w:t>Transcript of Evidence</w:t>
      </w:r>
      <w:r>
        <w:t>, 5 November 2019, pp. 7-9.</w:t>
      </w:r>
    </w:p>
  </w:footnote>
  <w:footnote w:id="9">
    <w:p w:rsidR="002A1ED1" w:rsidRDefault="002A1ED1">
      <w:pPr>
        <w:pStyle w:val="FootnoteText"/>
      </w:pPr>
      <w:r>
        <w:rPr>
          <w:rStyle w:val="FootnoteReference"/>
        </w:rPr>
        <w:footnoteRef/>
      </w:r>
      <w:r>
        <w:t xml:space="preserve"> </w:t>
      </w:r>
      <w:r>
        <w:rPr>
          <w:i/>
        </w:rPr>
        <w:t>Transcript of Evidence</w:t>
      </w:r>
      <w:r>
        <w:t>, 5 November 2019, pp. 8-9.</w:t>
      </w:r>
    </w:p>
  </w:footnote>
  <w:footnote w:id="10">
    <w:p w:rsidR="002A1ED1" w:rsidRDefault="002A1ED1">
      <w:pPr>
        <w:pStyle w:val="FootnoteText"/>
      </w:pPr>
      <w:r>
        <w:rPr>
          <w:rStyle w:val="FootnoteReference"/>
        </w:rPr>
        <w:footnoteRef/>
      </w:r>
      <w:r>
        <w:t xml:space="preserve"> </w:t>
      </w:r>
      <w:r>
        <w:rPr>
          <w:i/>
        </w:rPr>
        <w:t>Transcript of Evidence</w:t>
      </w:r>
      <w:r>
        <w:t>, 5 November 2019, pp. 9-11.</w:t>
      </w:r>
    </w:p>
  </w:footnote>
  <w:footnote w:id="11">
    <w:p w:rsidR="002A1ED1" w:rsidRDefault="002A1ED1">
      <w:pPr>
        <w:pStyle w:val="FootnoteText"/>
      </w:pPr>
      <w:r>
        <w:rPr>
          <w:rStyle w:val="FootnoteReference"/>
        </w:rPr>
        <w:footnoteRef/>
      </w:r>
      <w:r>
        <w:t xml:space="preserve"> </w:t>
      </w:r>
      <w:r>
        <w:rPr>
          <w:i/>
        </w:rPr>
        <w:t>Transcript of Evidence</w:t>
      </w:r>
      <w:r>
        <w:t>, 5 November 2019, pp. 16, 28.</w:t>
      </w:r>
    </w:p>
  </w:footnote>
  <w:footnote w:id="12">
    <w:p w:rsidR="002A1ED1" w:rsidRDefault="002A1ED1">
      <w:pPr>
        <w:pStyle w:val="FootnoteText"/>
      </w:pPr>
      <w:r>
        <w:rPr>
          <w:rStyle w:val="FootnoteReference"/>
        </w:rPr>
        <w:footnoteRef/>
      </w:r>
      <w:r>
        <w:t xml:space="preserve"> </w:t>
      </w:r>
      <w:r>
        <w:rPr>
          <w:i/>
        </w:rPr>
        <w:t>Transcript of Evidence</w:t>
      </w:r>
      <w:r>
        <w:t>, 5 November 2019, pp. 16-18.</w:t>
      </w:r>
    </w:p>
  </w:footnote>
  <w:footnote w:id="13">
    <w:p w:rsidR="002A1ED1" w:rsidRDefault="002A1ED1">
      <w:pPr>
        <w:pStyle w:val="FootnoteText"/>
      </w:pPr>
      <w:r>
        <w:rPr>
          <w:rStyle w:val="FootnoteReference"/>
        </w:rPr>
        <w:footnoteRef/>
      </w:r>
      <w:r>
        <w:t xml:space="preserve"> </w:t>
      </w:r>
      <w:r>
        <w:rPr>
          <w:i/>
        </w:rPr>
        <w:t>Transcript of Evidence</w:t>
      </w:r>
      <w:r>
        <w:t>, 5 November 2019, pp. 18-21.</w:t>
      </w:r>
    </w:p>
  </w:footnote>
  <w:footnote w:id="14">
    <w:p w:rsidR="002A1ED1" w:rsidRDefault="002A1ED1">
      <w:pPr>
        <w:pStyle w:val="FootnoteText"/>
      </w:pPr>
      <w:r>
        <w:rPr>
          <w:rStyle w:val="FootnoteReference"/>
        </w:rPr>
        <w:footnoteRef/>
      </w:r>
      <w:r>
        <w:t xml:space="preserve"> </w:t>
      </w:r>
      <w:r>
        <w:rPr>
          <w:i/>
        </w:rPr>
        <w:t>Transcript of Evidence</w:t>
      </w:r>
      <w:r>
        <w:t>, 5 November 2019, pp. 18-20.</w:t>
      </w:r>
    </w:p>
  </w:footnote>
  <w:footnote w:id="15">
    <w:p w:rsidR="002A1ED1" w:rsidRDefault="002A1ED1">
      <w:pPr>
        <w:pStyle w:val="FootnoteText"/>
      </w:pPr>
      <w:r>
        <w:rPr>
          <w:rStyle w:val="FootnoteReference"/>
        </w:rPr>
        <w:footnoteRef/>
      </w:r>
      <w:r>
        <w:t xml:space="preserve"> </w:t>
      </w:r>
      <w:r>
        <w:rPr>
          <w:i/>
        </w:rPr>
        <w:t>Transcript of Evidence</w:t>
      </w:r>
      <w:r>
        <w:t>, 5 November 2019, p. 21.</w:t>
      </w:r>
    </w:p>
  </w:footnote>
  <w:footnote w:id="16">
    <w:p w:rsidR="002A1ED1" w:rsidRDefault="002A1ED1">
      <w:pPr>
        <w:pStyle w:val="FootnoteText"/>
      </w:pPr>
      <w:r>
        <w:rPr>
          <w:rStyle w:val="FootnoteReference"/>
        </w:rPr>
        <w:footnoteRef/>
      </w:r>
      <w:r>
        <w:t xml:space="preserve"> </w:t>
      </w:r>
      <w:r>
        <w:rPr>
          <w:i/>
        </w:rPr>
        <w:t>Transcript of Evidence</w:t>
      </w:r>
      <w:r>
        <w:t>, 5 November 2019, pp. 21-24.</w:t>
      </w:r>
    </w:p>
  </w:footnote>
  <w:footnote w:id="17">
    <w:p w:rsidR="002A1ED1" w:rsidRDefault="002A1ED1">
      <w:pPr>
        <w:pStyle w:val="FootnoteText"/>
      </w:pPr>
      <w:r>
        <w:rPr>
          <w:rStyle w:val="FootnoteReference"/>
        </w:rPr>
        <w:footnoteRef/>
      </w:r>
      <w:r>
        <w:t xml:space="preserve"> </w:t>
      </w:r>
      <w:r>
        <w:rPr>
          <w:i/>
        </w:rPr>
        <w:t>Transcript of Evidence</w:t>
      </w:r>
      <w:r>
        <w:t>, 5 November 2019, pp. 23-24.</w:t>
      </w:r>
    </w:p>
  </w:footnote>
  <w:footnote w:id="18">
    <w:p w:rsidR="002A1ED1" w:rsidRDefault="002A1ED1">
      <w:pPr>
        <w:pStyle w:val="FootnoteText"/>
      </w:pPr>
      <w:r>
        <w:rPr>
          <w:rStyle w:val="FootnoteReference"/>
        </w:rPr>
        <w:footnoteRef/>
      </w:r>
      <w:r>
        <w:t xml:space="preserve"> </w:t>
      </w:r>
      <w:r>
        <w:rPr>
          <w:i/>
        </w:rPr>
        <w:t>Transcript of Evidence</w:t>
      </w:r>
      <w:r>
        <w:t>, 5 November 2019, p. 24.</w:t>
      </w:r>
    </w:p>
  </w:footnote>
  <w:footnote w:id="19">
    <w:p w:rsidR="002A1ED1" w:rsidRDefault="002A1ED1">
      <w:pPr>
        <w:pStyle w:val="FootnoteText"/>
      </w:pPr>
      <w:r>
        <w:rPr>
          <w:rStyle w:val="FootnoteReference"/>
        </w:rPr>
        <w:footnoteRef/>
      </w:r>
      <w:r>
        <w:t xml:space="preserve"> </w:t>
      </w:r>
      <w:r>
        <w:rPr>
          <w:i/>
        </w:rPr>
        <w:t>Transcript of Evidence</w:t>
      </w:r>
      <w:r>
        <w:t>, 5 November 2019, pp. 24-27.</w:t>
      </w:r>
    </w:p>
  </w:footnote>
  <w:footnote w:id="20">
    <w:p w:rsidR="002A1ED1" w:rsidRPr="0017673C" w:rsidRDefault="002A1ED1">
      <w:pPr>
        <w:pStyle w:val="FootnoteText"/>
      </w:pPr>
      <w:r>
        <w:rPr>
          <w:rStyle w:val="FootnoteReference"/>
        </w:rPr>
        <w:footnoteRef/>
      </w:r>
      <w:r>
        <w:t xml:space="preserve"> </w:t>
      </w:r>
      <w:r>
        <w:rPr>
          <w:i/>
        </w:rPr>
        <w:t>Answer to Questions Taken on Notice 11, 12, 13</w:t>
      </w:r>
      <w:r>
        <w:t>, 5 November 2018.</w:t>
      </w:r>
    </w:p>
  </w:footnote>
  <w:footnote w:id="21">
    <w:p w:rsidR="002A1ED1" w:rsidRDefault="002A1ED1">
      <w:pPr>
        <w:pStyle w:val="FootnoteText"/>
      </w:pPr>
      <w:r>
        <w:rPr>
          <w:rStyle w:val="FootnoteReference"/>
        </w:rPr>
        <w:footnoteRef/>
      </w:r>
      <w:r>
        <w:t xml:space="preserve"> </w:t>
      </w:r>
      <w:r>
        <w:rPr>
          <w:i/>
        </w:rPr>
        <w:t>Transcript of Evidence</w:t>
      </w:r>
      <w:r>
        <w:t>, 5 November 2019, pp. 26-27.</w:t>
      </w:r>
    </w:p>
  </w:footnote>
  <w:footnote w:id="22">
    <w:p w:rsidR="002A1ED1" w:rsidRDefault="002A1ED1">
      <w:pPr>
        <w:pStyle w:val="FootnoteText"/>
      </w:pPr>
      <w:r>
        <w:rPr>
          <w:rStyle w:val="FootnoteReference"/>
        </w:rPr>
        <w:footnoteRef/>
      </w:r>
      <w:r>
        <w:t xml:space="preserve"> </w:t>
      </w:r>
      <w:r>
        <w:rPr>
          <w:i/>
        </w:rPr>
        <w:t>Transcript of Evidence</w:t>
      </w:r>
      <w:r>
        <w:t>, 5 November 2019, p. 27.</w:t>
      </w:r>
    </w:p>
  </w:footnote>
  <w:footnote w:id="23">
    <w:p w:rsidR="002A1ED1" w:rsidRDefault="002A1ED1">
      <w:pPr>
        <w:pStyle w:val="FootnoteText"/>
      </w:pPr>
      <w:r>
        <w:rPr>
          <w:rStyle w:val="FootnoteReference"/>
        </w:rPr>
        <w:footnoteRef/>
      </w:r>
      <w:r>
        <w:t xml:space="preserve"> </w:t>
      </w:r>
      <w:r>
        <w:rPr>
          <w:i/>
        </w:rPr>
        <w:t>Transcript of Evidence</w:t>
      </w:r>
      <w:r>
        <w:t>, 5 November 2019, pp. 29-30.</w:t>
      </w:r>
    </w:p>
  </w:footnote>
  <w:footnote w:id="24">
    <w:p w:rsidR="002A1ED1" w:rsidRDefault="002A1ED1">
      <w:pPr>
        <w:pStyle w:val="FootnoteText"/>
      </w:pPr>
      <w:r>
        <w:rPr>
          <w:rStyle w:val="FootnoteReference"/>
        </w:rPr>
        <w:footnoteRef/>
      </w:r>
      <w:r>
        <w:t xml:space="preserve"> </w:t>
      </w:r>
      <w:r>
        <w:rPr>
          <w:i/>
        </w:rPr>
        <w:t>Transcript of Evidence</w:t>
      </w:r>
      <w:r>
        <w:t>, 5 November 2019, pp. 30-32.</w:t>
      </w:r>
    </w:p>
  </w:footnote>
  <w:footnote w:id="25">
    <w:p w:rsidR="002A1ED1" w:rsidRDefault="002A1ED1">
      <w:pPr>
        <w:pStyle w:val="FootnoteText"/>
      </w:pPr>
      <w:r>
        <w:rPr>
          <w:rStyle w:val="FootnoteReference"/>
        </w:rPr>
        <w:footnoteRef/>
      </w:r>
      <w:r>
        <w:t xml:space="preserve"> </w:t>
      </w:r>
      <w:r>
        <w:rPr>
          <w:i/>
        </w:rPr>
        <w:t>Transcript of Evidence</w:t>
      </w:r>
      <w:r>
        <w:t>, 5 November 2019, p. 33.</w:t>
      </w:r>
    </w:p>
  </w:footnote>
  <w:footnote w:id="26">
    <w:p w:rsidR="002A1ED1" w:rsidRDefault="002A1ED1">
      <w:pPr>
        <w:pStyle w:val="FootnoteText"/>
      </w:pPr>
      <w:r>
        <w:rPr>
          <w:rStyle w:val="FootnoteReference"/>
        </w:rPr>
        <w:footnoteRef/>
      </w:r>
      <w:r>
        <w:t xml:space="preserve"> </w:t>
      </w:r>
      <w:r>
        <w:rPr>
          <w:i/>
        </w:rPr>
        <w:t>Transcript of Evidence</w:t>
      </w:r>
      <w:r>
        <w:t>, 5 November 2019, p. 34.</w:t>
      </w:r>
    </w:p>
  </w:footnote>
  <w:footnote w:id="27">
    <w:p w:rsidR="002A1ED1" w:rsidRDefault="002A1ED1">
      <w:pPr>
        <w:pStyle w:val="FootnoteText"/>
      </w:pPr>
      <w:r>
        <w:rPr>
          <w:rStyle w:val="FootnoteReference"/>
        </w:rPr>
        <w:footnoteRef/>
      </w:r>
      <w:r>
        <w:t xml:space="preserve"> </w:t>
      </w:r>
      <w:r>
        <w:rPr>
          <w:i/>
        </w:rPr>
        <w:t>Transcript of Evidence</w:t>
      </w:r>
      <w:r>
        <w:t>, 5 November 2019, pp. 34-35.</w:t>
      </w:r>
    </w:p>
  </w:footnote>
  <w:footnote w:id="28">
    <w:p w:rsidR="002A1ED1" w:rsidRDefault="002A1ED1">
      <w:pPr>
        <w:pStyle w:val="FootnoteText"/>
      </w:pPr>
      <w:r>
        <w:rPr>
          <w:rStyle w:val="FootnoteReference"/>
        </w:rPr>
        <w:footnoteRef/>
      </w:r>
      <w:r>
        <w:t xml:space="preserve"> </w:t>
      </w:r>
      <w:r>
        <w:rPr>
          <w:i/>
        </w:rPr>
        <w:t>Transcript of Evidence</w:t>
      </w:r>
      <w:r>
        <w:t>, 5 November 2019, pp. 35-37.</w:t>
      </w:r>
    </w:p>
  </w:footnote>
  <w:footnote w:id="29">
    <w:p w:rsidR="002A1ED1" w:rsidRDefault="002A1ED1">
      <w:pPr>
        <w:pStyle w:val="FootnoteText"/>
      </w:pPr>
      <w:r>
        <w:rPr>
          <w:rStyle w:val="FootnoteReference"/>
        </w:rPr>
        <w:footnoteRef/>
      </w:r>
      <w:r>
        <w:t xml:space="preserve"> </w:t>
      </w:r>
      <w:r>
        <w:rPr>
          <w:i/>
        </w:rPr>
        <w:t>Transcript of Evidence</w:t>
      </w:r>
      <w:r>
        <w:t>, 5 November 2019, pp. 37-39.</w:t>
      </w:r>
    </w:p>
  </w:footnote>
  <w:footnote w:id="30">
    <w:p w:rsidR="002A1ED1" w:rsidRDefault="002A1ED1">
      <w:pPr>
        <w:pStyle w:val="FootnoteText"/>
      </w:pPr>
      <w:r>
        <w:rPr>
          <w:rStyle w:val="FootnoteReference"/>
        </w:rPr>
        <w:footnoteRef/>
      </w:r>
      <w:r>
        <w:t xml:space="preserve"> </w:t>
      </w:r>
      <w:r>
        <w:rPr>
          <w:i/>
        </w:rPr>
        <w:t>Transcript of Evidence</w:t>
      </w:r>
      <w:r>
        <w:t>, 5 November 2019, pp. 39-41.</w:t>
      </w:r>
    </w:p>
  </w:footnote>
  <w:footnote w:id="31">
    <w:p w:rsidR="002A1ED1" w:rsidRDefault="002A1ED1">
      <w:pPr>
        <w:pStyle w:val="FootnoteText"/>
      </w:pPr>
      <w:r>
        <w:rPr>
          <w:rStyle w:val="FootnoteReference"/>
        </w:rPr>
        <w:footnoteRef/>
      </w:r>
      <w:r>
        <w:t xml:space="preserve"> </w:t>
      </w:r>
      <w:r>
        <w:rPr>
          <w:i/>
        </w:rPr>
        <w:t>Transcript of Evidence</w:t>
      </w:r>
      <w:r>
        <w:t>, 5 November 2019, pp. 41-42.</w:t>
      </w:r>
    </w:p>
  </w:footnote>
  <w:footnote w:id="32">
    <w:p w:rsidR="002A1ED1" w:rsidRDefault="002A1ED1">
      <w:pPr>
        <w:pStyle w:val="FootnoteText"/>
      </w:pPr>
      <w:r>
        <w:rPr>
          <w:rStyle w:val="FootnoteReference"/>
        </w:rPr>
        <w:footnoteRef/>
      </w:r>
      <w:r>
        <w:t xml:space="preserve"> </w:t>
      </w:r>
      <w:r>
        <w:rPr>
          <w:i/>
        </w:rPr>
        <w:t>Transcript of Evidence</w:t>
      </w:r>
      <w:r>
        <w:t>, 5 November 2019, pp. 42-45.</w:t>
      </w:r>
    </w:p>
  </w:footnote>
  <w:footnote w:id="33">
    <w:p w:rsidR="002A1ED1" w:rsidRDefault="002A1ED1">
      <w:pPr>
        <w:pStyle w:val="FootnoteText"/>
      </w:pPr>
      <w:r>
        <w:rPr>
          <w:rStyle w:val="FootnoteReference"/>
        </w:rPr>
        <w:footnoteRef/>
      </w:r>
      <w:r>
        <w:t xml:space="preserve"> </w:t>
      </w:r>
      <w:r>
        <w:rPr>
          <w:i/>
        </w:rPr>
        <w:t>Transcript of Evidence</w:t>
      </w:r>
      <w:r>
        <w:t>, 7 November 2019, pp. 45-47.</w:t>
      </w:r>
    </w:p>
  </w:footnote>
  <w:footnote w:id="34">
    <w:p w:rsidR="002A1ED1" w:rsidRDefault="002A1ED1">
      <w:pPr>
        <w:pStyle w:val="FootnoteText"/>
      </w:pPr>
      <w:r>
        <w:rPr>
          <w:rStyle w:val="FootnoteReference"/>
        </w:rPr>
        <w:footnoteRef/>
      </w:r>
      <w:r>
        <w:t xml:space="preserve"> </w:t>
      </w:r>
      <w:r>
        <w:rPr>
          <w:i/>
        </w:rPr>
        <w:t>Transcript of Evidence</w:t>
      </w:r>
      <w:r>
        <w:t>, 7 November 2019, pp. 47-48.</w:t>
      </w:r>
    </w:p>
  </w:footnote>
  <w:footnote w:id="35">
    <w:p w:rsidR="002A1ED1" w:rsidRDefault="002A1ED1">
      <w:pPr>
        <w:pStyle w:val="FootnoteText"/>
      </w:pPr>
      <w:r>
        <w:rPr>
          <w:rStyle w:val="FootnoteReference"/>
        </w:rPr>
        <w:footnoteRef/>
      </w:r>
      <w:r>
        <w:t xml:space="preserve"> </w:t>
      </w:r>
      <w:r>
        <w:rPr>
          <w:i/>
        </w:rPr>
        <w:t>Transcript of Evidence</w:t>
      </w:r>
      <w:r>
        <w:t>, 7 November 2019, p. 48.</w:t>
      </w:r>
    </w:p>
  </w:footnote>
  <w:footnote w:id="36">
    <w:p w:rsidR="002A1ED1" w:rsidRDefault="002A1ED1">
      <w:pPr>
        <w:pStyle w:val="FootnoteText"/>
      </w:pPr>
      <w:r>
        <w:rPr>
          <w:rStyle w:val="FootnoteReference"/>
        </w:rPr>
        <w:footnoteRef/>
      </w:r>
      <w:r>
        <w:t xml:space="preserve"> </w:t>
      </w:r>
      <w:r>
        <w:rPr>
          <w:i/>
        </w:rPr>
        <w:t>Transcript of Evidence</w:t>
      </w:r>
      <w:r>
        <w:t>, 7 November 2019, pp. 48-49.</w:t>
      </w:r>
    </w:p>
  </w:footnote>
  <w:footnote w:id="37">
    <w:p w:rsidR="002A1ED1" w:rsidRDefault="002A1ED1">
      <w:pPr>
        <w:pStyle w:val="FootnoteText"/>
      </w:pPr>
      <w:r>
        <w:rPr>
          <w:rStyle w:val="FootnoteReference"/>
        </w:rPr>
        <w:footnoteRef/>
      </w:r>
      <w:r>
        <w:t xml:space="preserve"> </w:t>
      </w:r>
      <w:r>
        <w:rPr>
          <w:i/>
        </w:rPr>
        <w:t>Transcript of Evidence</w:t>
      </w:r>
      <w:r>
        <w:t>, 7 November 2019, pp. 49-51.</w:t>
      </w:r>
    </w:p>
  </w:footnote>
  <w:footnote w:id="38">
    <w:p w:rsidR="002A1ED1" w:rsidRDefault="002A1ED1">
      <w:pPr>
        <w:pStyle w:val="FootnoteText"/>
      </w:pPr>
      <w:r>
        <w:rPr>
          <w:rStyle w:val="FootnoteReference"/>
        </w:rPr>
        <w:footnoteRef/>
      </w:r>
      <w:r>
        <w:t xml:space="preserve"> </w:t>
      </w:r>
      <w:r>
        <w:rPr>
          <w:i/>
        </w:rPr>
        <w:t>Transcript of Evidence</w:t>
      </w:r>
      <w:r>
        <w:t>, 7 November 2019, pp. 55-57.</w:t>
      </w:r>
    </w:p>
  </w:footnote>
  <w:footnote w:id="39">
    <w:p w:rsidR="002A1ED1" w:rsidRDefault="002A1ED1">
      <w:pPr>
        <w:pStyle w:val="FootnoteText"/>
      </w:pPr>
      <w:r>
        <w:rPr>
          <w:rStyle w:val="FootnoteReference"/>
        </w:rPr>
        <w:footnoteRef/>
      </w:r>
      <w:r>
        <w:t xml:space="preserve"> </w:t>
      </w:r>
      <w:r>
        <w:rPr>
          <w:i/>
        </w:rPr>
        <w:t>Transcript of Evidence</w:t>
      </w:r>
      <w:r>
        <w:t>, 7 November 2019, pp. 57-58.</w:t>
      </w:r>
    </w:p>
  </w:footnote>
  <w:footnote w:id="40">
    <w:p w:rsidR="002A1ED1" w:rsidRDefault="002A1ED1">
      <w:pPr>
        <w:pStyle w:val="FootnoteText"/>
      </w:pPr>
      <w:r>
        <w:rPr>
          <w:rStyle w:val="FootnoteReference"/>
        </w:rPr>
        <w:footnoteRef/>
      </w:r>
      <w:r>
        <w:t xml:space="preserve"> </w:t>
      </w:r>
      <w:r>
        <w:rPr>
          <w:i/>
        </w:rPr>
        <w:t>Transcript of Evidence</w:t>
      </w:r>
      <w:r>
        <w:t>, 7 November 2019, pp. 51-53.</w:t>
      </w:r>
    </w:p>
  </w:footnote>
  <w:footnote w:id="41">
    <w:p w:rsidR="002A1ED1" w:rsidRDefault="002A1ED1">
      <w:pPr>
        <w:pStyle w:val="FootnoteText"/>
      </w:pPr>
      <w:r>
        <w:rPr>
          <w:rStyle w:val="FootnoteReference"/>
        </w:rPr>
        <w:footnoteRef/>
      </w:r>
      <w:r>
        <w:t xml:space="preserve"> </w:t>
      </w:r>
      <w:r>
        <w:rPr>
          <w:i/>
        </w:rPr>
        <w:t>Transcript of Evidence</w:t>
      </w:r>
      <w:r>
        <w:t>, 7 November 2019, pp. 53-55.</w:t>
      </w:r>
    </w:p>
  </w:footnote>
  <w:footnote w:id="42">
    <w:p w:rsidR="002A1ED1" w:rsidRDefault="002A1ED1">
      <w:pPr>
        <w:pStyle w:val="FootnoteText"/>
      </w:pPr>
      <w:r>
        <w:rPr>
          <w:rStyle w:val="FootnoteReference"/>
        </w:rPr>
        <w:footnoteRef/>
      </w:r>
      <w:r>
        <w:t xml:space="preserve"> </w:t>
      </w:r>
      <w:r>
        <w:rPr>
          <w:i/>
        </w:rPr>
        <w:t>Transcript of Evidence</w:t>
      </w:r>
      <w:r>
        <w:t>, 7 November 2019, pp. 58-59.</w:t>
      </w:r>
    </w:p>
  </w:footnote>
  <w:footnote w:id="43">
    <w:p w:rsidR="002A1ED1" w:rsidRDefault="002A1ED1">
      <w:pPr>
        <w:pStyle w:val="FootnoteText"/>
      </w:pPr>
      <w:r>
        <w:rPr>
          <w:rStyle w:val="FootnoteReference"/>
        </w:rPr>
        <w:footnoteRef/>
      </w:r>
      <w:r>
        <w:t xml:space="preserve"> </w:t>
      </w:r>
      <w:r>
        <w:rPr>
          <w:i/>
        </w:rPr>
        <w:t>Transcript of Evidence</w:t>
      </w:r>
      <w:r>
        <w:t>, 7 November 2019, pp. 58-60.</w:t>
      </w:r>
    </w:p>
  </w:footnote>
  <w:footnote w:id="44">
    <w:p w:rsidR="002A1ED1" w:rsidRDefault="002A1ED1">
      <w:pPr>
        <w:pStyle w:val="FootnoteText"/>
      </w:pPr>
      <w:r>
        <w:rPr>
          <w:rStyle w:val="FootnoteReference"/>
        </w:rPr>
        <w:footnoteRef/>
      </w:r>
      <w:r>
        <w:t xml:space="preserve"> </w:t>
      </w:r>
      <w:r>
        <w:rPr>
          <w:i/>
        </w:rPr>
        <w:t>Transcript of Evidence</w:t>
      </w:r>
      <w:r>
        <w:t>, 7 November 2019, pp. 61-63.</w:t>
      </w:r>
    </w:p>
  </w:footnote>
  <w:footnote w:id="45">
    <w:p w:rsidR="002A1ED1" w:rsidRDefault="002A1ED1">
      <w:pPr>
        <w:pStyle w:val="FootnoteText"/>
      </w:pPr>
      <w:r>
        <w:rPr>
          <w:rStyle w:val="FootnoteReference"/>
        </w:rPr>
        <w:footnoteRef/>
      </w:r>
      <w:r>
        <w:t xml:space="preserve"> </w:t>
      </w:r>
      <w:r>
        <w:rPr>
          <w:i/>
        </w:rPr>
        <w:t>Transcript of Evidence</w:t>
      </w:r>
      <w:r>
        <w:t>, 7 November 2019, pp. 63-64, 66.</w:t>
      </w:r>
    </w:p>
  </w:footnote>
  <w:footnote w:id="46">
    <w:p w:rsidR="002A1ED1" w:rsidRDefault="002A1ED1">
      <w:pPr>
        <w:pStyle w:val="FootnoteText"/>
      </w:pPr>
      <w:r>
        <w:rPr>
          <w:rStyle w:val="FootnoteReference"/>
        </w:rPr>
        <w:footnoteRef/>
      </w:r>
      <w:r>
        <w:t xml:space="preserve"> </w:t>
      </w:r>
      <w:r>
        <w:rPr>
          <w:i/>
        </w:rPr>
        <w:t>Transcript of Evidence</w:t>
      </w:r>
      <w:r>
        <w:t>, 7 November 2019, pp. 64-66.</w:t>
      </w:r>
    </w:p>
  </w:footnote>
  <w:footnote w:id="47">
    <w:p w:rsidR="002A1ED1" w:rsidRDefault="002A1ED1">
      <w:pPr>
        <w:pStyle w:val="FootnoteText"/>
      </w:pPr>
      <w:r>
        <w:rPr>
          <w:rStyle w:val="FootnoteReference"/>
        </w:rPr>
        <w:footnoteRef/>
      </w:r>
      <w:r>
        <w:t xml:space="preserve"> </w:t>
      </w:r>
      <w:r>
        <w:rPr>
          <w:i/>
        </w:rPr>
        <w:t>Transcript of Evidence</w:t>
      </w:r>
      <w:r>
        <w:t>, 7 November 2019, pp. 67-68.</w:t>
      </w:r>
    </w:p>
  </w:footnote>
  <w:footnote w:id="48">
    <w:p w:rsidR="002A1ED1" w:rsidRDefault="002A1ED1">
      <w:pPr>
        <w:pStyle w:val="FootnoteText"/>
      </w:pPr>
      <w:r>
        <w:rPr>
          <w:rStyle w:val="FootnoteReference"/>
        </w:rPr>
        <w:footnoteRef/>
      </w:r>
      <w:r>
        <w:t xml:space="preserve"> </w:t>
      </w:r>
      <w:r>
        <w:rPr>
          <w:i/>
        </w:rPr>
        <w:t>Transcript of Evidence</w:t>
      </w:r>
      <w:r>
        <w:t>, 7 November 2019, pp. 68-74.</w:t>
      </w:r>
    </w:p>
  </w:footnote>
  <w:footnote w:id="49">
    <w:p w:rsidR="002A1ED1" w:rsidRDefault="002A1ED1">
      <w:pPr>
        <w:pStyle w:val="FootnoteText"/>
      </w:pPr>
      <w:r>
        <w:rPr>
          <w:rStyle w:val="FootnoteReference"/>
        </w:rPr>
        <w:footnoteRef/>
      </w:r>
      <w:r>
        <w:t xml:space="preserve"> </w:t>
      </w:r>
      <w:r>
        <w:rPr>
          <w:i/>
        </w:rPr>
        <w:t>Transcript of Evidence</w:t>
      </w:r>
      <w:r>
        <w:t>, 7 November 2019, pp. 69-70, 73.</w:t>
      </w:r>
    </w:p>
  </w:footnote>
  <w:footnote w:id="50">
    <w:p w:rsidR="002A1ED1" w:rsidRPr="006F65B5" w:rsidRDefault="002A1ED1">
      <w:pPr>
        <w:pStyle w:val="FootnoteText"/>
      </w:pPr>
      <w:r>
        <w:rPr>
          <w:rStyle w:val="FootnoteReference"/>
        </w:rPr>
        <w:footnoteRef/>
      </w:r>
      <w:r>
        <w:t xml:space="preserve"> </w:t>
      </w:r>
      <w:r>
        <w:rPr>
          <w:i/>
        </w:rPr>
        <w:t>Transcript of Evidence</w:t>
      </w:r>
      <w:r>
        <w:t>, 7 November 2019, pp. 88-90.</w:t>
      </w:r>
    </w:p>
  </w:footnote>
  <w:footnote w:id="51">
    <w:p w:rsidR="002A1ED1" w:rsidRDefault="002A1ED1">
      <w:pPr>
        <w:pStyle w:val="FootnoteText"/>
      </w:pPr>
      <w:r>
        <w:rPr>
          <w:rStyle w:val="FootnoteReference"/>
        </w:rPr>
        <w:footnoteRef/>
      </w:r>
      <w:r>
        <w:t xml:space="preserve"> </w:t>
      </w:r>
      <w:r>
        <w:rPr>
          <w:i/>
        </w:rPr>
        <w:t>Transcript of Evidence</w:t>
      </w:r>
      <w:r>
        <w:t>, 7 November 2019, p. 90.</w:t>
      </w:r>
    </w:p>
  </w:footnote>
  <w:footnote w:id="52">
    <w:p w:rsidR="002A1ED1" w:rsidRDefault="002A1ED1">
      <w:pPr>
        <w:pStyle w:val="FootnoteText"/>
      </w:pPr>
      <w:r>
        <w:rPr>
          <w:rStyle w:val="FootnoteReference"/>
        </w:rPr>
        <w:footnoteRef/>
      </w:r>
      <w:r>
        <w:t xml:space="preserve"> </w:t>
      </w:r>
      <w:r>
        <w:rPr>
          <w:i/>
        </w:rPr>
        <w:t>Transcript of Evidence</w:t>
      </w:r>
      <w:r>
        <w:t>, 7 November 2019, pp. 90-91.</w:t>
      </w:r>
    </w:p>
  </w:footnote>
  <w:footnote w:id="53">
    <w:p w:rsidR="002A1ED1" w:rsidRDefault="002A1ED1">
      <w:pPr>
        <w:pStyle w:val="FootnoteText"/>
      </w:pPr>
      <w:r>
        <w:rPr>
          <w:rStyle w:val="FootnoteReference"/>
        </w:rPr>
        <w:footnoteRef/>
      </w:r>
      <w:r>
        <w:t xml:space="preserve"> </w:t>
      </w:r>
      <w:r>
        <w:rPr>
          <w:i/>
        </w:rPr>
        <w:t>Transcript of Evidence</w:t>
      </w:r>
      <w:r>
        <w:t>, 7 November 2019, pp. 91-94, 96-98.</w:t>
      </w:r>
    </w:p>
  </w:footnote>
  <w:footnote w:id="54">
    <w:p w:rsidR="002A1ED1" w:rsidRDefault="002A1ED1">
      <w:pPr>
        <w:pStyle w:val="FootnoteText"/>
      </w:pPr>
      <w:r>
        <w:rPr>
          <w:rStyle w:val="FootnoteReference"/>
        </w:rPr>
        <w:footnoteRef/>
      </w:r>
      <w:r>
        <w:t xml:space="preserve"> </w:t>
      </w:r>
      <w:r>
        <w:rPr>
          <w:i/>
        </w:rPr>
        <w:t>Transcript of Evidence</w:t>
      </w:r>
      <w:r>
        <w:t>, 7 November 2019, pp. 94-95.</w:t>
      </w:r>
    </w:p>
  </w:footnote>
  <w:footnote w:id="55">
    <w:p w:rsidR="002A1ED1" w:rsidRDefault="002A1ED1">
      <w:pPr>
        <w:pStyle w:val="FootnoteText"/>
      </w:pPr>
      <w:r>
        <w:rPr>
          <w:rStyle w:val="FootnoteReference"/>
        </w:rPr>
        <w:footnoteRef/>
      </w:r>
      <w:r>
        <w:t xml:space="preserve"> </w:t>
      </w:r>
      <w:r>
        <w:rPr>
          <w:i/>
        </w:rPr>
        <w:t>Transcript of Evidence</w:t>
      </w:r>
      <w:r>
        <w:t>, 7 November 2019, pp. 95-96.</w:t>
      </w:r>
    </w:p>
  </w:footnote>
  <w:footnote w:id="56">
    <w:p w:rsidR="002A1ED1" w:rsidRDefault="002A1ED1">
      <w:pPr>
        <w:pStyle w:val="FootnoteText"/>
      </w:pPr>
      <w:r>
        <w:rPr>
          <w:rStyle w:val="FootnoteReference"/>
        </w:rPr>
        <w:footnoteRef/>
      </w:r>
      <w:r>
        <w:t xml:space="preserve"> </w:t>
      </w:r>
      <w:r>
        <w:rPr>
          <w:i/>
        </w:rPr>
        <w:t>Transcript of Evidence</w:t>
      </w:r>
      <w:r>
        <w:t>, 7 November 2019, pp. 98-99.</w:t>
      </w:r>
    </w:p>
  </w:footnote>
  <w:footnote w:id="57">
    <w:p w:rsidR="002A1ED1" w:rsidRDefault="002A1ED1">
      <w:pPr>
        <w:pStyle w:val="FootnoteText"/>
      </w:pPr>
      <w:r>
        <w:rPr>
          <w:rStyle w:val="FootnoteReference"/>
        </w:rPr>
        <w:footnoteRef/>
      </w:r>
      <w:r>
        <w:t xml:space="preserve"> </w:t>
      </w:r>
      <w:r>
        <w:rPr>
          <w:i/>
        </w:rPr>
        <w:t>Transcript of Evidence</w:t>
      </w:r>
      <w:r>
        <w:t>, 7 November 2019, p. 99.</w:t>
      </w:r>
    </w:p>
  </w:footnote>
  <w:footnote w:id="58">
    <w:p w:rsidR="002A1ED1" w:rsidRDefault="002A1ED1">
      <w:pPr>
        <w:pStyle w:val="FootnoteText"/>
      </w:pPr>
      <w:r>
        <w:rPr>
          <w:rStyle w:val="FootnoteReference"/>
        </w:rPr>
        <w:footnoteRef/>
      </w:r>
      <w:r>
        <w:t xml:space="preserve"> </w:t>
      </w:r>
      <w:r>
        <w:rPr>
          <w:i/>
        </w:rPr>
        <w:t>Transcript of Evidence</w:t>
      </w:r>
      <w:r>
        <w:t>, 7 November 2019, pp. 99-101.</w:t>
      </w:r>
    </w:p>
  </w:footnote>
  <w:footnote w:id="59">
    <w:p w:rsidR="002A1ED1" w:rsidRDefault="002A1ED1">
      <w:pPr>
        <w:pStyle w:val="FootnoteText"/>
      </w:pPr>
      <w:r>
        <w:rPr>
          <w:rStyle w:val="FootnoteReference"/>
        </w:rPr>
        <w:footnoteRef/>
      </w:r>
      <w:r>
        <w:t xml:space="preserve"> </w:t>
      </w:r>
      <w:r>
        <w:rPr>
          <w:i/>
        </w:rPr>
        <w:t>Transcript of Evidence</w:t>
      </w:r>
      <w:r>
        <w:t>, 7 November 2019, pp. 102-103.</w:t>
      </w:r>
    </w:p>
  </w:footnote>
  <w:footnote w:id="60">
    <w:p w:rsidR="002A1ED1" w:rsidRDefault="002A1ED1">
      <w:pPr>
        <w:pStyle w:val="FootnoteText"/>
      </w:pPr>
      <w:r>
        <w:rPr>
          <w:rStyle w:val="FootnoteReference"/>
        </w:rPr>
        <w:footnoteRef/>
      </w:r>
      <w:r>
        <w:t xml:space="preserve"> </w:t>
      </w:r>
      <w:r>
        <w:rPr>
          <w:i/>
        </w:rPr>
        <w:t>Transcript of Evidence</w:t>
      </w:r>
      <w:r>
        <w:t>, 7 November 2019, pp. 103-107.</w:t>
      </w:r>
    </w:p>
  </w:footnote>
  <w:footnote w:id="61">
    <w:p w:rsidR="002A1ED1" w:rsidRDefault="002A1ED1">
      <w:pPr>
        <w:pStyle w:val="FootnoteText"/>
      </w:pPr>
      <w:r>
        <w:rPr>
          <w:rStyle w:val="FootnoteReference"/>
        </w:rPr>
        <w:footnoteRef/>
      </w:r>
      <w:r>
        <w:t xml:space="preserve"> </w:t>
      </w:r>
      <w:r>
        <w:rPr>
          <w:i/>
        </w:rPr>
        <w:t>Transcript of Evidence</w:t>
      </w:r>
      <w:r>
        <w:t>, 7 November 2019, p. 107.</w:t>
      </w:r>
    </w:p>
  </w:footnote>
  <w:footnote w:id="62">
    <w:p w:rsidR="002A1ED1" w:rsidRDefault="002A1ED1">
      <w:pPr>
        <w:pStyle w:val="FootnoteText"/>
      </w:pPr>
      <w:r>
        <w:rPr>
          <w:rStyle w:val="FootnoteReference"/>
        </w:rPr>
        <w:footnoteRef/>
      </w:r>
      <w:r>
        <w:t xml:space="preserve"> </w:t>
      </w:r>
      <w:r>
        <w:rPr>
          <w:i/>
        </w:rPr>
        <w:t>Transcript of Evidence</w:t>
      </w:r>
      <w:r>
        <w:t>, 7 November 2019, pp. 107-110.</w:t>
      </w:r>
    </w:p>
  </w:footnote>
  <w:footnote w:id="63">
    <w:p w:rsidR="002A1ED1" w:rsidRDefault="002A1ED1">
      <w:pPr>
        <w:pStyle w:val="FootnoteText"/>
      </w:pPr>
      <w:r>
        <w:rPr>
          <w:rStyle w:val="FootnoteReference"/>
        </w:rPr>
        <w:footnoteRef/>
      </w:r>
      <w:r>
        <w:t xml:space="preserve"> </w:t>
      </w:r>
      <w:r>
        <w:rPr>
          <w:i/>
        </w:rPr>
        <w:t>Transcript of Evidence</w:t>
      </w:r>
      <w:r>
        <w:t>, 7 November 2019, pp. 110-111.</w:t>
      </w:r>
    </w:p>
  </w:footnote>
  <w:footnote w:id="64">
    <w:p w:rsidR="002A1ED1" w:rsidRDefault="002A1ED1">
      <w:pPr>
        <w:pStyle w:val="FootnoteText"/>
      </w:pPr>
      <w:r>
        <w:rPr>
          <w:rStyle w:val="FootnoteReference"/>
        </w:rPr>
        <w:footnoteRef/>
      </w:r>
      <w:r>
        <w:t xml:space="preserve"> </w:t>
      </w:r>
      <w:r>
        <w:rPr>
          <w:i/>
        </w:rPr>
        <w:t>Transcript of Evidence</w:t>
      </w:r>
      <w:r>
        <w:t>, 7 November 2019, pp. 111-113.</w:t>
      </w:r>
    </w:p>
  </w:footnote>
  <w:footnote w:id="65">
    <w:p w:rsidR="002A1ED1" w:rsidRDefault="002A1ED1">
      <w:pPr>
        <w:pStyle w:val="FootnoteText"/>
      </w:pPr>
      <w:r>
        <w:rPr>
          <w:rStyle w:val="FootnoteReference"/>
        </w:rPr>
        <w:footnoteRef/>
      </w:r>
      <w:r>
        <w:t xml:space="preserve"> </w:t>
      </w:r>
      <w:r>
        <w:rPr>
          <w:i/>
        </w:rPr>
        <w:t>Transcript of Evidence</w:t>
      </w:r>
      <w:r>
        <w:t>, 7 November 2019, pp. 113-114.</w:t>
      </w:r>
    </w:p>
  </w:footnote>
  <w:footnote w:id="66">
    <w:p w:rsidR="002A1ED1" w:rsidRDefault="002A1ED1">
      <w:pPr>
        <w:pStyle w:val="FootnoteText"/>
      </w:pPr>
      <w:r>
        <w:rPr>
          <w:rStyle w:val="FootnoteReference"/>
        </w:rPr>
        <w:footnoteRef/>
      </w:r>
      <w:r>
        <w:t xml:space="preserve"> </w:t>
      </w:r>
      <w:r>
        <w:rPr>
          <w:i/>
        </w:rPr>
        <w:t>Transcript of Evidence</w:t>
      </w:r>
      <w:r>
        <w:t>, 7 November 2019, p. 114.</w:t>
      </w:r>
    </w:p>
  </w:footnote>
  <w:footnote w:id="67">
    <w:p w:rsidR="002A1ED1" w:rsidRDefault="002A1ED1" w:rsidP="00900E2B">
      <w:pPr>
        <w:pStyle w:val="FootnoteText"/>
      </w:pPr>
      <w:r>
        <w:rPr>
          <w:rStyle w:val="FootnoteReference"/>
        </w:rPr>
        <w:footnoteRef/>
      </w:r>
      <w:r>
        <w:t xml:space="preserve"> </w:t>
      </w:r>
      <w:r>
        <w:rPr>
          <w:i/>
        </w:rPr>
        <w:t>Transcript of Evidence</w:t>
      </w:r>
      <w:r>
        <w:t>, 7 November 2019, p. 108.</w:t>
      </w:r>
    </w:p>
  </w:footnote>
  <w:footnote w:id="68">
    <w:p w:rsidR="002A1ED1" w:rsidRDefault="002A1ED1" w:rsidP="00900E2B">
      <w:pPr>
        <w:pStyle w:val="FootnoteText"/>
      </w:pPr>
      <w:r>
        <w:rPr>
          <w:rStyle w:val="FootnoteReference"/>
        </w:rPr>
        <w:footnoteRef/>
      </w:r>
      <w:r>
        <w:t xml:space="preserve"> </w:t>
      </w:r>
      <w:r>
        <w:rPr>
          <w:i/>
        </w:rPr>
        <w:t>Transcript of Evidence</w:t>
      </w:r>
      <w:r>
        <w:t>, 7 November 2019, p. 110.</w:t>
      </w:r>
    </w:p>
  </w:footnote>
  <w:footnote w:id="69">
    <w:p w:rsidR="002A1ED1" w:rsidRDefault="002A1ED1">
      <w:pPr>
        <w:pStyle w:val="FootnoteText"/>
      </w:pPr>
      <w:r>
        <w:rPr>
          <w:rStyle w:val="FootnoteReference"/>
        </w:rPr>
        <w:footnoteRef/>
      </w:r>
      <w:r>
        <w:t xml:space="preserve"> </w:t>
      </w:r>
      <w:r>
        <w:rPr>
          <w:i/>
        </w:rPr>
        <w:t>Transcript of Evidence</w:t>
      </w:r>
      <w:r>
        <w:t>, 7 November 2019, p. 108.</w:t>
      </w:r>
    </w:p>
  </w:footnote>
  <w:footnote w:id="70">
    <w:p w:rsidR="002A1ED1" w:rsidRDefault="002A1ED1">
      <w:pPr>
        <w:pStyle w:val="FootnoteText"/>
      </w:pPr>
      <w:r>
        <w:rPr>
          <w:rStyle w:val="FootnoteReference"/>
        </w:rPr>
        <w:footnoteRef/>
      </w:r>
      <w:r>
        <w:t xml:space="preserve"> </w:t>
      </w:r>
      <w:r>
        <w:rPr>
          <w:i/>
        </w:rPr>
        <w:t>Transcript of Evidence</w:t>
      </w:r>
      <w:r>
        <w:t>, 7 November 2019, pp. 115-117.</w:t>
      </w:r>
    </w:p>
  </w:footnote>
  <w:footnote w:id="71">
    <w:p w:rsidR="002A1ED1" w:rsidRDefault="002A1ED1">
      <w:pPr>
        <w:pStyle w:val="FootnoteText"/>
      </w:pPr>
      <w:r>
        <w:rPr>
          <w:rStyle w:val="FootnoteReference"/>
        </w:rPr>
        <w:footnoteRef/>
      </w:r>
      <w:r>
        <w:t xml:space="preserve"> </w:t>
      </w:r>
      <w:r>
        <w:rPr>
          <w:i/>
        </w:rPr>
        <w:t>Transcript of Evidence</w:t>
      </w:r>
      <w:r>
        <w:t>, 7 November 2019, pp. 117-120.</w:t>
      </w:r>
    </w:p>
  </w:footnote>
  <w:footnote w:id="72">
    <w:p w:rsidR="002A1ED1" w:rsidRDefault="002A1ED1">
      <w:pPr>
        <w:pStyle w:val="FootnoteText"/>
      </w:pPr>
      <w:r>
        <w:rPr>
          <w:rStyle w:val="FootnoteReference"/>
        </w:rPr>
        <w:footnoteRef/>
      </w:r>
      <w:r>
        <w:t xml:space="preserve"> </w:t>
      </w:r>
      <w:r>
        <w:rPr>
          <w:i/>
        </w:rPr>
        <w:t>Transcript of Evidence</w:t>
      </w:r>
      <w:r>
        <w:t>, 7 November 2019, pp. 120-121.</w:t>
      </w:r>
    </w:p>
  </w:footnote>
  <w:footnote w:id="73">
    <w:p w:rsidR="002A1ED1" w:rsidRDefault="002A1ED1">
      <w:pPr>
        <w:pStyle w:val="FootnoteText"/>
      </w:pPr>
      <w:r>
        <w:rPr>
          <w:rStyle w:val="FootnoteReference"/>
        </w:rPr>
        <w:footnoteRef/>
      </w:r>
      <w:r>
        <w:t xml:space="preserve"> </w:t>
      </w:r>
      <w:r>
        <w:rPr>
          <w:i/>
        </w:rPr>
        <w:t>Transcript of Evidence</w:t>
      </w:r>
      <w:r>
        <w:t>, 7 November 2019, p. 121.</w:t>
      </w:r>
    </w:p>
  </w:footnote>
  <w:footnote w:id="74">
    <w:p w:rsidR="002A1ED1" w:rsidRDefault="002A1ED1">
      <w:pPr>
        <w:pStyle w:val="FootnoteText"/>
      </w:pPr>
      <w:r>
        <w:rPr>
          <w:rStyle w:val="FootnoteReference"/>
        </w:rPr>
        <w:footnoteRef/>
      </w:r>
      <w:r>
        <w:t xml:space="preserve"> </w:t>
      </w:r>
      <w:r>
        <w:rPr>
          <w:i/>
        </w:rPr>
        <w:t>Transcript of Evidence</w:t>
      </w:r>
      <w:r>
        <w:t>, 7 November 2019, p. 121.</w:t>
      </w:r>
    </w:p>
  </w:footnote>
  <w:footnote w:id="75">
    <w:p w:rsidR="002A1ED1" w:rsidRDefault="002A1ED1">
      <w:pPr>
        <w:pStyle w:val="FootnoteText"/>
      </w:pPr>
      <w:r>
        <w:rPr>
          <w:rStyle w:val="FootnoteReference"/>
        </w:rPr>
        <w:footnoteRef/>
      </w:r>
      <w:r>
        <w:t xml:space="preserve"> </w:t>
      </w:r>
      <w:r>
        <w:rPr>
          <w:i/>
        </w:rPr>
        <w:t>Transcript of Evidence</w:t>
      </w:r>
      <w:r>
        <w:t>, 7 November 2019, pp. 121-122.</w:t>
      </w:r>
    </w:p>
  </w:footnote>
  <w:footnote w:id="76">
    <w:p w:rsidR="002A1ED1" w:rsidRDefault="002A1ED1">
      <w:pPr>
        <w:pStyle w:val="FootnoteText"/>
      </w:pPr>
      <w:r>
        <w:rPr>
          <w:rStyle w:val="FootnoteReference"/>
        </w:rPr>
        <w:footnoteRef/>
      </w:r>
      <w:r>
        <w:t xml:space="preserve"> </w:t>
      </w:r>
      <w:r>
        <w:rPr>
          <w:i/>
        </w:rPr>
        <w:t>Transcript of Evidence</w:t>
      </w:r>
      <w:r>
        <w:t>, 7 November 2019, p. 122.</w:t>
      </w:r>
    </w:p>
  </w:footnote>
  <w:footnote w:id="77">
    <w:p w:rsidR="002A1ED1" w:rsidRDefault="002A1ED1">
      <w:pPr>
        <w:pStyle w:val="FootnoteText"/>
      </w:pPr>
      <w:r>
        <w:rPr>
          <w:rStyle w:val="FootnoteReference"/>
        </w:rPr>
        <w:footnoteRef/>
      </w:r>
      <w:r>
        <w:t xml:space="preserve"> </w:t>
      </w:r>
      <w:r>
        <w:rPr>
          <w:i/>
        </w:rPr>
        <w:t>Transcript of Evidence</w:t>
      </w:r>
      <w:r>
        <w:t>, 7 November 2019, pp. 122-124.</w:t>
      </w:r>
    </w:p>
  </w:footnote>
  <w:footnote w:id="78">
    <w:p w:rsidR="002A1ED1" w:rsidRDefault="002A1ED1">
      <w:pPr>
        <w:pStyle w:val="FootnoteText"/>
      </w:pPr>
      <w:r>
        <w:rPr>
          <w:rStyle w:val="FootnoteReference"/>
        </w:rPr>
        <w:footnoteRef/>
      </w:r>
      <w:r>
        <w:t xml:space="preserve"> </w:t>
      </w:r>
      <w:r>
        <w:rPr>
          <w:i/>
        </w:rPr>
        <w:t>Transcript of Evidence</w:t>
      </w:r>
      <w:r>
        <w:t>, 7 November 2019, pp. 124-125.</w:t>
      </w:r>
    </w:p>
  </w:footnote>
  <w:footnote w:id="79">
    <w:p w:rsidR="002A1ED1" w:rsidRDefault="002A1ED1">
      <w:pPr>
        <w:pStyle w:val="FootnoteText"/>
      </w:pPr>
      <w:r>
        <w:rPr>
          <w:rStyle w:val="FootnoteReference"/>
        </w:rPr>
        <w:footnoteRef/>
      </w:r>
      <w:r>
        <w:t xml:space="preserve"> </w:t>
      </w:r>
      <w:r>
        <w:rPr>
          <w:i/>
        </w:rPr>
        <w:t>Transcript of Evidence</w:t>
      </w:r>
      <w:r>
        <w:t>, 7 November 2019, pp.125-127.</w:t>
      </w:r>
    </w:p>
  </w:footnote>
  <w:footnote w:id="80">
    <w:p w:rsidR="002A1ED1" w:rsidRDefault="002A1ED1">
      <w:pPr>
        <w:pStyle w:val="FootnoteText"/>
      </w:pPr>
      <w:r>
        <w:rPr>
          <w:rStyle w:val="FootnoteReference"/>
        </w:rPr>
        <w:footnoteRef/>
      </w:r>
      <w:r>
        <w:t xml:space="preserve"> </w:t>
      </w:r>
      <w:r>
        <w:rPr>
          <w:i/>
        </w:rPr>
        <w:t>Transcript of Evidence</w:t>
      </w:r>
      <w:r>
        <w:t>, 7 November 2019, pp. 127-128.</w:t>
      </w:r>
    </w:p>
  </w:footnote>
  <w:footnote w:id="81">
    <w:p w:rsidR="002A1ED1" w:rsidRDefault="002A1ED1">
      <w:pPr>
        <w:pStyle w:val="FootnoteText"/>
      </w:pPr>
      <w:r>
        <w:rPr>
          <w:rStyle w:val="FootnoteReference"/>
        </w:rPr>
        <w:footnoteRef/>
      </w:r>
      <w:r>
        <w:t xml:space="preserve"> </w:t>
      </w:r>
      <w:r>
        <w:rPr>
          <w:i/>
        </w:rPr>
        <w:t>Transcript of Evidence</w:t>
      </w:r>
      <w:r>
        <w:t>, 7 November 2019, pp. 128-129.</w:t>
      </w:r>
    </w:p>
  </w:footnote>
  <w:footnote w:id="82">
    <w:p w:rsidR="002A1ED1" w:rsidRDefault="002A1ED1">
      <w:pPr>
        <w:pStyle w:val="FootnoteText"/>
      </w:pPr>
      <w:r>
        <w:rPr>
          <w:rStyle w:val="FootnoteReference"/>
        </w:rPr>
        <w:footnoteRef/>
      </w:r>
      <w:r>
        <w:t xml:space="preserve"> </w:t>
      </w:r>
      <w:r>
        <w:rPr>
          <w:i/>
        </w:rPr>
        <w:t>Transcript of Evidence</w:t>
      </w:r>
      <w:r>
        <w:t>, 7 November 2019, p. 129.</w:t>
      </w:r>
    </w:p>
  </w:footnote>
  <w:footnote w:id="83">
    <w:p w:rsidR="002A1ED1" w:rsidRDefault="002A1ED1">
      <w:pPr>
        <w:pStyle w:val="FootnoteText"/>
      </w:pPr>
      <w:r>
        <w:rPr>
          <w:rStyle w:val="FootnoteReference"/>
        </w:rPr>
        <w:footnoteRef/>
      </w:r>
      <w:r>
        <w:t xml:space="preserve"> </w:t>
      </w:r>
      <w:r>
        <w:rPr>
          <w:i/>
        </w:rPr>
        <w:t>Transcript of Evidence</w:t>
      </w:r>
      <w:r>
        <w:t>, 7 November 2019, pp. 129-130.</w:t>
      </w:r>
    </w:p>
  </w:footnote>
  <w:footnote w:id="84">
    <w:p w:rsidR="002A1ED1" w:rsidRDefault="002A1ED1">
      <w:pPr>
        <w:pStyle w:val="FootnoteText"/>
      </w:pPr>
      <w:r>
        <w:rPr>
          <w:rStyle w:val="FootnoteReference"/>
        </w:rPr>
        <w:footnoteRef/>
      </w:r>
      <w:r>
        <w:t xml:space="preserve"> </w:t>
      </w:r>
      <w:r>
        <w:rPr>
          <w:i/>
        </w:rPr>
        <w:t>Transcript of Evidence</w:t>
      </w:r>
      <w:r>
        <w:t>, 7 November 2019, p. 130.</w:t>
      </w:r>
    </w:p>
  </w:footnote>
  <w:footnote w:id="85">
    <w:p w:rsidR="002A1ED1" w:rsidRDefault="002A1ED1">
      <w:pPr>
        <w:pStyle w:val="FootnoteText"/>
      </w:pPr>
      <w:r>
        <w:rPr>
          <w:rStyle w:val="FootnoteReference"/>
        </w:rPr>
        <w:footnoteRef/>
      </w:r>
      <w:r>
        <w:t xml:space="preserve"> </w:t>
      </w:r>
      <w:r>
        <w:rPr>
          <w:i/>
        </w:rPr>
        <w:t>Transcript of Evidence</w:t>
      </w:r>
      <w:r>
        <w:t>, 7 November 2019, p. 75.</w:t>
      </w:r>
    </w:p>
  </w:footnote>
  <w:footnote w:id="86">
    <w:p w:rsidR="002A1ED1" w:rsidRDefault="002A1ED1">
      <w:pPr>
        <w:pStyle w:val="FootnoteText"/>
      </w:pPr>
      <w:r>
        <w:rPr>
          <w:rStyle w:val="FootnoteReference"/>
        </w:rPr>
        <w:footnoteRef/>
      </w:r>
      <w:r>
        <w:t xml:space="preserve"> </w:t>
      </w:r>
      <w:r>
        <w:rPr>
          <w:i/>
        </w:rPr>
        <w:t>Transcript of Evidence</w:t>
      </w:r>
      <w:r>
        <w:t>, 7 November 2019, pp. 75-76.</w:t>
      </w:r>
    </w:p>
  </w:footnote>
  <w:footnote w:id="87">
    <w:p w:rsidR="002A1ED1" w:rsidRDefault="002A1ED1">
      <w:pPr>
        <w:pStyle w:val="FootnoteText"/>
      </w:pPr>
      <w:r>
        <w:rPr>
          <w:rStyle w:val="FootnoteReference"/>
        </w:rPr>
        <w:footnoteRef/>
      </w:r>
      <w:r>
        <w:t xml:space="preserve"> </w:t>
      </w:r>
      <w:r>
        <w:rPr>
          <w:i/>
        </w:rPr>
        <w:t>Transcript of Evidence</w:t>
      </w:r>
      <w:r>
        <w:t>, 7 November 2019, pp. 76-81.</w:t>
      </w:r>
    </w:p>
  </w:footnote>
  <w:footnote w:id="88">
    <w:p w:rsidR="002A1ED1" w:rsidRDefault="002A1ED1">
      <w:pPr>
        <w:pStyle w:val="FootnoteText"/>
      </w:pPr>
      <w:r>
        <w:rPr>
          <w:rStyle w:val="FootnoteReference"/>
        </w:rPr>
        <w:footnoteRef/>
      </w:r>
      <w:r>
        <w:t xml:space="preserve"> </w:t>
      </w:r>
      <w:r>
        <w:rPr>
          <w:i/>
        </w:rPr>
        <w:t>Transcript of Evidence</w:t>
      </w:r>
      <w:r>
        <w:t>, 7 November 2019, pp. 81-82.</w:t>
      </w:r>
    </w:p>
  </w:footnote>
  <w:footnote w:id="89">
    <w:p w:rsidR="002A1ED1" w:rsidRDefault="002A1ED1">
      <w:pPr>
        <w:pStyle w:val="FootnoteText"/>
      </w:pPr>
      <w:r>
        <w:rPr>
          <w:rStyle w:val="FootnoteReference"/>
        </w:rPr>
        <w:footnoteRef/>
      </w:r>
      <w:r>
        <w:t xml:space="preserve"> </w:t>
      </w:r>
      <w:r>
        <w:rPr>
          <w:i/>
        </w:rPr>
        <w:t>Transcript of Evidence</w:t>
      </w:r>
      <w:r>
        <w:t>, 7 November 2019, pp. 82-83.</w:t>
      </w:r>
    </w:p>
  </w:footnote>
  <w:footnote w:id="90">
    <w:p w:rsidR="002A1ED1" w:rsidRDefault="002A1ED1">
      <w:pPr>
        <w:pStyle w:val="FootnoteText"/>
      </w:pPr>
      <w:r>
        <w:rPr>
          <w:rStyle w:val="FootnoteReference"/>
        </w:rPr>
        <w:footnoteRef/>
      </w:r>
      <w:r>
        <w:t xml:space="preserve"> </w:t>
      </w:r>
      <w:r>
        <w:rPr>
          <w:i/>
        </w:rPr>
        <w:t>Transcript of Evidence</w:t>
      </w:r>
      <w:r>
        <w:t>, 7 November 2019, pp. 82-83.</w:t>
      </w:r>
    </w:p>
  </w:footnote>
  <w:footnote w:id="91">
    <w:p w:rsidR="002A1ED1" w:rsidRDefault="002A1ED1">
      <w:pPr>
        <w:pStyle w:val="FootnoteText"/>
      </w:pPr>
      <w:r>
        <w:rPr>
          <w:rStyle w:val="FootnoteReference"/>
        </w:rPr>
        <w:footnoteRef/>
      </w:r>
      <w:r>
        <w:t xml:space="preserve"> </w:t>
      </w:r>
      <w:r>
        <w:rPr>
          <w:i/>
        </w:rPr>
        <w:t>Transcript of Evidence</w:t>
      </w:r>
      <w:r>
        <w:t>, 7 November 2019, pp.83-84.</w:t>
      </w:r>
    </w:p>
  </w:footnote>
  <w:footnote w:id="92">
    <w:p w:rsidR="002A1ED1" w:rsidRDefault="002A1ED1">
      <w:pPr>
        <w:pStyle w:val="FootnoteText"/>
      </w:pPr>
      <w:r>
        <w:rPr>
          <w:rStyle w:val="FootnoteReference"/>
        </w:rPr>
        <w:footnoteRef/>
      </w:r>
      <w:r>
        <w:t xml:space="preserve"> </w:t>
      </w:r>
      <w:r>
        <w:rPr>
          <w:i/>
        </w:rPr>
        <w:t>Transcript of Evidence</w:t>
      </w:r>
      <w:r>
        <w:t>, 7 November 2019, p. 84.</w:t>
      </w:r>
    </w:p>
  </w:footnote>
  <w:footnote w:id="93">
    <w:p w:rsidR="002A1ED1" w:rsidRDefault="002A1ED1">
      <w:pPr>
        <w:pStyle w:val="FootnoteText"/>
      </w:pPr>
      <w:r>
        <w:rPr>
          <w:rStyle w:val="FootnoteReference"/>
        </w:rPr>
        <w:footnoteRef/>
      </w:r>
      <w:r>
        <w:t xml:space="preserve"> </w:t>
      </w:r>
      <w:r>
        <w:rPr>
          <w:i/>
        </w:rPr>
        <w:t>Transcript of Evidence</w:t>
      </w:r>
      <w:r>
        <w:t>, 7 November 2019, pp. 84-86.</w:t>
      </w:r>
    </w:p>
  </w:footnote>
  <w:footnote w:id="94">
    <w:p w:rsidR="002A1ED1" w:rsidRDefault="002A1ED1">
      <w:pPr>
        <w:pStyle w:val="FootnoteText"/>
      </w:pPr>
      <w:r>
        <w:rPr>
          <w:rStyle w:val="FootnoteReference"/>
        </w:rPr>
        <w:footnoteRef/>
      </w:r>
      <w:r>
        <w:t xml:space="preserve"> </w:t>
      </w:r>
      <w:r>
        <w:rPr>
          <w:i/>
        </w:rPr>
        <w:t>Transcript of Evidence</w:t>
      </w:r>
      <w:r>
        <w:t>, 7 November 2019, pp. 86-87.</w:t>
      </w:r>
    </w:p>
  </w:footnote>
  <w:footnote w:id="95">
    <w:p w:rsidR="002A1ED1" w:rsidRDefault="002A1ED1">
      <w:pPr>
        <w:pStyle w:val="FootnoteText"/>
      </w:pPr>
      <w:r>
        <w:rPr>
          <w:rStyle w:val="FootnoteReference"/>
        </w:rPr>
        <w:footnoteRef/>
      </w:r>
      <w:r>
        <w:t xml:space="preserve"> </w:t>
      </w:r>
      <w:r>
        <w:rPr>
          <w:i/>
        </w:rPr>
        <w:t>Transcript of Evidence</w:t>
      </w:r>
      <w:r>
        <w:t>, 7 November 2019, pp. 81-82.</w:t>
      </w:r>
    </w:p>
  </w:footnote>
  <w:footnote w:id="96">
    <w:p w:rsidR="002A1ED1" w:rsidRDefault="002A1ED1">
      <w:pPr>
        <w:pStyle w:val="FootnoteText"/>
      </w:pPr>
      <w:r>
        <w:rPr>
          <w:rStyle w:val="FootnoteReference"/>
        </w:rPr>
        <w:footnoteRef/>
      </w:r>
      <w:r>
        <w:t xml:space="preserve"> </w:t>
      </w:r>
      <w:r>
        <w:rPr>
          <w:i/>
        </w:rPr>
        <w:t>Transcript of Evidence</w:t>
      </w:r>
      <w:r>
        <w:t>, 7 November 2019, p. 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697" w:rsidRDefault="00C876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697" w:rsidRDefault="00C876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697" w:rsidRDefault="00C876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ED1" w:rsidRPr="002046E5" w:rsidRDefault="002A1ED1"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5B52D2">
      <w:rPr>
        <w:caps w:val="0"/>
        <w:smallCaps/>
        <w:noProof/>
      </w:rPr>
      <w:t>Standing Committee on Economic Development and Tourism</w:t>
    </w:r>
    <w:r w:rsidRPr="002046E5">
      <w:rPr>
        <w:caps w:val="0"/>
        <w:smallCaps/>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ED1" w:rsidRPr="002046E5" w:rsidRDefault="002A1ED1"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5B52D2">
      <w:rPr>
        <w:caps w:val="0"/>
        <w:smallCaps/>
        <w:noProof/>
      </w:rPr>
      <w:t>Report on Annual and Financial Reports 2017-2018</w:t>
    </w:r>
    <w:r w:rsidRPr="002046E5">
      <w:rPr>
        <w:caps w:val="0"/>
        <w:smallCaps/>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3D00EBC"/>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D92DCC0"/>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78046D"/>
    <w:multiLevelType w:val="multilevel"/>
    <w:tmpl w:val="0C09001D"/>
    <w:numStyleLink w:val="CommitteeNumberedPara"/>
  </w:abstractNum>
  <w:abstractNum w:abstractNumId="13"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18A6C65"/>
    <w:multiLevelType w:val="hybridMultilevel"/>
    <w:tmpl w:val="C3820E24"/>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6"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F11D6F"/>
    <w:multiLevelType w:val="multilevel"/>
    <w:tmpl w:val="6ACC929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425"/>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A805768"/>
    <w:multiLevelType w:val="multilevel"/>
    <w:tmpl w:val="286AAF76"/>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ascii="Palatino Linotype" w:hAnsi="Palatino Linotype" w:hint="default"/>
        <w:b w:val="0"/>
        <w:i w:val="0"/>
        <w:caps w:val="0"/>
        <w:vanish w:val="0"/>
        <w:w w:val="95"/>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1F06CEE"/>
    <w:multiLevelType w:val="hybridMultilevel"/>
    <w:tmpl w:val="F6F854BE"/>
    <w:lvl w:ilvl="0" w:tplc="92FC5C0A">
      <w:start w:val="1"/>
      <w:numFmt w:val="bullet"/>
      <w:pStyle w:val="QuoteBullet"/>
      <w:lvlText w:val=""/>
      <w:lvlJc w:val="left"/>
      <w:pPr>
        <w:ind w:left="2160" w:hanging="360"/>
      </w:pPr>
      <w:rPr>
        <w:rFonts w:ascii="Wingdings" w:hAnsi="Wingdings"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1"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8"/>
  </w:num>
  <w:num w:numId="3">
    <w:abstractNumId w:val="6"/>
  </w:num>
  <w:num w:numId="4">
    <w:abstractNumId w:val="13"/>
  </w:num>
  <w:num w:numId="5">
    <w:abstractNumId w:val="5"/>
  </w:num>
  <w:num w:numId="6">
    <w:abstractNumId w:val="7"/>
  </w:num>
  <w:num w:numId="7">
    <w:abstractNumId w:val="9"/>
  </w:num>
  <w:num w:numId="8">
    <w:abstractNumId w:val="17"/>
  </w:num>
  <w:num w:numId="9">
    <w:abstractNumId w:val="8"/>
    <w:lvlOverride w:ilvl="0">
      <w:startOverride w:val="1"/>
    </w:lvlOverride>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6"/>
  </w:num>
  <w:num w:numId="21">
    <w:abstractNumId w:val="12"/>
  </w:num>
  <w:num w:numId="22">
    <w:abstractNumId w:val="10"/>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9"/>
  </w:num>
  <w:num w:numId="28">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embedTrueTypeFonts/>
  <w:saveSubset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F62"/>
    <w:rsid w:val="00002730"/>
    <w:rsid w:val="0000580C"/>
    <w:rsid w:val="000100C7"/>
    <w:rsid w:val="000110B2"/>
    <w:rsid w:val="000135E9"/>
    <w:rsid w:val="000161FB"/>
    <w:rsid w:val="00017D52"/>
    <w:rsid w:val="00020BB5"/>
    <w:rsid w:val="00021269"/>
    <w:rsid w:val="00022DFF"/>
    <w:rsid w:val="00024729"/>
    <w:rsid w:val="00024877"/>
    <w:rsid w:val="000253AB"/>
    <w:rsid w:val="000260E6"/>
    <w:rsid w:val="00026B43"/>
    <w:rsid w:val="0002797A"/>
    <w:rsid w:val="00033BFE"/>
    <w:rsid w:val="000358C7"/>
    <w:rsid w:val="00036BBF"/>
    <w:rsid w:val="00037305"/>
    <w:rsid w:val="00042ACA"/>
    <w:rsid w:val="00050927"/>
    <w:rsid w:val="000557F4"/>
    <w:rsid w:val="0005687D"/>
    <w:rsid w:val="00062E9F"/>
    <w:rsid w:val="0007080E"/>
    <w:rsid w:val="00073A7D"/>
    <w:rsid w:val="000801E9"/>
    <w:rsid w:val="0008221E"/>
    <w:rsid w:val="00084BF4"/>
    <w:rsid w:val="000869A1"/>
    <w:rsid w:val="0008705A"/>
    <w:rsid w:val="00092EA3"/>
    <w:rsid w:val="00096E3A"/>
    <w:rsid w:val="000A0363"/>
    <w:rsid w:val="000A59B6"/>
    <w:rsid w:val="000B2B62"/>
    <w:rsid w:val="000B4094"/>
    <w:rsid w:val="000C4038"/>
    <w:rsid w:val="000C4EFA"/>
    <w:rsid w:val="000D2895"/>
    <w:rsid w:val="000D3E58"/>
    <w:rsid w:val="000D583A"/>
    <w:rsid w:val="000D68A6"/>
    <w:rsid w:val="000E242F"/>
    <w:rsid w:val="000E2EF4"/>
    <w:rsid w:val="000E4741"/>
    <w:rsid w:val="000E7567"/>
    <w:rsid w:val="000F617F"/>
    <w:rsid w:val="001108DC"/>
    <w:rsid w:val="00110CDE"/>
    <w:rsid w:val="00110FA4"/>
    <w:rsid w:val="00111850"/>
    <w:rsid w:val="00113E77"/>
    <w:rsid w:val="00115EEE"/>
    <w:rsid w:val="00116A67"/>
    <w:rsid w:val="0011795D"/>
    <w:rsid w:val="0012342E"/>
    <w:rsid w:val="00123676"/>
    <w:rsid w:val="00123C42"/>
    <w:rsid w:val="00124F8D"/>
    <w:rsid w:val="00125E8B"/>
    <w:rsid w:val="0013212B"/>
    <w:rsid w:val="00133F1B"/>
    <w:rsid w:val="00136659"/>
    <w:rsid w:val="0014298A"/>
    <w:rsid w:val="001511D4"/>
    <w:rsid w:val="00151F03"/>
    <w:rsid w:val="00156E0B"/>
    <w:rsid w:val="0015794F"/>
    <w:rsid w:val="001609A2"/>
    <w:rsid w:val="0016435D"/>
    <w:rsid w:val="001647BE"/>
    <w:rsid w:val="00167854"/>
    <w:rsid w:val="00167B57"/>
    <w:rsid w:val="00170C6B"/>
    <w:rsid w:val="001716E4"/>
    <w:rsid w:val="00171CA7"/>
    <w:rsid w:val="00172E87"/>
    <w:rsid w:val="001752DC"/>
    <w:rsid w:val="0017673C"/>
    <w:rsid w:val="001824F3"/>
    <w:rsid w:val="00182AC2"/>
    <w:rsid w:val="00182DF1"/>
    <w:rsid w:val="001834E8"/>
    <w:rsid w:val="00183FBF"/>
    <w:rsid w:val="00191255"/>
    <w:rsid w:val="0019591D"/>
    <w:rsid w:val="001A0DBE"/>
    <w:rsid w:val="001A5DB1"/>
    <w:rsid w:val="001A7941"/>
    <w:rsid w:val="001B21D7"/>
    <w:rsid w:val="001B2548"/>
    <w:rsid w:val="001B2B71"/>
    <w:rsid w:val="001B4B71"/>
    <w:rsid w:val="001B53D5"/>
    <w:rsid w:val="001B5F6D"/>
    <w:rsid w:val="001C2D1C"/>
    <w:rsid w:val="001C3FDA"/>
    <w:rsid w:val="001C49DC"/>
    <w:rsid w:val="001C690A"/>
    <w:rsid w:val="001C734F"/>
    <w:rsid w:val="001C746F"/>
    <w:rsid w:val="001C75D2"/>
    <w:rsid w:val="001D009F"/>
    <w:rsid w:val="001D17CF"/>
    <w:rsid w:val="001E2D30"/>
    <w:rsid w:val="001E3A56"/>
    <w:rsid w:val="001E7219"/>
    <w:rsid w:val="001F3FA1"/>
    <w:rsid w:val="001F44E7"/>
    <w:rsid w:val="001F4D20"/>
    <w:rsid w:val="001F58CC"/>
    <w:rsid w:val="001F640E"/>
    <w:rsid w:val="002019EC"/>
    <w:rsid w:val="00203982"/>
    <w:rsid w:val="0020415F"/>
    <w:rsid w:val="002046E5"/>
    <w:rsid w:val="00205424"/>
    <w:rsid w:val="00206460"/>
    <w:rsid w:val="0020656E"/>
    <w:rsid w:val="0020680D"/>
    <w:rsid w:val="0020794F"/>
    <w:rsid w:val="00211075"/>
    <w:rsid w:val="00211DBE"/>
    <w:rsid w:val="00217DDC"/>
    <w:rsid w:val="002334BD"/>
    <w:rsid w:val="0023711A"/>
    <w:rsid w:val="00241539"/>
    <w:rsid w:val="00243BBE"/>
    <w:rsid w:val="002507A1"/>
    <w:rsid w:val="00260F29"/>
    <w:rsid w:val="002634A3"/>
    <w:rsid w:val="00264D80"/>
    <w:rsid w:val="00265F91"/>
    <w:rsid w:val="00267A9B"/>
    <w:rsid w:val="002868FF"/>
    <w:rsid w:val="00296702"/>
    <w:rsid w:val="002A1ED1"/>
    <w:rsid w:val="002A5610"/>
    <w:rsid w:val="002A64FA"/>
    <w:rsid w:val="002B1F09"/>
    <w:rsid w:val="002B5C68"/>
    <w:rsid w:val="002B5D24"/>
    <w:rsid w:val="002C4E6E"/>
    <w:rsid w:val="002C5082"/>
    <w:rsid w:val="002D0BC9"/>
    <w:rsid w:val="002D1F26"/>
    <w:rsid w:val="002D4A62"/>
    <w:rsid w:val="002D5959"/>
    <w:rsid w:val="002D5FCE"/>
    <w:rsid w:val="002D7A94"/>
    <w:rsid w:val="002E1A91"/>
    <w:rsid w:val="002E676A"/>
    <w:rsid w:val="002F1BA1"/>
    <w:rsid w:val="002F2404"/>
    <w:rsid w:val="002F52BB"/>
    <w:rsid w:val="00300A7C"/>
    <w:rsid w:val="00301919"/>
    <w:rsid w:val="0030629F"/>
    <w:rsid w:val="00312658"/>
    <w:rsid w:val="003161A0"/>
    <w:rsid w:val="00320141"/>
    <w:rsid w:val="00327492"/>
    <w:rsid w:val="00327F83"/>
    <w:rsid w:val="00331C8D"/>
    <w:rsid w:val="00333FFD"/>
    <w:rsid w:val="0033446E"/>
    <w:rsid w:val="003374BA"/>
    <w:rsid w:val="0034044B"/>
    <w:rsid w:val="003460F0"/>
    <w:rsid w:val="00347AF5"/>
    <w:rsid w:val="003536AD"/>
    <w:rsid w:val="00354914"/>
    <w:rsid w:val="003557A9"/>
    <w:rsid w:val="00355CF2"/>
    <w:rsid w:val="003606E5"/>
    <w:rsid w:val="00360F43"/>
    <w:rsid w:val="00366566"/>
    <w:rsid w:val="00370C68"/>
    <w:rsid w:val="00380BCF"/>
    <w:rsid w:val="0038248A"/>
    <w:rsid w:val="00383DFC"/>
    <w:rsid w:val="003860BC"/>
    <w:rsid w:val="0038667F"/>
    <w:rsid w:val="00386782"/>
    <w:rsid w:val="0038734F"/>
    <w:rsid w:val="00392FBF"/>
    <w:rsid w:val="003957E9"/>
    <w:rsid w:val="00396C34"/>
    <w:rsid w:val="003A4417"/>
    <w:rsid w:val="003A4B6A"/>
    <w:rsid w:val="003A6760"/>
    <w:rsid w:val="003B13F7"/>
    <w:rsid w:val="003B5A9F"/>
    <w:rsid w:val="003B6CB6"/>
    <w:rsid w:val="003B7E6A"/>
    <w:rsid w:val="003C4E99"/>
    <w:rsid w:val="003D59C8"/>
    <w:rsid w:val="003E084F"/>
    <w:rsid w:val="003E0CF7"/>
    <w:rsid w:val="003E346B"/>
    <w:rsid w:val="003E5AB2"/>
    <w:rsid w:val="003E60E7"/>
    <w:rsid w:val="003E694F"/>
    <w:rsid w:val="003E7EED"/>
    <w:rsid w:val="003F1B9A"/>
    <w:rsid w:val="003F3F57"/>
    <w:rsid w:val="003F679A"/>
    <w:rsid w:val="003F7136"/>
    <w:rsid w:val="003F72B7"/>
    <w:rsid w:val="004001FB"/>
    <w:rsid w:val="004115ED"/>
    <w:rsid w:val="00415731"/>
    <w:rsid w:val="00415CDF"/>
    <w:rsid w:val="00415EF1"/>
    <w:rsid w:val="00416520"/>
    <w:rsid w:val="00424B6E"/>
    <w:rsid w:val="00425367"/>
    <w:rsid w:val="004260D7"/>
    <w:rsid w:val="00435291"/>
    <w:rsid w:val="00436631"/>
    <w:rsid w:val="0043728E"/>
    <w:rsid w:val="00440232"/>
    <w:rsid w:val="004415B4"/>
    <w:rsid w:val="0044222A"/>
    <w:rsid w:val="00450878"/>
    <w:rsid w:val="00452EB2"/>
    <w:rsid w:val="00455C80"/>
    <w:rsid w:val="004571A4"/>
    <w:rsid w:val="00461387"/>
    <w:rsid w:val="00462F49"/>
    <w:rsid w:val="0046502A"/>
    <w:rsid w:val="004669D4"/>
    <w:rsid w:val="0046748B"/>
    <w:rsid w:val="00467835"/>
    <w:rsid w:val="00470CE9"/>
    <w:rsid w:val="00472519"/>
    <w:rsid w:val="0047345C"/>
    <w:rsid w:val="004736CB"/>
    <w:rsid w:val="00474F70"/>
    <w:rsid w:val="00475450"/>
    <w:rsid w:val="00477251"/>
    <w:rsid w:val="00496E6D"/>
    <w:rsid w:val="004A01A5"/>
    <w:rsid w:val="004A31E4"/>
    <w:rsid w:val="004A5322"/>
    <w:rsid w:val="004A6F3E"/>
    <w:rsid w:val="004B0CEA"/>
    <w:rsid w:val="004B4B9C"/>
    <w:rsid w:val="004B55FE"/>
    <w:rsid w:val="004B618B"/>
    <w:rsid w:val="004C001F"/>
    <w:rsid w:val="004C30A4"/>
    <w:rsid w:val="004C33BD"/>
    <w:rsid w:val="004C4692"/>
    <w:rsid w:val="004C71BD"/>
    <w:rsid w:val="004D2594"/>
    <w:rsid w:val="004D2CD2"/>
    <w:rsid w:val="004D3265"/>
    <w:rsid w:val="004D5217"/>
    <w:rsid w:val="004E4EE8"/>
    <w:rsid w:val="004E518B"/>
    <w:rsid w:val="004E6B4A"/>
    <w:rsid w:val="004E78B4"/>
    <w:rsid w:val="004F0E1B"/>
    <w:rsid w:val="00500D4E"/>
    <w:rsid w:val="00501F01"/>
    <w:rsid w:val="00504394"/>
    <w:rsid w:val="00505904"/>
    <w:rsid w:val="005072C5"/>
    <w:rsid w:val="0051124B"/>
    <w:rsid w:val="00526A4B"/>
    <w:rsid w:val="0052783F"/>
    <w:rsid w:val="00532B83"/>
    <w:rsid w:val="0053709F"/>
    <w:rsid w:val="00540D7C"/>
    <w:rsid w:val="00542FA6"/>
    <w:rsid w:val="00543F27"/>
    <w:rsid w:val="005501A6"/>
    <w:rsid w:val="005563BB"/>
    <w:rsid w:val="0056020D"/>
    <w:rsid w:val="00563F71"/>
    <w:rsid w:val="00563FEB"/>
    <w:rsid w:val="00566897"/>
    <w:rsid w:val="00566B91"/>
    <w:rsid w:val="00571C50"/>
    <w:rsid w:val="005731A8"/>
    <w:rsid w:val="00575DAA"/>
    <w:rsid w:val="00576CA6"/>
    <w:rsid w:val="005829E8"/>
    <w:rsid w:val="005834B1"/>
    <w:rsid w:val="00584492"/>
    <w:rsid w:val="00585337"/>
    <w:rsid w:val="005876D5"/>
    <w:rsid w:val="005917B3"/>
    <w:rsid w:val="00592771"/>
    <w:rsid w:val="005973EA"/>
    <w:rsid w:val="00597C27"/>
    <w:rsid w:val="005A1168"/>
    <w:rsid w:val="005A50D4"/>
    <w:rsid w:val="005A50F3"/>
    <w:rsid w:val="005A74F5"/>
    <w:rsid w:val="005B17C1"/>
    <w:rsid w:val="005B424B"/>
    <w:rsid w:val="005B52D2"/>
    <w:rsid w:val="005B60C2"/>
    <w:rsid w:val="005C1855"/>
    <w:rsid w:val="005C1AF5"/>
    <w:rsid w:val="005C3ABC"/>
    <w:rsid w:val="005C6A2D"/>
    <w:rsid w:val="005D087B"/>
    <w:rsid w:val="005D0D64"/>
    <w:rsid w:val="005D3E94"/>
    <w:rsid w:val="005D5AB2"/>
    <w:rsid w:val="005E1C4F"/>
    <w:rsid w:val="005E670D"/>
    <w:rsid w:val="005E7576"/>
    <w:rsid w:val="005F2C11"/>
    <w:rsid w:val="005F3356"/>
    <w:rsid w:val="00601ABF"/>
    <w:rsid w:val="006070B8"/>
    <w:rsid w:val="00610B5E"/>
    <w:rsid w:val="00611074"/>
    <w:rsid w:val="0061344F"/>
    <w:rsid w:val="00615144"/>
    <w:rsid w:val="006156C0"/>
    <w:rsid w:val="00617196"/>
    <w:rsid w:val="00617C19"/>
    <w:rsid w:val="00621267"/>
    <w:rsid w:val="006257F6"/>
    <w:rsid w:val="00626168"/>
    <w:rsid w:val="00630E27"/>
    <w:rsid w:val="00631F14"/>
    <w:rsid w:val="006322FD"/>
    <w:rsid w:val="00635F9E"/>
    <w:rsid w:val="00635FB2"/>
    <w:rsid w:val="00636280"/>
    <w:rsid w:val="0064020A"/>
    <w:rsid w:val="00640E82"/>
    <w:rsid w:val="0064133C"/>
    <w:rsid w:val="00641378"/>
    <w:rsid w:val="00642EE7"/>
    <w:rsid w:val="006464A3"/>
    <w:rsid w:val="006510E2"/>
    <w:rsid w:val="006534B0"/>
    <w:rsid w:val="00663486"/>
    <w:rsid w:val="006655DF"/>
    <w:rsid w:val="0066624C"/>
    <w:rsid w:val="006667B9"/>
    <w:rsid w:val="00672013"/>
    <w:rsid w:val="00672199"/>
    <w:rsid w:val="006732C3"/>
    <w:rsid w:val="006818B7"/>
    <w:rsid w:val="00687244"/>
    <w:rsid w:val="0069016B"/>
    <w:rsid w:val="00693538"/>
    <w:rsid w:val="00697906"/>
    <w:rsid w:val="006A5D41"/>
    <w:rsid w:val="006A63E6"/>
    <w:rsid w:val="006A6AC0"/>
    <w:rsid w:val="006A7B27"/>
    <w:rsid w:val="006B485B"/>
    <w:rsid w:val="006B66F4"/>
    <w:rsid w:val="006B793D"/>
    <w:rsid w:val="006C1295"/>
    <w:rsid w:val="006C318F"/>
    <w:rsid w:val="006C4242"/>
    <w:rsid w:val="006C4CF7"/>
    <w:rsid w:val="006D1CF4"/>
    <w:rsid w:val="006E2C4E"/>
    <w:rsid w:val="006E50CD"/>
    <w:rsid w:val="006E6470"/>
    <w:rsid w:val="006F01F3"/>
    <w:rsid w:val="006F1579"/>
    <w:rsid w:val="006F2DA4"/>
    <w:rsid w:val="006F4495"/>
    <w:rsid w:val="006F55B1"/>
    <w:rsid w:val="006F65B5"/>
    <w:rsid w:val="006F7292"/>
    <w:rsid w:val="007104A7"/>
    <w:rsid w:val="00711F2C"/>
    <w:rsid w:val="007136B6"/>
    <w:rsid w:val="00715A96"/>
    <w:rsid w:val="007160C4"/>
    <w:rsid w:val="0071763B"/>
    <w:rsid w:val="00720BD1"/>
    <w:rsid w:val="00720CE9"/>
    <w:rsid w:val="00732092"/>
    <w:rsid w:val="00735B32"/>
    <w:rsid w:val="00735D41"/>
    <w:rsid w:val="00737D66"/>
    <w:rsid w:val="007415C3"/>
    <w:rsid w:val="00742132"/>
    <w:rsid w:val="00744725"/>
    <w:rsid w:val="00744CF0"/>
    <w:rsid w:val="00746A72"/>
    <w:rsid w:val="00752458"/>
    <w:rsid w:val="00755AC1"/>
    <w:rsid w:val="00756701"/>
    <w:rsid w:val="00757881"/>
    <w:rsid w:val="0076272E"/>
    <w:rsid w:val="007629D1"/>
    <w:rsid w:val="007636DE"/>
    <w:rsid w:val="00764425"/>
    <w:rsid w:val="0076515C"/>
    <w:rsid w:val="0076701E"/>
    <w:rsid w:val="0077130C"/>
    <w:rsid w:val="00775065"/>
    <w:rsid w:val="007758F6"/>
    <w:rsid w:val="00776E29"/>
    <w:rsid w:val="007807E9"/>
    <w:rsid w:val="00780B47"/>
    <w:rsid w:val="0078230A"/>
    <w:rsid w:val="00790965"/>
    <w:rsid w:val="007A0441"/>
    <w:rsid w:val="007A166C"/>
    <w:rsid w:val="007A3A48"/>
    <w:rsid w:val="007A3BDC"/>
    <w:rsid w:val="007A5047"/>
    <w:rsid w:val="007A598F"/>
    <w:rsid w:val="007A5CB5"/>
    <w:rsid w:val="007B0E50"/>
    <w:rsid w:val="007B31F6"/>
    <w:rsid w:val="007B394F"/>
    <w:rsid w:val="007B5AD9"/>
    <w:rsid w:val="007B7771"/>
    <w:rsid w:val="007C1C4A"/>
    <w:rsid w:val="007D13B2"/>
    <w:rsid w:val="007D297B"/>
    <w:rsid w:val="007D4C42"/>
    <w:rsid w:val="007D5D15"/>
    <w:rsid w:val="007D661C"/>
    <w:rsid w:val="007D7931"/>
    <w:rsid w:val="007D7EBD"/>
    <w:rsid w:val="007E0F3A"/>
    <w:rsid w:val="007E1531"/>
    <w:rsid w:val="007E66AE"/>
    <w:rsid w:val="007E6B58"/>
    <w:rsid w:val="007F0502"/>
    <w:rsid w:val="007F0FEB"/>
    <w:rsid w:val="007F2475"/>
    <w:rsid w:val="007F2DDA"/>
    <w:rsid w:val="007F5E40"/>
    <w:rsid w:val="00801BCE"/>
    <w:rsid w:val="00804B55"/>
    <w:rsid w:val="008134A6"/>
    <w:rsid w:val="00815E9F"/>
    <w:rsid w:val="00817200"/>
    <w:rsid w:val="00817255"/>
    <w:rsid w:val="00817D23"/>
    <w:rsid w:val="0082177F"/>
    <w:rsid w:val="00824C35"/>
    <w:rsid w:val="00825BF7"/>
    <w:rsid w:val="0083184F"/>
    <w:rsid w:val="00833FB2"/>
    <w:rsid w:val="0083652D"/>
    <w:rsid w:val="00841B06"/>
    <w:rsid w:val="00842854"/>
    <w:rsid w:val="00843602"/>
    <w:rsid w:val="00843B7D"/>
    <w:rsid w:val="00853119"/>
    <w:rsid w:val="00853964"/>
    <w:rsid w:val="008551B6"/>
    <w:rsid w:val="00860758"/>
    <w:rsid w:val="00861089"/>
    <w:rsid w:val="00861734"/>
    <w:rsid w:val="00864654"/>
    <w:rsid w:val="00872B07"/>
    <w:rsid w:val="00873CDA"/>
    <w:rsid w:val="00876181"/>
    <w:rsid w:val="008868E0"/>
    <w:rsid w:val="00887D19"/>
    <w:rsid w:val="008909CB"/>
    <w:rsid w:val="0089358F"/>
    <w:rsid w:val="008A3298"/>
    <w:rsid w:val="008A726E"/>
    <w:rsid w:val="008B01FE"/>
    <w:rsid w:val="008B2935"/>
    <w:rsid w:val="008B35C5"/>
    <w:rsid w:val="008B493D"/>
    <w:rsid w:val="008B4B6D"/>
    <w:rsid w:val="008C06E9"/>
    <w:rsid w:val="008C17E0"/>
    <w:rsid w:val="008C5FB0"/>
    <w:rsid w:val="008D0018"/>
    <w:rsid w:val="008D03EB"/>
    <w:rsid w:val="008D0AFB"/>
    <w:rsid w:val="008D0BC6"/>
    <w:rsid w:val="008D65B6"/>
    <w:rsid w:val="008E1246"/>
    <w:rsid w:val="008F0C8D"/>
    <w:rsid w:val="008F0E1A"/>
    <w:rsid w:val="00900E2B"/>
    <w:rsid w:val="00910431"/>
    <w:rsid w:val="00910A9B"/>
    <w:rsid w:val="00912E06"/>
    <w:rsid w:val="00914807"/>
    <w:rsid w:val="009174E4"/>
    <w:rsid w:val="00917543"/>
    <w:rsid w:val="009216BA"/>
    <w:rsid w:val="00923EA4"/>
    <w:rsid w:val="00923FFF"/>
    <w:rsid w:val="009276BF"/>
    <w:rsid w:val="00930625"/>
    <w:rsid w:val="0094226B"/>
    <w:rsid w:val="00945888"/>
    <w:rsid w:val="009458A5"/>
    <w:rsid w:val="00946CE1"/>
    <w:rsid w:val="00950900"/>
    <w:rsid w:val="00954592"/>
    <w:rsid w:val="00955B14"/>
    <w:rsid w:val="00957111"/>
    <w:rsid w:val="009576B6"/>
    <w:rsid w:val="00957E75"/>
    <w:rsid w:val="0096033A"/>
    <w:rsid w:val="00962807"/>
    <w:rsid w:val="0096601D"/>
    <w:rsid w:val="00967112"/>
    <w:rsid w:val="00970178"/>
    <w:rsid w:val="00970A0B"/>
    <w:rsid w:val="00970AC4"/>
    <w:rsid w:val="0097472B"/>
    <w:rsid w:val="00974CEB"/>
    <w:rsid w:val="009753E0"/>
    <w:rsid w:val="0097543C"/>
    <w:rsid w:val="00975AF0"/>
    <w:rsid w:val="00981335"/>
    <w:rsid w:val="00981CB7"/>
    <w:rsid w:val="00983E3C"/>
    <w:rsid w:val="0098407F"/>
    <w:rsid w:val="00985703"/>
    <w:rsid w:val="00987EF6"/>
    <w:rsid w:val="00993F9F"/>
    <w:rsid w:val="00997027"/>
    <w:rsid w:val="009A2091"/>
    <w:rsid w:val="009A2191"/>
    <w:rsid w:val="009A34FC"/>
    <w:rsid w:val="009A40EF"/>
    <w:rsid w:val="009A58FC"/>
    <w:rsid w:val="009B3F14"/>
    <w:rsid w:val="009B4FB7"/>
    <w:rsid w:val="009C20F3"/>
    <w:rsid w:val="009C3565"/>
    <w:rsid w:val="009D10D6"/>
    <w:rsid w:val="009D1FD5"/>
    <w:rsid w:val="009D46B6"/>
    <w:rsid w:val="009F28C6"/>
    <w:rsid w:val="009F28D5"/>
    <w:rsid w:val="009F2BEB"/>
    <w:rsid w:val="009F4581"/>
    <w:rsid w:val="009F48F3"/>
    <w:rsid w:val="009F73F4"/>
    <w:rsid w:val="00A01019"/>
    <w:rsid w:val="00A018EF"/>
    <w:rsid w:val="00A03BE5"/>
    <w:rsid w:val="00A20F27"/>
    <w:rsid w:val="00A240F0"/>
    <w:rsid w:val="00A27ECA"/>
    <w:rsid w:val="00A35BA9"/>
    <w:rsid w:val="00A36E0A"/>
    <w:rsid w:val="00A41E01"/>
    <w:rsid w:val="00A44CF3"/>
    <w:rsid w:val="00A45D01"/>
    <w:rsid w:val="00A52EF8"/>
    <w:rsid w:val="00A5331D"/>
    <w:rsid w:val="00A54473"/>
    <w:rsid w:val="00A55C73"/>
    <w:rsid w:val="00A577AD"/>
    <w:rsid w:val="00A57864"/>
    <w:rsid w:val="00A60CA3"/>
    <w:rsid w:val="00A60E22"/>
    <w:rsid w:val="00A6538C"/>
    <w:rsid w:val="00A70D25"/>
    <w:rsid w:val="00A77A10"/>
    <w:rsid w:val="00A81194"/>
    <w:rsid w:val="00A816C1"/>
    <w:rsid w:val="00A83E5D"/>
    <w:rsid w:val="00A84CE3"/>
    <w:rsid w:val="00A84D0C"/>
    <w:rsid w:val="00A86276"/>
    <w:rsid w:val="00A8688C"/>
    <w:rsid w:val="00A9188C"/>
    <w:rsid w:val="00A918A5"/>
    <w:rsid w:val="00A92116"/>
    <w:rsid w:val="00A92229"/>
    <w:rsid w:val="00A92C76"/>
    <w:rsid w:val="00AA0364"/>
    <w:rsid w:val="00AA1916"/>
    <w:rsid w:val="00AA3A15"/>
    <w:rsid w:val="00AB00FA"/>
    <w:rsid w:val="00AB0310"/>
    <w:rsid w:val="00AB1BE4"/>
    <w:rsid w:val="00AC0996"/>
    <w:rsid w:val="00AC1D5E"/>
    <w:rsid w:val="00AC22A0"/>
    <w:rsid w:val="00AC4ADB"/>
    <w:rsid w:val="00AD2420"/>
    <w:rsid w:val="00AD31D2"/>
    <w:rsid w:val="00AD4279"/>
    <w:rsid w:val="00AD4821"/>
    <w:rsid w:val="00AD6F11"/>
    <w:rsid w:val="00AE4148"/>
    <w:rsid w:val="00AF784F"/>
    <w:rsid w:val="00AF7D15"/>
    <w:rsid w:val="00B01FB3"/>
    <w:rsid w:val="00B0496F"/>
    <w:rsid w:val="00B04EA9"/>
    <w:rsid w:val="00B0630B"/>
    <w:rsid w:val="00B0632B"/>
    <w:rsid w:val="00B0702E"/>
    <w:rsid w:val="00B10EFC"/>
    <w:rsid w:val="00B1191A"/>
    <w:rsid w:val="00B14D90"/>
    <w:rsid w:val="00B211B5"/>
    <w:rsid w:val="00B214A7"/>
    <w:rsid w:val="00B27424"/>
    <w:rsid w:val="00B27489"/>
    <w:rsid w:val="00B34C0A"/>
    <w:rsid w:val="00B35B46"/>
    <w:rsid w:val="00B37C79"/>
    <w:rsid w:val="00B40C28"/>
    <w:rsid w:val="00B4193C"/>
    <w:rsid w:val="00B441C4"/>
    <w:rsid w:val="00B472F6"/>
    <w:rsid w:val="00B50667"/>
    <w:rsid w:val="00B57A95"/>
    <w:rsid w:val="00B6001D"/>
    <w:rsid w:val="00B604DE"/>
    <w:rsid w:val="00B61251"/>
    <w:rsid w:val="00B66ECA"/>
    <w:rsid w:val="00B73144"/>
    <w:rsid w:val="00B77D37"/>
    <w:rsid w:val="00B80F7D"/>
    <w:rsid w:val="00B8388A"/>
    <w:rsid w:val="00B84113"/>
    <w:rsid w:val="00B8439D"/>
    <w:rsid w:val="00B85C8B"/>
    <w:rsid w:val="00B92315"/>
    <w:rsid w:val="00B941DB"/>
    <w:rsid w:val="00B94284"/>
    <w:rsid w:val="00B949B4"/>
    <w:rsid w:val="00B9717D"/>
    <w:rsid w:val="00BA375D"/>
    <w:rsid w:val="00BA405E"/>
    <w:rsid w:val="00BA5175"/>
    <w:rsid w:val="00BA5EFD"/>
    <w:rsid w:val="00BA6331"/>
    <w:rsid w:val="00BB11B4"/>
    <w:rsid w:val="00BB24EC"/>
    <w:rsid w:val="00BB2D6E"/>
    <w:rsid w:val="00BB3653"/>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7222"/>
    <w:rsid w:val="00C10F49"/>
    <w:rsid w:val="00C148DF"/>
    <w:rsid w:val="00C1782A"/>
    <w:rsid w:val="00C21448"/>
    <w:rsid w:val="00C2280E"/>
    <w:rsid w:val="00C23420"/>
    <w:rsid w:val="00C236C3"/>
    <w:rsid w:val="00C2492A"/>
    <w:rsid w:val="00C25335"/>
    <w:rsid w:val="00C25516"/>
    <w:rsid w:val="00C25B73"/>
    <w:rsid w:val="00C26D42"/>
    <w:rsid w:val="00C30124"/>
    <w:rsid w:val="00C3119D"/>
    <w:rsid w:val="00C33A2A"/>
    <w:rsid w:val="00C34791"/>
    <w:rsid w:val="00C41A27"/>
    <w:rsid w:val="00C4202D"/>
    <w:rsid w:val="00C4574C"/>
    <w:rsid w:val="00C47818"/>
    <w:rsid w:val="00C53AE3"/>
    <w:rsid w:val="00C53EEF"/>
    <w:rsid w:val="00C5534C"/>
    <w:rsid w:val="00C55D23"/>
    <w:rsid w:val="00C56766"/>
    <w:rsid w:val="00C57679"/>
    <w:rsid w:val="00C618E9"/>
    <w:rsid w:val="00C62052"/>
    <w:rsid w:val="00C702A5"/>
    <w:rsid w:val="00C715C2"/>
    <w:rsid w:val="00C8029B"/>
    <w:rsid w:val="00C87697"/>
    <w:rsid w:val="00C91DC4"/>
    <w:rsid w:val="00CA2529"/>
    <w:rsid w:val="00CA32D5"/>
    <w:rsid w:val="00CA3442"/>
    <w:rsid w:val="00CA6F39"/>
    <w:rsid w:val="00CA771C"/>
    <w:rsid w:val="00CB0EAE"/>
    <w:rsid w:val="00CB1E60"/>
    <w:rsid w:val="00CB2BA9"/>
    <w:rsid w:val="00CB6FA7"/>
    <w:rsid w:val="00CC03D8"/>
    <w:rsid w:val="00CC381F"/>
    <w:rsid w:val="00CC44A4"/>
    <w:rsid w:val="00CC59DE"/>
    <w:rsid w:val="00CC5C64"/>
    <w:rsid w:val="00CC77FD"/>
    <w:rsid w:val="00CD03EC"/>
    <w:rsid w:val="00CD1CA7"/>
    <w:rsid w:val="00CD2FD8"/>
    <w:rsid w:val="00CD5700"/>
    <w:rsid w:val="00CD7F25"/>
    <w:rsid w:val="00CF0101"/>
    <w:rsid w:val="00CF0C82"/>
    <w:rsid w:val="00CF20CD"/>
    <w:rsid w:val="00CF347D"/>
    <w:rsid w:val="00CF3CA4"/>
    <w:rsid w:val="00D000AD"/>
    <w:rsid w:val="00D0012A"/>
    <w:rsid w:val="00D01952"/>
    <w:rsid w:val="00D14F93"/>
    <w:rsid w:val="00D23930"/>
    <w:rsid w:val="00D24968"/>
    <w:rsid w:val="00D254E7"/>
    <w:rsid w:val="00D275E7"/>
    <w:rsid w:val="00D30568"/>
    <w:rsid w:val="00D31B32"/>
    <w:rsid w:val="00D33F96"/>
    <w:rsid w:val="00D344CA"/>
    <w:rsid w:val="00D37A0C"/>
    <w:rsid w:val="00D42485"/>
    <w:rsid w:val="00D430A9"/>
    <w:rsid w:val="00D43221"/>
    <w:rsid w:val="00D4706C"/>
    <w:rsid w:val="00D47416"/>
    <w:rsid w:val="00D475B7"/>
    <w:rsid w:val="00D504DA"/>
    <w:rsid w:val="00D50ADD"/>
    <w:rsid w:val="00D52025"/>
    <w:rsid w:val="00D5213A"/>
    <w:rsid w:val="00D532AE"/>
    <w:rsid w:val="00D532F2"/>
    <w:rsid w:val="00D54AFE"/>
    <w:rsid w:val="00D561BC"/>
    <w:rsid w:val="00D653E9"/>
    <w:rsid w:val="00D67727"/>
    <w:rsid w:val="00D722CB"/>
    <w:rsid w:val="00D731EE"/>
    <w:rsid w:val="00D73442"/>
    <w:rsid w:val="00D740C8"/>
    <w:rsid w:val="00D800D5"/>
    <w:rsid w:val="00D811A9"/>
    <w:rsid w:val="00D84AF7"/>
    <w:rsid w:val="00D84FCF"/>
    <w:rsid w:val="00D8576F"/>
    <w:rsid w:val="00D857FE"/>
    <w:rsid w:val="00D86534"/>
    <w:rsid w:val="00D870CD"/>
    <w:rsid w:val="00D87101"/>
    <w:rsid w:val="00D92782"/>
    <w:rsid w:val="00D93EF3"/>
    <w:rsid w:val="00DA4A78"/>
    <w:rsid w:val="00DA7832"/>
    <w:rsid w:val="00DB2045"/>
    <w:rsid w:val="00DB2A52"/>
    <w:rsid w:val="00DB31A9"/>
    <w:rsid w:val="00DB4812"/>
    <w:rsid w:val="00DB6926"/>
    <w:rsid w:val="00DC5BB9"/>
    <w:rsid w:val="00DC6155"/>
    <w:rsid w:val="00DD1260"/>
    <w:rsid w:val="00DD507C"/>
    <w:rsid w:val="00DD76D8"/>
    <w:rsid w:val="00DD7704"/>
    <w:rsid w:val="00DE04A6"/>
    <w:rsid w:val="00DE2D3D"/>
    <w:rsid w:val="00DF1A09"/>
    <w:rsid w:val="00DF23BC"/>
    <w:rsid w:val="00DF2927"/>
    <w:rsid w:val="00DF38D5"/>
    <w:rsid w:val="00DF7362"/>
    <w:rsid w:val="00E011D4"/>
    <w:rsid w:val="00E01818"/>
    <w:rsid w:val="00E061AE"/>
    <w:rsid w:val="00E10D31"/>
    <w:rsid w:val="00E13F34"/>
    <w:rsid w:val="00E146D4"/>
    <w:rsid w:val="00E156A6"/>
    <w:rsid w:val="00E15716"/>
    <w:rsid w:val="00E15D75"/>
    <w:rsid w:val="00E165E2"/>
    <w:rsid w:val="00E415CA"/>
    <w:rsid w:val="00E41944"/>
    <w:rsid w:val="00E43E4E"/>
    <w:rsid w:val="00E4504E"/>
    <w:rsid w:val="00E47CFB"/>
    <w:rsid w:val="00E525B0"/>
    <w:rsid w:val="00E53BF3"/>
    <w:rsid w:val="00E54C10"/>
    <w:rsid w:val="00E55AFF"/>
    <w:rsid w:val="00E5607A"/>
    <w:rsid w:val="00E57CD5"/>
    <w:rsid w:val="00E629E2"/>
    <w:rsid w:val="00E7218C"/>
    <w:rsid w:val="00E770ED"/>
    <w:rsid w:val="00E77FCE"/>
    <w:rsid w:val="00E845B7"/>
    <w:rsid w:val="00E8651F"/>
    <w:rsid w:val="00E86D93"/>
    <w:rsid w:val="00E87CDB"/>
    <w:rsid w:val="00E93518"/>
    <w:rsid w:val="00E93717"/>
    <w:rsid w:val="00EA050C"/>
    <w:rsid w:val="00EA288B"/>
    <w:rsid w:val="00EA3423"/>
    <w:rsid w:val="00EA4D2A"/>
    <w:rsid w:val="00EA5FD8"/>
    <w:rsid w:val="00EA5FF2"/>
    <w:rsid w:val="00EA7C66"/>
    <w:rsid w:val="00EB287C"/>
    <w:rsid w:val="00EB4D32"/>
    <w:rsid w:val="00EB78AB"/>
    <w:rsid w:val="00EC3D05"/>
    <w:rsid w:val="00EC3D09"/>
    <w:rsid w:val="00EC5178"/>
    <w:rsid w:val="00ED1590"/>
    <w:rsid w:val="00ED225C"/>
    <w:rsid w:val="00ED3552"/>
    <w:rsid w:val="00ED4FC7"/>
    <w:rsid w:val="00ED523B"/>
    <w:rsid w:val="00ED5249"/>
    <w:rsid w:val="00ED598B"/>
    <w:rsid w:val="00ED5EE9"/>
    <w:rsid w:val="00ED6FC7"/>
    <w:rsid w:val="00EE37C6"/>
    <w:rsid w:val="00EE57C8"/>
    <w:rsid w:val="00F0612C"/>
    <w:rsid w:val="00F07B03"/>
    <w:rsid w:val="00F128C9"/>
    <w:rsid w:val="00F13BC1"/>
    <w:rsid w:val="00F14364"/>
    <w:rsid w:val="00F167CC"/>
    <w:rsid w:val="00F22201"/>
    <w:rsid w:val="00F2226E"/>
    <w:rsid w:val="00F33739"/>
    <w:rsid w:val="00F357E3"/>
    <w:rsid w:val="00F40579"/>
    <w:rsid w:val="00F420E1"/>
    <w:rsid w:val="00F43B6C"/>
    <w:rsid w:val="00F43DE1"/>
    <w:rsid w:val="00F46C52"/>
    <w:rsid w:val="00F471EE"/>
    <w:rsid w:val="00F5122C"/>
    <w:rsid w:val="00F51354"/>
    <w:rsid w:val="00F51369"/>
    <w:rsid w:val="00F54101"/>
    <w:rsid w:val="00F5682F"/>
    <w:rsid w:val="00F600F6"/>
    <w:rsid w:val="00F61E65"/>
    <w:rsid w:val="00F654C0"/>
    <w:rsid w:val="00F6625A"/>
    <w:rsid w:val="00F6676A"/>
    <w:rsid w:val="00F74C60"/>
    <w:rsid w:val="00F74FFB"/>
    <w:rsid w:val="00F8511C"/>
    <w:rsid w:val="00F91CE4"/>
    <w:rsid w:val="00FA06D3"/>
    <w:rsid w:val="00FA18A1"/>
    <w:rsid w:val="00FA2E6B"/>
    <w:rsid w:val="00FA4ECE"/>
    <w:rsid w:val="00FA5F62"/>
    <w:rsid w:val="00FB1AAA"/>
    <w:rsid w:val="00FB1D3A"/>
    <w:rsid w:val="00FB2672"/>
    <w:rsid w:val="00FB3D31"/>
    <w:rsid w:val="00FB4C03"/>
    <w:rsid w:val="00FB668B"/>
    <w:rsid w:val="00FC3F61"/>
    <w:rsid w:val="00FD1862"/>
    <w:rsid w:val="00FD219C"/>
    <w:rsid w:val="00FD509B"/>
    <w:rsid w:val="00FD65FB"/>
    <w:rsid w:val="00FE3985"/>
    <w:rsid w:val="00FE78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2693EAD4-B26C-485A-A634-FC881ED4A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FD8"/>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EA050C"/>
    <w:pPr>
      <w:numPr>
        <w:numId w:val="2"/>
      </w:numPr>
      <w:spacing w:before="40" w:after="60" w:line="288" w:lineRule="auto"/>
    </w:pPr>
    <w:rPr>
      <w:rFonts w:ascii="Calibri" w:hAnsi="Calibri"/>
      <w:sz w:val="22"/>
      <w:szCs w:val="22"/>
      <w:lang w:eastAsia="en-US"/>
    </w:rPr>
  </w:style>
  <w:style w:type="paragraph" w:styleId="ListBullet2">
    <w:name w:val="List Bullet 2"/>
    <w:autoRedefine/>
    <w:rsid w:val="001C75D2"/>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60CA3"/>
    <w:pPr>
      <w:tabs>
        <w:tab w:val="right" w:leader="dot" w:pos="9061"/>
      </w:tabs>
      <w:spacing w:before="180" w:after="40" w:line="312" w:lineRule="auto"/>
      <w:ind w:left="284" w:hanging="284"/>
    </w:pPr>
    <w:rPr>
      <w:rFonts w:ascii="Calibri" w:hAnsi="Calibri"/>
      <w:b/>
      <w:bCs/>
      <w:smallCaps/>
      <w:spacing w:val="40"/>
      <w:sz w:val="24"/>
      <w:lang w:eastAsia="en-US"/>
    </w:rPr>
  </w:style>
  <w:style w:type="paragraph" w:styleId="TOC2">
    <w:name w:val="toc 2"/>
    <w:autoRedefine/>
    <w:uiPriority w:val="39"/>
    <w:rsid w:val="00AC0996"/>
    <w:pPr>
      <w:tabs>
        <w:tab w:val="right" w:leader="dot" w:pos="9061"/>
      </w:tabs>
      <w:spacing w:before="40" w:line="312" w:lineRule="auto"/>
      <w:ind w:left="851"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link w:val="FootnoteTextChar"/>
    <w:uiPriority w:val="99"/>
    <w:semiHidden/>
    <w:rsid w:val="00113E77"/>
    <w:pPr>
      <w:spacing w:before="80" w:after="80" w:line="160" w:lineRule="exact"/>
      <w:ind w:left="170" w:hanging="170"/>
    </w:pPr>
    <w:rPr>
      <w:sz w:val="18"/>
      <w:szCs w:val="20"/>
    </w:rPr>
  </w:style>
  <w:style w:type="character" w:styleId="FootnoteReference">
    <w:name w:val="footnote reference"/>
    <w:uiPriority w:val="99"/>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732092"/>
    <w:pPr>
      <w:spacing w:before="120"/>
    </w:pPr>
    <w:rPr>
      <w:b/>
    </w:rPr>
  </w:style>
  <w:style w:type="character" w:customStyle="1" w:styleId="RecommendationTextChar">
    <w:name w:val="Recommendation Text Char"/>
    <w:link w:val="RecommendationText"/>
    <w:rsid w:val="0073209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EA050C"/>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752458"/>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Bullet">
    <w:name w:val="Quote Bullet"/>
    <w:basedOn w:val="ListBullet"/>
    <w:qFormat/>
    <w:rsid w:val="00E770ED"/>
    <w:pPr>
      <w:numPr>
        <w:numId w:val="26"/>
      </w:numPr>
    </w:pPr>
  </w:style>
  <w:style w:type="paragraph" w:customStyle="1" w:styleId="Bodytextnonumbering">
    <w:name w:val="Body text no numbering"/>
    <w:basedOn w:val="Normal"/>
    <w:rsid w:val="00021269"/>
    <w:pPr>
      <w:keepNext/>
      <w:spacing w:before="160" w:after="80" w:line="288" w:lineRule="auto"/>
      <w:outlineLvl w:val="1"/>
    </w:pPr>
    <w:rPr>
      <w:rFonts w:cs="Arial"/>
      <w:iCs/>
    </w:rPr>
  </w:style>
  <w:style w:type="character" w:customStyle="1" w:styleId="FootnoteTextChar">
    <w:name w:val="Footnote Text Char"/>
    <w:link w:val="FootnoteText"/>
    <w:uiPriority w:val="99"/>
    <w:semiHidden/>
    <w:rsid w:val="00021269"/>
    <w:rPr>
      <w:rFonts w:ascii="Calibri" w:hAnsi="Calibri"/>
      <w:sz w:val="18"/>
      <w:lang w:eastAsia="en-US"/>
    </w:rPr>
  </w:style>
  <w:style w:type="paragraph" w:styleId="NormalWeb">
    <w:name w:val="Normal (Web)"/>
    <w:basedOn w:val="Normal"/>
    <w:uiPriority w:val="99"/>
    <w:semiHidden/>
    <w:unhideWhenUsed/>
    <w:rsid w:val="00021269"/>
    <w:pPr>
      <w:spacing w:before="100" w:beforeAutospacing="1" w:afterAutospacing="1" w:line="240" w:lineRule="auto"/>
    </w:pPr>
    <w:rPr>
      <w:rFonts w:ascii="Times New Roman" w:hAnsi="Times New Roman"/>
      <w:sz w:val="24"/>
      <w:lang w:eastAsia="en-AU"/>
    </w:rPr>
  </w:style>
  <w:style w:type="character" w:styleId="Emphasis">
    <w:name w:val="Emphasis"/>
    <w:basedOn w:val="DefaultParagraphFont"/>
    <w:uiPriority w:val="20"/>
    <w:qFormat/>
    <w:rsid w:val="00021269"/>
    <w:rPr>
      <w:i/>
      <w:iCs/>
    </w:rPr>
  </w:style>
  <w:style w:type="character" w:styleId="Strong">
    <w:name w:val="Strong"/>
    <w:basedOn w:val="DefaultParagraphFont"/>
    <w:uiPriority w:val="22"/>
    <w:qFormat/>
    <w:rsid w:val="000212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001032">
      <w:bodyDiv w:val="1"/>
      <w:marLeft w:val="0"/>
      <w:marRight w:val="0"/>
      <w:marTop w:val="0"/>
      <w:marBottom w:val="0"/>
      <w:divBdr>
        <w:top w:val="none" w:sz="0" w:space="0" w:color="auto"/>
        <w:left w:val="none" w:sz="0" w:space="0" w:color="auto"/>
        <w:bottom w:val="none" w:sz="0" w:space="0" w:color="auto"/>
        <w:right w:val="none" w:sz="0" w:space="0" w:color="auto"/>
      </w:divBdr>
    </w:div>
    <w:div w:id="1494419082">
      <w:bodyDiv w:val="1"/>
      <w:marLeft w:val="0"/>
      <w:marRight w:val="0"/>
      <w:marTop w:val="0"/>
      <w:marBottom w:val="0"/>
      <w:divBdr>
        <w:top w:val="none" w:sz="0" w:space="0" w:color="auto"/>
        <w:left w:val="none" w:sz="0" w:space="0" w:color="auto"/>
        <w:bottom w:val="none" w:sz="0" w:space="0" w:color="auto"/>
        <w:right w:val="none" w:sz="0" w:space="0" w:color="auto"/>
      </w:divBdr>
    </w:div>
    <w:div w:id="158495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arliament.act.gov.a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mailto:committees@parliament.act.gov.au" TargetMode="External"/><Relationship Id="rId23" Type="http://schemas.openxmlformats.org/officeDocument/2006/relationships/hyperlink" Target="https://www.parliament.act.gov.au/in-committees/standing-committees-current-assembly/standing-committee-on-economic-development-and-tourism/inquiry-into-annual-and-financial-reports-2017-2018/answers-to-qons-and-qtons"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hansard.act.gov.au/hansard/2017/comms/default.ht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www.parliament.act.gov.au/in-the-assembly/minutes_of_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B50B2-5BAD-48FD-B78B-06D9A901F2C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6730604-82B0-4551-90AA-BA17E5378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5586</Words>
  <Characters>34671</Characters>
  <Application>Microsoft Office Word</Application>
  <DocSecurity>0</DocSecurity>
  <Lines>1333</Lines>
  <Paragraphs>1032</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39225</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creator>Hamish Finlay</dc:creator>
  <dc:description>Template version 11 - 7 February  2013</dc:description>
  <cp:lastModifiedBy>Chung, Lydia</cp:lastModifiedBy>
  <cp:revision>2</cp:revision>
  <cp:lastPrinted>2018-01-01T21:59:00Z</cp:lastPrinted>
  <dcterms:created xsi:type="dcterms:W3CDTF">2019-02-13T03:57:00Z</dcterms:created>
  <dcterms:modified xsi:type="dcterms:W3CDTF">2019-02-13T03:57:00Z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b21b356a-57b5-4cb1-9577-6e7b6a405401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