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8C5E2C" w:rsidRDefault="008C5E2C" w:rsidP="00AD7D31">
      <w:pPr>
        <w:spacing w:after="0" w:line="240" w:lineRule="auto"/>
        <w:rPr>
          <w:rFonts w:ascii="Calibri" w:hAnsi="Calibri"/>
          <w:sz w:val="24"/>
          <w:szCs w:val="24"/>
        </w:rPr>
      </w:pPr>
    </w:p>
    <w:p w:rsidR="00AD7D31" w:rsidRPr="00A031A0" w:rsidRDefault="009C5F08" w:rsidP="00AD7D31">
      <w:pPr>
        <w:spacing w:after="0" w:line="240" w:lineRule="auto"/>
        <w:rPr>
          <w:rFonts w:ascii="Calibri" w:hAnsi="Calibri"/>
          <w:sz w:val="24"/>
          <w:szCs w:val="24"/>
        </w:rPr>
      </w:pPr>
      <w:r>
        <w:rPr>
          <w:rFonts w:ascii="Calibri" w:hAnsi="Calibri"/>
          <w:sz w:val="24"/>
          <w:szCs w:val="24"/>
        </w:rPr>
        <w:t>Mrs Gi</w:t>
      </w:r>
      <w:r w:rsidR="008B7102">
        <w:rPr>
          <w:rFonts w:ascii="Calibri" w:hAnsi="Calibri"/>
          <w:sz w:val="24"/>
          <w:szCs w:val="24"/>
        </w:rPr>
        <w:t>u</w:t>
      </w:r>
      <w:r>
        <w:rPr>
          <w:rFonts w:ascii="Calibri" w:hAnsi="Calibri"/>
          <w:sz w:val="24"/>
          <w:szCs w:val="24"/>
        </w:rPr>
        <w:t>lia Jones MLA</w:t>
      </w:r>
    </w:p>
    <w:p w:rsidR="00AD7D31" w:rsidRPr="00A031A0" w:rsidRDefault="009C5F08" w:rsidP="00AD7D31">
      <w:pPr>
        <w:spacing w:after="0" w:line="240" w:lineRule="auto"/>
        <w:rPr>
          <w:rFonts w:ascii="Calibri" w:hAnsi="Calibri"/>
          <w:sz w:val="24"/>
          <w:szCs w:val="24"/>
        </w:rPr>
      </w:pPr>
      <w:r>
        <w:rPr>
          <w:rFonts w:ascii="Calibri" w:hAnsi="Calibri"/>
          <w:sz w:val="24"/>
          <w:szCs w:val="24"/>
        </w:rPr>
        <w:t>Chair</w:t>
      </w:r>
    </w:p>
    <w:p w:rsidR="009C5F08" w:rsidRDefault="009C5F08" w:rsidP="00AD7D31">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AD7D31" w:rsidRPr="00A031A0" w:rsidRDefault="009C5F08" w:rsidP="00AD7D31">
      <w:pPr>
        <w:tabs>
          <w:tab w:val="left" w:pos="3420"/>
        </w:tabs>
        <w:spacing w:after="0" w:line="240" w:lineRule="auto"/>
        <w:rPr>
          <w:rFonts w:ascii="Calibri" w:hAnsi="Calibri"/>
          <w:sz w:val="24"/>
          <w:szCs w:val="24"/>
        </w:rPr>
      </w:pPr>
      <w:r>
        <w:rPr>
          <w:rFonts w:ascii="Calibri" w:hAnsi="Calibri"/>
          <w:sz w:val="24"/>
          <w:szCs w:val="24"/>
        </w:rPr>
        <w:t>ACT Legislative Assembly</w:t>
      </w:r>
      <w:r w:rsidR="00AD7D31" w:rsidRPr="00A031A0">
        <w:rPr>
          <w:rFonts w:ascii="Calibri" w:hAnsi="Calibri"/>
          <w:sz w:val="24"/>
          <w:szCs w:val="24"/>
        </w:rPr>
        <w:tab/>
      </w:r>
    </w:p>
    <w:p w:rsidR="00AD7D31" w:rsidRDefault="00B72278" w:rsidP="00AD7D31">
      <w:pPr>
        <w:spacing w:after="0" w:line="240" w:lineRule="auto"/>
        <w:rPr>
          <w:rFonts w:ascii="Calibri" w:hAnsi="Calibri"/>
          <w:sz w:val="24"/>
          <w:szCs w:val="24"/>
        </w:rPr>
      </w:pPr>
      <w:r>
        <w:rPr>
          <w:rFonts w:ascii="Calibri" w:hAnsi="Calibri"/>
          <w:sz w:val="24"/>
          <w:szCs w:val="24"/>
        </w:rPr>
        <w:t>GPO Box 1020</w:t>
      </w:r>
    </w:p>
    <w:p w:rsidR="00B72278" w:rsidRPr="00A031A0" w:rsidRDefault="00B72278" w:rsidP="00AD7D31">
      <w:pPr>
        <w:spacing w:after="0" w:line="240" w:lineRule="auto"/>
        <w:rPr>
          <w:rFonts w:ascii="Calibri" w:hAnsi="Calibri"/>
          <w:sz w:val="24"/>
          <w:szCs w:val="24"/>
          <w:lang w:val="en-US"/>
        </w:rPr>
      </w:pPr>
      <w:r>
        <w:rPr>
          <w:rFonts w:ascii="Calibri" w:hAnsi="Calibri"/>
          <w:sz w:val="24"/>
          <w:szCs w:val="24"/>
        </w:rPr>
        <w:t>CANBERRA  ACT  2601</w:t>
      </w:r>
    </w:p>
    <w:p w:rsidR="00AD7D31" w:rsidRDefault="00AD7D31" w:rsidP="00AD7D31">
      <w:pPr>
        <w:spacing w:after="0" w:line="240" w:lineRule="auto"/>
        <w:rPr>
          <w:rFonts w:ascii="Calibri" w:hAnsi="Calibri"/>
          <w:sz w:val="24"/>
          <w:szCs w:val="24"/>
        </w:rPr>
      </w:pPr>
    </w:p>
    <w:p w:rsidR="00B72278" w:rsidRPr="00A031A0" w:rsidRDefault="00B72278"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lang w:val="en-US"/>
        </w:rPr>
        <w:t xml:space="preserve">Dear </w:t>
      </w:r>
      <w:r w:rsidR="009C5F08">
        <w:rPr>
          <w:rFonts w:ascii="Calibri" w:hAnsi="Calibri"/>
          <w:sz w:val="24"/>
          <w:szCs w:val="24"/>
          <w:lang w:val="en-US"/>
        </w:rPr>
        <w:t>Mrs Jones</w:t>
      </w:r>
    </w:p>
    <w:p w:rsidR="00AD7D31" w:rsidRPr="00A031A0" w:rsidRDefault="00AD7D31" w:rsidP="00AD7D31">
      <w:pPr>
        <w:pStyle w:val="Header"/>
        <w:tabs>
          <w:tab w:val="left" w:pos="720"/>
        </w:tabs>
        <w:rPr>
          <w:rFonts w:ascii="Calibri" w:hAnsi="Calibri"/>
          <w:sz w:val="24"/>
          <w:szCs w:val="24"/>
        </w:rPr>
      </w:pPr>
    </w:p>
    <w:p w:rsidR="00B72278" w:rsidRDefault="00B72278" w:rsidP="00AD7D31">
      <w:pPr>
        <w:spacing w:after="0" w:line="240" w:lineRule="auto"/>
        <w:rPr>
          <w:rFonts w:ascii="Calibri" w:hAnsi="Calibri"/>
          <w:sz w:val="24"/>
          <w:szCs w:val="24"/>
        </w:rPr>
      </w:pPr>
      <w:r>
        <w:rPr>
          <w:rFonts w:ascii="Calibri" w:hAnsi="Calibri"/>
          <w:sz w:val="24"/>
          <w:szCs w:val="24"/>
        </w:rPr>
        <w:t>I write in response to the Standing Committee on Justice and Community Safety’s Scrutiny Report No. 24 of 20 November 2018, which comments on the Royal Commission Criminal Justice Legislation Amendment Bill 2018 (the Bill).</w:t>
      </w:r>
    </w:p>
    <w:p w:rsidR="00B72278" w:rsidRDefault="00B72278" w:rsidP="00AD7D31">
      <w:pPr>
        <w:spacing w:after="0" w:line="240" w:lineRule="auto"/>
        <w:rPr>
          <w:rFonts w:ascii="Calibri" w:hAnsi="Calibri"/>
          <w:sz w:val="24"/>
          <w:szCs w:val="24"/>
        </w:rPr>
      </w:pPr>
    </w:p>
    <w:p w:rsidR="00B72278" w:rsidRDefault="00B72278" w:rsidP="00AD7D31">
      <w:pPr>
        <w:spacing w:after="0" w:line="240" w:lineRule="auto"/>
        <w:rPr>
          <w:rFonts w:ascii="Calibri" w:hAnsi="Calibri"/>
          <w:sz w:val="24"/>
          <w:szCs w:val="24"/>
        </w:rPr>
      </w:pPr>
      <w:r>
        <w:rPr>
          <w:rFonts w:ascii="Calibri" w:hAnsi="Calibri"/>
          <w:sz w:val="24"/>
          <w:szCs w:val="24"/>
        </w:rPr>
        <w:t xml:space="preserve">I refer to the Committee’s request for a response regarding comments on the Bill in relation to the right not to be held guilty of a criminal offence because of conduct that was not a criminal offence under Territory law when it was engaged in (section </w:t>
      </w:r>
      <w:r w:rsidRPr="00A03252">
        <w:rPr>
          <w:rFonts w:ascii="Calibri" w:hAnsi="Calibri"/>
          <w:sz w:val="24"/>
          <w:szCs w:val="24"/>
        </w:rPr>
        <w:t xml:space="preserve">25, </w:t>
      </w:r>
      <w:r w:rsidRPr="00A03252">
        <w:rPr>
          <w:rFonts w:ascii="Calibri" w:hAnsi="Calibri"/>
          <w:i/>
          <w:sz w:val="24"/>
          <w:szCs w:val="24"/>
        </w:rPr>
        <w:t>Human Rights Act 2004</w:t>
      </w:r>
      <w:r w:rsidRPr="00A03252">
        <w:rPr>
          <w:rFonts w:ascii="Calibri" w:hAnsi="Calibri"/>
          <w:sz w:val="24"/>
          <w:szCs w:val="24"/>
        </w:rPr>
        <w:t xml:space="preserve">). The comments concern </w:t>
      </w:r>
      <w:r w:rsidR="00A03252" w:rsidRPr="00A03252">
        <w:rPr>
          <w:rFonts w:ascii="Calibri" w:hAnsi="Calibri"/>
          <w:sz w:val="24"/>
          <w:szCs w:val="24"/>
        </w:rPr>
        <w:t xml:space="preserve">proposed section 66B which creates a </w:t>
      </w:r>
      <w:r w:rsidR="008B7102">
        <w:rPr>
          <w:rFonts w:ascii="Calibri" w:hAnsi="Calibri"/>
          <w:sz w:val="24"/>
          <w:szCs w:val="24"/>
        </w:rPr>
        <w:t>mechanism for the prosecution to allege offences constituted by a ‘course of conduct’</w:t>
      </w:r>
      <w:r w:rsidR="00A03252" w:rsidRPr="00A03252">
        <w:rPr>
          <w:rFonts w:ascii="Calibri" w:hAnsi="Calibri"/>
          <w:sz w:val="24"/>
          <w:szCs w:val="24"/>
        </w:rPr>
        <w:t xml:space="preserve">. The </w:t>
      </w:r>
      <w:r w:rsidR="00A03252">
        <w:rPr>
          <w:rFonts w:ascii="Calibri" w:hAnsi="Calibri"/>
          <w:sz w:val="24"/>
          <w:szCs w:val="24"/>
        </w:rPr>
        <w:t>Committee notes</w:t>
      </w:r>
      <w:r w:rsidR="00A03252" w:rsidRPr="00A03252">
        <w:rPr>
          <w:rFonts w:ascii="Calibri" w:hAnsi="Calibri"/>
          <w:sz w:val="24"/>
          <w:szCs w:val="24"/>
        </w:rPr>
        <w:t xml:space="preserve"> </w:t>
      </w:r>
      <w:r w:rsidR="00A03252">
        <w:rPr>
          <w:rFonts w:ascii="Calibri" w:hAnsi="Calibri"/>
          <w:sz w:val="24"/>
          <w:szCs w:val="24"/>
        </w:rPr>
        <w:t>the provision</w:t>
      </w:r>
      <w:r w:rsidR="00A03252" w:rsidRPr="00A03252">
        <w:rPr>
          <w:rFonts w:ascii="Calibri" w:hAnsi="Calibri"/>
          <w:sz w:val="24"/>
          <w:szCs w:val="24"/>
        </w:rPr>
        <w:t xml:space="preserve"> does not explicitly state whether it is intended to operate retrospectively</w:t>
      </w:r>
      <w:r w:rsidR="00A03252">
        <w:rPr>
          <w:rFonts w:ascii="Calibri" w:hAnsi="Calibri"/>
          <w:sz w:val="24"/>
          <w:szCs w:val="24"/>
        </w:rPr>
        <w:t>.</w:t>
      </w:r>
    </w:p>
    <w:p w:rsidR="00B72278" w:rsidRDefault="00B72278" w:rsidP="00AD7D31">
      <w:pPr>
        <w:spacing w:after="0" w:line="240" w:lineRule="auto"/>
        <w:rPr>
          <w:rFonts w:ascii="Calibri" w:hAnsi="Calibri"/>
          <w:sz w:val="24"/>
          <w:szCs w:val="24"/>
        </w:rPr>
      </w:pPr>
    </w:p>
    <w:p w:rsidR="00613F79" w:rsidRDefault="00A03252" w:rsidP="00613F79">
      <w:pPr>
        <w:spacing w:after="0" w:line="240" w:lineRule="auto"/>
        <w:rPr>
          <w:rFonts w:ascii="Calibri" w:hAnsi="Calibri"/>
          <w:sz w:val="24"/>
          <w:szCs w:val="24"/>
        </w:rPr>
      </w:pPr>
      <w:r>
        <w:rPr>
          <w:rFonts w:ascii="Calibri" w:hAnsi="Calibri"/>
          <w:sz w:val="24"/>
          <w:szCs w:val="24"/>
        </w:rPr>
        <w:t xml:space="preserve">I can advise that proposed section 66B does not raise an issue of retrospectivity. </w:t>
      </w:r>
      <w:r w:rsidR="009C5F08">
        <w:rPr>
          <w:rFonts w:ascii="Calibri" w:hAnsi="Calibri"/>
          <w:sz w:val="24"/>
          <w:szCs w:val="24"/>
        </w:rPr>
        <w:t xml:space="preserve">The course of conduct </w:t>
      </w:r>
      <w:r w:rsidR="008B7102">
        <w:rPr>
          <w:rFonts w:ascii="Calibri" w:hAnsi="Calibri"/>
          <w:sz w:val="24"/>
          <w:szCs w:val="24"/>
        </w:rPr>
        <w:t xml:space="preserve">provision </w:t>
      </w:r>
      <w:r w:rsidR="009C5F08">
        <w:rPr>
          <w:rFonts w:ascii="Calibri" w:hAnsi="Calibri"/>
          <w:sz w:val="24"/>
          <w:szCs w:val="24"/>
        </w:rPr>
        <w:t xml:space="preserve">is not a new offence provision, and does not criminalise behaviour that was not previously considered criminal. </w:t>
      </w:r>
    </w:p>
    <w:p w:rsidR="00613F79" w:rsidRDefault="00613F79" w:rsidP="00613F79">
      <w:pPr>
        <w:spacing w:after="0" w:line="240" w:lineRule="auto"/>
        <w:rPr>
          <w:rFonts w:ascii="Calibri" w:hAnsi="Calibri"/>
          <w:sz w:val="24"/>
          <w:szCs w:val="24"/>
        </w:rPr>
      </w:pPr>
    </w:p>
    <w:p w:rsidR="00613F79" w:rsidRPr="00613F79" w:rsidRDefault="00613F79" w:rsidP="00613F79">
      <w:pPr>
        <w:spacing w:after="0" w:line="240" w:lineRule="auto"/>
        <w:rPr>
          <w:rFonts w:ascii="Calibri" w:hAnsi="Calibri"/>
          <w:sz w:val="24"/>
          <w:szCs w:val="24"/>
        </w:rPr>
      </w:pPr>
      <w:r>
        <w:rPr>
          <w:rFonts w:ascii="Calibri" w:hAnsi="Calibri"/>
          <w:sz w:val="24"/>
          <w:szCs w:val="24"/>
        </w:rPr>
        <w:t xml:space="preserve">While </w:t>
      </w:r>
      <w:r w:rsidRPr="00613F79">
        <w:rPr>
          <w:rFonts w:ascii="Calibri" w:hAnsi="Calibri"/>
          <w:sz w:val="24"/>
          <w:szCs w:val="24"/>
        </w:rPr>
        <w:t>it may appear that new section 66B which creates the ability to charge an offence alleged to be constituted by a course of conduct also engages the right</w:t>
      </w:r>
      <w:r w:rsidR="00CF5216">
        <w:rPr>
          <w:rFonts w:ascii="Calibri" w:hAnsi="Calibri"/>
          <w:sz w:val="24"/>
          <w:szCs w:val="24"/>
        </w:rPr>
        <w:t xml:space="preserve"> at section 25(2) of the HR Act, t</w:t>
      </w:r>
      <w:bookmarkStart w:id="0" w:name="_GoBack"/>
      <w:bookmarkEnd w:id="0"/>
      <w:r w:rsidRPr="00613F79">
        <w:rPr>
          <w:rFonts w:ascii="Calibri" w:hAnsi="Calibri"/>
          <w:sz w:val="24"/>
          <w:szCs w:val="24"/>
        </w:rPr>
        <w:t>he course of conduct provision allows the prosecution to prove existing offences by alleging evidence of a course of conduct. The prosecution will still only be indicting people on offences that currently or previously existed at the time of the offence. Section 66B, being procedural in nature, will apply to any complaints made following the commencement of the section.</w:t>
      </w:r>
    </w:p>
    <w:p w:rsidR="00613F79" w:rsidRDefault="00613F79" w:rsidP="00613F79">
      <w:pPr>
        <w:spacing w:after="0" w:line="240" w:lineRule="auto"/>
        <w:rPr>
          <w:rFonts w:ascii="Calibri" w:hAnsi="Calibri"/>
          <w:sz w:val="24"/>
          <w:szCs w:val="24"/>
        </w:rPr>
      </w:pPr>
    </w:p>
    <w:p w:rsidR="00613F79" w:rsidRDefault="00613F79" w:rsidP="00613F79">
      <w:pPr>
        <w:spacing w:after="0" w:line="240" w:lineRule="auto"/>
        <w:rPr>
          <w:rFonts w:ascii="Calibri" w:hAnsi="Calibri"/>
          <w:sz w:val="24"/>
          <w:szCs w:val="24"/>
        </w:rPr>
      </w:pPr>
      <w:r w:rsidRPr="00613F79">
        <w:rPr>
          <w:rFonts w:ascii="Calibri" w:hAnsi="Calibri"/>
          <w:sz w:val="24"/>
          <w:szCs w:val="24"/>
        </w:rPr>
        <w:t>The provision does not criminalise behaviour that was not previously criminal, nor does it amend any penalties either now or for future offences. For that reason, section 66B does not engage the right at section 25(2) as offenders will not be subject to heavier penalties or sentences that applied when the offence occurred.</w:t>
      </w:r>
    </w:p>
    <w:p w:rsidR="00613F79" w:rsidRDefault="00613F79" w:rsidP="00613F79">
      <w:pPr>
        <w:spacing w:after="0" w:line="240" w:lineRule="auto"/>
        <w:rPr>
          <w:rFonts w:ascii="Calibri" w:hAnsi="Calibri"/>
          <w:sz w:val="24"/>
          <w:szCs w:val="24"/>
        </w:rPr>
      </w:pPr>
    </w:p>
    <w:p w:rsidR="00421B3C" w:rsidRDefault="00421B3C" w:rsidP="00AD7D31">
      <w:pPr>
        <w:spacing w:after="0" w:line="240" w:lineRule="auto"/>
        <w:rPr>
          <w:rFonts w:ascii="Calibri" w:hAnsi="Calibri"/>
          <w:sz w:val="24"/>
          <w:szCs w:val="24"/>
        </w:rPr>
      </w:pPr>
    </w:p>
    <w:p w:rsidR="008C5E2C" w:rsidRDefault="00613F79" w:rsidP="00AD7D31">
      <w:pPr>
        <w:spacing w:after="0" w:line="240" w:lineRule="auto"/>
        <w:rPr>
          <w:rFonts w:ascii="Calibri" w:hAnsi="Calibri"/>
          <w:sz w:val="24"/>
          <w:szCs w:val="24"/>
        </w:rPr>
      </w:pPr>
      <w:r>
        <w:rPr>
          <w:rFonts w:ascii="Calibri" w:hAnsi="Calibri"/>
          <w:sz w:val="24"/>
          <w:szCs w:val="24"/>
        </w:rPr>
        <w:t>Given that the issue of retrospectivity is not raised, I do not propose to table a revised Explanatory Statement.</w:t>
      </w:r>
    </w:p>
    <w:p w:rsidR="008C5E2C" w:rsidRDefault="008C5E2C" w:rsidP="00AD7D31">
      <w:pPr>
        <w:spacing w:after="0" w:line="240" w:lineRule="auto"/>
        <w:rPr>
          <w:rFonts w:ascii="Calibri" w:hAnsi="Calibri"/>
          <w:sz w:val="24"/>
          <w:szCs w:val="24"/>
        </w:rPr>
      </w:pPr>
    </w:p>
    <w:p w:rsidR="00AD7D31" w:rsidRPr="00A031A0" w:rsidRDefault="00A03252" w:rsidP="00AD7D31">
      <w:pPr>
        <w:spacing w:after="0" w:line="240" w:lineRule="auto"/>
        <w:rPr>
          <w:rFonts w:ascii="Calibri" w:hAnsi="Calibri"/>
          <w:sz w:val="24"/>
          <w:szCs w:val="24"/>
        </w:rPr>
      </w:pPr>
      <w:r>
        <w:rPr>
          <w:rFonts w:ascii="Calibri" w:hAnsi="Calibri"/>
          <w:sz w:val="24"/>
          <w:szCs w:val="24"/>
        </w:rPr>
        <w:t>I thank the Committee for its report and careful consideration of the Bill.</w:t>
      </w:r>
    </w:p>
    <w:p w:rsidR="00AD7D31" w:rsidRPr="00A031A0" w:rsidRDefault="00AD7D31" w:rsidP="00AD7D31">
      <w:pPr>
        <w:spacing w:after="0" w:line="240" w:lineRule="auto"/>
        <w:rPr>
          <w:rFonts w:ascii="Calibri" w:hAnsi="Calibri"/>
          <w:sz w:val="24"/>
          <w:szCs w:val="24"/>
        </w:rPr>
      </w:pPr>
    </w:p>
    <w:p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rsidR="00AD7D31" w:rsidRPr="00A031A0" w:rsidRDefault="00AD7D31" w:rsidP="00AD7D31">
      <w:pPr>
        <w:spacing w:after="0" w:line="240" w:lineRule="auto"/>
        <w:rPr>
          <w:rFonts w:ascii="Calibri" w:hAnsi="Calibri"/>
          <w:sz w:val="24"/>
          <w:szCs w:val="24"/>
        </w:rPr>
      </w:pPr>
    </w:p>
    <w:p w:rsidR="00AD7D31" w:rsidRPr="00A031A0" w:rsidRDefault="00834846" w:rsidP="00AD7D31">
      <w:pPr>
        <w:spacing w:after="0" w:line="240" w:lineRule="auto"/>
        <w:rPr>
          <w:rFonts w:ascii="Calibri" w:hAnsi="Calibri"/>
          <w:sz w:val="24"/>
          <w:szCs w:val="24"/>
        </w:rPr>
      </w:pPr>
      <w:r w:rsidRPr="00A031A0">
        <w:rPr>
          <w:rFonts w:ascii="Calibri" w:hAnsi="Calibri"/>
          <w:sz w:val="24"/>
          <w:szCs w:val="24"/>
        </w:rPr>
        <w:br/>
      </w:r>
    </w:p>
    <w:p w:rsidR="00AD7D31" w:rsidRDefault="00F47925" w:rsidP="00AD7D31">
      <w:pPr>
        <w:spacing w:after="0" w:line="240" w:lineRule="auto"/>
        <w:rPr>
          <w:rFonts w:ascii="Calibri" w:hAnsi="Calibri"/>
          <w:sz w:val="24"/>
          <w:szCs w:val="24"/>
        </w:rPr>
      </w:pPr>
      <w:r>
        <w:rPr>
          <w:rFonts w:ascii="Calibri" w:hAnsi="Calibri"/>
          <w:sz w:val="24"/>
          <w:szCs w:val="24"/>
        </w:rPr>
        <w:t>Gordon Ramsay</w:t>
      </w:r>
      <w:r w:rsidR="00AD7D31" w:rsidRPr="00A031A0">
        <w:rPr>
          <w:rFonts w:ascii="Calibri" w:hAnsi="Calibri"/>
          <w:sz w:val="24"/>
          <w:szCs w:val="24"/>
        </w:rPr>
        <w:t xml:space="preserve"> MLA</w:t>
      </w:r>
    </w:p>
    <w:p w:rsidR="00421B3C" w:rsidRDefault="00421B3C" w:rsidP="00AD7D31">
      <w:pPr>
        <w:spacing w:after="0" w:line="240" w:lineRule="auto"/>
        <w:rPr>
          <w:rFonts w:ascii="Calibri" w:hAnsi="Calibri"/>
          <w:sz w:val="24"/>
          <w:szCs w:val="24"/>
        </w:rPr>
      </w:pPr>
      <w:r>
        <w:rPr>
          <w:rFonts w:ascii="Calibri" w:hAnsi="Calibri"/>
          <w:sz w:val="24"/>
          <w:szCs w:val="24"/>
        </w:rPr>
        <w:t xml:space="preserve">Attorney-General </w:t>
      </w:r>
    </w:p>
    <w:p w:rsidR="008C5E2C" w:rsidRPr="00A031A0" w:rsidRDefault="008C5E2C" w:rsidP="00AD7D31">
      <w:pPr>
        <w:spacing w:after="0" w:line="240" w:lineRule="auto"/>
        <w:rPr>
          <w:rFonts w:ascii="Calibri" w:hAnsi="Calibri"/>
          <w:sz w:val="24"/>
          <w:szCs w:val="24"/>
        </w:rPr>
      </w:pPr>
    </w:p>
    <w:p w:rsidR="0055749D" w:rsidRPr="00A03252" w:rsidRDefault="00824969" w:rsidP="00A03252">
      <w:pPr>
        <w:pStyle w:val="Header"/>
        <w:tabs>
          <w:tab w:val="left" w:pos="720"/>
        </w:tabs>
        <w:rPr>
          <w:rFonts w:ascii="Calibri" w:hAnsi="Calibri"/>
          <w:sz w:val="24"/>
          <w:szCs w:val="24"/>
        </w:rPr>
      </w:pPr>
      <w:r w:rsidRPr="00824969">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w:t>
                  </w:r>
                  <w:r>
                    <w:rPr>
                      <w:rFonts w:ascii="Calibri Light"/>
                      <w:color w:val="231F20"/>
                      <w:sz w:val="24"/>
                      <w:szCs w:val="24"/>
                    </w:rPr>
                    <w:t>ctchiefminister</w:t>
                  </w:r>
                </w:p>
              </w:txbxContent>
            </v:textbox>
            <w10:wrap anchorx="page" anchory="page"/>
          </v:shape>
        </w:pict>
      </w:r>
    </w:p>
    <w:sectPr w:rsidR="0055749D" w:rsidRPr="00A03252" w:rsidSect="00F50739">
      <w:headerReference w:type="default" r:id="rId6"/>
      <w:headerReference w:type="first" r:id="rId7"/>
      <w:footerReference w:type="first" r:id="rId8"/>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A6" w:rsidRDefault="00D861A6" w:rsidP="00AD7D31">
      <w:pPr>
        <w:spacing w:after="0" w:line="240" w:lineRule="auto"/>
      </w:pPr>
      <w:r>
        <w:separator/>
      </w:r>
    </w:p>
  </w:endnote>
  <w:endnote w:type="continuationSeparator" w:id="0">
    <w:p w:rsidR="00D861A6" w:rsidRDefault="00D861A6"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A1B70" w:rsidRPr="0061634E">
      <w:rPr>
        <w:rFonts w:asciiTheme="minorHAnsi" w:hAnsiTheme="minorHAnsi"/>
        <w:color w:val="231F20"/>
        <w:spacing w:val="-4"/>
      </w:rPr>
      <w:t>assembl</w:t>
    </w:r>
    <w:r w:rsidR="006A1B70" w:rsidRPr="0061634E">
      <w:rPr>
        <w:rFonts w:asciiTheme="minorHAnsi" w:hAnsiTheme="minorHAnsi"/>
        <w:color w:val="231F20"/>
        <w:spacing w:val="-5"/>
      </w:rPr>
      <w:t>y</w:t>
    </w:r>
  </w:p>
  <w:p w:rsidR="0064748B" w:rsidRPr="006A1B70" w:rsidRDefault="00824969" w:rsidP="006A1B70">
    <w:pPr>
      <w:pStyle w:val="BodyText"/>
      <w:tabs>
        <w:tab w:val="left" w:pos="142"/>
        <w:tab w:val="left" w:pos="284"/>
        <w:tab w:val="left" w:pos="3342"/>
        <w:tab w:val="left" w:pos="9070"/>
      </w:tabs>
      <w:spacing w:before="44" w:after="80"/>
      <w:ind w:left="142" w:right="83"/>
    </w:pPr>
    <w:r w:rsidRPr="00824969">
      <w:rPr>
        <w:noProof/>
        <w:sz w:val="20"/>
        <w:szCs w:val="20"/>
        <w:lang w:val="en-AU" w:eastAsia="en-AU"/>
      </w:rPr>
      <w:pict>
        <v:group id="Group 22" o:spid="_x0000_s4107"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4109"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824969" w:rsidP="0061634E">
    <w:pPr>
      <w:pStyle w:val="BodyText"/>
      <w:tabs>
        <w:tab w:val="left" w:pos="142"/>
        <w:tab w:val="left" w:pos="3342"/>
        <w:tab w:val="left" w:pos="9070"/>
      </w:tabs>
      <w:spacing w:before="44" w:after="80"/>
      <w:ind w:left="0" w:right="83" w:hanging="849"/>
    </w:pPr>
    <w:r w:rsidRPr="00824969">
      <w:rPr>
        <w:noProof/>
        <w:sz w:val="20"/>
        <w:szCs w:val="20"/>
        <w:lang w:val="en-AU" w:eastAsia="en-AU"/>
      </w:rPr>
      <w:pict>
        <v:shapetype id="_x0000_t202" coordsize="21600,21600" o:spt="202" path="m,l,21600r21600,l21600,xe">
          <v:stroke joinstyle="miter"/>
          <v:path gradientshapeok="t" o:connecttype="rect"/>
        </v:shapetype>
        <v:shape id="Text Box 10" o:spid="_x0000_s4106" type="#_x0000_t202" style="position:absolute;margin-left:228pt;margin-top:802.5pt;width:114pt;height:1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w:r>
    <w:r w:rsidRPr="00824969">
      <w:rPr>
        <w:noProof/>
        <w:sz w:val="20"/>
        <w:szCs w:val="20"/>
        <w:lang w:val="en-AU" w:eastAsia="en-AU"/>
      </w:rPr>
      <w:pict>
        <v:shape id="Text Box 11" o:spid="_x0000_s4105" type="#_x0000_t202" style="position:absolute;margin-left:81.75pt;margin-top:801pt;width:105pt;height:13.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8208DA">
                  <w:rPr>
                    <w:rFonts w:ascii="Calibri Light"/>
                    <w:color w:val="231F20"/>
                    <w:sz w:val="24"/>
                    <w:szCs w:val="24"/>
                  </w:rPr>
                  <w:t>G</w:t>
                </w:r>
                <w:r w:rsidR="00F47925">
                  <w:rPr>
                    <w:rFonts w:ascii="Calibri Light"/>
                    <w:color w:val="231F20"/>
                    <w:sz w:val="24"/>
                    <w:szCs w:val="24"/>
                  </w:rPr>
                  <w:t>ordon_R_Ramsay</w:t>
                </w:r>
              </w:p>
            </w:txbxContent>
          </v:textbox>
          <w10:wrap anchorx="page" anchory="page"/>
        </v:shape>
      </w:pict>
    </w:r>
    <w:r w:rsidRPr="00824969">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A6" w:rsidRDefault="00D861A6" w:rsidP="00AD7D31">
      <w:pPr>
        <w:spacing w:after="0" w:line="240" w:lineRule="auto"/>
      </w:pPr>
      <w:r>
        <w:separator/>
      </w:r>
    </w:p>
  </w:footnote>
  <w:footnote w:type="continuationSeparator" w:id="0">
    <w:p w:rsidR="00D861A6" w:rsidRDefault="00D861A6"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F47925">
      <w:t>Attorney-General</w:t>
    </w:r>
    <w:r w:rsidR="00F47925">
      <w:br/>
      <w:t>Minister for the Arts and Cultural Events</w:t>
    </w:r>
    <w:r w:rsidR="00F47925">
      <w:br/>
      <w:t>Minister for Building Quality Improvement</w:t>
    </w:r>
    <w:r w:rsidR="00F47925">
      <w:br/>
      <w:t>Minister for Business and Regulatory Services</w:t>
    </w:r>
    <w:r w:rsidR="00F47925">
      <w:br/>
      <w:t>Minister for Seniors and Veterans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F47925">
      <w:rPr>
        <w:rFonts w:asciiTheme="minorHAnsi" w:hAnsiTheme="minorHAnsi"/>
        <w:sz w:val="20"/>
        <w:szCs w:val="20"/>
      </w:rPr>
      <w:t>Ginninderra</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 w:val="000D7EE7"/>
    <w:rsid w:val="001450DC"/>
    <w:rsid w:val="001804F3"/>
    <w:rsid w:val="001851B2"/>
    <w:rsid w:val="001D7389"/>
    <w:rsid w:val="00235F90"/>
    <w:rsid w:val="00313E4A"/>
    <w:rsid w:val="003B2F76"/>
    <w:rsid w:val="0041104E"/>
    <w:rsid w:val="00421B3C"/>
    <w:rsid w:val="004E1A23"/>
    <w:rsid w:val="005351C5"/>
    <w:rsid w:val="0055749D"/>
    <w:rsid w:val="00562A1B"/>
    <w:rsid w:val="005C4787"/>
    <w:rsid w:val="005E7DE1"/>
    <w:rsid w:val="00613F79"/>
    <w:rsid w:val="0061634E"/>
    <w:rsid w:val="00617966"/>
    <w:rsid w:val="0064748B"/>
    <w:rsid w:val="00655CD8"/>
    <w:rsid w:val="006A1B70"/>
    <w:rsid w:val="00712BA7"/>
    <w:rsid w:val="007C1D0F"/>
    <w:rsid w:val="007D7FAC"/>
    <w:rsid w:val="00806ACB"/>
    <w:rsid w:val="008208DA"/>
    <w:rsid w:val="00824969"/>
    <w:rsid w:val="00832784"/>
    <w:rsid w:val="00834846"/>
    <w:rsid w:val="008402ED"/>
    <w:rsid w:val="00855531"/>
    <w:rsid w:val="008B7102"/>
    <w:rsid w:val="008C417B"/>
    <w:rsid w:val="008C5E2C"/>
    <w:rsid w:val="008D15E5"/>
    <w:rsid w:val="0094639B"/>
    <w:rsid w:val="009864ED"/>
    <w:rsid w:val="009C2877"/>
    <w:rsid w:val="009C5F08"/>
    <w:rsid w:val="00A031A0"/>
    <w:rsid w:val="00A03252"/>
    <w:rsid w:val="00A254F7"/>
    <w:rsid w:val="00A70C6A"/>
    <w:rsid w:val="00AD7D31"/>
    <w:rsid w:val="00B72278"/>
    <w:rsid w:val="00B85096"/>
    <w:rsid w:val="00BD5AF4"/>
    <w:rsid w:val="00C75212"/>
    <w:rsid w:val="00CA647D"/>
    <w:rsid w:val="00CF5216"/>
    <w:rsid w:val="00D861A6"/>
    <w:rsid w:val="00DD766A"/>
    <w:rsid w:val="00E25392"/>
    <w:rsid w:val="00E430CA"/>
    <w:rsid w:val="00E5561F"/>
    <w:rsid w:val="00ED5634"/>
    <w:rsid w:val="00F20EFB"/>
    <w:rsid w:val="00F47925"/>
    <w:rsid w:val="00F50739"/>
    <w:rsid w:val="00F70F46"/>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69"/>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CommentReference">
    <w:name w:val="annotation reference"/>
    <w:basedOn w:val="DefaultParagraphFont"/>
    <w:uiPriority w:val="99"/>
    <w:semiHidden/>
    <w:unhideWhenUsed/>
    <w:rsid w:val="00A03252"/>
    <w:rPr>
      <w:sz w:val="16"/>
      <w:szCs w:val="16"/>
    </w:rPr>
  </w:style>
  <w:style w:type="paragraph" w:styleId="CommentText">
    <w:name w:val="annotation text"/>
    <w:basedOn w:val="Normal"/>
    <w:link w:val="CommentTextChar"/>
    <w:uiPriority w:val="99"/>
    <w:semiHidden/>
    <w:unhideWhenUsed/>
    <w:rsid w:val="00A03252"/>
    <w:pPr>
      <w:spacing w:line="240" w:lineRule="auto"/>
    </w:pPr>
    <w:rPr>
      <w:sz w:val="20"/>
      <w:szCs w:val="20"/>
    </w:rPr>
  </w:style>
  <w:style w:type="character" w:customStyle="1" w:styleId="CommentTextChar">
    <w:name w:val="Comment Text Char"/>
    <w:basedOn w:val="DefaultParagraphFont"/>
    <w:link w:val="CommentText"/>
    <w:uiPriority w:val="99"/>
    <w:semiHidden/>
    <w:rsid w:val="00A03252"/>
    <w:rPr>
      <w:sz w:val="20"/>
      <w:szCs w:val="20"/>
    </w:rPr>
  </w:style>
  <w:style w:type="paragraph" w:styleId="CommentSubject">
    <w:name w:val="annotation subject"/>
    <w:basedOn w:val="CommentText"/>
    <w:next w:val="CommentText"/>
    <w:link w:val="CommentSubjectChar"/>
    <w:uiPriority w:val="99"/>
    <w:semiHidden/>
    <w:unhideWhenUsed/>
    <w:rsid w:val="00A03252"/>
    <w:rPr>
      <w:b/>
      <w:bCs/>
    </w:rPr>
  </w:style>
  <w:style w:type="character" w:customStyle="1" w:styleId="CommentSubjectChar">
    <w:name w:val="Comment Subject Char"/>
    <w:basedOn w:val="CommentTextChar"/>
    <w:link w:val="CommentSubject"/>
    <w:uiPriority w:val="99"/>
    <w:semiHidden/>
    <w:rsid w:val="00A03252"/>
    <w:rPr>
      <w:b/>
      <w:bCs/>
      <w:sz w:val="20"/>
      <w:szCs w:val="20"/>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Scrutiny\Response%20documents\Responses%20-%209th%20Assembly\Response%20-%20DI2018-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 - DI2018-223.dotx</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anne shannon</dc:creator>
  <cp:lastModifiedBy>anne shannon</cp:lastModifiedBy>
  <cp:revision>1</cp:revision>
  <cp:lastPrinted>2018-11-26T06:35:00Z</cp:lastPrinted>
  <dcterms:created xsi:type="dcterms:W3CDTF">2018-11-27T05:43:00Z</dcterms:created>
  <dcterms:modified xsi:type="dcterms:W3CDTF">2018-11-27T05:43:00Z</dcterms:modified>
</cp:coreProperties>
</file>