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224" w:rsidRDefault="00DD5224" w:rsidP="00DD5224">
      <w:pPr>
        <w:jc w:val="center"/>
      </w:pPr>
      <w:r>
        <w:rPr>
          <w:noProof/>
          <w:lang w:eastAsia="en-AU"/>
        </w:rPr>
        <w:drawing>
          <wp:inline distT="0" distB="0" distL="0" distR="0">
            <wp:extent cx="892175" cy="914400"/>
            <wp:effectExtent l="19050" t="0" r="3175" b="0"/>
            <wp:docPr id="3" name="Picture 1" descr="!!!leg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photo"/>
                    <pic:cNvPicPr>
                      <a:picLocks noChangeAspect="1" noChangeArrowheads="1"/>
                    </pic:cNvPicPr>
                  </pic:nvPicPr>
                  <pic:blipFill>
                    <a:blip r:embed="rId7" cstate="print"/>
                    <a:srcRect/>
                    <a:stretch>
                      <a:fillRect/>
                    </a:stretch>
                  </pic:blipFill>
                  <pic:spPr bwMode="auto">
                    <a:xfrm>
                      <a:off x="0" y="0"/>
                      <a:ext cx="892175" cy="914400"/>
                    </a:xfrm>
                    <a:prstGeom prst="rect">
                      <a:avLst/>
                    </a:prstGeom>
                    <a:noFill/>
                    <a:ln w="9525">
                      <a:noFill/>
                      <a:miter lim="800000"/>
                      <a:headEnd/>
                      <a:tailEnd/>
                    </a:ln>
                  </pic:spPr>
                </pic:pic>
              </a:graphicData>
            </a:graphic>
          </wp:inline>
        </w:drawing>
      </w:r>
    </w:p>
    <w:p w:rsidR="00DD5224" w:rsidRDefault="00DD5224" w:rsidP="00DD5224">
      <w:pPr>
        <w:pStyle w:val="Heading2"/>
        <w:spacing w:before="360" w:after="240"/>
      </w:pPr>
      <w:r>
        <w:t>Legislative Assembly for the Australian Capital Territory</w:t>
      </w:r>
    </w:p>
    <w:p w:rsidR="00DD5224" w:rsidRDefault="00DD5224" w:rsidP="00DD5224">
      <w:pPr>
        <w:jc w:val="center"/>
      </w:pPr>
    </w:p>
    <w:p w:rsidR="00DD5224" w:rsidRPr="00F037A1" w:rsidRDefault="00DD5224" w:rsidP="00F037A1">
      <w:pPr>
        <w:pStyle w:val="Heading3"/>
        <w:spacing w:before="240" w:after="240"/>
        <w:jc w:val="center"/>
      </w:pPr>
      <w:r w:rsidRPr="00F037A1">
        <w:t>46th Presiding Officers and Clerks Conference</w:t>
      </w:r>
    </w:p>
    <w:p w:rsidR="00DD5224" w:rsidRPr="00F037A1" w:rsidRDefault="00DD5224" w:rsidP="00F037A1">
      <w:pPr>
        <w:pStyle w:val="Heading3"/>
        <w:spacing w:before="240" w:after="240"/>
        <w:jc w:val="center"/>
      </w:pPr>
      <w:r w:rsidRPr="00F037A1">
        <w:t>Hobart, Tasmania</w:t>
      </w:r>
    </w:p>
    <w:p w:rsidR="00DD5224" w:rsidRPr="00F037A1" w:rsidRDefault="00DD5224" w:rsidP="00F037A1">
      <w:pPr>
        <w:pStyle w:val="Heading3"/>
        <w:spacing w:before="240" w:after="240"/>
        <w:jc w:val="center"/>
      </w:pPr>
      <w:r w:rsidRPr="00F037A1">
        <w:t>5-10 July 2015</w:t>
      </w:r>
    </w:p>
    <w:p w:rsidR="00DD5224" w:rsidRDefault="007E270B" w:rsidP="00F037A1">
      <w:pPr>
        <w:pStyle w:val="Titleheading"/>
        <w:spacing w:before="3600" w:after="3600"/>
        <w:jc w:val="center"/>
      </w:pPr>
      <w:r>
        <w:t>Officers of the Legislative Assembly</w:t>
      </w:r>
    </w:p>
    <w:p w:rsidR="00DD5224" w:rsidRDefault="00DD5224" w:rsidP="00DD5224">
      <w:pPr>
        <w:pStyle w:val="Heading4"/>
        <w:spacing w:before="240" w:after="240"/>
      </w:pPr>
    </w:p>
    <w:p w:rsidR="00DD5224" w:rsidRDefault="00DD5224" w:rsidP="00DD5224">
      <w:pPr>
        <w:pStyle w:val="Heading4"/>
        <w:spacing w:before="240" w:after="240"/>
      </w:pPr>
      <w:r>
        <w:t>Paper presented by Vicki Dunne</w:t>
      </w:r>
    </w:p>
    <w:p w:rsidR="00DD5224" w:rsidRDefault="00DD5224" w:rsidP="00DD5224">
      <w:pPr>
        <w:pStyle w:val="Heading4"/>
        <w:spacing w:before="240" w:after="240"/>
      </w:pPr>
      <w:r>
        <w:t>Speaker of the Legislative Assembly for the Australian Capital Territory</w:t>
      </w:r>
    </w:p>
    <w:p w:rsidR="00DD5224" w:rsidRDefault="00DD5224" w:rsidP="00DD5224">
      <w:pPr>
        <w:pStyle w:val="Bodycopy"/>
        <w:rPr>
          <w:rFonts w:asciiTheme="majorHAnsi" w:eastAsiaTheme="minorEastAsia" w:hAnsiTheme="majorHAnsi" w:cstheme="majorHAnsi"/>
          <w:szCs w:val="36"/>
        </w:rPr>
      </w:pPr>
      <w:r>
        <w:br w:type="page"/>
      </w:r>
    </w:p>
    <w:p w:rsidR="00DD5224" w:rsidRPr="001A5685" w:rsidRDefault="00DD5224" w:rsidP="001A5685">
      <w:pPr>
        <w:pStyle w:val="Heading2"/>
        <w:spacing w:before="360" w:after="240"/>
        <w:rPr>
          <w:rStyle w:val="Strong"/>
          <w:b w:val="0"/>
          <w:bCs w:val="0"/>
          <w:szCs w:val="24"/>
        </w:rPr>
      </w:pPr>
      <w:r w:rsidRPr="001A5685">
        <w:rPr>
          <w:rStyle w:val="Strong"/>
          <w:b w:val="0"/>
          <w:bCs w:val="0"/>
          <w:szCs w:val="24"/>
        </w:rPr>
        <w:lastRenderedPageBreak/>
        <w:t>Accountability in the Westminster system of Government</w:t>
      </w:r>
    </w:p>
    <w:p w:rsidR="00DD5224" w:rsidRPr="006C10CF" w:rsidRDefault="00DD5224" w:rsidP="001A5685">
      <w:pPr>
        <w:pStyle w:val="Bodycopy"/>
      </w:pPr>
      <w:r>
        <w:t xml:space="preserve">The evolution of </w:t>
      </w:r>
      <w:r w:rsidRPr="006C10CF">
        <w:t>the Westminster system</w:t>
      </w:r>
      <w:r>
        <w:t xml:space="preserve"> where the legislature has primacy has led to high levels of </w:t>
      </w:r>
      <w:r w:rsidRPr="006C10CF">
        <w:t xml:space="preserve">accountability </w:t>
      </w:r>
      <w:r>
        <w:t>within a framework of responsible government</w:t>
      </w:r>
      <w:r w:rsidRPr="006C10CF">
        <w:t xml:space="preserve">. One </w:t>
      </w:r>
      <w:r>
        <w:t>element of accountability</w:t>
      </w:r>
      <w:r w:rsidRPr="006C10CF">
        <w:t xml:space="preserve"> is the parliament’s ability to provide independent scrutiny</w:t>
      </w:r>
      <w:r>
        <w:t xml:space="preserve"> of</w:t>
      </w:r>
      <w:r w:rsidRPr="006C10CF">
        <w:t xml:space="preserve"> the role of the executive.</w:t>
      </w:r>
    </w:p>
    <w:p w:rsidR="00DD5224" w:rsidRDefault="00DD5224" w:rsidP="001A5685">
      <w:pPr>
        <w:pStyle w:val="Bodycopy"/>
      </w:pPr>
      <w:r w:rsidRPr="006C10CF">
        <w:t xml:space="preserve">Many Westminster </w:t>
      </w:r>
      <w:r>
        <w:t>parliaments</w:t>
      </w:r>
      <w:r w:rsidRPr="006C10CF">
        <w:t xml:space="preserve"> have recognised the need for specific </w:t>
      </w:r>
      <w:r>
        <w:t>measure</w:t>
      </w:r>
      <w:r w:rsidRPr="006C10CF">
        <w:t xml:space="preserve">s to ensure the accountability of the government of the day. </w:t>
      </w:r>
      <w:r>
        <w:t>The notion of o</w:t>
      </w:r>
      <w:r w:rsidRPr="006C10CF">
        <w:t xml:space="preserve">fficers of the </w:t>
      </w:r>
      <w:r>
        <w:t>p</w:t>
      </w:r>
      <w:r w:rsidRPr="006C10CF">
        <w:t>arliament</w:t>
      </w:r>
      <w:r>
        <w:t xml:space="preserve"> has been promoted</w:t>
      </w:r>
      <w:r w:rsidRPr="006C10CF">
        <w:t xml:space="preserve"> </w:t>
      </w:r>
      <w:r>
        <w:t>as a means of aiding the scrutiny of the executive.</w:t>
      </w:r>
    </w:p>
    <w:p w:rsidR="00DD5224" w:rsidRPr="001A5685" w:rsidRDefault="00DD5224" w:rsidP="001A5685">
      <w:pPr>
        <w:pStyle w:val="Heading2"/>
        <w:spacing w:before="360" w:after="240"/>
        <w:rPr>
          <w:rStyle w:val="Strong"/>
          <w:b w:val="0"/>
          <w:bCs w:val="0"/>
          <w:szCs w:val="24"/>
        </w:rPr>
      </w:pPr>
      <w:r w:rsidRPr="001A5685">
        <w:rPr>
          <w:rStyle w:val="Strong"/>
          <w:b w:val="0"/>
          <w:bCs w:val="0"/>
          <w:szCs w:val="24"/>
        </w:rPr>
        <w:t>Officers of Parliament</w:t>
      </w:r>
    </w:p>
    <w:p w:rsidR="00DD5224" w:rsidRPr="001A5685" w:rsidRDefault="00DD5224" w:rsidP="001A5685">
      <w:pPr>
        <w:pStyle w:val="Bodycopy"/>
      </w:pPr>
      <w:r w:rsidRPr="001A5685">
        <w:t>In 2006 the Victorian Public Accounts Committee reported on a legislative framework for independent officers of the parliament.</w:t>
      </w:r>
      <w:r w:rsidRPr="00F037A1">
        <w:rPr>
          <w:rStyle w:val="FootnoteReference"/>
        </w:rPr>
        <w:footnoteReference w:id="1"/>
      </w:r>
      <w:r w:rsidRPr="001A5685">
        <w:t xml:space="preserve"> This Committee found that there was </w:t>
      </w:r>
      <w:proofErr w:type="gramStart"/>
      <w:r w:rsidRPr="001A5685">
        <w:t>a growing tendency to develop the role to assist parliaments undertake</w:t>
      </w:r>
      <w:proofErr w:type="gramEnd"/>
      <w:r w:rsidRPr="001A5685">
        <w:t xml:space="preserve"> more active acco</w:t>
      </w:r>
      <w:r w:rsidR="00F037A1">
        <w:t xml:space="preserve">untability and scrutiny tasks. </w:t>
      </w:r>
      <w:r w:rsidRPr="001A5685">
        <w:t>The essential characteristics of appropriate scrutiny are that there is a close relationship the parliament and clear i</w:t>
      </w:r>
      <w:r w:rsidR="00F037A1">
        <w:t>ndependence from the executive.</w:t>
      </w:r>
    </w:p>
    <w:p w:rsidR="00DD5224" w:rsidRPr="001A5685" w:rsidRDefault="00DD5224" w:rsidP="001A5685">
      <w:pPr>
        <w:pStyle w:val="Bodycopy"/>
      </w:pPr>
      <w:r w:rsidRPr="001A5685">
        <w:t>Which roles are commonly classified as Officers of the Parliament?</w:t>
      </w:r>
    </w:p>
    <w:p w:rsidR="00DD5224" w:rsidRPr="001A5685" w:rsidRDefault="00DD5224" w:rsidP="001A5685">
      <w:pPr>
        <w:pStyle w:val="Bodycopy"/>
        <w:rPr>
          <w:szCs w:val="24"/>
        </w:rPr>
      </w:pPr>
      <w:r w:rsidRPr="001A5685">
        <w:rPr>
          <w:szCs w:val="24"/>
        </w:rPr>
        <w:t>Traditionally, officers of parliament have been Auditors-General and Ombudsmen, who are tasked with scrutinising the performance of the executive government and reporting on the outcomes of their work to parliaments. More recently there has been an extension of the role</w:t>
      </w:r>
      <w:r w:rsidRPr="00F037A1">
        <w:rPr>
          <w:rStyle w:val="FootnoteReference"/>
          <w:szCs w:val="24"/>
        </w:rPr>
        <w:footnoteReference w:id="2"/>
      </w:r>
      <w:r w:rsidRPr="001A5685">
        <w:rPr>
          <w:szCs w:val="24"/>
        </w:rPr>
        <w:t xml:space="preserve"> and more commonly electoral commissioners have been included, on the basis that their office protects fairness in elections on behalf of the p</w:t>
      </w:r>
      <w:r w:rsidR="00F037A1">
        <w:rPr>
          <w:szCs w:val="24"/>
        </w:rPr>
        <w:t>arliament and its electors.</w:t>
      </w:r>
    </w:p>
    <w:p w:rsidR="00DD5224" w:rsidRPr="001A5685" w:rsidRDefault="00DD5224" w:rsidP="001A5685">
      <w:pPr>
        <w:pStyle w:val="Heading2"/>
        <w:spacing w:before="360" w:after="240"/>
        <w:rPr>
          <w:rStyle w:val="Strong"/>
          <w:b w:val="0"/>
          <w:bCs w:val="0"/>
          <w:szCs w:val="24"/>
        </w:rPr>
      </w:pPr>
      <w:r w:rsidRPr="001A5685">
        <w:rPr>
          <w:rStyle w:val="Strong"/>
          <w:b w:val="0"/>
          <w:bCs w:val="0"/>
          <w:szCs w:val="24"/>
        </w:rPr>
        <w:t>Progress in the ACT</w:t>
      </w:r>
    </w:p>
    <w:p w:rsidR="00DD5224" w:rsidRPr="003D5771" w:rsidRDefault="00DD5224" w:rsidP="001A5685">
      <w:pPr>
        <w:pStyle w:val="Bodycopy"/>
      </w:pPr>
      <w:r w:rsidRPr="003D5771">
        <w:t xml:space="preserve">On 24 October 2013 the ACT Legislative Assembly enacted the </w:t>
      </w:r>
      <w:r w:rsidRPr="003D5771">
        <w:rPr>
          <w:i/>
        </w:rPr>
        <w:t>Officers of the Assembly Legislation Amendment Act 2013</w:t>
      </w:r>
      <w:r w:rsidR="00F037A1">
        <w:t xml:space="preserve">. </w:t>
      </w:r>
      <w:r w:rsidRPr="003D5771">
        <w:t xml:space="preserve">The Act formally recognises the ACT auditor-general, our three Electoral Commissioners and the ombudsman as officers of the </w:t>
      </w:r>
      <w:r>
        <w:t xml:space="preserve">Legislative </w:t>
      </w:r>
      <w:r w:rsidR="00F037A1">
        <w:t>Assembly.</w:t>
      </w:r>
    </w:p>
    <w:p w:rsidR="00DD5224" w:rsidRPr="003D5771" w:rsidRDefault="00DD5224" w:rsidP="001A5685">
      <w:pPr>
        <w:pStyle w:val="Bodycopy"/>
      </w:pPr>
      <w:r>
        <w:t>T</w:t>
      </w:r>
      <w:r w:rsidRPr="003D5771">
        <w:t>he Act c</w:t>
      </w:r>
      <w:r>
        <w:t>a</w:t>
      </w:r>
      <w:r w:rsidRPr="003D5771">
        <w:t>me into force on 1 July 2014</w:t>
      </w:r>
      <w:r>
        <w:t xml:space="preserve"> and</w:t>
      </w:r>
      <w:r w:rsidRPr="003D5771">
        <w:t xml:space="preserve"> each of these officers </w:t>
      </w:r>
      <w:r>
        <w:t>became more</w:t>
      </w:r>
      <w:r w:rsidR="00F037A1">
        <w:t xml:space="preserve"> fully independent. </w:t>
      </w:r>
      <w:r w:rsidRPr="003D5771">
        <w:t>The legislation create</w:t>
      </w:r>
      <w:r>
        <w:t>d</w:t>
      </w:r>
      <w:r w:rsidRPr="003D5771">
        <w:t xml:space="preserve"> a much clearer separation between these officers and the executive by ensuring that:</w:t>
      </w:r>
    </w:p>
    <w:p w:rsidR="00DD5224" w:rsidRPr="003D5771" w:rsidRDefault="00DD5224" w:rsidP="001A5685">
      <w:pPr>
        <w:pStyle w:val="Bodycopybulletlevel1"/>
        <w:spacing w:before="288" w:after="288"/>
      </w:pPr>
      <w:r w:rsidRPr="003D5771">
        <w:t>appointments are made by the Speaker of the Legislative Assembly;</w:t>
      </w:r>
    </w:p>
    <w:p w:rsidR="00DD5224" w:rsidRPr="003D5771" w:rsidRDefault="00DD5224" w:rsidP="001A5685">
      <w:pPr>
        <w:pStyle w:val="Bodycopybulletlevel1"/>
        <w:spacing w:before="288" w:after="288"/>
      </w:pPr>
      <w:r w:rsidRPr="003D5771">
        <w:t>reporting will b</w:t>
      </w:r>
      <w:r w:rsidR="00F037A1">
        <w:t>e done through the Speaker; and</w:t>
      </w:r>
    </w:p>
    <w:p w:rsidR="00DD5224" w:rsidRPr="003D5771" w:rsidRDefault="00DD5224" w:rsidP="001A5685">
      <w:pPr>
        <w:pStyle w:val="Bodycopybulletlevel1"/>
        <w:spacing w:before="288" w:after="288"/>
      </w:pPr>
      <w:proofErr w:type="gramStart"/>
      <w:r w:rsidRPr="003D5771">
        <w:t>appropriations</w:t>
      </w:r>
      <w:proofErr w:type="gramEnd"/>
      <w:r w:rsidRPr="003D5771">
        <w:t xml:space="preserve"> are separate from the general government appropriations.</w:t>
      </w:r>
    </w:p>
    <w:p w:rsidR="00DD5224" w:rsidRPr="001A5685" w:rsidRDefault="00DD5224" w:rsidP="001A5685">
      <w:pPr>
        <w:pStyle w:val="Heading2"/>
        <w:spacing w:before="360" w:after="240"/>
        <w:rPr>
          <w:rStyle w:val="Strong"/>
          <w:b w:val="0"/>
          <w:bCs w:val="0"/>
          <w:szCs w:val="24"/>
        </w:rPr>
      </w:pPr>
      <w:r w:rsidRPr="001A5685">
        <w:rPr>
          <w:rStyle w:val="Strong"/>
          <w:b w:val="0"/>
          <w:bCs w:val="0"/>
          <w:szCs w:val="24"/>
        </w:rPr>
        <w:t>Background</w:t>
      </w:r>
    </w:p>
    <w:p w:rsidR="00DD5224" w:rsidRDefault="00DD5224" w:rsidP="001A5685">
      <w:pPr>
        <w:pStyle w:val="Bodycopy"/>
      </w:pPr>
      <w:r w:rsidRPr="003D5771">
        <w:t xml:space="preserve">So why </w:t>
      </w:r>
      <w:r>
        <w:t>did the Assembly legislat</w:t>
      </w:r>
      <w:r w:rsidR="00F037A1">
        <w:t xml:space="preserve">e in this way? </w:t>
      </w:r>
      <w:r>
        <w:t>The genesis of this legislation goes back to the tenure of the former Auditor-General and her rather tempestuous relationship with the ACT Government.</w:t>
      </w:r>
    </w:p>
    <w:p w:rsidR="00DD5224" w:rsidRDefault="00DD5224" w:rsidP="001A5685">
      <w:pPr>
        <w:pStyle w:val="Bodycopy"/>
      </w:pPr>
      <w:r>
        <w:lastRenderedPageBreak/>
        <w:t>In 2009 the then Auditor-General raised the prospect of staff cuts and cuts to audits because of a lack of funding</w:t>
      </w:r>
      <w:r>
        <w:rPr>
          <w:rStyle w:val="FootnoteReference"/>
          <w:sz w:val="24"/>
          <w:szCs w:val="24"/>
        </w:rPr>
        <w:footnoteReference w:id="3"/>
      </w:r>
      <w:r w:rsidR="00F037A1">
        <w:t xml:space="preserve">. </w:t>
      </w:r>
      <w:r>
        <w:t>Later, following a number of adverse audit findings the Government threatened that, rather than increase audit funding, the Auditor would face budget cuts</w:t>
      </w:r>
      <w:r>
        <w:rPr>
          <w:rStyle w:val="FootnoteReference"/>
          <w:sz w:val="24"/>
          <w:szCs w:val="24"/>
        </w:rPr>
        <w:footnoteReference w:id="4"/>
      </w:r>
      <w:r>
        <w:t xml:space="preserve"> and initiated an audit of the Auditor in what the Opposition and cross-bench members considered a thinly-veiled threat to the Auditor-General</w:t>
      </w:r>
      <w:r>
        <w:rPr>
          <w:rStyle w:val="FootnoteReference"/>
          <w:sz w:val="24"/>
          <w:szCs w:val="24"/>
        </w:rPr>
        <w:footnoteReference w:id="5"/>
      </w:r>
      <w:r>
        <w:t>.</w:t>
      </w:r>
    </w:p>
    <w:p w:rsidR="00DD5224" w:rsidRDefault="00DD5224" w:rsidP="001A5685">
      <w:pPr>
        <w:pStyle w:val="Bodycopy"/>
      </w:pPr>
      <w:r>
        <w:t xml:space="preserve">The subsequent </w:t>
      </w:r>
      <w:r>
        <w:rPr>
          <w:i/>
        </w:rPr>
        <w:t>Report on the Independent Performance Audit of the Operations of the ACT Auditor General and the ACT Audit Office</w:t>
      </w:r>
      <w:r>
        <w:rPr>
          <w:rStyle w:val="FootnoteReference"/>
          <w:i/>
          <w:sz w:val="24"/>
          <w:szCs w:val="24"/>
        </w:rPr>
        <w:footnoteReference w:id="6"/>
      </w:r>
      <w:r>
        <w:rPr>
          <w:i/>
        </w:rPr>
        <w:t xml:space="preserve"> </w:t>
      </w:r>
      <w:r w:rsidRPr="008B5436">
        <w:t>found that despite the Government’s criticisms</w:t>
      </w:r>
      <w:r w:rsidR="00F037A1">
        <w:t xml:space="preserve"> of the Auditor that</w:t>
      </w:r>
    </w:p>
    <w:p w:rsidR="00DD5224" w:rsidRPr="001A5685" w:rsidRDefault="00DD5224" w:rsidP="001A5685">
      <w:pPr>
        <w:pStyle w:val="Quote"/>
        <w:ind w:left="720"/>
      </w:pPr>
      <w:r w:rsidRPr="001A5685">
        <w:t>...the ACT Audit Office is providing an important service in an efficient and effective manner ... and people of the [ACT] are achieving good value</w:t>
      </w:r>
      <w:r w:rsidR="00F037A1">
        <w:t xml:space="preserve"> </w:t>
      </w:r>
      <w:r w:rsidRPr="001A5685">
        <w:t>... It achieves this notwithstanding the relatively small size of the Office, the complexity of its role and the demands upon it.</w:t>
      </w:r>
    </w:p>
    <w:p w:rsidR="00DD5224" w:rsidRPr="001A5685" w:rsidRDefault="00DD5224" w:rsidP="001A5685">
      <w:pPr>
        <w:pStyle w:val="Bodycopy"/>
        <w:rPr>
          <w:szCs w:val="23"/>
        </w:rPr>
      </w:pPr>
      <w:r w:rsidRPr="001A5685">
        <w:rPr>
          <w:szCs w:val="24"/>
        </w:rPr>
        <w:t>The Assembly’s Public Accounts Committee undertook an inquiry into the operation of the Auditor-General Act which covered</w:t>
      </w:r>
      <w:r w:rsidRPr="001A5685">
        <w:rPr>
          <w:szCs w:val="23"/>
        </w:rPr>
        <w:t xml:space="preserve"> managerial autonomy and resourcing of the ACT Auditor-General including who should set the budget for the audit office and whether the role of the ACT Auditor-General could be strengthened by becoming an independent Officer of Parliament</w:t>
      </w:r>
      <w:r w:rsidRPr="00F037A1">
        <w:rPr>
          <w:rStyle w:val="FootnoteReference"/>
          <w:szCs w:val="23"/>
        </w:rPr>
        <w:footnoteReference w:id="7"/>
      </w:r>
      <w:r w:rsidRPr="001A5685">
        <w:rPr>
          <w:szCs w:val="23"/>
        </w:rPr>
        <w:t>.</w:t>
      </w:r>
    </w:p>
    <w:p w:rsidR="00DD5224" w:rsidRPr="001A5685" w:rsidRDefault="00DD5224" w:rsidP="001A5685">
      <w:pPr>
        <w:pStyle w:val="Bodycopy"/>
        <w:rPr>
          <w:szCs w:val="24"/>
        </w:rPr>
      </w:pPr>
      <w:r w:rsidRPr="001A5685">
        <w:rPr>
          <w:szCs w:val="24"/>
        </w:rPr>
        <w:t>In preparing its report, the Standing Committee on Public Accounts considered a number of models of parliamentary accountability, including the UK National Audit Office (NAO) independence criteria for Commonwealth Auditors-General; the House of Representatives in New Zealand; and the UK House of Commons.</w:t>
      </w:r>
    </w:p>
    <w:p w:rsidR="00DD5224" w:rsidRPr="001A5685" w:rsidRDefault="00DD5224" w:rsidP="001A5685">
      <w:pPr>
        <w:pStyle w:val="Bodycopy"/>
        <w:rPr>
          <w:szCs w:val="24"/>
        </w:rPr>
      </w:pPr>
      <w:r w:rsidRPr="001A5685">
        <w:rPr>
          <w:szCs w:val="24"/>
        </w:rPr>
        <w:t>These jurisdictions arrived at the position that independence of external audit from the executive is a key principal of Parliamentary accountability, and that key accountability roles needed to function independently of both the executive and the judiciary.</w:t>
      </w:r>
    </w:p>
    <w:p w:rsidR="00DD5224" w:rsidRPr="001A5685" w:rsidRDefault="00DD5224" w:rsidP="001A5685">
      <w:pPr>
        <w:pStyle w:val="Bodycopy"/>
        <w:rPr>
          <w:szCs w:val="24"/>
        </w:rPr>
      </w:pPr>
      <w:r w:rsidRPr="001A5685">
        <w:rPr>
          <w:szCs w:val="24"/>
        </w:rPr>
        <w:t>This inquiry recommended among other things that:</w:t>
      </w:r>
    </w:p>
    <w:p w:rsidR="00DD5224" w:rsidRDefault="00DD5224" w:rsidP="001A5685">
      <w:pPr>
        <w:pStyle w:val="Bodycopybulletlevel1"/>
        <w:spacing w:before="288" w:after="288"/>
      </w:pPr>
      <w:r>
        <w:t>The Auditor-General should become an officer of the parliament; and</w:t>
      </w:r>
    </w:p>
    <w:p w:rsidR="00DD5224" w:rsidRDefault="00DD5224" w:rsidP="001A5685">
      <w:pPr>
        <w:pStyle w:val="Bodycopybulletlevel1"/>
        <w:spacing w:before="288" w:after="288"/>
      </w:pPr>
      <w:r>
        <w:t>An increased role for the Public Accounts Committee in:</w:t>
      </w:r>
    </w:p>
    <w:p w:rsidR="00DD5224" w:rsidRDefault="00DD5224" w:rsidP="001A5685">
      <w:pPr>
        <w:pStyle w:val="Bodycopybulletlevel2"/>
        <w:spacing w:before="288" w:after="288"/>
      </w:pPr>
      <w:r>
        <w:t>appointing the Auditor-General;</w:t>
      </w:r>
    </w:p>
    <w:p w:rsidR="00DD5224" w:rsidRDefault="00DD5224" w:rsidP="001A5685">
      <w:pPr>
        <w:pStyle w:val="Bodycopybulletlevel2"/>
        <w:spacing w:before="288" w:after="288"/>
      </w:pPr>
      <w:r>
        <w:t xml:space="preserve"> settin</w:t>
      </w:r>
      <w:r w:rsidR="00F037A1">
        <w:t>g the Audit’s work program; and</w:t>
      </w:r>
    </w:p>
    <w:p w:rsidR="00DD5224" w:rsidRDefault="00DD5224" w:rsidP="001A5685">
      <w:pPr>
        <w:pStyle w:val="Bodycopybulletlevel2"/>
        <w:spacing w:before="288" w:after="288"/>
      </w:pPr>
      <w:proofErr w:type="gramStart"/>
      <w:r>
        <w:t>determining</w:t>
      </w:r>
      <w:proofErr w:type="gramEnd"/>
      <w:r>
        <w:t xml:space="preserve"> the budget for the Auditor-General.</w:t>
      </w:r>
    </w:p>
    <w:p w:rsidR="00DD5224" w:rsidRPr="001A5685" w:rsidRDefault="00DD5224" w:rsidP="001A5685">
      <w:pPr>
        <w:pStyle w:val="Bodycopy"/>
        <w:rPr>
          <w:szCs w:val="23"/>
        </w:rPr>
      </w:pPr>
      <w:r w:rsidRPr="001A5685">
        <w:rPr>
          <w:szCs w:val="24"/>
        </w:rPr>
        <w:t xml:space="preserve">Following this report, the Standing Committee on Administration and Procedure conducted an inquiry into </w:t>
      </w:r>
      <w:r w:rsidRPr="001A5685">
        <w:rPr>
          <w:szCs w:val="23"/>
        </w:rPr>
        <w:t>review the feasibility of establishing the position of Officer of the Parliament for the Auditor-General, the Ombudsman, the Electoral Commissioner and other statutory office holders</w:t>
      </w:r>
      <w:r w:rsidRPr="00F037A1">
        <w:rPr>
          <w:rStyle w:val="FootnoteReference"/>
          <w:szCs w:val="23"/>
        </w:rPr>
        <w:footnoteReference w:id="8"/>
      </w:r>
      <w:r w:rsidR="00F037A1">
        <w:rPr>
          <w:szCs w:val="23"/>
        </w:rPr>
        <w:t>.</w:t>
      </w:r>
    </w:p>
    <w:p w:rsidR="00DD5224" w:rsidRPr="001A5685" w:rsidRDefault="00DD5224" w:rsidP="001A5685">
      <w:pPr>
        <w:pStyle w:val="Bodycopy"/>
        <w:rPr>
          <w:szCs w:val="23"/>
        </w:rPr>
      </w:pPr>
      <w:r w:rsidRPr="001A5685">
        <w:rPr>
          <w:szCs w:val="23"/>
        </w:rPr>
        <w:t>The Report looked at the emergence of officers of the parliament in other jurisdictions. Among other things, this report recommended that:</w:t>
      </w:r>
    </w:p>
    <w:p w:rsidR="00DD5224" w:rsidRPr="001A5685" w:rsidRDefault="00DD5224" w:rsidP="001A5685">
      <w:pPr>
        <w:pStyle w:val="Bodycopybulletlevel1"/>
        <w:spacing w:before="288" w:after="288"/>
        <w:rPr>
          <w:szCs w:val="24"/>
        </w:rPr>
      </w:pPr>
      <w:r w:rsidRPr="001A5685">
        <w:rPr>
          <w:szCs w:val="24"/>
        </w:rPr>
        <w:lastRenderedPageBreak/>
        <w:t>criteria</w:t>
      </w:r>
      <w:r w:rsidRPr="00F037A1">
        <w:rPr>
          <w:rStyle w:val="FootnoteReference"/>
          <w:szCs w:val="24"/>
        </w:rPr>
        <w:footnoteReference w:id="9"/>
      </w:r>
      <w:r w:rsidRPr="00F037A1">
        <w:rPr>
          <w:szCs w:val="24"/>
          <w:vertAlign w:val="superscript"/>
        </w:rPr>
        <w:t xml:space="preserve"> </w:t>
      </w:r>
      <w:r w:rsidRPr="001A5685">
        <w:rPr>
          <w:szCs w:val="24"/>
        </w:rPr>
        <w:t>should be set for identifying positions that would qualify as officers of the parliament;</w:t>
      </w:r>
    </w:p>
    <w:p w:rsidR="00DD5224" w:rsidRPr="001A5685" w:rsidRDefault="00DD5224" w:rsidP="001A5685">
      <w:pPr>
        <w:pStyle w:val="Bodycopybulletlevel1"/>
        <w:spacing w:before="288" w:after="288"/>
        <w:rPr>
          <w:szCs w:val="24"/>
        </w:rPr>
      </w:pPr>
      <w:r w:rsidRPr="001A5685">
        <w:rPr>
          <w:szCs w:val="24"/>
        </w:rPr>
        <w:t>the Auditor-General and, under special circumstances, the Ombudsman</w:t>
      </w:r>
      <w:r w:rsidRPr="00BB7890">
        <w:rPr>
          <w:rStyle w:val="FootnoteReference"/>
          <w:szCs w:val="24"/>
        </w:rPr>
        <w:footnoteReference w:id="10"/>
      </w:r>
      <w:r w:rsidRPr="00BB7890">
        <w:rPr>
          <w:szCs w:val="24"/>
          <w:vertAlign w:val="superscript"/>
        </w:rPr>
        <w:t xml:space="preserve"> </w:t>
      </w:r>
      <w:r w:rsidRPr="001A5685">
        <w:rPr>
          <w:szCs w:val="24"/>
        </w:rPr>
        <w:t>should be established as officers of the parliament;</w:t>
      </w:r>
    </w:p>
    <w:p w:rsidR="00DD5224" w:rsidRPr="001A5685" w:rsidRDefault="00DD5224" w:rsidP="001A5685">
      <w:pPr>
        <w:pStyle w:val="Bodycopybulletlevel1"/>
        <w:spacing w:before="288" w:after="288"/>
        <w:rPr>
          <w:szCs w:val="24"/>
        </w:rPr>
      </w:pPr>
      <w:r w:rsidRPr="001A5685">
        <w:rPr>
          <w:szCs w:val="24"/>
        </w:rPr>
        <w:t xml:space="preserve">advice on appropriations for officers of the parliament be transmitted from the Legislative Assembly to the Treasurer; and </w:t>
      </w:r>
    </w:p>
    <w:p w:rsidR="00DD5224" w:rsidRPr="001A5685" w:rsidRDefault="00DD5224" w:rsidP="001A5685">
      <w:pPr>
        <w:pStyle w:val="Bodycopybulletlevel1"/>
        <w:spacing w:before="288" w:after="288"/>
        <w:rPr>
          <w:szCs w:val="24"/>
        </w:rPr>
      </w:pPr>
      <w:proofErr w:type="gramStart"/>
      <w:r w:rsidRPr="001A5685">
        <w:rPr>
          <w:szCs w:val="24"/>
        </w:rPr>
        <w:t>officers</w:t>
      </w:r>
      <w:proofErr w:type="gramEnd"/>
      <w:r w:rsidRPr="001A5685">
        <w:rPr>
          <w:szCs w:val="24"/>
        </w:rPr>
        <w:t xml:space="preserve"> of the parliament have a separate appropriation.</w:t>
      </w:r>
    </w:p>
    <w:p w:rsidR="00DD5224" w:rsidRPr="001A5685" w:rsidRDefault="00DD5224" w:rsidP="001A5685">
      <w:pPr>
        <w:pStyle w:val="Heading2"/>
        <w:spacing w:before="360" w:after="240"/>
        <w:rPr>
          <w:rStyle w:val="Strong"/>
          <w:b w:val="0"/>
          <w:bCs w:val="0"/>
          <w:szCs w:val="24"/>
        </w:rPr>
      </w:pPr>
      <w:r w:rsidRPr="001A5685">
        <w:rPr>
          <w:rStyle w:val="Strong"/>
          <w:b w:val="0"/>
          <w:bCs w:val="0"/>
          <w:szCs w:val="24"/>
        </w:rPr>
        <w:t>Current legislation</w:t>
      </w:r>
    </w:p>
    <w:p w:rsidR="00DD5224" w:rsidRPr="001A5685" w:rsidRDefault="00DD5224" w:rsidP="001A5685">
      <w:pPr>
        <w:pStyle w:val="Bodycopy"/>
        <w:rPr>
          <w:szCs w:val="24"/>
        </w:rPr>
      </w:pPr>
      <w:r w:rsidRPr="001A5685">
        <w:rPr>
          <w:szCs w:val="24"/>
        </w:rPr>
        <w:t>Following the 2012, election the ALP and the Greens signed a formal</w:t>
      </w:r>
      <w:r w:rsidR="00BB7890">
        <w:rPr>
          <w:szCs w:val="24"/>
        </w:rPr>
        <w:t xml:space="preserve"> agreement to form government. </w:t>
      </w:r>
      <w:r w:rsidRPr="001A5685">
        <w:rPr>
          <w:szCs w:val="24"/>
        </w:rPr>
        <w:t>One of the clauses in the agreement was to establish the Auditor-General, the Ombudsman and the Electoral Commissioners as Officers of the Parliament.</w:t>
      </w:r>
    </w:p>
    <w:p w:rsidR="00DD5224" w:rsidRPr="001A5685" w:rsidRDefault="00DD5224" w:rsidP="001A5685">
      <w:pPr>
        <w:pStyle w:val="Bodycopy"/>
        <w:rPr>
          <w:szCs w:val="24"/>
        </w:rPr>
      </w:pPr>
      <w:r w:rsidRPr="001A5685">
        <w:t>Following these reports, in October 2013, the Assembly passed the Officers of the Assembly Legislation Amendment Act 2013. As a result t</w:t>
      </w:r>
      <w:r w:rsidRPr="001A5685">
        <w:rPr>
          <w:szCs w:val="24"/>
        </w:rPr>
        <w:t>he auditor-general, ombudsman, and electoral commissioner will become independent officers of the Legislative Assembly.</w:t>
      </w:r>
    </w:p>
    <w:p w:rsidR="00DD5224" w:rsidRPr="001A5685" w:rsidRDefault="00DD5224" w:rsidP="001A5685">
      <w:pPr>
        <w:pStyle w:val="Bodycopy"/>
        <w:rPr>
          <w:szCs w:val="24"/>
        </w:rPr>
      </w:pPr>
      <w:r w:rsidRPr="001A5685">
        <w:rPr>
          <w:szCs w:val="24"/>
        </w:rPr>
        <w:t>Under the new legislation, these positions will be appointed by the Speaker of the Assembly:</w:t>
      </w:r>
    </w:p>
    <w:p w:rsidR="00DD5224" w:rsidRPr="001A5685" w:rsidRDefault="00DD5224" w:rsidP="001A5685">
      <w:pPr>
        <w:pStyle w:val="Bodycopybulletlevel1"/>
        <w:spacing w:before="288" w:after="288"/>
        <w:rPr>
          <w:szCs w:val="24"/>
        </w:rPr>
      </w:pPr>
      <w:r w:rsidRPr="001A5685">
        <w:rPr>
          <w:szCs w:val="24"/>
        </w:rPr>
        <w:t>based on the advice of the relevant Assembly committee;</w:t>
      </w:r>
    </w:p>
    <w:p w:rsidR="00DD5224" w:rsidRPr="001A5685" w:rsidRDefault="00DD5224" w:rsidP="001A5685">
      <w:pPr>
        <w:pStyle w:val="Bodycopybulletlevel1"/>
        <w:spacing w:before="288" w:after="288"/>
        <w:rPr>
          <w:szCs w:val="24"/>
        </w:rPr>
      </w:pPr>
      <w:r w:rsidRPr="001A5685">
        <w:rPr>
          <w:szCs w:val="24"/>
        </w:rPr>
        <w:t>in accordance with the merit principles set out in the Public Sector Management Act; and</w:t>
      </w:r>
    </w:p>
    <w:p w:rsidR="00DD5224" w:rsidRPr="001A5685" w:rsidRDefault="00DD5224" w:rsidP="001A5685">
      <w:pPr>
        <w:pStyle w:val="Bodycopybulletlevel1"/>
        <w:spacing w:before="288" w:after="288"/>
        <w:rPr>
          <w:szCs w:val="24"/>
        </w:rPr>
      </w:pPr>
      <w:r w:rsidRPr="001A5685">
        <w:rPr>
          <w:szCs w:val="24"/>
        </w:rPr>
        <w:t>in consultation with party leaders</w:t>
      </w:r>
    </w:p>
    <w:p w:rsidR="00DD5224" w:rsidRPr="0063430E" w:rsidRDefault="00DD5224" w:rsidP="001A5685">
      <w:pPr>
        <w:pStyle w:val="Bodycopy"/>
      </w:pPr>
      <w:r w:rsidRPr="0063430E">
        <w:t>The Speaker must also be satisfied that appointees are experts in their field.</w:t>
      </w:r>
    </w:p>
    <w:p w:rsidR="00DD5224" w:rsidRPr="0063430E" w:rsidRDefault="00DD5224" w:rsidP="001A5685">
      <w:pPr>
        <w:pStyle w:val="Bodycopy"/>
      </w:pPr>
      <w:r>
        <w:t>The most important aspect of the legislation is that budgets for each of the officers of the legislative assembly need to be drawn up in the Legislative Assembly in consultation between specific standing committees and the Speaker. The Speaker will then transmit the budget proposals to the Treasurer who, while not bound to adopt the budget, must report and explain any failure to implement the suggested budget.</w:t>
      </w:r>
    </w:p>
    <w:p w:rsidR="00DD5224" w:rsidRPr="001A5685" w:rsidRDefault="00DD5224" w:rsidP="001A5685">
      <w:pPr>
        <w:pStyle w:val="Heading2"/>
        <w:spacing w:before="360" w:after="240"/>
        <w:rPr>
          <w:rStyle w:val="Strong"/>
          <w:b w:val="0"/>
          <w:bCs w:val="0"/>
          <w:szCs w:val="24"/>
        </w:rPr>
      </w:pPr>
      <w:r w:rsidRPr="001A5685">
        <w:rPr>
          <w:rStyle w:val="Strong"/>
          <w:b w:val="0"/>
          <w:bCs w:val="0"/>
          <w:szCs w:val="24"/>
        </w:rPr>
        <w:t>How th</w:t>
      </w:r>
      <w:r w:rsidR="001A5685" w:rsidRPr="001A5685">
        <w:rPr>
          <w:rStyle w:val="Strong"/>
          <w:b w:val="0"/>
          <w:bCs w:val="0"/>
        </w:rPr>
        <w:t>e legislation has worked so far</w:t>
      </w:r>
    </w:p>
    <w:p w:rsidR="00DD5224" w:rsidRPr="001A5685" w:rsidRDefault="00DD5224" w:rsidP="001A5685">
      <w:pPr>
        <w:pStyle w:val="Bodycopy"/>
        <w:rPr>
          <w:szCs w:val="24"/>
        </w:rPr>
      </w:pPr>
      <w:r w:rsidRPr="001A5685">
        <w:rPr>
          <w:szCs w:val="24"/>
        </w:rPr>
        <w:t>The legislation commenced on 1 July 2014 at which time all Officers</w:t>
      </w:r>
      <w:r w:rsidR="00BB7890">
        <w:rPr>
          <w:szCs w:val="24"/>
        </w:rPr>
        <w:t xml:space="preserve"> took oaths before the Speaker.</w:t>
      </w:r>
    </w:p>
    <w:p w:rsidR="00DD5224" w:rsidRPr="001A5685" w:rsidRDefault="00DD5224" w:rsidP="001A5685">
      <w:pPr>
        <w:pStyle w:val="Bodycopy"/>
        <w:rPr>
          <w:szCs w:val="24"/>
        </w:rPr>
      </w:pPr>
      <w:r w:rsidRPr="001A5685">
        <w:rPr>
          <w:szCs w:val="24"/>
        </w:rPr>
        <w:t xml:space="preserve">Since then we have been bedding down the administration of the Officers of the Legislative Assembly in relationship to the Speaker. The legislation in relation to officers of the Legislative Assembly is not set and </w:t>
      </w:r>
      <w:proofErr w:type="gramStart"/>
      <w:r w:rsidRPr="001A5685">
        <w:rPr>
          <w:szCs w:val="24"/>
        </w:rPr>
        <w:t>forget</w:t>
      </w:r>
      <w:proofErr w:type="gramEnd"/>
      <w:r w:rsidRPr="001A5685">
        <w:rPr>
          <w:szCs w:val="24"/>
        </w:rPr>
        <w:t>. As the Speaker I also have particular functions in relation to the Auditor-General and the Electoral Commission.</w:t>
      </w:r>
    </w:p>
    <w:p w:rsidR="00DD5224" w:rsidRPr="001A5685" w:rsidRDefault="00DD5224" w:rsidP="001A5685">
      <w:pPr>
        <w:pStyle w:val="Bodycopy"/>
        <w:rPr>
          <w:szCs w:val="24"/>
        </w:rPr>
      </w:pPr>
      <w:r w:rsidRPr="001A5685">
        <w:rPr>
          <w:szCs w:val="24"/>
        </w:rPr>
        <w:t>For instance section 25(2) of the Auditor-General Act 1996 now requires the Speaker must – if requested by the public accounts committee – engage under a contract an appropriately qualified person to conduct a strategic review of the Auditor-General.</w:t>
      </w:r>
    </w:p>
    <w:p w:rsidR="00DD5224" w:rsidRPr="001A5685" w:rsidRDefault="00DD5224" w:rsidP="001A5685">
      <w:pPr>
        <w:pStyle w:val="Bodycopy"/>
        <w:rPr>
          <w:szCs w:val="24"/>
        </w:rPr>
      </w:pPr>
      <w:r w:rsidRPr="001A5685">
        <w:rPr>
          <w:szCs w:val="24"/>
        </w:rPr>
        <w:lastRenderedPageBreak/>
        <w:t>One of the concerns that I have with this provision is that it appears to require that the Speaker act as an agent of the Territory in the direct procurement of a service and to enter into a contract on behalf of the Territory. This is a most unusual circumstance not observed in other parts of the ACT publi</w:t>
      </w:r>
      <w:r w:rsidR="00BB7890">
        <w:rPr>
          <w:szCs w:val="24"/>
        </w:rPr>
        <w:t>c sector so far as I am aware.</w:t>
      </w:r>
    </w:p>
    <w:p w:rsidR="00DD5224" w:rsidRPr="001A5685" w:rsidRDefault="00DD5224" w:rsidP="001A5685">
      <w:pPr>
        <w:pStyle w:val="Bodycopy"/>
        <w:rPr>
          <w:szCs w:val="24"/>
        </w:rPr>
      </w:pPr>
      <w:r w:rsidRPr="001A5685">
        <w:rPr>
          <w:szCs w:val="24"/>
        </w:rPr>
        <w:t>I have been the first Speaker to operate under these provisions since they came into effect and I am concerned that, because there is no official administrative support infrastructure, there is a risk that these requirements may not</w:t>
      </w:r>
      <w:r w:rsidR="00BB7890">
        <w:rPr>
          <w:szCs w:val="24"/>
        </w:rPr>
        <w:t xml:space="preserve"> be obvious to future Speakers.</w:t>
      </w:r>
    </w:p>
    <w:p w:rsidR="00DD5224" w:rsidRPr="001A5685" w:rsidRDefault="00DD5224" w:rsidP="001A5685">
      <w:pPr>
        <w:pStyle w:val="Bodycopy"/>
        <w:rPr>
          <w:szCs w:val="24"/>
        </w:rPr>
      </w:pPr>
      <w:r w:rsidRPr="001A5685">
        <w:rPr>
          <w:szCs w:val="24"/>
        </w:rPr>
        <w:t>It is my view that the process embodied in section 25(2), which occurs outside the normal administrative remit</w:t>
      </w:r>
      <w:r w:rsidR="00BB7890">
        <w:rPr>
          <w:szCs w:val="24"/>
        </w:rPr>
        <w:t xml:space="preserve"> of any public sector agency – </w:t>
      </w:r>
      <w:r w:rsidRPr="001A5685">
        <w:rPr>
          <w:szCs w:val="24"/>
        </w:rPr>
        <w:t>including the Office of the Legislative Assembly – is not especially transparent and there is an exposure to non-compliance with government procurement and government a</w:t>
      </w:r>
      <w:r w:rsidR="00BB7890">
        <w:rPr>
          <w:szCs w:val="24"/>
        </w:rPr>
        <w:t>greement-making requirements.</w:t>
      </w:r>
    </w:p>
    <w:p w:rsidR="00DD5224" w:rsidRPr="001A5685" w:rsidRDefault="00DD5224" w:rsidP="001A5685">
      <w:pPr>
        <w:pStyle w:val="Bodycopy"/>
        <w:rPr>
          <w:szCs w:val="24"/>
        </w:rPr>
      </w:pPr>
      <w:r w:rsidRPr="001A5685">
        <w:rPr>
          <w:szCs w:val="24"/>
        </w:rPr>
        <w:t>I am also concerned that this provision grants the Speaker a power to commit expenditure of funds on behalf of the Territory while the umbrella framework – the Financial Management Ac</w:t>
      </w:r>
      <w:r w:rsidR="00BB7890">
        <w:rPr>
          <w:szCs w:val="24"/>
        </w:rPr>
        <w:t>t itself – vests no such power.</w:t>
      </w:r>
    </w:p>
    <w:p w:rsidR="00DD5224" w:rsidRPr="001A5685" w:rsidRDefault="00DD5224" w:rsidP="001A5685">
      <w:pPr>
        <w:pStyle w:val="Bodycopy"/>
        <w:rPr>
          <w:szCs w:val="24"/>
        </w:rPr>
      </w:pPr>
      <w:r w:rsidRPr="001A5685">
        <w:rPr>
          <w:szCs w:val="24"/>
        </w:rPr>
        <w:t>There is also a question about where funding for this strategic function might best be appropriated. The funds cannot be appropriated directly to the Office of Speaker, which is not an appropriation unit, nor should they be appropriated to the Office of the Legislative Assembly, which is not charged with administratio</w:t>
      </w:r>
      <w:r w:rsidR="00BB7890">
        <w:rPr>
          <w:szCs w:val="24"/>
        </w:rPr>
        <w:t>n of this particular function.</w:t>
      </w:r>
    </w:p>
    <w:p w:rsidR="00DD5224" w:rsidRPr="001A5685" w:rsidRDefault="00DD5224" w:rsidP="001A5685">
      <w:pPr>
        <w:pStyle w:val="Bodycopy"/>
        <w:rPr>
          <w:szCs w:val="24"/>
        </w:rPr>
      </w:pPr>
      <w:r w:rsidRPr="001A5685">
        <w:rPr>
          <w:szCs w:val="24"/>
        </w:rPr>
        <w:t>And, Mr Chair, the principle of what I am talking about also applies to other functions, such as the appointment of the Auditor-General and members of the Electoral Commission, including the Commissioner, and the appointment of an independent auditor to undertake the financial audit of the Audit Office.</w:t>
      </w:r>
    </w:p>
    <w:p w:rsidR="00DD5224" w:rsidRPr="001A5685" w:rsidRDefault="00DD5224" w:rsidP="001A5685">
      <w:pPr>
        <w:pStyle w:val="Bodycopy"/>
        <w:rPr>
          <w:szCs w:val="24"/>
        </w:rPr>
      </w:pPr>
      <w:r w:rsidRPr="001A5685">
        <w:rPr>
          <w:szCs w:val="24"/>
        </w:rPr>
        <w:t>With the exception of the appointment of the Auditor-General, which does not occur until the next Assembly, I have either undertaken, or am in the process of undertaking, all of these functions.</w:t>
      </w:r>
    </w:p>
    <w:p w:rsidR="00DD5224" w:rsidRPr="001A5685" w:rsidRDefault="00DD5224" w:rsidP="001A5685">
      <w:pPr>
        <w:pStyle w:val="Bodycopy"/>
        <w:rPr>
          <w:szCs w:val="24"/>
        </w:rPr>
      </w:pPr>
      <w:r w:rsidRPr="001A5685">
        <w:rPr>
          <w:szCs w:val="24"/>
        </w:rPr>
        <w:t>I will be working through some of these issues in coming months but I wanted to record some of my observations in the context of the upcoming appropriation with this committee.</w:t>
      </w:r>
    </w:p>
    <w:p w:rsidR="00DD5224" w:rsidRPr="001A5685" w:rsidRDefault="00DD5224" w:rsidP="001A5685">
      <w:pPr>
        <w:pStyle w:val="Bodycopy"/>
        <w:rPr>
          <w:szCs w:val="24"/>
        </w:rPr>
      </w:pPr>
      <w:r w:rsidRPr="001A5685">
        <w:rPr>
          <w:szCs w:val="24"/>
        </w:rPr>
        <w:t>The job of the Speaker is to transmit those budgets to the Treasurer and we have agreement that the Speaker appear before budget cabinet to make representations on behalf of the budget of the Legislative Assembly and its Officers.</w:t>
      </w:r>
    </w:p>
    <w:p w:rsidR="00DD5224" w:rsidRPr="001A5685" w:rsidRDefault="00DD5224" w:rsidP="001A5685">
      <w:pPr>
        <w:pStyle w:val="Bodycopy"/>
        <w:rPr>
          <w:szCs w:val="24"/>
        </w:rPr>
      </w:pPr>
      <w:r w:rsidRPr="001A5685">
        <w:rPr>
          <w:szCs w:val="24"/>
        </w:rPr>
        <w:t>The establishment of officers of the parliament could prove to be to be mere symbolism especially if the executive fails to fund the agencies as det</w:t>
      </w:r>
      <w:r w:rsidR="00BB7890">
        <w:rPr>
          <w:szCs w:val="24"/>
        </w:rPr>
        <w:t xml:space="preserve">ermined by the legislature. </w:t>
      </w:r>
      <w:r w:rsidRPr="001A5685">
        <w:rPr>
          <w:szCs w:val="24"/>
        </w:rPr>
        <w:t>In the end there is no way of</w:t>
      </w:r>
      <w:r w:rsidR="00BB7890">
        <w:rPr>
          <w:szCs w:val="24"/>
        </w:rPr>
        <w:t xml:space="preserve"> forcing the executive’s hand. </w:t>
      </w:r>
      <w:r w:rsidRPr="001A5685">
        <w:rPr>
          <w:szCs w:val="24"/>
        </w:rPr>
        <w:t>If it declines to fund the agency as requested then the Treasurer has to make a statement to the Legislative Assembly but there are no other sanctions.</w:t>
      </w:r>
    </w:p>
    <w:p w:rsidR="001A5685" w:rsidRDefault="001A5685">
      <w:pPr>
        <w:rPr>
          <w:rFonts w:ascii="Arial Narrow" w:eastAsiaTheme="majorEastAsia" w:hAnsi="Arial Narrow" w:cstheme="majorBidi"/>
          <w:bCs/>
          <w:smallCaps/>
          <w:color w:val="000000" w:themeColor="text1"/>
          <w:sz w:val="44"/>
          <w:szCs w:val="44"/>
        </w:rPr>
      </w:pPr>
      <w:r>
        <w:br w:type="page"/>
      </w:r>
    </w:p>
    <w:p w:rsidR="00DD5224" w:rsidRPr="004A7111" w:rsidRDefault="00DD5224" w:rsidP="001A5685">
      <w:pPr>
        <w:pStyle w:val="Heading1nonumber"/>
      </w:pPr>
      <w:r w:rsidRPr="004A7111">
        <w:lastRenderedPageBreak/>
        <w:t>Attachment 1</w:t>
      </w:r>
    </w:p>
    <w:p w:rsidR="00DD5224" w:rsidRPr="00F037A1" w:rsidRDefault="00DD5224" w:rsidP="00F037A1">
      <w:pPr>
        <w:pStyle w:val="Heading2"/>
        <w:spacing w:before="360" w:after="240"/>
        <w:rPr>
          <w:szCs w:val="24"/>
        </w:rPr>
      </w:pPr>
      <w:r w:rsidRPr="00F037A1">
        <w:rPr>
          <w:rStyle w:val="SubtleEmphasis"/>
          <w:i w:val="0"/>
          <w:iCs w:val="0"/>
          <w:color w:val="auto"/>
        </w:rPr>
        <w:t>Officer</w:t>
      </w:r>
      <w:r w:rsidR="007C0ACE">
        <w:rPr>
          <w:rStyle w:val="SubtleEmphasis"/>
          <w:i w:val="0"/>
          <w:iCs w:val="0"/>
          <w:color w:val="auto"/>
        </w:rPr>
        <w:t>s</w:t>
      </w:r>
      <w:r w:rsidRPr="00F037A1">
        <w:rPr>
          <w:rStyle w:val="SubtleEmphasis"/>
          <w:i w:val="0"/>
          <w:iCs w:val="0"/>
          <w:color w:val="auto"/>
        </w:rPr>
        <w:t xml:space="preserve"> of the Parliament in other jurisdictions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6378"/>
      </w:tblGrid>
      <w:tr w:rsidR="00DD5224" w:rsidRPr="00BB7890" w:rsidTr="00BB7890">
        <w:trPr>
          <w:tblHeader/>
        </w:trPr>
        <w:tc>
          <w:tcPr>
            <w:tcW w:w="2694" w:type="dxa"/>
            <w:tcMar>
              <w:top w:w="28" w:type="dxa"/>
              <w:bottom w:w="57" w:type="dxa"/>
            </w:tcMar>
          </w:tcPr>
          <w:p w:rsidR="00DD5224" w:rsidRPr="00BB7890" w:rsidRDefault="00DD5224" w:rsidP="001A5685">
            <w:pPr>
              <w:pStyle w:val="Bodycopy"/>
              <w:rPr>
                <w:b/>
              </w:rPr>
            </w:pPr>
            <w:r w:rsidRPr="00BB7890">
              <w:rPr>
                <w:b/>
              </w:rPr>
              <w:t>JURISDICTION AND CURRENT INFORMATION DATE</w:t>
            </w:r>
          </w:p>
        </w:tc>
        <w:tc>
          <w:tcPr>
            <w:tcW w:w="6378" w:type="dxa"/>
            <w:tcMar>
              <w:top w:w="28" w:type="dxa"/>
              <w:bottom w:w="57" w:type="dxa"/>
            </w:tcMar>
          </w:tcPr>
          <w:p w:rsidR="00DD5224" w:rsidRPr="00BB7890" w:rsidRDefault="00DD5224" w:rsidP="001A5685">
            <w:pPr>
              <w:pStyle w:val="Bodycopy"/>
              <w:rPr>
                <w:b/>
              </w:rPr>
            </w:pPr>
            <w:r w:rsidRPr="00BB7890">
              <w:rPr>
                <w:b/>
              </w:rPr>
              <w:t>OFFICERS OF THE PARLIAMENT</w:t>
            </w:r>
          </w:p>
        </w:tc>
      </w:tr>
      <w:tr w:rsidR="00DD5224" w:rsidRPr="00DB0A09" w:rsidTr="00BB7890">
        <w:tc>
          <w:tcPr>
            <w:tcW w:w="2694" w:type="dxa"/>
            <w:tcMar>
              <w:top w:w="28" w:type="dxa"/>
              <w:bottom w:w="57" w:type="dxa"/>
            </w:tcMar>
          </w:tcPr>
          <w:p w:rsidR="00DD5224" w:rsidRDefault="00DD5224" w:rsidP="001A5685">
            <w:pPr>
              <w:pStyle w:val="Bodycopy"/>
            </w:pPr>
            <w:r w:rsidRPr="00DB0A09">
              <w:t>Australia</w:t>
            </w:r>
            <w:r>
              <w:t xml:space="preserve"> (C</w:t>
            </w:r>
            <w:r w:rsidR="00BB7890">
              <w:t>ommon</w:t>
            </w:r>
            <w:r>
              <w:t>w</w:t>
            </w:r>
            <w:r w:rsidR="007C0ACE">
              <w:t>ea</w:t>
            </w:r>
            <w:r>
              <w:t>lth)</w:t>
            </w:r>
          </w:p>
          <w:p w:rsidR="00DD5224" w:rsidRDefault="00DD5224" w:rsidP="001A5685">
            <w:pPr>
              <w:pStyle w:val="Bodycopy"/>
            </w:pPr>
            <w:r w:rsidRPr="00DB0A09">
              <w:t>(2008)</w:t>
            </w:r>
          </w:p>
        </w:tc>
        <w:tc>
          <w:tcPr>
            <w:tcW w:w="6378" w:type="dxa"/>
            <w:tcMar>
              <w:top w:w="28" w:type="dxa"/>
              <w:bottom w:w="57" w:type="dxa"/>
            </w:tcMar>
          </w:tcPr>
          <w:p w:rsidR="00DD5224" w:rsidRDefault="00DD5224" w:rsidP="001A5685">
            <w:pPr>
              <w:pStyle w:val="Bodycopy"/>
            </w:pPr>
            <w:r w:rsidRPr="00DB0A09">
              <w:t>Auditor-General</w:t>
            </w:r>
          </w:p>
          <w:p w:rsidR="00DD5224" w:rsidRDefault="00DD5224" w:rsidP="001A5685">
            <w:pPr>
              <w:pStyle w:val="Bodycopy"/>
            </w:pPr>
            <w:r w:rsidRPr="00DB0A09">
              <w:t>Ombudsman</w:t>
            </w:r>
          </w:p>
        </w:tc>
      </w:tr>
      <w:tr w:rsidR="00DD5224" w:rsidRPr="00DB0A09" w:rsidTr="00BB7890">
        <w:tc>
          <w:tcPr>
            <w:tcW w:w="2694" w:type="dxa"/>
            <w:tcMar>
              <w:top w:w="28" w:type="dxa"/>
              <w:bottom w:w="57" w:type="dxa"/>
            </w:tcMar>
          </w:tcPr>
          <w:p w:rsidR="00DD5224" w:rsidRDefault="00DD5224" w:rsidP="001A5685">
            <w:pPr>
              <w:pStyle w:val="Bodycopy"/>
            </w:pPr>
            <w:r w:rsidRPr="00DB0A09">
              <w:t>Canada</w:t>
            </w:r>
          </w:p>
          <w:p w:rsidR="00DD5224" w:rsidRDefault="00DD5224" w:rsidP="001A5685">
            <w:pPr>
              <w:pStyle w:val="Bodycopy"/>
            </w:pPr>
            <w:r w:rsidRPr="00DB0A09">
              <w:t>(2008)</w:t>
            </w:r>
          </w:p>
        </w:tc>
        <w:tc>
          <w:tcPr>
            <w:tcW w:w="6378" w:type="dxa"/>
            <w:tcMar>
              <w:top w:w="28" w:type="dxa"/>
              <w:bottom w:w="57" w:type="dxa"/>
            </w:tcMar>
          </w:tcPr>
          <w:p w:rsidR="00DD5224" w:rsidRDefault="00DD5224" w:rsidP="001A5685">
            <w:pPr>
              <w:pStyle w:val="Bodycopy"/>
            </w:pPr>
            <w:r w:rsidRPr="00DB0A09">
              <w:t>Auditor General</w:t>
            </w:r>
          </w:p>
          <w:p w:rsidR="00DD5224" w:rsidRDefault="00DD5224" w:rsidP="001A5685">
            <w:pPr>
              <w:pStyle w:val="Bodycopy"/>
            </w:pPr>
            <w:r w:rsidRPr="00DB0A09">
              <w:t>Chief Electoral Officer</w:t>
            </w:r>
          </w:p>
          <w:p w:rsidR="00DD5224" w:rsidRDefault="00DD5224" w:rsidP="001A5685">
            <w:pPr>
              <w:pStyle w:val="Bodycopy"/>
            </w:pPr>
            <w:r w:rsidRPr="00DB0A09">
              <w:t>Commissioner of Lobbying</w:t>
            </w:r>
          </w:p>
          <w:p w:rsidR="00DD5224" w:rsidRDefault="00DD5224" w:rsidP="001A5685">
            <w:pPr>
              <w:pStyle w:val="Bodycopy"/>
            </w:pPr>
            <w:r w:rsidRPr="00DB0A09">
              <w:t>Commissioner of Official Languages</w:t>
            </w:r>
          </w:p>
          <w:p w:rsidR="00DD5224" w:rsidRDefault="00DD5224" w:rsidP="001A5685">
            <w:pPr>
              <w:pStyle w:val="Bodycopy"/>
            </w:pPr>
            <w:r w:rsidRPr="00DB0A09">
              <w:t>Conflict of Interest and Ethics Commissioner</w:t>
            </w:r>
          </w:p>
          <w:p w:rsidR="00DD5224" w:rsidRDefault="00DD5224" w:rsidP="001A5685">
            <w:pPr>
              <w:pStyle w:val="Bodycopy"/>
            </w:pPr>
            <w:r w:rsidRPr="00DB0A09">
              <w:t>Information Commissioner</w:t>
            </w:r>
          </w:p>
          <w:p w:rsidR="00DD5224" w:rsidRDefault="00DD5224" w:rsidP="001A5685">
            <w:pPr>
              <w:pStyle w:val="Bodycopy"/>
            </w:pPr>
            <w:r w:rsidRPr="00DB0A09">
              <w:t>Privacy Commissioner</w:t>
            </w:r>
          </w:p>
          <w:p w:rsidR="00DD5224" w:rsidRDefault="00DD5224" w:rsidP="001A5685">
            <w:pPr>
              <w:pStyle w:val="Bodycopy"/>
            </w:pPr>
            <w:r w:rsidRPr="00DB0A09">
              <w:t>Public Sector Integrity Commissioner</w:t>
            </w:r>
          </w:p>
        </w:tc>
      </w:tr>
      <w:tr w:rsidR="00DD5224" w:rsidRPr="00DB0A09" w:rsidTr="00BB7890">
        <w:tc>
          <w:tcPr>
            <w:tcW w:w="2694" w:type="dxa"/>
            <w:tcMar>
              <w:top w:w="28" w:type="dxa"/>
              <w:bottom w:w="57" w:type="dxa"/>
            </w:tcMar>
          </w:tcPr>
          <w:p w:rsidR="00DD5224" w:rsidRPr="00DB0A09" w:rsidRDefault="00DD5224" w:rsidP="001A5685">
            <w:pPr>
              <w:pStyle w:val="Bodycopy"/>
            </w:pPr>
            <w:r w:rsidRPr="00DB0A09">
              <w:t>New Zealand</w:t>
            </w:r>
          </w:p>
          <w:p w:rsidR="00DD5224" w:rsidRPr="00DB0A09" w:rsidRDefault="00DD5224" w:rsidP="001A5685">
            <w:pPr>
              <w:pStyle w:val="Bodycopy"/>
            </w:pPr>
            <w:r w:rsidRPr="00DB0A09">
              <w:t>(2008)</w:t>
            </w:r>
          </w:p>
        </w:tc>
        <w:tc>
          <w:tcPr>
            <w:tcW w:w="6378" w:type="dxa"/>
            <w:tcMar>
              <w:top w:w="28" w:type="dxa"/>
              <w:bottom w:w="57" w:type="dxa"/>
            </w:tcMar>
          </w:tcPr>
          <w:p w:rsidR="00DD5224" w:rsidRPr="00DB0A09" w:rsidRDefault="00DD5224" w:rsidP="001A5685">
            <w:pPr>
              <w:pStyle w:val="Bodycopy"/>
            </w:pPr>
            <w:r w:rsidRPr="00DB0A09">
              <w:t>Comptroller and Auditor-General</w:t>
            </w:r>
          </w:p>
          <w:p w:rsidR="00DD5224" w:rsidRPr="00DB0A09" w:rsidRDefault="00DD5224" w:rsidP="001A5685">
            <w:pPr>
              <w:pStyle w:val="Bodycopy"/>
            </w:pPr>
            <w:r w:rsidRPr="00DB0A09">
              <w:t>Ombudsman</w:t>
            </w:r>
          </w:p>
          <w:p w:rsidR="00DD5224" w:rsidRPr="00DB0A09" w:rsidRDefault="00DD5224" w:rsidP="001A5685">
            <w:pPr>
              <w:pStyle w:val="Bodycopy"/>
            </w:pPr>
            <w:r w:rsidRPr="00DB0A09">
              <w:t xml:space="preserve">Parliamentary Commissioner for the Environment </w:t>
            </w:r>
          </w:p>
        </w:tc>
      </w:tr>
      <w:tr w:rsidR="00DD5224" w:rsidRPr="00DB0A09" w:rsidTr="00BB7890">
        <w:trPr>
          <w:cantSplit/>
        </w:trPr>
        <w:tc>
          <w:tcPr>
            <w:tcW w:w="2694" w:type="dxa"/>
            <w:tcMar>
              <w:top w:w="28" w:type="dxa"/>
              <w:bottom w:w="57" w:type="dxa"/>
            </w:tcMar>
          </w:tcPr>
          <w:p w:rsidR="00DD5224" w:rsidRPr="00DB0A09" w:rsidRDefault="00DD5224" w:rsidP="001A5685">
            <w:pPr>
              <w:pStyle w:val="Bodycopy"/>
            </w:pPr>
            <w:r w:rsidRPr="00DB0A09">
              <w:lastRenderedPageBreak/>
              <w:t>Northern Ireland</w:t>
            </w:r>
          </w:p>
          <w:p w:rsidR="00DD5224" w:rsidRPr="00DB0A09" w:rsidRDefault="00DD5224" w:rsidP="001A5685">
            <w:pPr>
              <w:pStyle w:val="Bodycopy"/>
            </w:pPr>
            <w:r w:rsidRPr="00DB0A09">
              <w:t>(2008)</w:t>
            </w:r>
          </w:p>
        </w:tc>
        <w:tc>
          <w:tcPr>
            <w:tcW w:w="6378" w:type="dxa"/>
            <w:tcMar>
              <w:top w:w="28" w:type="dxa"/>
              <w:bottom w:w="57" w:type="dxa"/>
            </w:tcMar>
          </w:tcPr>
          <w:p w:rsidR="00DD5224" w:rsidRPr="00DB0A09" w:rsidRDefault="00DD5224" w:rsidP="001A5685">
            <w:pPr>
              <w:pStyle w:val="Bodycopy"/>
            </w:pPr>
            <w:r w:rsidRPr="00DB0A09">
              <w:t>Chief Electoral Officer</w:t>
            </w:r>
          </w:p>
          <w:p w:rsidR="00DD5224" w:rsidRPr="00DB0A09" w:rsidRDefault="00DD5224" w:rsidP="001A5685">
            <w:pPr>
              <w:pStyle w:val="Bodycopy"/>
            </w:pPr>
            <w:r w:rsidRPr="00DB0A09">
              <w:t>Civil Service Commissioners for Northern Ireland</w:t>
            </w:r>
          </w:p>
          <w:p w:rsidR="00DD5224" w:rsidRPr="00DB0A09" w:rsidRDefault="00DD5224" w:rsidP="001A5685">
            <w:pPr>
              <w:pStyle w:val="Bodycopy"/>
            </w:pPr>
            <w:r w:rsidRPr="00DB0A09">
              <w:t>Commission for Victims and Survivors</w:t>
            </w:r>
          </w:p>
          <w:p w:rsidR="00DD5224" w:rsidRPr="00DB0A09" w:rsidRDefault="00DD5224" w:rsidP="001A5685">
            <w:pPr>
              <w:pStyle w:val="Bodycopy"/>
            </w:pPr>
            <w:r w:rsidRPr="00DB0A09">
              <w:t>Commissioner for Public Appointments in Northern Ireland</w:t>
            </w:r>
          </w:p>
          <w:p w:rsidR="00DD5224" w:rsidRPr="00DB0A09" w:rsidRDefault="00DD5224" w:rsidP="001A5685">
            <w:pPr>
              <w:pStyle w:val="Bodycopy"/>
            </w:pPr>
            <w:r w:rsidRPr="00DB0A09">
              <w:t>Comptroller and Auditor General</w:t>
            </w:r>
          </w:p>
          <w:p w:rsidR="00DD5224" w:rsidRPr="00DB0A09" w:rsidRDefault="00DD5224" w:rsidP="001A5685">
            <w:pPr>
              <w:pStyle w:val="Bodycopy"/>
            </w:pPr>
            <w:r w:rsidRPr="00DB0A09">
              <w:t>Equality Commission for Northern Ireland</w:t>
            </w:r>
          </w:p>
          <w:p w:rsidR="00DD5224" w:rsidRPr="00DB0A09" w:rsidRDefault="00DD5224" w:rsidP="001A5685">
            <w:pPr>
              <w:pStyle w:val="Bodycopy"/>
            </w:pPr>
            <w:r w:rsidRPr="00DB0A09">
              <w:t>Northern Ireland Commissioner for Children and Young People</w:t>
            </w:r>
          </w:p>
          <w:p w:rsidR="00DD5224" w:rsidRPr="00DB0A09" w:rsidRDefault="00DD5224" w:rsidP="001A5685">
            <w:pPr>
              <w:pStyle w:val="Bodycopy"/>
            </w:pPr>
            <w:r w:rsidRPr="00DB0A09">
              <w:t>Northern Ireland Human Rights Commission</w:t>
            </w:r>
          </w:p>
          <w:p w:rsidR="00DD5224" w:rsidRPr="00DB0A09" w:rsidRDefault="00DD5224" w:rsidP="001A5685">
            <w:pPr>
              <w:pStyle w:val="Bodycopy"/>
            </w:pPr>
            <w:r w:rsidRPr="00DB0A09">
              <w:t>Northern Ireland Ombudsman and Commissioner for Complaints</w:t>
            </w:r>
          </w:p>
          <w:p w:rsidR="00DD5224" w:rsidRPr="00DB0A09" w:rsidRDefault="00DD5224" w:rsidP="001A5685">
            <w:pPr>
              <w:pStyle w:val="Bodycopy"/>
            </w:pPr>
            <w:r w:rsidRPr="00DB0A09">
              <w:t>Parades Commission</w:t>
            </w:r>
          </w:p>
          <w:p w:rsidR="00DD5224" w:rsidRPr="00DB0A09" w:rsidRDefault="00DD5224" w:rsidP="001A5685">
            <w:pPr>
              <w:pStyle w:val="Bodycopy"/>
            </w:pPr>
            <w:r w:rsidRPr="00DB0A09">
              <w:t>Police Ombudsman for Northern Ireland</w:t>
            </w:r>
          </w:p>
        </w:tc>
      </w:tr>
      <w:tr w:rsidR="00DD5224" w:rsidRPr="00DB0A09" w:rsidTr="00BB7890">
        <w:tc>
          <w:tcPr>
            <w:tcW w:w="2694" w:type="dxa"/>
            <w:tcMar>
              <w:top w:w="28" w:type="dxa"/>
              <w:bottom w:w="57" w:type="dxa"/>
            </w:tcMar>
          </w:tcPr>
          <w:p w:rsidR="00DD5224" w:rsidRPr="00DB0A09" w:rsidRDefault="00DD5224" w:rsidP="001A5685">
            <w:pPr>
              <w:pStyle w:val="Bodycopy"/>
            </w:pPr>
            <w:r w:rsidRPr="00DB0A09">
              <w:t>Scotland</w:t>
            </w:r>
          </w:p>
          <w:p w:rsidR="00DD5224" w:rsidRPr="00DB0A09" w:rsidRDefault="00DD5224" w:rsidP="001A5685">
            <w:pPr>
              <w:pStyle w:val="Bodycopy"/>
            </w:pPr>
            <w:r w:rsidRPr="00DB0A09">
              <w:t>(2008)</w:t>
            </w:r>
          </w:p>
        </w:tc>
        <w:tc>
          <w:tcPr>
            <w:tcW w:w="6378" w:type="dxa"/>
            <w:tcMar>
              <w:top w:w="28" w:type="dxa"/>
              <w:bottom w:w="57" w:type="dxa"/>
            </w:tcMar>
          </w:tcPr>
          <w:p w:rsidR="00DD5224" w:rsidRPr="00DB0A09" w:rsidRDefault="00DD5224" w:rsidP="001A5685">
            <w:pPr>
              <w:pStyle w:val="Bodycopy"/>
            </w:pPr>
            <w:r w:rsidRPr="00DB0A09">
              <w:t>A</w:t>
            </w:r>
            <w:r w:rsidR="00BB7890">
              <w:t>uditor General for Scotland</w:t>
            </w:r>
          </w:p>
          <w:p w:rsidR="00DD5224" w:rsidRPr="00DB0A09" w:rsidRDefault="00DD5224" w:rsidP="001A5685">
            <w:pPr>
              <w:pStyle w:val="Bodycopy"/>
            </w:pPr>
            <w:r w:rsidRPr="00DB0A09">
              <w:t>Commissioner for Childr</w:t>
            </w:r>
            <w:r w:rsidR="00BB7890">
              <w:t>en and Young People in Scotland</w:t>
            </w:r>
          </w:p>
          <w:p w:rsidR="00DD5224" w:rsidRPr="00DB0A09" w:rsidRDefault="00DD5224" w:rsidP="001A5685">
            <w:pPr>
              <w:pStyle w:val="Bodycopy"/>
            </w:pPr>
            <w:r w:rsidRPr="00DB0A09">
              <w:t xml:space="preserve">Commissioner for </w:t>
            </w:r>
            <w:r w:rsidR="00BB7890">
              <w:t>Public Appointments in Scotland</w:t>
            </w:r>
          </w:p>
          <w:p w:rsidR="00DD5224" w:rsidRPr="00DB0A09" w:rsidRDefault="00DD5224" w:rsidP="001A5685">
            <w:pPr>
              <w:pStyle w:val="Bodycopy"/>
            </w:pPr>
            <w:r w:rsidRPr="00DB0A09">
              <w:t>Scott</w:t>
            </w:r>
            <w:r w:rsidR="00BB7890">
              <w:t>ish Commission for Human Rights</w:t>
            </w:r>
          </w:p>
          <w:p w:rsidR="00DD5224" w:rsidRPr="00DB0A09" w:rsidRDefault="00DD5224" w:rsidP="001A5685">
            <w:pPr>
              <w:pStyle w:val="Bodycopy"/>
            </w:pPr>
            <w:r w:rsidRPr="00DB0A09">
              <w:t>Sc</w:t>
            </w:r>
            <w:r w:rsidR="00BB7890">
              <w:t>ottish Information Commissioner</w:t>
            </w:r>
          </w:p>
          <w:p w:rsidR="00DD5224" w:rsidRPr="00DB0A09" w:rsidRDefault="00DD5224" w:rsidP="001A5685">
            <w:pPr>
              <w:pStyle w:val="Bodycopy"/>
            </w:pPr>
            <w:r w:rsidRPr="00DB0A09">
              <w:t>Scottish Parli</w:t>
            </w:r>
            <w:r w:rsidR="00BB7890">
              <w:t>amentary Standards Commissioner</w:t>
            </w:r>
          </w:p>
          <w:p w:rsidR="00DD5224" w:rsidRPr="00DB0A09" w:rsidRDefault="00DD5224" w:rsidP="001A5685">
            <w:pPr>
              <w:pStyle w:val="Bodycopy"/>
            </w:pPr>
            <w:r w:rsidRPr="00DB0A09">
              <w:t>Sco</w:t>
            </w:r>
            <w:r w:rsidR="00BB7890">
              <w:t>ttish Public Services Ombudsman</w:t>
            </w:r>
          </w:p>
        </w:tc>
      </w:tr>
      <w:tr w:rsidR="00DD5224" w:rsidRPr="00DB0A09" w:rsidTr="00BB7890">
        <w:tc>
          <w:tcPr>
            <w:tcW w:w="2694" w:type="dxa"/>
            <w:tcMar>
              <w:top w:w="28" w:type="dxa"/>
              <w:bottom w:w="57" w:type="dxa"/>
            </w:tcMar>
          </w:tcPr>
          <w:p w:rsidR="00DD5224" w:rsidRPr="00DB0A09" w:rsidRDefault="00DD5224" w:rsidP="001A5685">
            <w:pPr>
              <w:pStyle w:val="Bodycopy"/>
            </w:pPr>
            <w:r w:rsidRPr="00DB0A09">
              <w:t>South Africa</w:t>
            </w:r>
          </w:p>
          <w:p w:rsidR="00DD5224" w:rsidRPr="00DB0A09" w:rsidRDefault="00DD5224" w:rsidP="001A5685">
            <w:pPr>
              <w:pStyle w:val="Bodycopy"/>
            </w:pPr>
            <w:r w:rsidRPr="00DB0A09">
              <w:t>(known as Institutions Supporting Democracy)</w:t>
            </w:r>
          </w:p>
          <w:p w:rsidR="00DD5224" w:rsidRPr="00DB0A09" w:rsidRDefault="00DD5224" w:rsidP="001A5685">
            <w:pPr>
              <w:pStyle w:val="Bodycopy"/>
            </w:pPr>
            <w:r w:rsidRPr="00DB0A09">
              <w:t>(2011)</w:t>
            </w:r>
          </w:p>
        </w:tc>
        <w:tc>
          <w:tcPr>
            <w:tcW w:w="6378" w:type="dxa"/>
            <w:tcMar>
              <w:top w:w="28" w:type="dxa"/>
              <w:bottom w:w="57" w:type="dxa"/>
            </w:tcMar>
          </w:tcPr>
          <w:p w:rsidR="00DD5224" w:rsidRPr="00DB0A09" w:rsidRDefault="00BB7890" w:rsidP="001A5685">
            <w:pPr>
              <w:pStyle w:val="Bodycopy"/>
            </w:pPr>
            <w:r>
              <w:t>Auditor-General</w:t>
            </w:r>
          </w:p>
          <w:p w:rsidR="00DD5224" w:rsidRPr="00DB0A09" w:rsidRDefault="00BB7890" w:rsidP="001A5685">
            <w:pPr>
              <w:pStyle w:val="Bodycopy"/>
            </w:pPr>
            <w:r>
              <w:t>Commission for Gender Equality</w:t>
            </w:r>
          </w:p>
          <w:p w:rsidR="00DD5224" w:rsidRPr="00DB0A09" w:rsidRDefault="00DD5224" w:rsidP="001A5685">
            <w:pPr>
              <w:pStyle w:val="Bodycopy"/>
            </w:pPr>
            <w:r w:rsidRPr="00DB0A09">
              <w:t>Commission for the Promotion and Protection of the Rights of Cultural, Religious and Linguistic Communitie</w:t>
            </w:r>
            <w:r w:rsidR="00BB7890">
              <w:t>s</w:t>
            </w:r>
          </w:p>
          <w:p w:rsidR="00DD5224" w:rsidRPr="00DB0A09" w:rsidRDefault="00BB7890" w:rsidP="001A5685">
            <w:pPr>
              <w:pStyle w:val="Bodycopy"/>
            </w:pPr>
            <w:r>
              <w:t>Electoral Commission</w:t>
            </w:r>
          </w:p>
          <w:p w:rsidR="00DD5224" w:rsidRPr="00DB0A09" w:rsidRDefault="00BB7890" w:rsidP="001A5685">
            <w:pPr>
              <w:pStyle w:val="Bodycopy"/>
            </w:pPr>
            <w:r>
              <w:t>Financial and Fiscal Commission</w:t>
            </w:r>
          </w:p>
          <w:p w:rsidR="00DD5224" w:rsidRPr="00DB0A09" w:rsidRDefault="00BB7890" w:rsidP="001A5685">
            <w:pPr>
              <w:pStyle w:val="Bodycopy"/>
            </w:pPr>
            <w:r>
              <w:lastRenderedPageBreak/>
              <w:t>Human Rights Commission</w:t>
            </w:r>
          </w:p>
          <w:p w:rsidR="00DD5224" w:rsidRPr="00DB0A09" w:rsidRDefault="00DD5224" w:rsidP="001A5685">
            <w:pPr>
              <w:pStyle w:val="Bodycopy"/>
            </w:pPr>
            <w:r w:rsidRPr="00DB0A09">
              <w:t>Independent Communic</w:t>
            </w:r>
            <w:r w:rsidR="00BB7890">
              <w:t>ation Authority of South Africa</w:t>
            </w:r>
          </w:p>
          <w:p w:rsidR="00DD5224" w:rsidRPr="00DB0A09" w:rsidRDefault="00DD5224" w:rsidP="001A5685">
            <w:pPr>
              <w:pStyle w:val="Bodycopy"/>
            </w:pPr>
            <w:r w:rsidRPr="00DB0A09">
              <w:t>National Youth Development Agency</w:t>
            </w:r>
          </w:p>
          <w:p w:rsidR="00DD5224" w:rsidRPr="00DB0A09" w:rsidRDefault="00DD5224" w:rsidP="001A5685">
            <w:pPr>
              <w:pStyle w:val="Bodycopy"/>
            </w:pPr>
            <w:r w:rsidRPr="00DB0A09">
              <w:t>Pa</w:t>
            </w:r>
            <w:r w:rsidR="00BB7890">
              <w:t>n- South African Language Board</w:t>
            </w:r>
          </w:p>
          <w:p w:rsidR="00DD5224" w:rsidRPr="00DB0A09" w:rsidRDefault="00BB7890" w:rsidP="001A5685">
            <w:pPr>
              <w:pStyle w:val="Bodycopy"/>
            </w:pPr>
            <w:r>
              <w:t>Public Protector</w:t>
            </w:r>
          </w:p>
          <w:p w:rsidR="00DD5224" w:rsidRPr="00DB0A09" w:rsidRDefault="00BB7890" w:rsidP="001A5685">
            <w:pPr>
              <w:pStyle w:val="Bodycopy"/>
            </w:pPr>
            <w:r>
              <w:t>Public Service Commission</w:t>
            </w:r>
          </w:p>
        </w:tc>
      </w:tr>
      <w:tr w:rsidR="00DD5224" w:rsidRPr="00DB0A09" w:rsidTr="00BB7890">
        <w:tc>
          <w:tcPr>
            <w:tcW w:w="2694" w:type="dxa"/>
            <w:tcMar>
              <w:top w:w="28" w:type="dxa"/>
              <w:bottom w:w="57" w:type="dxa"/>
            </w:tcMar>
          </w:tcPr>
          <w:p w:rsidR="00DD5224" w:rsidRPr="00DB0A09" w:rsidRDefault="00DD5224" w:rsidP="001A5685">
            <w:pPr>
              <w:pStyle w:val="Bodycopy"/>
            </w:pPr>
            <w:r w:rsidRPr="00DB0A09">
              <w:lastRenderedPageBreak/>
              <w:t>United Kingdom</w:t>
            </w:r>
          </w:p>
          <w:p w:rsidR="00DD5224" w:rsidRPr="00DB0A09" w:rsidRDefault="00DD5224" w:rsidP="001A5685">
            <w:pPr>
              <w:pStyle w:val="Bodycopy"/>
            </w:pPr>
            <w:r w:rsidRPr="00DB0A09">
              <w:t>(2008)</w:t>
            </w:r>
          </w:p>
        </w:tc>
        <w:tc>
          <w:tcPr>
            <w:tcW w:w="6378" w:type="dxa"/>
            <w:tcMar>
              <w:top w:w="28" w:type="dxa"/>
              <w:bottom w:w="57" w:type="dxa"/>
            </w:tcMar>
          </w:tcPr>
          <w:p w:rsidR="00DD5224" w:rsidRPr="00DB0A09" w:rsidRDefault="00DD5224" w:rsidP="001A5685">
            <w:pPr>
              <w:pStyle w:val="Bodycopy"/>
            </w:pPr>
            <w:r w:rsidRPr="00DB0A09">
              <w:t>Comptroller and Auditor General</w:t>
            </w:r>
          </w:p>
          <w:p w:rsidR="00DD5224" w:rsidRPr="00DB0A09" w:rsidRDefault="00DD5224" w:rsidP="001A5685">
            <w:pPr>
              <w:pStyle w:val="Bodycopy"/>
            </w:pPr>
            <w:r w:rsidRPr="00DB0A09">
              <w:t>Electoral Commission</w:t>
            </w:r>
          </w:p>
          <w:p w:rsidR="00DD5224" w:rsidRPr="00DB0A09" w:rsidRDefault="00DD5224" w:rsidP="001A5685">
            <w:pPr>
              <w:pStyle w:val="Bodycopy"/>
            </w:pPr>
            <w:r w:rsidRPr="00DB0A09">
              <w:t>Parliamentary Commissioner for Standards</w:t>
            </w:r>
          </w:p>
        </w:tc>
      </w:tr>
      <w:tr w:rsidR="00DD5224" w:rsidRPr="00DB0A09" w:rsidTr="00BB7890">
        <w:tc>
          <w:tcPr>
            <w:tcW w:w="2694" w:type="dxa"/>
            <w:tcMar>
              <w:top w:w="28" w:type="dxa"/>
              <w:bottom w:w="57" w:type="dxa"/>
            </w:tcMar>
          </w:tcPr>
          <w:p w:rsidR="00DD5224" w:rsidRPr="00DB0A09" w:rsidRDefault="00DD5224" w:rsidP="001A5685">
            <w:pPr>
              <w:pStyle w:val="Bodycopy"/>
            </w:pPr>
            <w:r w:rsidRPr="00DB0A09">
              <w:t>Wales</w:t>
            </w:r>
          </w:p>
          <w:p w:rsidR="00DD5224" w:rsidRPr="00DB0A09" w:rsidRDefault="00DD5224" w:rsidP="001A5685">
            <w:pPr>
              <w:pStyle w:val="Bodycopy"/>
            </w:pPr>
            <w:r w:rsidRPr="00DB0A09">
              <w:t>(2008)</w:t>
            </w:r>
          </w:p>
        </w:tc>
        <w:tc>
          <w:tcPr>
            <w:tcW w:w="6378" w:type="dxa"/>
            <w:tcMar>
              <w:top w:w="28" w:type="dxa"/>
              <w:bottom w:w="57" w:type="dxa"/>
            </w:tcMar>
          </w:tcPr>
          <w:p w:rsidR="00DD5224" w:rsidRPr="00DB0A09" w:rsidRDefault="00DD5224" w:rsidP="001A5685">
            <w:pPr>
              <w:pStyle w:val="Bodycopy"/>
            </w:pPr>
            <w:r w:rsidRPr="00DB0A09">
              <w:t>Auditor General for Wales</w:t>
            </w:r>
          </w:p>
          <w:p w:rsidR="00DD5224" w:rsidRPr="00DB0A09" w:rsidRDefault="00DD5224" w:rsidP="001A5685">
            <w:pPr>
              <w:pStyle w:val="Bodycopy"/>
            </w:pPr>
            <w:r w:rsidRPr="00DB0A09">
              <w:t>National Assembly Commissioner for Standards</w:t>
            </w:r>
          </w:p>
          <w:p w:rsidR="00DD5224" w:rsidRPr="00DB0A09" w:rsidRDefault="00DD5224" w:rsidP="001A5685">
            <w:pPr>
              <w:pStyle w:val="Bodycopy"/>
            </w:pPr>
            <w:r w:rsidRPr="00DB0A09">
              <w:t>Public Services Ombudsman for Wales</w:t>
            </w:r>
          </w:p>
        </w:tc>
      </w:tr>
    </w:tbl>
    <w:p w:rsidR="00DD5224" w:rsidRDefault="00DD5224" w:rsidP="00BB7890">
      <w:pPr>
        <w:pStyle w:val="Heading1nonumber"/>
      </w:pPr>
      <w:r>
        <w:br w:type="page"/>
      </w:r>
      <w:r w:rsidRPr="004A7111">
        <w:lastRenderedPageBreak/>
        <w:t>Attachment 2</w:t>
      </w:r>
    </w:p>
    <w:p w:rsidR="00DD5224" w:rsidRPr="004A7111" w:rsidRDefault="00DD5224" w:rsidP="00DD5224"/>
    <w:tbl>
      <w:tblPr>
        <w:tblW w:w="8537" w:type="dxa"/>
        <w:tblInd w:w="360" w:type="dxa"/>
        <w:tblLook w:val="04A0"/>
      </w:tblPr>
      <w:tblGrid>
        <w:gridCol w:w="2048"/>
        <w:gridCol w:w="220"/>
        <w:gridCol w:w="347"/>
        <w:gridCol w:w="220"/>
        <w:gridCol w:w="143"/>
        <w:gridCol w:w="992"/>
        <w:gridCol w:w="1133"/>
        <w:gridCol w:w="567"/>
        <w:gridCol w:w="1906"/>
        <w:gridCol w:w="362"/>
        <w:gridCol w:w="599"/>
      </w:tblGrid>
      <w:tr w:rsidR="00DD5224" w:rsidRPr="004A7111" w:rsidTr="00F037A1">
        <w:trPr>
          <w:cantSplit/>
          <w:trHeight w:val="20"/>
        </w:trPr>
        <w:tc>
          <w:tcPr>
            <w:tcW w:w="8537" w:type="dxa"/>
            <w:gridSpan w:val="11"/>
            <w:shd w:val="clear" w:color="auto" w:fill="548DD4"/>
            <w:tcMar>
              <w:top w:w="0" w:type="dxa"/>
              <w:bottom w:w="0" w:type="dxa"/>
            </w:tcMar>
            <w:vAlign w:val="center"/>
          </w:tcPr>
          <w:p w:rsidR="00DD5224" w:rsidRPr="004A7111" w:rsidRDefault="00DD5224" w:rsidP="00DD5224">
            <w:pPr>
              <w:pStyle w:val="ListParagraph"/>
              <w:keepNext/>
              <w:keepLines/>
              <w:numPr>
                <w:ilvl w:val="0"/>
                <w:numId w:val="28"/>
              </w:numPr>
              <w:spacing w:after="0" w:line="240" w:lineRule="auto"/>
              <w:rPr>
                <w:rFonts w:eastAsia="Times New Roman" w:cs="Calibri"/>
                <w:b/>
                <w:color w:val="000000"/>
                <w:sz w:val="22"/>
                <w:lang w:eastAsia="en-AU"/>
              </w:rPr>
            </w:pPr>
            <w:r w:rsidRPr="004A7111">
              <w:rPr>
                <w:rFonts w:eastAsia="Times New Roman" w:cs="Calibri"/>
                <w:b/>
                <w:bCs/>
                <w:color w:val="000000"/>
                <w:sz w:val="22"/>
                <w:lang w:eastAsia="en-AU"/>
              </w:rPr>
              <w:t xml:space="preserve">Does the Office discharge </w:t>
            </w:r>
            <w:r w:rsidRPr="004A7111">
              <w:rPr>
                <w:rFonts w:eastAsia="Times New Roman" w:cs="Calibri"/>
                <w:b/>
                <w:color w:val="000000"/>
                <w:sz w:val="22"/>
                <w:lang w:eastAsia="en-AU"/>
              </w:rPr>
              <w:t>functions</w:t>
            </w:r>
            <w:r w:rsidRPr="004A7111">
              <w:rPr>
                <w:rFonts w:eastAsia="Times New Roman" w:cs="Calibri"/>
                <w:b/>
                <w:bCs/>
                <w:color w:val="000000"/>
                <w:sz w:val="22"/>
                <w:lang w:eastAsia="en-AU"/>
              </w:rPr>
              <w:t xml:space="preserve"> that the Parliament might in terms of scrutinising the executive?</w:t>
            </w:r>
          </w:p>
        </w:tc>
      </w:tr>
      <w:tr w:rsidR="00DD5224" w:rsidRPr="004A7111" w:rsidTr="00F037A1">
        <w:trPr>
          <w:cantSplit/>
          <w:trHeight w:val="20"/>
        </w:trPr>
        <w:tc>
          <w:tcPr>
            <w:tcW w:w="8537" w:type="dxa"/>
            <w:gridSpan w:val="11"/>
            <w:tcMar>
              <w:top w:w="0" w:type="dxa"/>
              <w:bottom w:w="0" w:type="dxa"/>
            </w:tcMar>
            <w:vAlign w:val="center"/>
          </w:tcPr>
          <w:p w:rsidR="00DD5224" w:rsidRPr="004A7111" w:rsidRDefault="00DD5224" w:rsidP="00F037A1">
            <w:pPr>
              <w:pStyle w:val="ListParagraph"/>
              <w:keepNext/>
              <w:keepLines/>
              <w:spacing w:after="0" w:line="240" w:lineRule="auto"/>
              <w:ind w:left="0"/>
              <w:jc w:val="center"/>
              <w:rPr>
                <w:rFonts w:ascii="Wingdings 3" w:eastAsia="Times New Roman" w:hAnsi="Wingdings 3" w:cs="Calibri"/>
                <w:b/>
                <w:bCs/>
                <w:color w:val="000000"/>
                <w:sz w:val="22"/>
                <w:lang w:eastAsia="en-AU"/>
              </w:rPr>
            </w:pPr>
            <w:r w:rsidRPr="004A7111">
              <w:rPr>
                <w:rFonts w:ascii="Wingdings 3" w:eastAsia="Times New Roman" w:hAnsi="Wingdings 3" w:cs="Calibri"/>
                <w:b/>
                <w:bCs/>
                <w:color w:val="000000"/>
                <w:sz w:val="22"/>
                <w:lang w:eastAsia="en-AU"/>
              </w:rPr>
              <w:t></w:t>
            </w:r>
          </w:p>
        </w:tc>
      </w:tr>
      <w:tr w:rsidR="00DD5224" w:rsidRPr="004A7111" w:rsidTr="00F037A1">
        <w:trPr>
          <w:cantSplit/>
          <w:trHeight w:val="20"/>
        </w:trPr>
        <w:tc>
          <w:tcPr>
            <w:tcW w:w="8537" w:type="dxa"/>
            <w:gridSpan w:val="11"/>
            <w:shd w:val="clear" w:color="auto" w:fill="C6D9F1"/>
            <w:tcMar>
              <w:top w:w="0" w:type="dxa"/>
              <w:bottom w:w="0" w:type="dxa"/>
            </w:tcMar>
            <w:vAlign w:val="center"/>
          </w:tcPr>
          <w:p w:rsidR="00DD5224" w:rsidRPr="004A7111" w:rsidRDefault="00DD5224" w:rsidP="00DD5224">
            <w:pPr>
              <w:pStyle w:val="ListParagraph"/>
              <w:keepNext/>
              <w:keepLines/>
              <w:numPr>
                <w:ilvl w:val="1"/>
                <w:numId w:val="28"/>
              </w:numPr>
              <w:spacing w:after="0" w:line="240" w:lineRule="auto"/>
              <w:ind w:left="349"/>
              <w:rPr>
                <w:rFonts w:eastAsia="Times New Roman" w:cs="Calibri"/>
                <w:b/>
                <w:color w:val="000000"/>
                <w:sz w:val="22"/>
                <w:lang w:eastAsia="en-AU"/>
              </w:rPr>
            </w:pPr>
            <w:r w:rsidRPr="004A7111">
              <w:rPr>
                <w:rFonts w:eastAsia="Times New Roman" w:cs="Calibri"/>
                <w:b/>
                <w:color w:val="000000"/>
                <w:sz w:val="22"/>
                <w:lang w:eastAsia="en-AU"/>
              </w:rPr>
              <w:t>Does the Office require the occupant to be a public servant?</w:t>
            </w:r>
          </w:p>
        </w:tc>
      </w:tr>
      <w:tr w:rsidR="00DD5224" w:rsidRPr="004A7111" w:rsidTr="00F037A1">
        <w:trPr>
          <w:cantSplit/>
          <w:trHeight w:val="20"/>
        </w:trPr>
        <w:tc>
          <w:tcPr>
            <w:tcW w:w="8537" w:type="dxa"/>
            <w:gridSpan w:val="11"/>
            <w:tcMar>
              <w:top w:w="0" w:type="dxa"/>
              <w:bottom w:w="0" w:type="dxa"/>
            </w:tcMar>
            <w:vAlign w:val="center"/>
          </w:tcPr>
          <w:p w:rsidR="00DD5224" w:rsidRPr="004A7111" w:rsidRDefault="00DD5224" w:rsidP="00F037A1">
            <w:pPr>
              <w:pStyle w:val="ListParagraph"/>
              <w:keepNext/>
              <w:keepLines/>
              <w:spacing w:after="0" w:line="240" w:lineRule="auto"/>
              <w:ind w:left="1058"/>
              <w:rPr>
                <w:rFonts w:eastAsia="Times New Roman" w:cs="Calibri"/>
                <w:b/>
                <w:color w:val="000000"/>
                <w:sz w:val="22"/>
                <w:lang w:eastAsia="en-AU"/>
              </w:rPr>
            </w:pPr>
            <w:r w:rsidRPr="004A7111">
              <w:rPr>
                <w:rFonts w:ascii="Wingdings 3" w:eastAsia="Times New Roman" w:hAnsi="Wingdings 3" w:cs="Calibri"/>
                <w:b/>
                <w:bCs/>
                <w:color w:val="000000"/>
                <w:sz w:val="22"/>
                <w:lang w:eastAsia="en-AU"/>
              </w:rPr>
              <w:t></w:t>
            </w:r>
            <w:r w:rsidRPr="004A7111">
              <w:rPr>
                <w:rFonts w:ascii="Wingdings 3" w:eastAsia="Times New Roman" w:hAnsi="Wingdings 3" w:cs="Calibri"/>
                <w:b/>
                <w:bCs/>
                <w:color w:val="000000"/>
                <w:sz w:val="22"/>
                <w:lang w:eastAsia="en-AU"/>
              </w:rPr>
              <w:t></w:t>
            </w:r>
            <w:r w:rsidRPr="004A7111">
              <w:rPr>
                <w:rFonts w:ascii="Wingdings 3" w:eastAsia="Times New Roman" w:hAnsi="Wingdings 3" w:cs="Calibri"/>
                <w:b/>
                <w:bCs/>
                <w:color w:val="000000"/>
                <w:sz w:val="22"/>
                <w:lang w:eastAsia="en-AU"/>
              </w:rPr>
              <w:t></w:t>
            </w:r>
            <w:r w:rsidRPr="004A7111">
              <w:rPr>
                <w:rFonts w:ascii="Wingdings 3" w:eastAsia="Times New Roman" w:hAnsi="Wingdings 3" w:cs="Calibri"/>
                <w:b/>
                <w:bCs/>
                <w:color w:val="000000"/>
                <w:sz w:val="22"/>
                <w:lang w:eastAsia="en-AU"/>
              </w:rPr>
              <w:t></w:t>
            </w:r>
            <w:r w:rsidRPr="004A7111">
              <w:rPr>
                <w:rFonts w:ascii="Wingdings 3" w:eastAsia="Times New Roman" w:hAnsi="Wingdings 3" w:cs="Calibri"/>
                <w:b/>
                <w:bCs/>
                <w:color w:val="000000"/>
                <w:sz w:val="22"/>
                <w:lang w:eastAsia="en-AU"/>
              </w:rPr>
              <w:t></w:t>
            </w:r>
            <w:r w:rsidRPr="004A7111">
              <w:rPr>
                <w:rFonts w:ascii="Wingdings 3" w:eastAsia="Times New Roman" w:hAnsi="Wingdings 3" w:cs="Calibri"/>
                <w:b/>
                <w:bCs/>
                <w:color w:val="000000"/>
                <w:sz w:val="22"/>
                <w:lang w:eastAsia="en-AU"/>
              </w:rPr>
              <w:t></w:t>
            </w:r>
            <w:r w:rsidRPr="004A7111">
              <w:rPr>
                <w:rFonts w:ascii="Wingdings 3" w:eastAsia="Times New Roman" w:hAnsi="Wingdings 3" w:cs="Calibri"/>
                <w:b/>
                <w:bCs/>
                <w:color w:val="000000"/>
                <w:sz w:val="22"/>
                <w:lang w:eastAsia="en-AU"/>
              </w:rPr>
              <w:t></w:t>
            </w:r>
            <w:r w:rsidRPr="004A7111">
              <w:rPr>
                <w:rFonts w:ascii="Wingdings 3" w:eastAsia="Times New Roman" w:hAnsi="Wingdings 3" w:cs="Calibri"/>
                <w:b/>
                <w:bCs/>
                <w:color w:val="000000"/>
                <w:sz w:val="22"/>
                <w:lang w:eastAsia="en-AU"/>
              </w:rPr>
              <w:t></w:t>
            </w:r>
            <w:r w:rsidRPr="004A7111">
              <w:rPr>
                <w:rFonts w:ascii="Wingdings 3" w:eastAsia="Times New Roman" w:hAnsi="Wingdings 3" w:cs="Calibri"/>
                <w:b/>
                <w:bCs/>
                <w:color w:val="000000"/>
                <w:sz w:val="22"/>
                <w:lang w:eastAsia="en-AU"/>
              </w:rPr>
              <w:t></w:t>
            </w:r>
            <w:r w:rsidRPr="004A7111">
              <w:rPr>
                <w:rFonts w:ascii="Wingdings 3" w:eastAsia="Times New Roman" w:hAnsi="Wingdings 3" w:cs="Calibri"/>
                <w:b/>
                <w:bCs/>
                <w:color w:val="000000"/>
                <w:sz w:val="22"/>
                <w:lang w:eastAsia="en-AU"/>
              </w:rPr>
              <w:t></w:t>
            </w:r>
            <w:r w:rsidRPr="004A7111">
              <w:rPr>
                <w:rFonts w:ascii="Wingdings 3" w:eastAsia="Times New Roman" w:hAnsi="Wingdings 3" w:cs="Calibri"/>
                <w:b/>
                <w:bCs/>
                <w:color w:val="000000"/>
                <w:sz w:val="22"/>
                <w:lang w:eastAsia="en-AU"/>
              </w:rPr>
              <w:t></w:t>
            </w:r>
            <w:r w:rsidRPr="004A7111">
              <w:rPr>
                <w:rFonts w:ascii="Wingdings 3" w:eastAsia="Times New Roman" w:hAnsi="Wingdings 3" w:cs="Calibri"/>
                <w:b/>
                <w:bCs/>
                <w:color w:val="000000"/>
                <w:sz w:val="22"/>
                <w:lang w:eastAsia="en-AU"/>
              </w:rPr>
              <w:t></w:t>
            </w:r>
          </w:p>
        </w:tc>
      </w:tr>
      <w:tr w:rsidR="00DD5224" w:rsidRPr="004A7111" w:rsidTr="00F037A1">
        <w:trPr>
          <w:gridAfter w:val="2"/>
          <w:wAfter w:w="961" w:type="dxa"/>
          <w:cantSplit/>
          <w:trHeight w:val="20"/>
        </w:trPr>
        <w:tc>
          <w:tcPr>
            <w:tcW w:w="2048" w:type="dxa"/>
            <w:shd w:val="clear" w:color="auto" w:fill="C2E49C"/>
            <w:tcMar>
              <w:top w:w="0" w:type="dxa"/>
              <w:bottom w:w="0" w:type="dxa"/>
            </w:tcMar>
            <w:vAlign w:val="center"/>
          </w:tcPr>
          <w:p w:rsidR="00DD5224" w:rsidRPr="004A7111" w:rsidRDefault="00DD5224" w:rsidP="00F037A1">
            <w:pPr>
              <w:keepNext/>
              <w:keepLines/>
              <w:ind w:left="-45"/>
              <w:jc w:val="center"/>
              <w:rPr>
                <w:rFonts w:cs="Calibri"/>
                <w:i/>
                <w:color w:val="000000"/>
                <w:lang w:eastAsia="en-AU"/>
              </w:rPr>
            </w:pPr>
            <w:r w:rsidRPr="004A7111">
              <w:rPr>
                <w:rFonts w:cs="Calibri"/>
                <w:i/>
                <w:color w:val="000000"/>
                <w:lang w:eastAsia="en-AU"/>
              </w:rPr>
              <w:t>If no:</w:t>
            </w:r>
          </w:p>
        </w:tc>
        <w:tc>
          <w:tcPr>
            <w:tcW w:w="567" w:type="dxa"/>
            <w:gridSpan w:val="2"/>
            <w:tcMar>
              <w:top w:w="0" w:type="dxa"/>
              <w:bottom w:w="0" w:type="dxa"/>
            </w:tcMar>
            <w:vAlign w:val="center"/>
          </w:tcPr>
          <w:p w:rsidR="00DD5224" w:rsidRPr="004A7111" w:rsidRDefault="00DD5224" w:rsidP="00F037A1">
            <w:pPr>
              <w:keepNext/>
              <w:keepLines/>
              <w:ind w:left="-45"/>
              <w:jc w:val="center"/>
              <w:rPr>
                <w:rFonts w:cs="Calibri"/>
                <w:i/>
                <w:color w:val="000000"/>
                <w:lang w:eastAsia="en-AU"/>
              </w:rPr>
            </w:pPr>
          </w:p>
        </w:tc>
        <w:tc>
          <w:tcPr>
            <w:tcW w:w="4961" w:type="dxa"/>
            <w:gridSpan w:val="6"/>
            <w:shd w:val="clear" w:color="auto" w:fill="FFC5C5"/>
            <w:tcMar>
              <w:top w:w="0" w:type="dxa"/>
              <w:bottom w:w="0" w:type="dxa"/>
            </w:tcMar>
            <w:vAlign w:val="center"/>
          </w:tcPr>
          <w:p w:rsidR="00DD5224" w:rsidRPr="004A7111" w:rsidRDefault="00DD5224" w:rsidP="00F037A1">
            <w:pPr>
              <w:keepNext/>
              <w:keepLines/>
              <w:ind w:left="-45"/>
              <w:jc w:val="center"/>
              <w:rPr>
                <w:rFonts w:cs="Calibri"/>
                <w:i/>
                <w:color w:val="000000"/>
                <w:lang w:eastAsia="en-AU"/>
              </w:rPr>
            </w:pPr>
            <w:r w:rsidRPr="004A7111">
              <w:rPr>
                <w:rFonts w:cs="Calibri"/>
                <w:i/>
                <w:color w:val="000000"/>
                <w:lang w:eastAsia="en-AU"/>
              </w:rPr>
              <w:t>If yes, the function of that office is inextricably linked to the functions of the Executive Government and cannot be a function which the Parliament might discharge.</w:t>
            </w:r>
          </w:p>
        </w:tc>
      </w:tr>
      <w:tr w:rsidR="00DD5224" w:rsidRPr="004A7111" w:rsidTr="00F037A1">
        <w:trPr>
          <w:cantSplit/>
          <w:trHeight w:val="20"/>
        </w:trPr>
        <w:tc>
          <w:tcPr>
            <w:tcW w:w="8537" w:type="dxa"/>
            <w:gridSpan w:val="11"/>
            <w:tcMar>
              <w:top w:w="0" w:type="dxa"/>
              <w:bottom w:w="0" w:type="dxa"/>
            </w:tcMar>
            <w:vAlign w:val="center"/>
          </w:tcPr>
          <w:p w:rsidR="00DD5224" w:rsidRPr="004A7111" w:rsidRDefault="00DD5224" w:rsidP="00F037A1">
            <w:pPr>
              <w:pStyle w:val="ListParagraph"/>
              <w:keepNext/>
              <w:keepLines/>
              <w:spacing w:after="0" w:line="240" w:lineRule="auto"/>
              <w:ind w:left="1058"/>
              <w:rPr>
                <w:rFonts w:eastAsia="Times New Roman" w:cs="Calibri"/>
                <w:i/>
                <w:color w:val="000000"/>
                <w:sz w:val="22"/>
                <w:lang w:eastAsia="en-AU"/>
              </w:rPr>
            </w:pPr>
            <w:r w:rsidRPr="004A7111">
              <w:rPr>
                <w:rFonts w:ascii="Wingdings 3" w:eastAsia="Times New Roman" w:hAnsi="Wingdings 3" w:cs="Calibri"/>
                <w:b/>
                <w:bCs/>
                <w:color w:val="000000"/>
                <w:sz w:val="22"/>
                <w:lang w:eastAsia="en-AU"/>
              </w:rPr>
              <w:t></w:t>
            </w:r>
            <w:r w:rsidRPr="004A7111">
              <w:rPr>
                <w:rFonts w:eastAsia="Times New Roman" w:cs="Calibri"/>
                <w:b/>
                <w:bCs/>
                <w:color w:val="000000"/>
                <w:sz w:val="22"/>
                <w:lang w:eastAsia="en-AU"/>
              </w:rPr>
              <w:t>AND</w:t>
            </w:r>
          </w:p>
        </w:tc>
      </w:tr>
      <w:tr w:rsidR="00DD5224" w:rsidRPr="004A7111" w:rsidTr="00F037A1">
        <w:trPr>
          <w:cantSplit/>
          <w:trHeight w:val="20"/>
        </w:trPr>
        <w:tc>
          <w:tcPr>
            <w:tcW w:w="8537" w:type="dxa"/>
            <w:gridSpan w:val="11"/>
            <w:shd w:val="clear" w:color="auto" w:fill="C6D9F1"/>
            <w:tcMar>
              <w:top w:w="0" w:type="dxa"/>
              <w:bottom w:w="0" w:type="dxa"/>
            </w:tcMar>
            <w:vAlign w:val="center"/>
          </w:tcPr>
          <w:p w:rsidR="00DD5224" w:rsidRPr="004A7111" w:rsidRDefault="00DD5224" w:rsidP="00DD5224">
            <w:pPr>
              <w:pStyle w:val="ListParagraph"/>
              <w:keepNext/>
              <w:keepLines/>
              <w:numPr>
                <w:ilvl w:val="1"/>
                <w:numId w:val="28"/>
              </w:numPr>
              <w:spacing w:after="0" w:line="240" w:lineRule="auto"/>
              <w:ind w:left="349"/>
              <w:rPr>
                <w:rFonts w:eastAsia="Times New Roman" w:cs="Calibri"/>
                <w:b/>
                <w:color w:val="000000"/>
                <w:sz w:val="22"/>
                <w:lang w:eastAsia="en-AU"/>
              </w:rPr>
            </w:pPr>
            <w:r w:rsidRPr="004A7111">
              <w:rPr>
                <w:rFonts w:eastAsia="Times New Roman" w:cs="Calibri"/>
                <w:b/>
                <w:color w:val="000000"/>
                <w:sz w:val="22"/>
                <w:lang w:eastAsia="en-AU"/>
              </w:rPr>
              <w:t>Does the Office undertake functions that relates to the functions of the Parliament?</w:t>
            </w:r>
          </w:p>
        </w:tc>
      </w:tr>
      <w:tr w:rsidR="00DD5224" w:rsidRPr="004A7111" w:rsidTr="00F037A1">
        <w:trPr>
          <w:cantSplit/>
          <w:trHeight w:val="20"/>
        </w:trPr>
        <w:tc>
          <w:tcPr>
            <w:tcW w:w="8537" w:type="dxa"/>
            <w:gridSpan w:val="11"/>
            <w:tcMar>
              <w:top w:w="0" w:type="dxa"/>
              <w:bottom w:w="0" w:type="dxa"/>
            </w:tcMar>
            <w:vAlign w:val="center"/>
          </w:tcPr>
          <w:p w:rsidR="00DD5224" w:rsidRPr="004A7111" w:rsidRDefault="00DD5224" w:rsidP="00F037A1">
            <w:pPr>
              <w:pStyle w:val="ListParagraph"/>
              <w:keepNext/>
              <w:keepLines/>
              <w:spacing w:after="0" w:line="240" w:lineRule="auto"/>
              <w:ind w:left="1058"/>
              <w:rPr>
                <w:rFonts w:eastAsia="Times New Roman" w:cs="Calibri"/>
                <w:b/>
                <w:color w:val="000000"/>
                <w:sz w:val="22"/>
                <w:lang w:eastAsia="en-AU"/>
              </w:rPr>
            </w:pPr>
            <w:r w:rsidRPr="004A7111">
              <w:rPr>
                <w:rFonts w:ascii="Wingdings 3" w:eastAsia="Times New Roman" w:hAnsi="Wingdings 3" w:cs="Calibri"/>
                <w:b/>
                <w:bCs/>
                <w:color w:val="000000"/>
                <w:sz w:val="22"/>
                <w:lang w:eastAsia="en-AU"/>
              </w:rPr>
              <w:t></w:t>
            </w:r>
            <w:r w:rsidRPr="004A7111">
              <w:rPr>
                <w:rFonts w:ascii="Wingdings 3" w:eastAsia="Times New Roman" w:hAnsi="Wingdings 3" w:cs="Calibri"/>
                <w:b/>
                <w:bCs/>
                <w:color w:val="000000"/>
                <w:sz w:val="22"/>
                <w:lang w:eastAsia="en-AU"/>
              </w:rPr>
              <w:t></w:t>
            </w:r>
            <w:r w:rsidRPr="004A7111">
              <w:rPr>
                <w:rFonts w:ascii="Wingdings 3" w:eastAsia="Times New Roman" w:hAnsi="Wingdings 3" w:cs="Calibri"/>
                <w:b/>
                <w:bCs/>
                <w:color w:val="000000"/>
                <w:sz w:val="22"/>
                <w:lang w:eastAsia="en-AU"/>
              </w:rPr>
              <w:t></w:t>
            </w:r>
            <w:r w:rsidRPr="004A7111">
              <w:rPr>
                <w:rFonts w:ascii="Wingdings 3" w:eastAsia="Times New Roman" w:hAnsi="Wingdings 3" w:cs="Calibri"/>
                <w:b/>
                <w:bCs/>
                <w:color w:val="000000"/>
                <w:sz w:val="22"/>
                <w:lang w:eastAsia="en-AU"/>
              </w:rPr>
              <w:t></w:t>
            </w:r>
            <w:r w:rsidRPr="004A7111">
              <w:rPr>
                <w:rFonts w:ascii="Wingdings 3" w:eastAsia="Times New Roman" w:hAnsi="Wingdings 3" w:cs="Calibri"/>
                <w:b/>
                <w:bCs/>
                <w:color w:val="000000"/>
                <w:sz w:val="22"/>
                <w:lang w:eastAsia="en-AU"/>
              </w:rPr>
              <w:t></w:t>
            </w:r>
            <w:r w:rsidRPr="004A7111">
              <w:rPr>
                <w:rFonts w:ascii="Wingdings 3" w:eastAsia="Times New Roman" w:hAnsi="Wingdings 3" w:cs="Calibri"/>
                <w:b/>
                <w:bCs/>
                <w:color w:val="000000"/>
                <w:sz w:val="22"/>
                <w:lang w:eastAsia="en-AU"/>
              </w:rPr>
              <w:t></w:t>
            </w:r>
            <w:r w:rsidRPr="004A7111">
              <w:rPr>
                <w:rFonts w:ascii="Wingdings 3" w:eastAsia="Times New Roman" w:hAnsi="Wingdings 3" w:cs="Calibri"/>
                <w:b/>
                <w:bCs/>
                <w:color w:val="000000"/>
                <w:sz w:val="22"/>
                <w:lang w:eastAsia="en-AU"/>
              </w:rPr>
              <w:t></w:t>
            </w:r>
            <w:r w:rsidRPr="004A7111">
              <w:rPr>
                <w:rFonts w:ascii="Wingdings 3" w:eastAsia="Times New Roman" w:hAnsi="Wingdings 3" w:cs="Calibri"/>
                <w:b/>
                <w:bCs/>
                <w:color w:val="000000"/>
                <w:sz w:val="22"/>
                <w:lang w:eastAsia="en-AU"/>
              </w:rPr>
              <w:t></w:t>
            </w:r>
            <w:r w:rsidRPr="004A7111">
              <w:rPr>
                <w:rFonts w:ascii="Wingdings 3" w:eastAsia="Times New Roman" w:hAnsi="Wingdings 3" w:cs="Calibri"/>
                <w:b/>
                <w:bCs/>
                <w:color w:val="000000"/>
                <w:sz w:val="22"/>
                <w:lang w:eastAsia="en-AU"/>
              </w:rPr>
              <w:t></w:t>
            </w:r>
            <w:r w:rsidRPr="004A7111">
              <w:rPr>
                <w:rFonts w:ascii="Wingdings 3" w:eastAsia="Times New Roman" w:hAnsi="Wingdings 3" w:cs="Calibri"/>
                <w:b/>
                <w:bCs/>
                <w:color w:val="000000"/>
                <w:sz w:val="22"/>
                <w:lang w:eastAsia="en-AU"/>
              </w:rPr>
              <w:t></w:t>
            </w:r>
            <w:r w:rsidRPr="004A7111">
              <w:rPr>
                <w:rFonts w:ascii="Wingdings 3" w:eastAsia="Times New Roman" w:hAnsi="Wingdings 3" w:cs="Calibri"/>
                <w:b/>
                <w:bCs/>
                <w:color w:val="000000"/>
                <w:sz w:val="22"/>
                <w:lang w:eastAsia="en-AU"/>
              </w:rPr>
              <w:t></w:t>
            </w:r>
            <w:r w:rsidRPr="004A7111">
              <w:rPr>
                <w:rFonts w:ascii="Wingdings 3" w:eastAsia="Times New Roman" w:hAnsi="Wingdings 3" w:cs="Calibri"/>
                <w:b/>
                <w:bCs/>
                <w:color w:val="000000"/>
                <w:sz w:val="22"/>
                <w:lang w:eastAsia="en-AU"/>
              </w:rPr>
              <w:t></w:t>
            </w:r>
          </w:p>
        </w:tc>
      </w:tr>
      <w:tr w:rsidR="00DD5224" w:rsidRPr="004A7111" w:rsidTr="00F037A1">
        <w:trPr>
          <w:gridAfter w:val="2"/>
          <w:wAfter w:w="961" w:type="dxa"/>
          <w:cantSplit/>
          <w:trHeight w:val="20"/>
        </w:trPr>
        <w:tc>
          <w:tcPr>
            <w:tcW w:w="2048" w:type="dxa"/>
            <w:shd w:val="clear" w:color="auto" w:fill="C2E49C"/>
            <w:tcMar>
              <w:top w:w="0" w:type="dxa"/>
              <w:bottom w:w="0" w:type="dxa"/>
            </w:tcMar>
            <w:vAlign w:val="center"/>
          </w:tcPr>
          <w:p w:rsidR="00DD5224" w:rsidRPr="004A7111" w:rsidRDefault="00DD5224" w:rsidP="00F037A1">
            <w:pPr>
              <w:keepNext/>
              <w:keepLines/>
              <w:ind w:left="-45"/>
              <w:jc w:val="center"/>
              <w:rPr>
                <w:rFonts w:cs="Calibri"/>
                <w:i/>
                <w:color w:val="000000"/>
                <w:lang w:eastAsia="en-AU"/>
              </w:rPr>
            </w:pPr>
            <w:r w:rsidRPr="004A7111">
              <w:rPr>
                <w:rFonts w:cs="Calibri"/>
                <w:i/>
                <w:color w:val="000000"/>
                <w:lang w:eastAsia="en-AU"/>
              </w:rPr>
              <w:t>If ye</w:t>
            </w:r>
            <w:r w:rsidRPr="004A7111">
              <w:rPr>
                <w:rFonts w:cs="Calibri"/>
                <w:i/>
                <w:color w:val="000000"/>
                <w:shd w:val="clear" w:color="auto" w:fill="C2E49C"/>
                <w:lang w:eastAsia="en-AU"/>
              </w:rPr>
              <w:t>s</w:t>
            </w:r>
            <w:r w:rsidRPr="004A7111">
              <w:rPr>
                <w:rFonts w:cs="Calibri"/>
                <w:i/>
                <w:color w:val="000000"/>
                <w:lang w:eastAsia="en-AU"/>
              </w:rPr>
              <w:t>:</w:t>
            </w:r>
          </w:p>
        </w:tc>
        <w:tc>
          <w:tcPr>
            <w:tcW w:w="567" w:type="dxa"/>
            <w:gridSpan w:val="2"/>
            <w:tcMar>
              <w:top w:w="0" w:type="dxa"/>
              <w:bottom w:w="0" w:type="dxa"/>
            </w:tcMar>
            <w:vAlign w:val="center"/>
          </w:tcPr>
          <w:p w:rsidR="00DD5224" w:rsidRPr="004A7111" w:rsidRDefault="00DD5224" w:rsidP="00F037A1">
            <w:pPr>
              <w:keepNext/>
              <w:keepLines/>
              <w:ind w:left="1058"/>
              <w:jc w:val="center"/>
              <w:rPr>
                <w:rFonts w:cs="Calibri"/>
                <w:i/>
                <w:color w:val="000000"/>
                <w:lang w:eastAsia="en-AU"/>
              </w:rPr>
            </w:pPr>
          </w:p>
        </w:tc>
        <w:tc>
          <w:tcPr>
            <w:tcW w:w="4961" w:type="dxa"/>
            <w:gridSpan w:val="6"/>
            <w:shd w:val="clear" w:color="auto" w:fill="FFC5C5"/>
            <w:tcMar>
              <w:top w:w="0" w:type="dxa"/>
              <w:bottom w:w="0" w:type="dxa"/>
            </w:tcMar>
            <w:vAlign w:val="center"/>
          </w:tcPr>
          <w:p w:rsidR="00DD5224" w:rsidRPr="004A7111" w:rsidRDefault="00DD5224" w:rsidP="00F037A1">
            <w:pPr>
              <w:keepNext/>
              <w:keepLines/>
              <w:ind w:left="-45"/>
              <w:jc w:val="center"/>
              <w:rPr>
                <w:rFonts w:cs="Calibri"/>
                <w:i/>
                <w:color w:val="000000"/>
                <w:lang w:eastAsia="en-AU"/>
              </w:rPr>
            </w:pPr>
            <w:r w:rsidRPr="004A7111">
              <w:rPr>
                <w:rFonts w:cs="Calibri"/>
                <w:i/>
                <w:color w:val="000000"/>
                <w:lang w:eastAsia="en-AU"/>
              </w:rPr>
              <w:t>If no, the function of that office cannot be a function which the Parliament might discharge.</w:t>
            </w:r>
          </w:p>
        </w:tc>
      </w:tr>
      <w:tr w:rsidR="00DD5224" w:rsidRPr="004A7111" w:rsidTr="00F037A1">
        <w:trPr>
          <w:cantSplit/>
          <w:trHeight w:val="20"/>
        </w:trPr>
        <w:tc>
          <w:tcPr>
            <w:tcW w:w="8537" w:type="dxa"/>
            <w:gridSpan w:val="11"/>
            <w:tcMar>
              <w:top w:w="0" w:type="dxa"/>
              <w:bottom w:w="0" w:type="dxa"/>
            </w:tcMar>
            <w:vAlign w:val="center"/>
          </w:tcPr>
          <w:p w:rsidR="00DD5224" w:rsidRPr="004A7111" w:rsidRDefault="00DD5224" w:rsidP="00F037A1">
            <w:pPr>
              <w:pStyle w:val="ListParagraph"/>
              <w:keepNext/>
              <w:keepLines/>
              <w:spacing w:after="0" w:line="240" w:lineRule="auto"/>
              <w:ind w:left="1058"/>
              <w:rPr>
                <w:rFonts w:eastAsia="Times New Roman" w:cs="Calibri"/>
                <w:i/>
                <w:color w:val="000000"/>
                <w:sz w:val="22"/>
                <w:lang w:eastAsia="en-AU"/>
              </w:rPr>
            </w:pPr>
            <w:r w:rsidRPr="004A7111">
              <w:rPr>
                <w:rFonts w:ascii="Wingdings 3" w:eastAsia="Times New Roman" w:hAnsi="Wingdings 3" w:cs="Calibri"/>
                <w:b/>
                <w:bCs/>
                <w:color w:val="000000"/>
                <w:sz w:val="22"/>
                <w:lang w:eastAsia="en-AU"/>
              </w:rPr>
              <w:t></w:t>
            </w:r>
            <w:r w:rsidRPr="004A7111">
              <w:rPr>
                <w:rFonts w:eastAsia="Times New Roman" w:cs="Calibri"/>
                <w:b/>
                <w:bCs/>
                <w:color w:val="000000"/>
                <w:sz w:val="22"/>
                <w:lang w:eastAsia="en-AU"/>
              </w:rPr>
              <w:t>AND</w:t>
            </w:r>
          </w:p>
        </w:tc>
      </w:tr>
      <w:tr w:rsidR="00DD5224" w:rsidRPr="004A7111" w:rsidTr="00F037A1">
        <w:trPr>
          <w:cantSplit/>
          <w:trHeight w:val="20"/>
        </w:trPr>
        <w:tc>
          <w:tcPr>
            <w:tcW w:w="8537" w:type="dxa"/>
            <w:gridSpan w:val="11"/>
            <w:shd w:val="clear" w:color="auto" w:fill="C6D9F1"/>
            <w:tcMar>
              <w:top w:w="0" w:type="dxa"/>
              <w:bottom w:w="0" w:type="dxa"/>
            </w:tcMar>
            <w:vAlign w:val="center"/>
          </w:tcPr>
          <w:p w:rsidR="00DD5224" w:rsidRPr="004A7111" w:rsidRDefault="00DD5224" w:rsidP="00DD5224">
            <w:pPr>
              <w:pStyle w:val="ListParagraph"/>
              <w:keepNext/>
              <w:keepLines/>
              <w:numPr>
                <w:ilvl w:val="1"/>
                <w:numId w:val="28"/>
              </w:numPr>
              <w:spacing w:after="0" w:line="240" w:lineRule="auto"/>
              <w:ind w:left="349"/>
              <w:rPr>
                <w:rFonts w:eastAsia="Times New Roman" w:cs="Calibri"/>
                <w:b/>
                <w:color w:val="000000"/>
                <w:sz w:val="22"/>
                <w:lang w:eastAsia="en-AU"/>
              </w:rPr>
            </w:pPr>
            <w:r w:rsidRPr="004A7111">
              <w:rPr>
                <w:rFonts w:eastAsia="Times New Roman" w:cs="Calibri"/>
                <w:b/>
                <w:color w:val="000000"/>
                <w:sz w:val="22"/>
                <w:lang w:eastAsia="en-AU"/>
              </w:rPr>
              <w:t>Do the office’s functions cover the operation of the public sector, the private sector or both?</w:t>
            </w:r>
          </w:p>
        </w:tc>
      </w:tr>
      <w:tr w:rsidR="00DD5224" w:rsidRPr="004A7111" w:rsidTr="00F037A1">
        <w:trPr>
          <w:cantSplit/>
          <w:trHeight w:val="20"/>
        </w:trPr>
        <w:tc>
          <w:tcPr>
            <w:tcW w:w="8537" w:type="dxa"/>
            <w:gridSpan w:val="11"/>
            <w:tcMar>
              <w:top w:w="0" w:type="dxa"/>
              <w:bottom w:w="0" w:type="dxa"/>
            </w:tcMar>
            <w:vAlign w:val="center"/>
          </w:tcPr>
          <w:p w:rsidR="00DD5224" w:rsidRPr="004A7111" w:rsidRDefault="00DD5224" w:rsidP="00F037A1">
            <w:pPr>
              <w:pStyle w:val="ListParagraph"/>
              <w:keepNext/>
              <w:keepLines/>
              <w:spacing w:after="0" w:line="240" w:lineRule="auto"/>
              <w:ind w:left="1058"/>
              <w:rPr>
                <w:rFonts w:eastAsia="Times New Roman" w:cs="Calibri"/>
                <w:b/>
                <w:color w:val="000000"/>
                <w:sz w:val="22"/>
                <w:lang w:eastAsia="en-AU"/>
              </w:rPr>
            </w:pPr>
            <w:r w:rsidRPr="004A7111">
              <w:rPr>
                <w:rFonts w:ascii="Wingdings 3" w:eastAsia="Times New Roman" w:hAnsi="Wingdings 3" w:cs="Calibri"/>
                <w:b/>
                <w:bCs/>
                <w:color w:val="000000"/>
                <w:sz w:val="22"/>
                <w:lang w:eastAsia="en-AU"/>
              </w:rPr>
              <w:t></w:t>
            </w:r>
            <w:r w:rsidRPr="004A7111">
              <w:rPr>
                <w:rFonts w:ascii="Wingdings 3" w:eastAsia="Times New Roman" w:hAnsi="Wingdings 3" w:cs="Calibri"/>
                <w:b/>
                <w:bCs/>
                <w:color w:val="000000"/>
                <w:sz w:val="22"/>
                <w:lang w:eastAsia="en-AU"/>
              </w:rPr>
              <w:t></w:t>
            </w:r>
            <w:r w:rsidRPr="004A7111">
              <w:rPr>
                <w:rFonts w:ascii="Wingdings 3" w:eastAsia="Times New Roman" w:hAnsi="Wingdings 3" w:cs="Calibri"/>
                <w:b/>
                <w:bCs/>
                <w:color w:val="000000"/>
                <w:sz w:val="22"/>
                <w:lang w:eastAsia="en-AU"/>
              </w:rPr>
              <w:t></w:t>
            </w:r>
            <w:r w:rsidRPr="004A7111">
              <w:rPr>
                <w:rFonts w:ascii="Wingdings 3" w:eastAsia="Times New Roman" w:hAnsi="Wingdings 3" w:cs="Calibri"/>
                <w:b/>
                <w:bCs/>
                <w:color w:val="000000"/>
                <w:sz w:val="22"/>
                <w:lang w:eastAsia="en-AU"/>
              </w:rPr>
              <w:t></w:t>
            </w:r>
            <w:r w:rsidRPr="004A7111">
              <w:rPr>
                <w:rFonts w:ascii="Wingdings 3" w:eastAsia="Times New Roman" w:hAnsi="Wingdings 3" w:cs="Calibri"/>
                <w:b/>
                <w:bCs/>
                <w:color w:val="000000"/>
                <w:sz w:val="22"/>
                <w:lang w:eastAsia="en-AU"/>
              </w:rPr>
              <w:t></w:t>
            </w:r>
            <w:r w:rsidRPr="004A7111">
              <w:rPr>
                <w:rFonts w:ascii="Wingdings 3" w:eastAsia="Times New Roman" w:hAnsi="Wingdings 3" w:cs="Calibri"/>
                <w:b/>
                <w:bCs/>
                <w:color w:val="000000"/>
                <w:sz w:val="22"/>
                <w:lang w:eastAsia="en-AU"/>
              </w:rPr>
              <w:t></w:t>
            </w:r>
            <w:r w:rsidRPr="004A7111">
              <w:rPr>
                <w:rFonts w:ascii="Wingdings 3" w:eastAsia="Times New Roman" w:hAnsi="Wingdings 3" w:cs="Calibri"/>
                <w:b/>
                <w:bCs/>
                <w:color w:val="000000"/>
                <w:sz w:val="22"/>
                <w:lang w:eastAsia="en-AU"/>
              </w:rPr>
              <w:t></w:t>
            </w:r>
            <w:r w:rsidRPr="004A7111">
              <w:rPr>
                <w:rFonts w:ascii="Wingdings 3" w:eastAsia="Times New Roman" w:hAnsi="Wingdings 3" w:cs="Calibri"/>
                <w:b/>
                <w:bCs/>
                <w:color w:val="000000"/>
                <w:sz w:val="22"/>
                <w:lang w:eastAsia="en-AU"/>
              </w:rPr>
              <w:t></w:t>
            </w:r>
            <w:r w:rsidRPr="004A7111">
              <w:rPr>
                <w:rFonts w:ascii="Wingdings 3" w:eastAsia="Times New Roman" w:hAnsi="Wingdings 3" w:cs="Calibri"/>
                <w:b/>
                <w:bCs/>
                <w:color w:val="000000"/>
                <w:sz w:val="22"/>
                <w:lang w:eastAsia="en-AU"/>
              </w:rPr>
              <w:t></w:t>
            </w:r>
            <w:r w:rsidRPr="004A7111">
              <w:rPr>
                <w:rFonts w:ascii="Wingdings 3" w:eastAsia="Times New Roman" w:hAnsi="Wingdings 3" w:cs="Calibri"/>
                <w:b/>
                <w:bCs/>
                <w:color w:val="000000"/>
                <w:sz w:val="22"/>
                <w:lang w:eastAsia="en-AU"/>
              </w:rPr>
              <w:t></w:t>
            </w:r>
            <w:r w:rsidRPr="004A7111">
              <w:rPr>
                <w:rFonts w:ascii="Wingdings 3" w:eastAsia="Times New Roman" w:hAnsi="Wingdings 3" w:cs="Calibri"/>
                <w:b/>
                <w:bCs/>
                <w:color w:val="000000"/>
                <w:sz w:val="22"/>
                <w:lang w:eastAsia="en-AU"/>
              </w:rPr>
              <w:t></w:t>
            </w:r>
            <w:r w:rsidRPr="004A7111">
              <w:rPr>
                <w:rFonts w:ascii="Wingdings 3" w:eastAsia="Times New Roman" w:hAnsi="Wingdings 3" w:cs="Calibri"/>
                <w:b/>
                <w:bCs/>
                <w:color w:val="000000"/>
                <w:sz w:val="22"/>
                <w:lang w:eastAsia="en-AU"/>
              </w:rPr>
              <w:t></w:t>
            </w:r>
          </w:p>
        </w:tc>
      </w:tr>
      <w:tr w:rsidR="00DD5224" w:rsidRPr="004A7111" w:rsidTr="00F037A1">
        <w:trPr>
          <w:gridAfter w:val="2"/>
          <w:wAfter w:w="961" w:type="dxa"/>
          <w:cantSplit/>
          <w:trHeight w:val="20"/>
        </w:trPr>
        <w:tc>
          <w:tcPr>
            <w:tcW w:w="2048" w:type="dxa"/>
            <w:shd w:val="clear" w:color="auto" w:fill="C2E49C"/>
            <w:tcMar>
              <w:top w:w="0" w:type="dxa"/>
              <w:bottom w:w="0" w:type="dxa"/>
            </w:tcMar>
            <w:vAlign w:val="center"/>
          </w:tcPr>
          <w:p w:rsidR="00DD5224" w:rsidRPr="004A7111" w:rsidRDefault="00DD5224" w:rsidP="00F037A1">
            <w:pPr>
              <w:keepNext/>
              <w:keepLines/>
              <w:ind w:left="-45"/>
              <w:jc w:val="center"/>
              <w:rPr>
                <w:rFonts w:cs="Calibri"/>
                <w:i/>
                <w:color w:val="000000"/>
                <w:lang w:eastAsia="en-AU"/>
              </w:rPr>
            </w:pPr>
            <w:r w:rsidRPr="004A7111">
              <w:rPr>
                <w:rFonts w:cs="Calibri"/>
                <w:i/>
                <w:color w:val="000000"/>
                <w:lang w:eastAsia="en-AU"/>
              </w:rPr>
              <w:t>If public sector in whole or in part:</w:t>
            </w:r>
          </w:p>
        </w:tc>
        <w:tc>
          <w:tcPr>
            <w:tcW w:w="567" w:type="dxa"/>
            <w:gridSpan w:val="2"/>
            <w:tcMar>
              <w:top w:w="0" w:type="dxa"/>
              <w:bottom w:w="0" w:type="dxa"/>
            </w:tcMar>
            <w:vAlign w:val="center"/>
          </w:tcPr>
          <w:p w:rsidR="00DD5224" w:rsidRPr="004A7111" w:rsidRDefault="00DD5224" w:rsidP="00F037A1">
            <w:pPr>
              <w:keepNext/>
              <w:keepLines/>
              <w:ind w:left="1058"/>
              <w:jc w:val="center"/>
              <w:rPr>
                <w:rFonts w:cs="Calibri"/>
                <w:i/>
                <w:color w:val="000000"/>
                <w:lang w:eastAsia="en-AU"/>
              </w:rPr>
            </w:pPr>
          </w:p>
        </w:tc>
        <w:tc>
          <w:tcPr>
            <w:tcW w:w="4961" w:type="dxa"/>
            <w:gridSpan w:val="6"/>
            <w:shd w:val="clear" w:color="auto" w:fill="FFC5C5"/>
            <w:tcMar>
              <w:top w:w="0" w:type="dxa"/>
              <w:bottom w:w="0" w:type="dxa"/>
            </w:tcMar>
            <w:vAlign w:val="center"/>
          </w:tcPr>
          <w:p w:rsidR="00DD5224" w:rsidRPr="004A7111" w:rsidRDefault="00DD5224" w:rsidP="00F037A1">
            <w:pPr>
              <w:keepNext/>
              <w:keepLines/>
              <w:ind w:left="-45"/>
              <w:jc w:val="center"/>
              <w:rPr>
                <w:rFonts w:cs="Calibri"/>
                <w:i/>
                <w:color w:val="000000"/>
                <w:lang w:eastAsia="en-AU"/>
              </w:rPr>
            </w:pPr>
            <w:r w:rsidRPr="004A7111">
              <w:rPr>
                <w:rFonts w:cs="Calibri"/>
                <w:i/>
                <w:color w:val="000000"/>
                <w:lang w:eastAsia="en-AU"/>
              </w:rPr>
              <w:t>If only the private sector cannot be a function that the parliament might discharge.</w:t>
            </w:r>
          </w:p>
        </w:tc>
      </w:tr>
      <w:tr w:rsidR="00DD5224" w:rsidRPr="004A7111" w:rsidTr="00F037A1">
        <w:trPr>
          <w:cantSplit/>
          <w:trHeight w:val="20"/>
        </w:trPr>
        <w:tc>
          <w:tcPr>
            <w:tcW w:w="8537" w:type="dxa"/>
            <w:gridSpan w:val="11"/>
            <w:tcMar>
              <w:top w:w="0" w:type="dxa"/>
              <w:bottom w:w="0" w:type="dxa"/>
            </w:tcMar>
            <w:vAlign w:val="center"/>
          </w:tcPr>
          <w:p w:rsidR="00DD5224" w:rsidRPr="004A7111" w:rsidRDefault="00DD5224" w:rsidP="00F037A1">
            <w:pPr>
              <w:pStyle w:val="ListParagraph"/>
              <w:keepNext/>
              <w:keepLines/>
              <w:spacing w:after="0" w:line="240" w:lineRule="auto"/>
              <w:ind w:left="1058"/>
              <w:rPr>
                <w:rFonts w:eastAsia="Times New Roman" w:cs="Calibri"/>
                <w:i/>
                <w:color w:val="000000"/>
                <w:sz w:val="22"/>
                <w:lang w:eastAsia="en-AU"/>
              </w:rPr>
            </w:pPr>
            <w:r w:rsidRPr="004A7111">
              <w:rPr>
                <w:rFonts w:ascii="Wingdings 3" w:eastAsia="Times New Roman" w:hAnsi="Wingdings 3" w:cs="Calibri"/>
                <w:b/>
                <w:bCs/>
                <w:color w:val="000000"/>
                <w:sz w:val="22"/>
                <w:lang w:eastAsia="en-AU"/>
              </w:rPr>
              <w:t></w:t>
            </w:r>
            <w:r w:rsidRPr="004A7111">
              <w:rPr>
                <w:rFonts w:eastAsia="Times New Roman" w:cs="Calibri"/>
                <w:b/>
                <w:bCs/>
                <w:color w:val="000000"/>
                <w:sz w:val="22"/>
                <w:lang w:eastAsia="en-AU"/>
              </w:rPr>
              <w:t>AND</w:t>
            </w:r>
          </w:p>
        </w:tc>
      </w:tr>
      <w:tr w:rsidR="00DD5224" w:rsidRPr="004A7111" w:rsidTr="00F037A1">
        <w:trPr>
          <w:trHeight w:val="20"/>
        </w:trPr>
        <w:tc>
          <w:tcPr>
            <w:tcW w:w="8537" w:type="dxa"/>
            <w:gridSpan w:val="11"/>
            <w:shd w:val="clear" w:color="auto" w:fill="C6D9F1"/>
            <w:tcMar>
              <w:top w:w="0" w:type="dxa"/>
              <w:bottom w:w="0" w:type="dxa"/>
            </w:tcMar>
            <w:vAlign w:val="center"/>
          </w:tcPr>
          <w:p w:rsidR="00DD5224" w:rsidRPr="004A7111" w:rsidRDefault="00DD5224" w:rsidP="00DD5224">
            <w:pPr>
              <w:pStyle w:val="ListParagraph"/>
              <w:numPr>
                <w:ilvl w:val="1"/>
                <w:numId w:val="28"/>
              </w:numPr>
              <w:spacing w:after="0" w:line="240" w:lineRule="auto"/>
              <w:ind w:left="349"/>
              <w:rPr>
                <w:rFonts w:eastAsia="Times New Roman" w:cs="Calibri"/>
                <w:b/>
                <w:color w:val="000000"/>
                <w:sz w:val="22"/>
                <w:lang w:eastAsia="en-AU"/>
              </w:rPr>
            </w:pPr>
            <w:r w:rsidRPr="004A7111">
              <w:rPr>
                <w:rFonts w:eastAsia="Times New Roman" w:cs="Calibri"/>
                <w:b/>
                <w:color w:val="000000"/>
                <w:sz w:val="22"/>
                <w:lang w:eastAsia="en-AU"/>
              </w:rPr>
              <w:t>Having consideration to the subject matter of the legislated functions, does it have the gravity of a function the Parliament might discharge?</w:t>
            </w:r>
          </w:p>
        </w:tc>
      </w:tr>
      <w:tr w:rsidR="00DD5224" w:rsidRPr="004A7111" w:rsidTr="00F037A1">
        <w:trPr>
          <w:trHeight w:val="20"/>
        </w:trPr>
        <w:tc>
          <w:tcPr>
            <w:tcW w:w="8537" w:type="dxa"/>
            <w:gridSpan w:val="11"/>
            <w:tcMar>
              <w:top w:w="0" w:type="dxa"/>
              <w:bottom w:w="0" w:type="dxa"/>
            </w:tcMar>
          </w:tcPr>
          <w:p w:rsidR="00DD5224" w:rsidRPr="004A7111" w:rsidRDefault="00DD5224" w:rsidP="00F037A1">
            <w:pPr>
              <w:pStyle w:val="ListParagraph"/>
              <w:spacing w:after="0" w:line="240" w:lineRule="auto"/>
              <w:ind w:left="1625"/>
              <w:rPr>
                <w:rFonts w:eastAsia="Times New Roman" w:cs="Calibri"/>
                <w:b/>
                <w:color w:val="000000"/>
                <w:sz w:val="22"/>
                <w:lang w:eastAsia="en-AU"/>
              </w:rPr>
            </w:pPr>
            <w:r w:rsidRPr="004A7111">
              <w:rPr>
                <w:rFonts w:ascii="Wingdings 3" w:eastAsia="Times New Roman" w:hAnsi="Wingdings 3" w:cs="Calibri"/>
                <w:b/>
                <w:bCs/>
                <w:color w:val="000000"/>
                <w:sz w:val="22"/>
                <w:lang w:eastAsia="en-AU"/>
              </w:rPr>
              <w:t></w:t>
            </w:r>
            <w:r w:rsidRPr="004A7111">
              <w:rPr>
                <w:rFonts w:ascii="Wingdings 3" w:eastAsia="Times New Roman" w:hAnsi="Wingdings 3" w:cs="Calibri"/>
                <w:b/>
                <w:bCs/>
                <w:color w:val="000000"/>
                <w:sz w:val="22"/>
                <w:lang w:eastAsia="en-AU"/>
              </w:rPr>
              <w:t></w:t>
            </w:r>
            <w:r w:rsidRPr="004A7111">
              <w:rPr>
                <w:rFonts w:ascii="Wingdings 3" w:eastAsia="Times New Roman" w:hAnsi="Wingdings 3" w:cs="Calibri"/>
                <w:b/>
                <w:bCs/>
                <w:color w:val="000000"/>
                <w:sz w:val="22"/>
                <w:lang w:eastAsia="en-AU"/>
              </w:rPr>
              <w:t></w:t>
            </w:r>
            <w:r w:rsidRPr="004A7111">
              <w:rPr>
                <w:rFonts w:ascii="Wingdings 3" w:eastAsia="Times New Roman" w:hAnsi="Wingdings 3" w:cs="Calibri"/>
                <w:b/>
                <w:bCs/>
                <w:color w:val="000000"/>
                <w:sz w:val="22"/>
                <w:lang w:eastAsia="en-AU"/>
              </w:rPr>
              <w:t></w:t>
            </w:r>
            <w:r w:rsidRPr="004A7111">
              <w:rPr>
                <w:rFonts w:ascii="Wingdings 3" w:eastAsia="Times New Roman" w:hAnsi="Wingdings 3" w:cs="Calibri"/>
                <w:b/>
                <w:bCs/>
                <w:color w:val="000000"/>
                <w:sz w:val="22"/>
                <w:lang w:eastAsia="en-AU"/>
              </w:rPr>
              <w:t></w:t>
            </w:r>
            <w:r w:rsidRPr="004A7111">
              <w:rPr>
                <w:rFonts w:ascii="Wingdings 3" w:eastAsia="Times New Roman" w:hAnsi="Wingdings 3" w:cs="Calibri"/>
                <w:b/>
                <w:bCs/>
                <w:color w:val="000000"/>
                <w:sz w:val="22"/>
                <w:lang w:eastAsia="en-AU"/>
              </w:rPr>
              <w:t></w:t>
            </w:r>
            <w:r w:rsidRPr="004A7111">
              <w:rPr>
                <w:rFonts w:ascii="Wingdings 3" w:eastAsia="Times New Roman" w:hAnsi="Wingdings 3" w:cs="Calibri"/>
                <w:b/>
                <w:bCs/>
                <w:color w:val="000000"/>
                <w:sz w:val="22"/>
                <w:lang w:eastAsia="en-AU"/>
              </w:rPr>
              <w:t></w:t>
            </w:r>
            <w:r w:rsidRPr="004A7111">
              <w:rPr>
                <w:rFonts w:ascii="Wingdings 3" w:eastAsia="Times New Roman" w:hAnsi="Wingdings 3" w:cs="Calibri"/>
                <w:b/>
                <w:bCs/>
                <w:color w:val="000000"/>
                <w:sz w:val="22"/>
                <w:lang w:eastAsia="en-AU"/>
              </w:rPr>
              <w:t></w:t>
            </w:r>
            <w:r w:rsidRPr="004A7111">
              <w:rPr>
                <w:rFonts w:ascii="Wingdings 3" w:eastAsia="Times New Roman" w:hAnsi="Wingdings 3" w:cs="Calibri"/>
                <w:b/>
                <w:bCs/>
                <w:color w:val="000000"/>
                <w:sz w:val="22"/>
                <w:lang w:eastAsia="en-AU"/>
              </w:rPr>
              <w:t></w:t>
            </w:r>
            <w:r w:rsidRPr="004A7111">
              <w:rPr>
                <w:rFonts w:ascii="Wingdings 3" w:eastAsia="Times New Roman" w:hAnsi="Wingdings 3" w:cs="Calibri"/>
                <w:b/>
                <w:bCs/>
                <w:color w:val="000000"/>
                <w:sz w:val="22"/>
                <w:lang w:eastAsia="en-AU"/>
              </w:rPr>
              <w:t></w:t>
            </w:r>
            <w:r w:rsidRPr="004A7111">
              <w:rPr>
                <w:rFonts w:ascii="Wingdings 3" w:eastAsia="Times New Roman" w:hAnsi="Wingdings 3" w:cs="Calibri"/>
                <w:b/>
                <w:bCs/>
                <w:color w:val="000000"/>
                <w:sz w:val="22"/>
                <w:lang w:eastAsia="en-AU"/>
              </w:rPr>
              <w:t></w:t>
            </w:r>
          </w:p>
        </w:tc>
      </w:tr>
      <w:tr w:rsidR="00DD5224" w:rsidRPr="004A7111" w:rsidTr="00F037A1">
        <w:trPr>
          <w:gridAfter w:val="2"/>
          <w:wAfter w:w="961" w:type="dxa"/>
          <w:trHeight w:val="20"/>
        </w:trPr>
        <w:tc>
          <w:tcPr>
            <w:tcW w:w="2978" w:type="dxa"/>
            <w:gridSpan w:val="5"/>
            <w:shd w:val="clear" w:color="auto" w:fill="C2E49C"/>
            <w:tcMar>
              <w:top w:w="0" w:type="dxa"/>
              <w:bottom w:w="0" w:type="dxa"/>
            </w:tcMar>
          </w:tcPr>
          <w:p w:rsidR="00DD5224" w:rsidRPr="004A7111" w:rsidRDefault="00DD5224" w:rsidP="00F037A1">
            <w:pPr>
              <w:jc w:val="center"/>
              <w:rPr>
                <w:rFonts w:cs="Calibri"/>
                <w:i/>
                <w:color w:val="000000"/>
                <w:lang w:eastAsia="en-AU"/>
              </w:rPr>
            </w:pPr>
            <w:r w:rsidRPr="004A7111">
              <w:rPr>
                <w:rFonts w:cs="Calibri"/>
                <w:i/>
                <w:color w:val="000000"/>
                <w:lang w:eastAsia="en-AU"/>
              </w:rPr>
              <w:t>If yes, the Office discharges a function that the Parliament itself might.</w:t>
            </w:r>
          </w:p>
        </w:tc>
        <w:tc>
          <w:tcPr>
            <w:tcW w:w="992" w:type="dxa"/>
            <w:tcMar>
              <w:top w:w="0" w:type="dxa"/>
              <w:bottom w:w="0" w:type="dxa"/>
            </w:tcMar>
          </w:tcPr>
          <w:p w:rsidR="00DD5224" w:rsidRPr="004A7111" w:rsidRDefault="00DD5224" w:rsidP="00F037A1">
            <w:pPr>
              <w:jc w:val="center"/>
              <w:rPr>
                <w:rFonts w:cs="Calibri"/>
                <w:i/>
                <w:color w:val="000000"/>
                <w:lang w:eastAsia="en-AU"/>
              </w:rPr>
            </w:pPr>
          </w:p>
        </w:tc>
        <w:tc>
          <w:tcPr>
            <w:tcW w:w="3606" w:type="dxa"/>
            <w:gridSpan w:val="3"/>
            <w:shd w:val="clear" w:color="auto" w:fill="FFC5C5"/>
            <w:tcMar>
              <w:top w:w="0" w:type="dxa"/>
              <w:bottom w:w="0" w:type="dxa"/>
            </w:tcMar>
          </w:tcPr>
          <w:p w:rsidR="00DD5224" w:rsidRPr="004A7111" w:rsidRDefault="00DD5224" w:rsidP="00F037A1">
            <w:pPr>
              <w:ind w:left="-45"/>
              <w:jc w:val="center"/>
              <w:rPr>
                <w:rFonts w:cs="Calibri"/>
                <w:i/>
                <w:color w:val="000000"/>
                <w:lang w:eastAsia="en-AU"/>
              </w:rPr>
            </w:pPr>
            <w:r w:rsidRPr="004A7111">
              <w:rPr>
                <w:rFonts w:cs="Calibri"/>
                <w:i/>
                <w:color w:val="000000"/>
                <w:lang w:eastAsia="en-AU"/>
              </w:rPr>
              <w:t>If no, the Office does not discharge a function that the Parliament itself might.</w:t>
            </w:r>
          </w:p>
        </w:tc>
      </w:tr>
      <w:tr w:rsidR="00DD5224" w:rsidRPr="004A7111" w:rsidTr="00F037A1">
        <w:trPr>
          <w:trHeight w:val="767"/>
        </w:trPr>
        <w:tc>
          <w:tcPr>
            <w:tcW w:w="8537" w:type="dxa"/>
            <w:gridSpan w:val="11"/>
            <w:shd w:val="clear" w:color="auto" w:fill="548DD4"/>
          </w:tcPr>
          <w:p w:rsidR="00DD5224" w:rsidRPr="004A7111" w:rsidRDefault="00DD5224" w:rsidP="00DD5224">
            <w:pPr>
              <w:pStyle w:val="ListParagraph"/>
              <w:numPr>
                <w:ilvl w:val="0"/>
                <w:numId w:val="28"/>
              </w:numPr>
              <w:spacing w:after="0" w:line="240" w:lineRule="auto"/>
              <w:rPr>
                <w:rFonts w:eastAsia="Times New Roman" w:cs="Calibri"/>
                <w:b/>
                <w:color w:val="000000"/>
                <w:sz w:val="22"/>
                <w:lang w:eastAsia="en-AU"/>
              </w:rPr>
            </w:pPr>
            <w:r w:rsidRPr="004A7111">
              <w:rPr>
                <w:rFonts w:eastAsia="Times New Roman" w:cs="Calibri"/>
                <w:b/>
                <w:color w:val="000000"/>
                <w:sz w:val="22"/>
                <w:lang w:eastAsia="en-AU"/>
              </w:rPr>
              <w:t xml:space="preserve">If the Office </w:t>
            </w:r>
            <w:r w:rsidRPr="004A7111">
              <w:rPr>
                <w:rFonts w:eastAsia="Times New Roman" w:cs="Calibri"/>
                <w:b/>
                <w:bCs/>
                <w:color w:val="000000"/>
                <w:sz w:val="22"/>
                <w:lang w:eastAsia="en-AU"/>
              </w:rPr>
              <w:t>discharges</w:t>
            </w:r>
            <w:r w:rsidRPr="004A7111">
              <w:rPr>
                <w:rFonts w:eastAsia="Times New Roman" w:cs="Calibri"/>
                <w:b/>
                <w:color w:val="000000"/>
                <w:sz w:val="22"/>
                <w:lang w:eastAsia="en-AU"/>
              </w:rPr>
              <w:t xml:space="preserve"> functions that the Parliament might, would the functions of Parliament and the Office be enhanced if they had an Officer of the Parliament relationship?</w:t>
            </w:r>
          </w:p>
        </w:tc>
      </w:tr>
      <w:tr w:rsidR="00DD5224" w:rsidRPr="004A7111" w:rsidTr="00F037A1">
        <w:trPr>
          <w:gridAfter w:val="1"/>
          <w:wAfter w:w="599" w:type="dxa"/>
        </w:trPr>
        <w:tc>
          <w:tcPr>
            <w:tcW w:w="2268" w:type="dxa"/>
            <w:gridSpan w:val="2"/>
          </w:tcPr>
          <w:p w:rsidR="00DD5224" w:rsidRPr="004A7111" w:rsidRDefault="00DD5224" w:rsidP="00F037A1">
            <w:pPr>
              <w:pStyle w:val="ListParagraph"/>
              <w:spacing w:after="0" w:line="240" w:lineRule="auto"/>
              <w:ind w:left="0"/>
              <w:jc w:val="center"/>
              <w:rPr>
                <w:rFonts w:eastAsia="Times New Roman" w:cs="Calibri"/>
                <w:b/>
                <w:color w:val="000000"/>
                <w:sz w:val="22"/>
                <w:lang w:eastAsia="en-AU"/>
              </w:rPr>
            </w:pPr>
            <w:r w:rsidRPr="004A7111">
              <w:rPr>
                <w:rFonts w:ascii="Wingdings 3" w:eastAsia="Times New Roman" w:hAnsi="Wingdings 3" w:cs="Calibri"/>
                <w:b/>
                <w:bCs/>
                <w:color w:val="000000"/>
                <w:sz w:val="22"/>
                <w:lang w:eastAsia="en-AU"/>
              </w:rPr>
              <w:t></w:t>
            </w:r>
          </w:p>
        </w:tc>
        <w:tc>
          <w:tcPr>
            <w:tcW w:w="567" w:type="dxa"/>
            <w:gridSpan w:val="2"/>
          </w:tcPr>
          <w:p w:rsidR="00DD5224" w:rsidRPr="004A7111" w:rsidRDefault="00DD5224" w:rsidP="00F037A1">
            <w:pPr>
              <w:pStyle w:val="ListParagraph"/>
              <w:spacing w:after="0" w:line="240" w:lineRule="auto"/>
              <w:ind w:left="0"/>
              <w:jc w:val="center"/>
              <w:rPr>
                <w:rFonts w:eastAsia="Times New Roman" w:cs="Calibri"/>
                <w:b/>
                <w:color w:val="000000"/>
                <w:sz w:val="22"/>
                <w:lang w:eastAsia="en-AU"/>
              </w:rPr>
            </w:pPr>
          </w:p>
        </w:tc>
        <w:tc>
          <w:tcPr>
            <w:tcW w:w="2268" w:type="dxa"/>
            <w:gridSpan w:val="3"/>
          </w:tcPr>
          <w:p w:rsidR="00DD5224" w:rsidRPr="004A7111" w:rsidRDefault="00DD5224" w:rsidP="00F037A1">
            <w:pPr>
              <w:pStyle w:val="ListParagraph"/>
              <w:spacing w:after="0" w:line="240" w:lineRule="auto"/>
              <w:ind w:left="0"/>
              <w:jc w:val="center"/>
              <w:rPr>
                <w:rFonts w:eastAsia="Times New Roman" w:cs="Calibri"/>
                <w:b/>
                <w:color w:val="000000"/>
                <w:sz w:val="22"/>
                <w:lang w:eastAsia="en-AU"/>
              </w:rPr>
            </w:pPr>
            <w:r w:rsidRPr="004A7111">
              <w:rPr>
                <w:rFonts w:ascii="Wingdings 3" w:eastAsia="Times New Roman" w:hAnsi="Wingdings 3" w:cs="Calibri"/>
                <w:b/>
                <w:bCs/>
                <w:color w:val="000000"/>
                <w:sz w:val="22"/>
                <w:lang w:eastAsia="en-AU"/>
              </w:rPr>
              <w:t></w:t>
            </w:r>
          </w:p>
        </w:tc>
        <w:tc>
          <w:tcPr>
            <w:tcW w:w="567" w:type="dxa"/>
          </w:tcPr>
          <w:p w:rsidR="00DD5224" w:rsidRPr="004A7111" w:rsidRDefault="00DD5224" w:rsidP="00F037A1">
            <w:pPr>
              <w:pStyle w:val="ListParagraph"/>
              <w:spacing w:after="0" w:line="240" w:lineRule="auto"/>
              <w:ind w:left="0"/>
              <w:jc w:val="center"/>
              <w:rPr>
                <w:rFonts w:eastAsia="Times New Roman" w:cs="Calibri"/>
                <w:b/>
                <w:color w:val="000000"/>
                <w:sz w:val="22"/>
                <w:lang w:eastAsia="en-AU"/>
              </w:rPr>
            </w:pPr>
          </w:p>
        </w:tc>
        <w:tc>
          <w:tcPr>
            <w:tcW w:w="2268" w:type="dxa"/>
            <w:gridSpan w:val="2"/>
          </w:tcPr>
          <w:p w:rsidR="00DD5224" w:rsidRPr="004A7111" w:rsidRDefault="00DD5224" w:rsidP="00F037A1">
            <w:pPr>
              <w:pStyle w:val="ListParagraph"/>
              <w:spacing w:after="0" w:line="240" w:lineRule="auto"/>
              <w:ind w:left="0"/>
              <w:jc w:val="center"/>
              <w:rPr>
                <w:rFonts w:eastAsia="Times New Roman" w:cs="Calibri"/>
                <w:b/>
                <w:color w:val="000000"/>
                <w:sz w:val="22"/>
                <w:lang w:eastAsia="en-AU"/>
              </w:rPr>
            </w:pPr>
            <w:r w:rsidRPr="004A7111">
              <w:rPr>
                <w:rFonts w:ascii="Wingdings 3" w:eastAsia="Times New Roman" w:hAnsi="Wingdings 3" w:cs="Calibri"/>
                <w:b/>
                <w:bCs/>
                <w:color w:val="000000"/>
                <w:sz w:val="22"/>
                <w:lang w:eastAsia="en-AU"/>
              </w:rPr>
              <w:t></w:t>
            </w:r>
          </w:p>
        </w:tc>
      </w:tr>
      <w:tr w:rsidR="00DD5224" w:rsidRPr="004A7111" w:rsidTr="00F037A1">
        <w:trPr>
          <w:gridAfter w:val="1"/>
          <w:wAfter w:w="599" w:type="dxa"/>
        </w:trPr>
        <w:tc>
          <w:tcPr>
            <w:tcW w:w="2268" w:type="dxa"/>
            <w:gridSpan w:val="2"/>
            <w:shd w:val="clear" w:color="auto" w:fill="C6D9F1"/>
          </w:tcPr>
          <w:p w:rsidR="00DD5224" w:rsidRPr="004A7111" w:rsidRDefault="00DD5224" w:rsidP="00DD5224">
            <w:pPr>
              <w:pStyle w:val="ListParagraph"/>
              <w:numPr>
                <w:ilvl w:val="1"/>
                <w:numId w:val="28"/>
              </w:numPr>
              <w:spacing w:after="0" w:line="240" w:lineRule="auto"/>
              <w:ind w:left="349"/>
              <w:rPr>
                <w:rFonts w:eastAsia="Times New Roman" w:cs="Calibri"/>
                <w:b/>
                <w:color w:val="000000"/>
                <w:sz w:val="22"/>
                <w:lang w:eastAsia="en-AU"/>
              </w:rPr>
            </w:pPr>
            <w:r w:rsidRPr="004A7111">
              <w:rPr>
                <w:rFonts w:eastAsia="Times New Roman" w:cs="Calibri"/>
                <w:b/>
                <w:color w:val="000000"/>
                <w:sz w:val="22"/>
                <w:lang w:eastAsia="en-AU"/>
              </w:rPr>
              <w:t>Is the dominant purpose of the Office to perform functions which provide a check on the use of power by the Executive?</w:t>
            </w:r>
          </w:p>
        </w:tc>
        <w:tc>
          <w:tcPr>
            <w:tcW w:w="567" w:type="dxa"/>
            <w:gridSpan w:val="2"/>
            <w:vAlign w:val="center"/>
          </w:tcPr>
          <w:p w:rsidR="00DD5224" w:rsidRPr="004A7111" w:rsidRDefault="00DD5224" w:rsidP="00F037A1">
            <w:pPr>
              <w:pStyle w:val="ListParagraph"/>
              <w:spacing w:after="0" w:line="240" w:lineRule="auto"/>
              <w:ind w:left="0"/>
              <w:jc w:val="center"/>
              <w:rPr>
                <w:rFonts w:eastAsia="Times New Roman" w:cs="Calibri"/>
                <w:b/>
                <w:color w:val="000000"/>
                <w:sz w:val="22"/>
                <w:lang w:eastAsia="en-AU"/>
              </w:rPr>
            </w:pPr>
            <w:r w:rsidRPr="004A7111">
              <w:rPr>
                <w:rFonts w:eastAsia="Times New Roman" w:cs="Calibri"/>
                <w:b/>
                <w:color w:val="000000"/>
                <w:sz w:val="22"/>
                <w:lang w:eastAsia="en-AU"/>
              </w:rPr>
              <w:t>OR</w:t>
            </w:r>
          </w:p>
        </w:tc>
        <w:tc>
          <w:tcPr>
            <w:tcW w:w="2268" w:type="dxa"/>
            <w:gridSpan w:val="3"/>
            <w:shd w:val="clear" w:color="auto" w:fill="C6D9F1"/>
          </w:tcPr>
          <w:p w:rsidR="00DD5224" w:rsidRPr="004A7111" w:rsidRDefault="00DD5224" w:rsidP="00DD5224">
            <w:pPr>
              <w:pStyle w:val="ListParagraph"/>
              <w:numPr>
                <w:ilvl w:val="1"/>
                <w:numId w:val="28"/>
              </w:numPr>
              <w:spacing w:after="0" w:line="240" w:lineRule="auto"/>
              <w:ind w:left="349"/>
              <w:rPr>
                <w:rFonts w:eastAsia="Times New Roman" w:cs="Calibri"/>
                <w:b/>
                <w:color w:val="000000"/>
                <w:sz w:val="22"/>
                <w:lang w:eastAsia="en-AU"/>
              </w:rPr>
            </w:pPr>
            <w:r w:rsidRPr="004A7111">
              <w:rPr>
                <w:rFonts w:eastAsia="Times New Roman" w:cs="Calibri"/>
                <w:b/>
                <w:color w:val="000000"/>
                <w:sz w:val="22"/>
                <w:lang w:eastAsia="en-AU"/>
              </w:rPr>
              <w:t>Is the dominant purpose of the Office to perform functions which support the operation of the Parliament rather than the Executive?</w:t>
            </w:r>
          </w:p>
        </w:tc>
        <w:tc>
          <w:tcPr>
            <w:tcW w:w="567" w:type="dxa"/>
            <w:vAlign w:val="center"/>
          </w:tcPr>
          <w:p w:rsidR="00DD5224" w:rsidRPr="004A7111" w:rsidRDefault="00DD5224" w:rsidP="00F037A1">
            <w:pPr>
              <w:pStyle w:val="ListParagraph"/>
              <w:spacing w:after="0" w:line="240" w:lineRule="auto"/>
              <w:ind w:left="0"/>
              <w:jc w:val="center"/>
              <w:rPr>
                <w:rFonts w:eastAsia="Times New Roman" w:cs="Calibri"/>
                <w:b/>
                <w:color w:val="000000"/>
                <w:sz w:val="22"/>
                <w:lang w:eastAsia="en-AU"/>
              </w:rPr>
            </w:pPr>
            <w:r w:rsidRPr="004A7111">
              <w:rPr>
                <w:rFonts w:eastAsia="Times New Roman" w:cs="Calibri"/>
                <w:b/>
                <w:color w:val="000000"/>
                <w:sz w:val="22"/>
                <w:lang w:eastAsia="en-AU"/>
              </w:rPr>
              <w:t>OR</w:t>
            </w:r>
          </w:p>
        </w:tc>
        <w:tc>
          <w:tcPr>
            <w:tcW w:w="2268" w:type="dxa"/>
            <w:gridSpan w:val="2"/>
            <w:shd w:val="clear" w:color="auto" w:fill="C6D9F1"/>
          </w:tcPr>
          <w:p w:rsidR="00DD5224" w:rsidRPr="004A7111" w:rsidRDefault="00DD5224" w:rsidP="00DD5224">
            <w:pPr>
              <w:pStyle w:val="ListParagraph"/>
              <w:numPr>
                <w:ilvl w:val="1"/>
                <w:numId w:val="28"/>
              </w:numPr>
              <w:spacing w:after="0" w:line="240" w:lineRule="auto"/>
              <w:ind w:left="349"/>
              <w:rPr>
                <w:rFonts w:eastAsia="Times New Roman" w:cs="Calibri"/>
                <w:b/>
                <w:color w:val="000000"/>
                <w:sz w:val="22"/>
                <w:lang w:eastAsia="en-AU"/>
              </w:rPr>
            </w:pPr>
            <w:r w:rsidRPr="004A7111">
              <w:rPr>
                <w:rFonts w:eastAsia="Times New Roman" w:cs="Calibri"/>
                <w:b/>
                <w:color w:val="000000"/>
                <w:sz w:val="22"/>
                <w:lang w:eastAsia="en-AU"/>
              </w:rPr>
              <w:t>Is the dominant purpose of the Office to perform functions which uphold the operating va</w:t>
            </w:r>
            <w:r w:rsidRPr="004A7111">
              <w:rPr>
                <w:rFonts w:eastAsia="Times New Roman" w:cs="Calibri"/>
                <w:b/>
                <w:color w:val="000000"/>
                <w:sz w:val="22"/>
                <w:shd w:val="clear" w:color="auto" w:fill="C6D9F1"/>
                <w:lang w:eastAsia="en-AU"/>
              </w:rPr>
              <w:t>l</w:t>
            </w:r>
            <w:r w:rsidRPr="004A7111">
              <w:rPr>
                <w:rFonts w:eastAsia="Times New Roman" w:cs="Calibri"/>
                <w:b/>
                <w:color w:val="000000"/>
                <w:sz w:val="22"/>
                <w:lang w:eastAsia="en-AU"/>
              </w:rPr>
              <w:t>ues of the Parliament?</w:t>
            </w:r>
          </w:p>
        </w:tc>
      </w:tr>
      <w:tr w:rsidR="00DD5224" w:rsidRPr="004A7111" w:rsidTr="00F037A1">
        <w:trPr>
          <w:gridAfter w:val="1"/>
          <w:wAfter w:w="599" w:type="dxa"/>
        </w:trPr>
        <w:tc>
          <w:tcPr>
            <w:tcW w:w="2268" w:type="dxa"/>
            <w:gridSpan w:val="2"/>
            <w:shd w:val="clear" w:color="auto" w:fill="auto"/>
          </w:tcPr>
          <w:p w:rsidR="00DD5224" w:rsidRPr="004A7111" w:rsidRDefault="00DD5224" w:rsidP="00F037A1">
            <w:pPr>
              <w:pStyle w:val="ListParagraph"/>
              <w:spacing w:after="0" w:line="240" w:lineRule="auto"/>
              <w:ind w:left="34"/>
              <w:jc w:val="center"/>
              <w:rPr>
                <w:rFonts w:eastAsia="Times New Roman" w:cs="Calibri"/>
                <w:b/>
                <w:color w:val="000000"/>
                <w:sz w:val="22"/>
                <w:lang w:eastAsia="en-AU"/>
              </w:rPr>
            </w:pPr>
            <w:r w:rsidRPr="004A7111">
              <w:rPr>
                <w:rFonts w:ascii="Wingdings 3" w:eastAsia="Times New Roman" w:hAnsi="Wingdings 3" w:cs="Calibri"/>
                <w:b/>
                <w:bCs/>
                <w:color w:val="000000"/>
                <w:sz w:val="22"/>
                <w:lang w:eastAsia="en-AU"/>
              </w:rPr>
              <w:t></w:t>
            </w:r>
          </w:p>
        </w:tc>
        <w:tc>
          <w:tcPr>
            <w:tcW w:w="567" w:type="dxa"/>
            <w:gridSpan w:val="2"/>
            <w:shd w:val="clear" w:color="auto" w:fill="auto"/>
            <w:vAlign w:val="center"/>
          </w:tcPr>
          <w:p w:rsidR="00DD5224" w:rsidRPr="004A7111" w:rsidRDefault="00DD5224" w:rsidP="00F037A1">
            <w:pPr>
              <w:pStyle w:val="ListParagraph"/>
              <w:spacing w:after="0" w:line="240" w:lineRule="auto"/>
              <w:ind w:left="0"/>
              <w:jc w:val="center"/>
              <w:rPr>
                <w:rFonts w:eastAsia="Times New Roman" w:cs="Calibri"/>
                <w:b/>
                <w:color w:val="000000"/>
                <w:sz w:val="22"/>
                <w:lang w:eastAsia="en-AU"/>
              </w:rPr>
            </w:pPr>
          </w:p>
        </w:tc>
        <w:tc>
          <w:tcPr>
            <w:tcW w:w="2268" w:type="dxa"/>
            <w:gridSpan w:val="3"/>
            <w:shd w:val="clear" w:color="auto" w:fill="auto"/>
          </w:tcPr>
          <w:p w:rsidR="00DD5224" w:rsidRPr="004A7111" w:rsidRDefault="00DD5224" w:rsidP="00F037A1">
            <w:pPr>
              <w:pStyle w:val="ListParagraph"/>
              <w:spacing w:after="0" w:line="240" w:lineRule="auto"/>
              <w:ind w:left="34"/>
              <w:jc w:val="center"/>
              <w:rPr>
                <w:rFonts w:eastAsia="Times New Roman" w:cs="Calibri"/>
                <w:b/>
                <w:color w:val="000000"/>
                <w:sz w:val="22"/>
                <w:lang w:eastAsia="en-AU"/>
              </w:rPr>
            </w:pPr>
            <w:r w:rsidRPr="004A7111">
              <w:rPr>
                <w:rFonts w:ascii="Wingdings 3" w:eastAsia="Times New Roman" w:hAnsi="Wingdings 3" w:cs="Calibri"/>
                <w:b/>
                <w:bCs/>
                <w:color w:val="000000"/>
                <w:sz w:val="22"/>
                <w:lang w:eastAsia="en-AU"/>
              </w:rPr>
              <w:t></w:t>
            </w:r>
          </w:p>
        </w:tc>
        <w:tc>
          <w:tcPr>
            <w:tcW w:w="567" w:type="dxa"/>
            <w:shd w:val="clear" w:color="auto" w:fill="auto"/>
            <w:vAlign w:val="center"/>
          </w:tcPr>
          <w:p w:rsidR="00DD5224" w:rsidRPr="004A7111" w:rsidRDefault="00DD5224" w:rsidP="00F037A1">
            <w:pPr>
              <w:pStyle w:val="ListParagraph"/>
              <w:spacing w:after="0" w:line="240" w:lineRule="auto"/>
              <w:ind w:left="0"/>
              <w:jc w:val="center"/>
              <w:rPr>
                <w:rFonts w:eastAsia="Times New Roman" w:cs="Calibri"/>
                <w:b/>
                <w:color w:val="000000"/>
                <w:sz w:val="22"/>
                <w:lang w:eastAsia="en-AU"/>
              </w:rPr>
            </w:pPr>
          </w:p>
        </w:tc>
        <w:tc>
          <w:tcPr>
            <w:tcW w:w="2268" w:type="dxa"/>
            <w:gridSpan w:val="2"/>
            <w:shd w:val="clear" w:color="auto" w:fill="auto"/>
          </w:tcPr>
          <w:p w:rsidR="00DD5224" w:rsidRPr="004A7111" w:rsidRDefault="00DD5224" w:rsidP="00F037A1">
            <w:pPr>
              <w:pStyle w:val="ListParagraph"/>
              <w:spacing w:after="0" w:line="240" w:lineRule="auto"/>
              <w:ind w:left="-108"/>
              <w:jc w:val="center"/>
              <w:rPr>
                <w:rFonts w:eastAsia="Times New Roman" w:cs="Calibri"/>
                <w:b/>
                <w:color w:val="000000"/>
                <w:sz w:val="22"/>
                <w:lang w:eastAsia="en-AU"/>
              </w:rPr>
            </w:pPr>
            <w:r w:rsidRPr="004A7111">
              <w:rPr>
                <w:rFonts w:ascii="Wingdings 3" w:eastAsia="Times New Roman" w:hAnsi="Wingdings 3" w:cs="Calibri"/>
                <w:b/>
                <w:bCs/>
                <w:color w:val="000000"/>
                <w:sz w:val="22"/>
                <w:lang w:eastAsia="en-AU"/>
              </w:rPr>
              <w:t></w:t>
            </w:r>
          </w:p>
        </w:tc>
      </w:tr>
      <w:tr w:rsidR="00DD5224" w:rsidRPr="004A7111" w:rsidTr="00F037A1">
        <w:trPr>
          <w:gridAfter w:val="1"/>
          <w:wAfter w:w="599" w:type="dxa"/>
        </w:trPr>
        <w:tc>
          <w:tcPr>
            <w:tcW w:w="7938" w:type="dxa"/>
            <w:gridSpan w:val="10"/>
            <w:shd w:val="clear" w:color="auto" w:fill="C2D69B"/>
          </w:tcPr>
          <w:p w:rsidR="00DD5224" w:rsidRPr="004A7111" w:rsidRDefault="00DD5224" w:rsidP="00F037A1">
            <w:pPr>
              <w:pStyle w:val="ListParagraph"/>
              <w:spacing w:after="0" w:line="240" w:lineRule="auto"/>
              <w:ind w:left="-108"/>
              <w:jc w:val="center"/>
              <w:rPr>
                <w:rFonts w:eastAsia="Times New Roman" w:cs="Calibri"/>
                <w:i/>
                <w:sz w:val="22"/>
                <w:lang w:eastAsia="en-AU"/>
              </w:rPr>
            </w:pPr>
            <w:r w:rsidRPr="004A7111">
              <w:rPr>
                <w:rFonts w:eastAsia="Times New Roman" w:cs="Calibri"/>
                <w:i/>
                <w:sz w:val="22"/>
                <w:lang w:eastAsia="en-AU"/>
              </w:rPr>
              <w:t>If yes, the office may benefit from being designated an Officer of the Parliament</w:t>
            </w:r>
          </w:p>
        </w:tc>
      </w:tr>
    </w:tbl>
    <w:p w:rsidR="00DD5224" w:rsidRPr="004A7111" w:rsidRDefault="00DD5224" w:rsidP="00DD5224"/>
    <w:p w:rsidR="00B00ECB" w:rsidRPr="00346E5D" w:rsidRDefault="00B00ECB" w:rsidP="001A5685">
      <w:pPr>
        <w:spacing w:line="300" w:lineRule="exact"/>
        <w:outlineLvl w:val="1"/>
        <w:rPr>
          <w:rFonts w:cstheme="minorHAnsi"/>
          <w:iCs/>
        </w:rPr>
      </w:pPr>
    </w:p>
    <w:sectPr w:rsidR="00B00ECB" w:rsidRPr="00346E5D" w:rsidSect="00C05681">
      <w:footerReference w:type="default" r:id="rId8"/>
      <w:type w:val="continuous"/>
      <w:pgSz w:w="11907" w:h="16840" w:code="9"/>
      <w:pgMar w:top="1134" w:right="1134" w:bottom="1134" w:left="1134"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890" w:rsidRDefault="00BB7890" w:rsidP="00C044CF">
      <w:r>
        <w:separator/>
      </w:r>
    </w:p>
  </w:endnote>
  <w:endnote w:type="continuationSeparator" w:id="0">
    <w:p w:rsidR="00BB7890" w:rsidRDefault="00BB7890" w:rsidP="00C04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799777"/>
      <w:docPartObj>
        <w:docPartGallery w:val="Page Numbers (Top of Page)"/>
        <w:docPartUnique/>
      </w:docPartObj>
    </w:sdtPr>
    <w:sdtContent>
      <w:p w:rsidR="00BB7890" w:rsidRDefault="00BB7890" w:rsidP="006114B4">
        <w:pPr>
          <w:pStyle w:val="Footer"/>
          <w:jc w:val="right"/>
        </w:pPr>
        <w:r w:rsidRPr="006114B4">
          <w:t xml:space="preserve">Page </w:t>
        </w:r>
        <w:fldSimple w:instr=" PAGE ">
          <w:r w:rsidR="007E270B">
            <w:rPr>
              <w:noProof/>
            </w:rPr>
            <w:t>2</w:t>
          </w:r>
        </w:fldSimple>
        <w:r w:rsidRPr="006114B4">
          <w:t xml:space="preserve"> of </w:t>
        </w:r>
        <w:fldSimple w:instr=" NUMPAGES  ">
          <w:r w:rsidR="007E270B">
            <w:rPr>
              <w:noProof/>
            </w:rPr>
            <w:t>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890" w:rsidRDefault="00BB7890" w:rsidP="00C044CF">
      <w:r>
        <w:separator/>
      </w:r>
    </w:p>
  </w:footnote>
  <w:footnote w:type="continuationSeparator" w:id="0">
    <w:p w:rsidR="00BB7890" w:rsidRDefault="00BB7890" w:rsidP="00C044CF">
      <w:r>
        <w:continuationSeparator/>
      </w:r>
    </w:p>
  </w:footnote>
  <w:footnote w:id="1">
    <w:p w:rsidR="00BB7890" w:rsidRDefault="00BB7890" w:rsidP="00F037A1">
      <w:pPr>
        <w:pStyle w:val="Footnote"/>
      </w:pPr>
      <w:r>
        <w:rPr>
          <w:rStyle w:val="FootnoteReference"/>
        </w:rPr>
        <w:footnoteRef/>
      </w:r>
      <w:r>
        <w:t xml:space="preserve"> Victorian Public Accounts and Estimates Committee (VICPAEC) (2006) </w:t>
      </w:r>
      <w:r>
        <w:rPr>
          <w:i/>
          <w:iCs/>
        </w:rPr>
        <w:t>Report on a Legislative Framework for Independent Officers of Parliament</w:t>
      </w:r>
      <w:r>
        <w:t>, February, Parliament of Victoria</w:t>
      </w:r>
    </w:p>
  </w:footnote>
  <w:footnote w:id="2">
    <w:p w:rsidR="00BB7890" w:rsidRDefault="00BB7890" w:rsidP="00F037A1">
      <w:pPr>
        <w:pStyle w:val="Footnote"/>
      </w:pPr>
      <w:r>
        <w:rPr>
          <w:rStyle w:val="FootnoteReference"/>
        </w:rPr>
        <w:footnoteRef/>
      </w:r>
      <w:r>
        <w:t xml:space="preserve"> See Attachment 1</w:t>
      </w:r>
    </w:p>
  </w:footnote>
  <w:footnote w:id="3">
    <w:p w:rsidR="00BB7890" w:rsidRDefault="00BB7890" w:rsidP="00F037A1">
      <w:pPr>
        <w:pStyle w:val="Footnote"/>
      </w:pPr>
      <w:r>
        <w:rPr>
          <w:rStyle w:val="FootnoteReference"/>
        </w:rPr>
        <w:footnoteRef/>
      </w:r>
      <w:r>
        <w:t xml:space="preserve"> Select Committee on Estimates 2009-10, </w:t>
      </w:r>
      <w:r w:rsidRPr="00885165">
        <w:rPr>
          <w:i/>
        </w:rPr>
        <w:t>Report on the Appropriation Bill 2009-10</w:t>
      </w:r>
      <w:r>
        <w:t>, June 2009, p. 15</w:t>
      </w:r>
    </w:p>
  </w:footnote>
  <w:footnote w:id="4">
    <w:p w:rsidR="00BB7890" w:rsidRDefault="00BB7890" w:rsidP="00F037A1">
      <w:pPr>
        <w:pStyle w:val="Footnote"/>
      </w:pPr>
      <w:r>
        <w:rPr>
          <w:rStyle w:val="FootnoteReference"/>
        </w:rPr>
        <w:footnoteRef/>
      </w:r>
      <w:r>
        <w:t xml:space="preserve"> </w:t>
      </w:r>
      <w:r w:rsidRPr="00BA212E">
        <w:rPr>
          <w:i/>
        </w:rPr>
        <w:t>The Canberra Times</w:t>
      </w:r>
      <w:r>
        <w:t>, “</w:t>
      </w:r>
      <w:r w:rsidRPr="00BA212E">
        <w:t>Stanhope may cut Auditor’s funding</w:t>
      </w:r>
      <w:r>
        <w:t>”, 20 June 2009, p.1</w:t>
      </w:r>
    </w:p>
  </w:footnote>
  <w:footnote w:id="5">
    <w:p w:rsidR="00BB7890" w:rsidRDefault="00BB7890" w:rsidP="00F037A1">
      <w:pPr>
        <w:pStyle w:val="Footnote"/>
      </w:pPr>
      <w:r>
        <w:rPr>
          <w:rStyle w:val="FootnoteReference"/>
        </w:rPr>
        <w:footnoteRef/>
      </w:r>
      <w:r>
        <w:t xml:space="preserve"> “Stanhope’s Auditor-General threats </w:t>
      </w:r>
      <w:proofErr w:type="spellStart"/>
      <w:r>
        <w:t>discraceful</w:t>
      </w:r>
      <w:proofErr w:type="spellEnd"/>
      <w:r>
        <w:t xml:space="preserve"> and cowardly”</w:t>
      </w:r>
      <w:r w:rsidRPr="00B57D34">
        <w:t xml:space="preserve"> </w:t>
      </w:r>
      <w:r>
        <w:t>Media Release 19 June 2009</w:t>
      </w:r>
    </w:p>
  </w:footnote>
  <w:footnote w:id="6">
    <w:p w:rsidR="00BB7890" w:rsidRPr="00742125" w:rsidRDefault="00BB7890" w:rsidP="00F037A1">
      <w:pPr>
        <w:pStyle w:val="Footnote"/>
      </w:pPr>
      <w:r w:rsidRPr="00742125">
        <w:rPr>
          <w:rStyle w:val="FootnoteReference"/>
        </w:rPr>
        <w:footnoteRef/>
      </w:r>
      <w:r w:rsidRPr="00742125">
        <w:t xml:space="preserve"> Prepared by R J </w:t>
      </w:r>
      <w:proofErr w:type="spellStart"/>
      <w:r w:rsidRPr="00742125">
        <w:t>Sendt</w:t>
      </w:r>
      <w:proofErr w:type="spellEnd"/>
      <w:r w:rsidRPr="00742125">
        <w:t>, 3 May 2010 and tabled in the ACT Legislative Assembly on May 5 2010</w:t>
      </w:r>
    </w:p>
  </w:footnote>
  <w:footnote w:id="7">
    <w:p w:rsidR="00BB7890" w:rsidRPr="00F037A1" w:rsidRDefault="00BB7890" w:rsidP="00F037A1">
      <w:pPr>
        <w:pStyle w:val="Footnote"/>
      </w:pPr>
      <w:r w:rsidRPr="00F037A1">
        <w:rPr>
          <w:rStyle w:val="FootnoteReference"/>
        </w:rPr>
        <w:footnoteRef/>
      </w:r>
      <w:r w:rsidRPr="00F037A1">
        <w:rPr>
          <w:vertAlign w:val="superscript"/>
        </w:rPr>
        <w:t xml:space="preserve"> </w:t>
      </w:r>
      <w:r w:rsidR="007E270B">
        <w:rPr>
          <w:vertAlign w:val="superscript"/>
        </w:rPr>
        <w:t xml:space="preserve"> </w:t>
      </w:r>
      <w:r w:rsidRPr="00F037A1">
        <w:t>Standing Committee on Public Accounts, Inquiry into the ACT Auditor-General Act 1996</w:t>
      </w:r>
      <w:r>
        <w:t>, February 2011, p. 1</w:t>
      </w:r>
    </w:p>
  </w:footnote>
  <w:footnote w:id="8">
    <w:p w:rsidR="00BB7890" w:rsidRPr="00F037A1" w:rsidRDefault="00BB7890" w:rsidP="00F037A1">
      <w:pPr>
        <w:pStyle w:val="Footnote"/>
      </w:pPr>
      <w:r w:rsidRPr="00F037A1">
        <w:rPr>
          <w:rStyle w:val="FootnoteReference"/>
        </w:rPr>
        <w:footnoteRef/>
      </w:r>
      <w:r w:rsidRPr="00F037A1">
        <w:rPr>
          <w:vertAlign w:val="superscript"/>
        </w:rPr>
        <w:t xml:space="preserve"> </w:t>
      </w:r>
      <w:r w:rsidR="007E270B">
        <w:rPr>
          <w:vertAlign w:val="superscript"/>
        </w:rPr>
        <w:t xml:space="preserve"> </w:t>
      </w:r>
      <w:r w:rsidRPr="00F037A1">
        <w:t>Standing Committee on Administration and Procedure, Officer of the Parliament</w:t>
      </w:r>
      <w:r>
        <w:t>, March 2012, p. 2</w:t>
      </w:r>
    </w:p>
  </w:footnote>
  <w:footnote w:id="9">
    <w:p w:rsidR="00BB7890" w:rsidRDefault="00BB7890" w:rsidP="00BB7890">
      <w:pPr>
        <w:pStyle w:val="Footnote"/>
      </w:pPr>
      <w:r w:rsidRPr="00742125">
        <w:rPr>
          <w:rStyle w:val="FootnoteReference"/>
        </w:rPr>
        <w:footnoteRef/>
      </w:r>
      <w:r w:rsidRPr="00742125">
        <w:t xml:space="preserve"> See attachm</w:t>
      </w:r>
      <w:r>
        <w:t>ent 2</w:t>
      </w:r>
    </w:p>
  </w:footnote>
  <w:footnote w:id="10">
    <w:p w:rsidR="00BB7890" w:rsidRDefault="00BB7890" w:rsidP="00BB7890">
      <w:pPr>
        <w:pStyle w:val="Footnote"/>
      </w:pPr>
      <w:r>
        <w:rPr>
          <w:rStyle w:val="FootnoteReference"/>
        </w:rPr>
        <w:footnoteRef/>
      </w:r>
      <w:r>
        <w:t xml:space="preserve"> In the ACT the services of the Commonwealth Ombudsman are purchased to fulfil the role of Ombudsman so the notion of appointing a commonwealth officer as an Officer of the Legislative Assembly could be problematic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86A"/>
    <w:multiLevelType w:val="multilevel"/>
    <w:tmpl w:val="13C6DDC0"/>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771A35"/>
    <w:multiLevelType w:val="multilevel"/>
    <w:tmpl w:val="BCFCBA68"/>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0194A23"/>
    <w:multiLevelType w:val="hybridMultilevel"/>
    <w:tmpl w:val="0A304F1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54B2130"/>
    <w:multiLevelType w:val="hybridMultilevel"/>
    <w:tmpl w:val="E35CE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B80F57"/>
    <w:multiLevelType w:val="hybridMultilevel"/>
    <w:tmpl w:val="90C0AFC6"/>
    <w:lvl w:ilvl="0" w:tplc="EB549C8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241617B"/>
    <w:multiLevelType w:val="multilevel"/>
    <w:tmpl w:val="4F8897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45D331E"/>
    <w:multiLevelType w:val="hybridMultilevel"/>
    <w:tmpl w:val="0D28184E"/>
    <w:lvl w:ilvl="0" w:tplc="DD1E62FC">
      <w:start w:val="1"/>
      <w:numFmt w:val="decimal"/>
      <w:pStyle w:val="Bulletnumbered"/>
      <w:lvlText w:val="%1."/>
      <w:lvlJc w:val="left"/>
      <w:pPr>
        <w:ind w:left="720" w:hanging="360"/>
      </w:pPr>
      <w:rPr>
        <w:rFonts w:hint="default"/>
      </w:rPr>
    </w:lvl>
    <w:lvl w:ilvl="1" w:tplc="4DE6EBD4" w:tentative="1">
      <w:start w:val="1"/>
      <w:numFmt w:val="lowerLetter"/>
      <w:lvlText w:val="%2."/>
      <w:lvlJc w:val="left"/>
      <w:pPr>
        <w:ind w:left="1440" w:hanging="360"/>
      </w:pPr>
    </w:lvl>
    <w:lvl w:ilvl="2" w:tplc="C7967D10" w:tentative="1">
      <w:start w:val="1"/>
      <w:numFmt w:val="lowerRoman"/>
      <w:lvlText w:val="%3."/>
      <w:lvlJc w:val="right"/>
      <w:pPr>
        <w:ind w:left="2160" w:hanging="180"/>
      </w:pPr>
    </w:lvl>
    <w:lvl w:ilvl="3" w:tplc="5F686C3E" w:tentative="1">
      <w:start w:val="1"/>
      <w:numFmt w:val="decimal"/>
      <w:lvlText w:val="%4."/>
      <w:lvlJc w:val="left"/>
      <w:pPr>
        <w:ind w:left="2880" w:hanging="360"/>
      </w:pPr>
    </w:lvl>
    <w:lvl w:ilvl="4" w:tplc="260039F4" w:tentative="1">
      <w:start w:val="1"/>
      <w:numFmt w:val="lowerLetter"/>
      <w:lvlText w:val="%5."/>
      <w:lvlJc w:val="left"/>
      <w:pPr>
        <w:ind w:left="3600" w:hanging="360"/>
      </w:pPr>
    </w:lvl>
    <w:lvl w:ilvl="5" w:tplc="A60EE054" w:tentative="1">
      <w:start w:val="1"/>
      <w:numFmt w:val="lowerRoman"/>
      <w:lvlText w:val="%6."/>
      <w:lvlJc w:val="right"/>
      <w:pPr>
        <w:ind w:left="4320" w:hanging="180"/>
      </w:pPr>
    </w:lvl>
    <w:lvl w:ilvl="6" w:tplc="8B7E0BDA" w:tentative="1">
      <w:start w:val="1"/>
      <w:numFmt w:val="decimal"/>
      <w:lvlText w:val="%7."/>
      <w:lvlJc w:val="left"/>
      <w:pPr>
        <w:ind w:left="5040" w:hanging="360"/>
      </w:pPr>
    </w:lvl>
    <w:lvl w:ilvl="7" w:tplc="FC9EEDE8" w:tentative="1">
      <w:start w:val="1"/>
      <w:numFmt w:val="lowerLetter"/>
      <w:lvlText w:val="%8."/>
      <w:lvlJc w:val="left"/>
      <w:pPr>
        <w:ind w:left="5760" w:hanging="360"/>
      </w:pPr>
    </w:lvl>
    <w:lvl w:ilvl="8" w:tplc="92D2FCD2" w:tentative="1">
      <w:start w:val="1"/>
      <w:numFmt w:val="lowerRoman"/>
      <w:lvlText w:val="%9."/>
      <w:lvlJc w:val="right"/>
      <w:pPr>
        <w:ind w:left="6480" w:hanging="180"/>
      </w:pPr>
    </w:lvl>
  </w:abstractNum>
  <w:abstractNum w:abstractNumId="7">
    <w:nsid w:val="29776B21"/>
    <w:multiLevelType w:val="hybridMultilevel"/>
    <w:tmpl w:val="458C87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F35431E"/>
    <w:multiLevelType w:val="hybridMultilevel"/>
    <w:tmpl w:val="0A280DF8"/>
    <w:lvl w:ilvl="0" w:tplc="5A24A778">
      <w:start w:val="1"/>
      <w:numFmt w:val="bullet"/>
      <w:pStyle w:val="Bodycopybulletlevel2"/>
      <w:lvlText w:val="o"/>
      <w:lvlJc w:val="left"/>
      <w:pPr>
        <w:ind w:left="703" w:hanging="360"/>
      </w:pPr>
      <w:rPr>
        <w:rFonts w:ascii="Courier New" w:hAnsi="Courier New" w:cs="Courier New" w:hint="default"/>
      </w:rPr>
    </w:lvl>
    <w:lvl w:ilvl="1" w:tplc="0C090019" w:tentative="1">
      <w:start w:val="1"/>
      <w:numFmt w:val="lowerLetter"/>
      <w:lvlText w:val="%2."/>
      <w:lvlJc w:val="left"/>
      <w:pPr>
        <w:ind w:left="1423" w:hanging="360"/>
      </w:pPr>
    </w:lvl>
    <w:lvl w:ilvl="2" w:tplc="0C09001B" w:tentative="1">
      <w:start w:val="1"/>
      <w:numFmt w:val="lowerRoman"/>
      <w:lvlText w:val="%3."/>
      <w:lvlJc w:val="right"/>
      <w:pPr>
        <w:ind w:left="2143" w:hanging="180"/>
      </w:pPr>
    </w:lvl>
    <w:lvl w:ilvl="3" w:tplc="0C09000F" w:tentative="1">
      <w:start w:val="1"/>
      <w:numFmt w:val="decimal"/>
      <w:lvlText w:val="%4."/>
      <w:lvlJc w:val="left"/>
      <w:pPr>
        <w:ind w:left="2863" w:hanging="360"/>
      </w:pPr>
    </w:lvl>
    <w:lvl w:ilvl="4" w:tplc="0C090019" w:tentative="1">
      <w:start w:val="1"/>
      <w:numFmt w:val="lowerLetter"/>
      <w:lvlText w:val="%5."/>
      <w:lvlJc w:val="left"/>
      <w:pPr>
        <w:ind w:left="3583" w:hanging="360"/>
      </w:pPr>
    </w:lvl>
    <w:lvl w:ilvl="5" w:tplc="0C09001B" w:tentative="1">
      <w:start w:val="1"/>
      <w:numFmt w:val="lowerRoman"/>
      <w:lvlText w:val="%6."/>
      <w:lvlJc w:val="right"/>
      <w:pPr>
        <w:ind w:left="4303" w:hanging="180"/>
      </w:pPr>
    </w:lvl>
    <w:lvl w:ilvl="6" w:tplc="0C09000F" w:tentative="1">
      <w:start w:val="1"/>
      <w:numFmt w:val="decimal"/>
      <w:lvlText w:val="%7."/>
      <w:lvlJc w:val="left"/>
      <w:pPr>
        <w:ind w:left="5023" w:hanging="360"/>
      </w:pPr>
    </w:lvl>
    <w:lvl w:ilvl="7" w:tplc="0C090019" w:tentative="1">
      <w:start w:val="1"/>
      <w:numFmt w:val="lowerLetter"/>
      <w:lvlText w:val="%8."/>
      <w:lvlJc w:val="left"/>
      <w:pPr>
        <w:ind w:left="5743" w:hanging="360"/>
      </w:pPr>
    </w:lvl>
    <w:lvl w:ilvl="8" w:tplc="0C09001B" w:tentative="1">
      <w:start w:val="1"/>
      <w:numFmt w:val="lowerRoman"/>
      <w:lvlText w:val="%9."/>
      <w:lvlJc w:val="right"/>
      <w:pPr>
        <w:ind w:left="6463" w:hanging="180"/>
      </w:pPr>
    </w:lvl>
  </w:abstractNum>
  <w:abstractNum w:abstractNumId="9">
    <w:nsid w:val="31346687"/>
    <w:multiLevelType w:val="multilevel"/>
    <w:tmpl w:val="354E616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b w:val="0"/>
        <w:bCs w:val="0"/>
        <w:i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3B2750C"/>
    <w:multiLevelType w:val="multilevel"/>
    <w:tmpl w:val="C0E250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031E31"/>
    <w:multiLevelType w:val="multilevel"/>
    <w:tmpl w:val="D6287B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849080A"/>
    <w:multiLevelType w:val="multilevel"/>
    <w:tmpl w:val="6D62BE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CD87542"/>
    <w:multiLevelType w:val="multilevel"/>
    <w:tmpl w:val="BBBE0786"/>
    <w:styleLink w:val="Style2"/>
    <w:lvl w:ilvl="0">
      <w:start w:val="1"/>
      <w:numFmt w:val="decimal"/>
      <w:lvlText w:val="%1."/>
      <w:lvlJc w:val="left"/>
      <w:pPr>
        <w:ind w:left="720" w:hanging="360"/>
      </w:pPr>
      <w:rPr>
        <w:rFonts w:hint="default"/>
      </w:rPr>
    </w:lvl>
    <w:lvl w:ilvl="1">
      <w:start w:val="1"/>
      <w:numFmt w:val="decimal"/>
      <w:lvlText w:val="%1.i."/>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nsid w:val="509C3327"/>
    <w:multiLevelType w:val="multilevel"/>
    <w:tmpl w:val="4A4A5E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2942F7"/>
    <w:multiLevelType w:val="hybridMultilevel"/>
    <w:tmpl w:val="61F802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5D5D0108"/>
    <w:multiLevelType w:val="multilevel"/>
    <w:tmpl w:val="19B6DF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FF469CF"/>
    <w:multiLevelType w:val="multilevel"/>
    <w:tmpl w:val="0C80E50E"/>
    <w:lvl w:ilvl="0">
      <w:start w:val="1"/>
      <w:numFmt w:val="decimal"/>
      <w:pStyle w:val="Heading4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5496197"/>
    <w:multiLevelType w:val="multilevel"/>
    <w:tmpl w:val="21DEBBCC"/>
    <w:lvl w:ilvl="0">
      <w:start w:val="1"/>
      <w:numFmt w:val="lowerRoman"/>
      <w:pStyle w:val="Bulletlist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6F34FF5"/>
    <w:multiLevelType w:val="multilevel"/>
    <w:tmpl w:val="28B4FE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7601356"/>
    <w:multiLevelType w:val="hybridMultilevel"/>
    <w:tmpl w:val="3D2C4C98"/>
    <w:lvl w:ilvl="0" w:tplc="F55EC490">
      <w:start w:val="1"/>
      <w:numFmt w:val="decimal"/>
      <w:lvlText w:val="%1)"/>
      <w:lvlJc w:val="left"/>
      <w:pPr>
        <w:ind w:left="720" w:hanging="360"/>
      </w:pPr>
    </w:lvl>
    <w:lvl w:ilvl="1" w:tplc="E5E2C19C">
      <w:start w:val="1"/>
      <w:numFmt w:val="lowerLetter"/>
      <w:pStyle w:val="Bulletlistalpha"/>
      <w:lvlText w:val="%2)"/>
      <w:lvlJc w:val="left"/>
      <w:pPr>
        <w:ind w:left="1440" w:hanging="360"/>
      </w:pPr>
    </w:lvl>
    <w:lvl w:ilvl="2" w:tplc="E6862276" w:tentative="1">
      <w:start w:val="1"/>
      <w:numFmt w:val="lowerRoman"/>
      <w:lvlText w:val="%3."/>
      <w:lvlJc w:val="right"/>
      <w:pPr>
        <w:ind w:left="2160" w:hanging="180"/>
      </w:pPr>
    </w:lvl>
    <w:lvl w:ilvl="3" w:tplc="87381892" w:tentative="1">
      <w:start w:val="1"/>
      <w:numFmt w:val="decimal"/>
      <w:lvlText w:val="%4."/>
      <w:lvlJc w:val="left"/>
      <w:pPr>
        <w:ind w:left="2880" w:hanging="360"/>
      </w:pPr>
    </w:lvl>
    <w:lvl w:ilvl="4" w:tplc="F6E68498" w:tentative="1">
      <w:start w:val="1"/>
      <w:numFmt w:val="lowerLetter"/>
      <w:lvlText w:val="%5."/>
      <w:lvlJc w:val="left"/>
      <w:pPr>
        <w:ind w:left="3600" w:hanging="360"/>
      </w:pPr>
    </w:lvl>
    <w:lvl w:ilvl="5" w:tplc="1BAE2216" w:tentative="1">
      <w:start w:val="1"/>
      <w:numFmt w:val="lowerRoman"/>
      <w:lvlText w:val="%6."/>
      <w:lvlJc w:val="right"/>
      <w:pPr>
        <w:ind w:left="4320" w:hanging="180"/>
      </w:pPr>
    </w:lvl>
    <w:lvl w:ilvl="6" w:tplc="2C5E5882" w:tentative="1">
      <w:start w:val="1"/>
      <w:numFmt w:val="decimal"/>
      <w:lvlText w:val="%7."/>
      <w:lvlJc w:val="left"/>
      <w:pPr>
        <w:ind w:left="5040" w:hanging="360"/>
      </w:pPr>
    </w:lvl>
    <w:lvl w:ilvl="7" w:tplc="C7A4887E" w:tentative="1">
      <w:start w:val="1"/>
      <w:numFmt w:val="lowerLetter"/>
      <w:lvlText w:val="%8."/>
      <w:lvlJc w:val="left"/>
      <w:pPr>
        <w:ind w:left="5760" w:hanging="360"/>
      </w:pPr>
    </w:lvl>
    <w:lvl w:ilvl="8" w:tplc="B1688992" w:tentative="1">
      <w:start w:val="1"/>
      <w:numFmt w:val="lowerRoman"/>
      <w:lvlText w:val="%9."/>
      <w:lvlJc w:val="right"/>
      <w:pPr>
        <w:ind w:left="6480" w:hanging="180"/>
      </w:pPr>
    </w:lvl>
  </w:abstractNum>
  <w:abstractNum w:abstractNumId="22">
    <w:nsid w:val="6E19725E"/>
    <w:multiLevelType w:val="multilevel"/>
    <w:tmpl w:val="A7EEE4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04B2BAF"/>
    <w:multiLevelType w:val="multilevel"/>
    <w:tmpl w:val="BCFCBA68"/>
    <w:numStyleLink w:val="Style1"/>
  </w:abstractNum>
  <w:abstractNum w:abstractNumId="24">
    <w:nsid w:val="7D1314E2"/>
    <w:multiLevelType w:val="hybridMultilevel"/>
    <w:tmpl w:val="EA8474AC"/>
    <w:lvl w:ilvl="0" w:tplc="8800DFAA">
      <w:start w:val="1"/>
      <w:numFmt w:val="bullet"/>
      <w:pStyle w:val="Bodycopybulletlevel1"/>
      <w:lvlText w:val=""/>
      <w:lvlJc w:val="left"/>
      <w:pPr>
        <w:ind w:left="720" w:hanging="360"/>
      </w:pPr>
      <w:rPr>
        <w:rFonts w:ascii="Symbol" w:hAnsi="Symbol" w:hint="default"/>
      </w:rPr>
    </w:lvl>
    <w:lvl w:ilvl="1" w:tplc="4DE6EBD4" w:tentative="1">
      <w:start w:val="1"/>
      <w:numFmt w:val="lowerLetter"/>
      <w:lvlText w:val="%2."/>
      <w:lvlJc w:val="left"/>
      <w:pPr>
        <w:ind w:left="1440" w:hanging="360"/>
      </w:pPr>
    </w:lvl>
    <w:lvl w:ilvl="2" w:tplc="C7967D10" w:tentative="1">
      <w:start w:val="1"/>
      <w:numFmt w:val="lowerRoman"/>
      <w:lvlText w:val="%3."/>
      <w:lvlJc w:val="right"/>
      <w:pPr>
        <w:ind w:left="2160" w:hanging="180"/>
      </w:pPr>
    </w:lvl>
    <w:lvl w:ilvl="3" w:tplc="5F686C3E" w:tentative="1">
      <w:start w:val="1"/>
      <w:numFmt w:val="decimal"/>
      <w:lvlText w:val="%4."/>
      <w:lvlJc w:val="left"/>
      <w:pPr>
        <w:ind w:left="2880" w:hanging="360"/>
      </w:pPr>
    </w:lvl>
    <w:lvl w:ilvl="4" w:tplc="260039F4" w:tentative="1">
      <w:start w:val="1"/>
      <w:numFmt w:val="lowerLetter"/>
      <w:lvlText w:val="%5."/>
      <w:lvlJc w:val="left"/>
      <w:pPr>
        <w:ind w:left="3600" w:hanging="360"/>
      </w:pPr>
    </w:lvl>
    <w:lvl w:ilvl="5" w:tplc="A60EE054" w:tentative="1">
      <w:start w:val="1"/>
      <w:numFmt w:val="lowerRoman"/>
      <w:lvlText w:val="%6."/>
      <w:lvlJc w:val="right"/>
      <w:pPr>
        <w:ind w:left="4320" w:hanging="180"/>
      </w:pPr>
    </w:lvl>
    <w:lvl w:ilvl="6" w:tplc="8B7E0BDA" w:tentative="1">
      <w:start w:val="1"/>
      <w:numFmt w:val="decimal"/>
      <w:lvlText w:val="%7."/>
      <w:lvlJc w:val="left"/>
      <w:pPr>
        <w:ind w:left="5040" w:hanging="360"/>
      </w:pPr>
    </w:lvl>
    <w:lvl w:ilvl="7" w:tplc="FC9EEDE8" w:tentative="1">
      <w:start w:val="1"/>
      <w:numFmt w:val="lowerLetter"/>
      <w:lvlText w:val="%8."/>
      <w:lvlJc w:val="left"/>
      <w:pPr>
        <w:ind w:left="5760" w:hanging="360"/>
      </w:pPr>
    </w:lvl>
    <w:lvl w:ilvl="8" w:tplc="92D2FCD2" w:tentative="1">
      <w:start w:val="1"/>
      <w:numFmt w:val="lowerRoman"/>
      <w:lvlText w:val="%9."/>
      <w:lvlJc w:val="right"/>
      <w:pPr>
        <w:ind w:left="6480" w:hanging="180"/>
      </w:pPr>
    </w:lvl>
  </w:abstractNum>
  <w:abstractNum w:abstractNumId="25">
    <w:nsid w:val="7EF71498"/>
    <w:multiLevelType w:val="hybridMultilevel"/>
    <w:tmpl w:val="7AFC7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4"/>
  </w:num>
  <w:num w:numId="4">
    <w:abstractNumId w:val="22"/>
  </w:num>
  <w:num w:numId="5">
    <w:abstractNumId w:val="12"/>
  </w:num>
  <w:num w:numId="6">
    <w:abstractNumId w:val="20"/>
  </w:num>
  <w:num w:numId="7">
    <w:abstractNumId w:val="5"/>
  </w:num>
  <w:num w:numId="8">
    <w:abstractNumId w:val="1"/>
  </w:num>
  <w:num w:numId="9">
    <w:abstractNumId w:val="23"/>
  </w:num>
  <w:num w:numId="10">
    <w:abstractNumId w:val="10"/>
  </w:num>
  <w:num w:numId="11">
    <w:abstractNumId w:val="11"/>
  </w:num>
  <w:num w:numId="12">
    <w:abstractNumId w:val="13"/>
  </w:num>
  <w:num w:numId="13">
    <w:abstractNumId w:val="22"/>
    <w:lvlOverride w:ilvl="0">
      <w:lvl w:ilvl="0">
        <w:start w:val="1"/>
        <w:numFmt w:val="decimal"/>
        <w:lvlText w:val="%1."/>
        <w:lvlJc w:val="left"/>
        <w:pPr>
          <w:ind w:left="360" w:hanging="360"/>
        </w:pPr>
        <w:rPr>
          <w:rFonts w:hint="default"/>
        </w:rPr>
      </w:lvl>
    </w:lvlOverride>
    <w:lvlOverride w:ilvl="1">
      <w:lvl w:ilvl="1">
        <w:start w:val="1"/>
        <w:numFmt w:val="lowerRoman"/>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2"/>
    <w:lvlOverride w:ilvl="0">
      <w:lvl w:ilvl="0">
        <w:start w:val="1"/>
        <w:numFmt w:val="decimal"/>
        <w:lvlText w:val="%1."/>
        <w:lvlJc w:val="left"/>
        <w:pPr>
          <w:ind w:left="360" w:hanging="360"/>
        </w:pPr>
        <w:rPr>
          <w:rFonts w:hint="default"/>
        </w:rPr>
      </w:lvl>
    </w:lvlOverride>
    <w:lvlOverride w:ilvl="1">
      <w:lvl w:ilvl="1">
        <w:start w:val="1"/>
        <w:numFmt w:val="lowerLetter"/>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4"/>
  </w:num>
  <w:num w:numId="16">
    <w:abstractNumId w:val="0"/>
  </w:num>
  <w:num w:numId="17">
    <w:abstractNumId w:val="17"/>
  </w:num>
  <w:num w:numId="18">
    <w:abstractNumId w:val="21"/>
  </w:num>
  <w:num w:numId="19">
    <w:abstractNumId w:val="18"/>
  </w:num>
  <w:num w:numId="20">
    <w:abstractNumId w:val="9"/>
  </w:num>
  <w:num w:numId="21">
    <w:abstractNumId w:val="19"/>
  </w:num>
  <w:num w:numId="22">
    <w:abstractNumId w:val="16"/>
  </w:num>
  <w:num w:numId="23">
    <w:abstractNumId w:val="6"/>
  </w:num>
  <w:num w:numId="24">
    <w:abstractNumId w:val="3"/>
  </w:num>
  <w:num w:numId="25">
    <w:abstractNumId w:val="7"/>
  </w:num>
  <w:num w:numId="26">
    <w:abstractNumId w:val="25"/>
  </w:num>
  <w:num w:numId="27">
    <w:abstractNumId w:val="15"/>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1021"/>
  <w:stylePaneSortMethod w:val="0000"/>
  <w:revisionView w:inkAnnotations="0"/>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274259"/>
    <w:rsid w:val="000038F2"/>
    <w:rsid w:val="000244A3"/>
    <w:rsid w:val="00053FE3"/>
    <w:rsid w:val="00065B8C"/>
    <w:rsid w:val="000A7258"/>
    <w:rsid w:val="000D216B"/>
    <w:rsid w:val="001012CF"/>
    <w:rsid w:val="00121F31"/>
    <w:rsid w:val="00143F18"/>
    <w:rsid w:val="00154739"/>
    <w:rsid w:val="001632A1"/>
    <w:rsid w:val="001A0ED6"/>
    <w:rsid w:val="001A5685"/>
    <w:rsid w:val="001C6D04"/>
    <w:rsid w:val="00213E81"/>
    <w:rsid w:val="0024610B"/>
    <w:rsid w:val="00251FAF"/>
    <w:rsid w:val="00253B45"/>
    <w:rsid w:val="00260109"/>
    <w:rsid w:val="00266334"/>
    <w:rsid w:val="00274259"/>
    <w:rsid w:val="002B099B"/>
    <w:rsid w:val="002E5755"/>
    <w:rsid w:val="002F74E0"/>
    <w:rsid w:val="00310B99"/>
    <w:rsid w:val="00346E5D"/>
    <w:rsid w:val="003524CF"/>
    <w:rsid w:val="00357DDF"/>
    <w:rsid w:val="00367056"/>
    <w:rsid w:val="0037658C"/>
    <w:rsid w:val="003952D0"/>
    <w:rsid w:val="003C2CE5"/>
    <w:rsid w:val="003E2621"/>
    <w:rsid w:val="003F061C"/>
    <w:rsid w:val="00445591"/>
    <w:rsid w:val="00456C60"/>
    <w:rsid w:val="00486941"/>
    <w:rsid w:val="0049361C"/>
    <w:rsid w:val="004A47A1"/>
    <w:rsid w:val="004C7CD5"/>
    <w:rsid w:val="0050064D"/>
    <w:rsid w:val="00510199"/>
    <w:rsid w:val="005116D3"/>
    <w:rsid w:val="00515CAF"/>
    <w:rsid w:val="00532C87"/>
    <w:rsid w:val="00544910"/>
    <w:rsid w:val="0059610F"/>
    <w:rsid w:val="005A2A9F"/>
    <w:rsid w:val="005A41FB"/>
    <w:rsid w:val="005E1DA2"/>
    <w:rsid w:val="005F2DFD"/>
    <w:rsid w:val="005F2F07"/>
    <w:rsid w:val="006114B4"/>
    <w:rsid w:val="006461AB"/>
    <w:rsid w:val="00651835"/>
    <w:rsid w:val="0067609B"/>
    <w:rsid w:val="00676CD8"/>
    <w:rsid w:val="00684C3B"/>
    <w:rsid w:val="006A73FF"/>
    <w:rsid w:val="006B1615"/>
    <w:rsid w:val="006B19F0"/>
    <w:rsid w:val="006C6B73"/>
    <w:rsid w:val="006E29BD"/>
    <w:rsid w:val="00701F4C"/>
    <w:rsid w:val="00723ADD"/>
    <w:rsid w:val="007252C4"/>
    <w:rsid w:val="00742300"/>
    <w:rsid w:val="0075256D"/>
    <w:rsid w:val="00755FAC"/>
    <w:rsid w:val="007B36E8"/>
    <w:rsid w:val="007B6208"/>
    <w:rsid w:val="007C0ACE"/>
    <w:rsid w:val="007C55CB"/>
    <w:rsid w:val="007D17D1"/>
    <w:rsid w:val="007E175C"/>
    <w:rsid w:val="007E270B"/>
    <w:rsid w:val="008016B5"/>
    <w:rsid w:val="00815318"/>
    <w:rsid w:val="00823A30"/>
    <w:rsid w:val="00832789"/>
    <w:rsid w:val="00841065"/>
    <w:rsid w:val="00850398"/>
    <w:rsid w:val="0085106B"/>
    <w:rsid w:val="00860066"/>
    <w:rsid w:val="00876FB7"/>
    <w:rsid w:val="008D7984"/>
    <w:rsid w:val="00903A96"/>
    <w:rsid w:val="00915112"/>
    <w:rsid w:val="00921496"/>
    <w:rsid w:val="0094745C"/>
    <w:rsid w:val="0095313B"/>
    <w:rsid w:val="0098422A"/>
    <w:rsid w:val="009E2415"/>
    <w:rsid w:val="009F5CD9"/>
    <w:rsid w:val="009F7429"/>
    <w:rsid w:val="00A022BA"/>
    <w:rsid w:val="00A67318"/>
    <w:rsid w:val="00A768BF"/>
    <w:rsid w:val="00A82B46"/>
    <w:rsid w:val="00AB6A48"/>
    <w:rsid w:val="00AC6EA3"/>
    <w:rsid w:val="00AC7549"/>
    <w:rsid w:val="00AF3E15"/>
    <w:rsid w:val="00B00ECB"/>
    <w:rsid w:val="00B018A7"/>
    <w:rsid w:val="00B5147F"/>
    <w:rsid w:val="00B651B1"/>
    <w:rsid w:val="00B86CCE"/>
    <w:rsid w:val="00B94012"/>
    <w:rsid w:val="00BA7290"/>
    <w:rsid w:val="00BB0D31"/>
    <w:rsid w:val="00BB1CF6"/>
    <w:rsid w:val="00BB4FE8"/>
    <w:rsid w:val="00BB7890"/>
    <w:rsid w:val="00C01CC4"/>
    <w:rsid w:val="00C044CF"/>
    <w:rsid w:val="00C05681"/>
    <w:rsid w:val="00C25041"/>
    <w:rsid w:val="00C32AB7"/>
    <w:rsid w:val="00C469A8"/>
    <w:rsid w:val="00C70388"/>
    <w:rsid w:val="00C7686E"/>
    <w:rsid w:val="00CB4937"/>
    <w:rsid w:val="00D043DC"/>
    <w:rsid w:val="00D50696"/>
    <w:rsid w:val="00D8252B"/>
    <w:rsid w:val="00D85E1E"/>
    <w:rsid w:val="00DB212A"/>
    <w:rsid w:val="00DB6AE4"/>
    <w:rsid w:val="00DD29E6"/>
    <w:rsid w:val="00DD5224"/>
    <w:rsid w:val="00DD7619"/>
    <w:rsid w:val="00DE55CE"/>
    <w:rsid w:val="00DF705E"/>
    <w:rsid w:val="00DF7137"/>
    <w:rsid w:val="00E025B9"/>
    <w:rsid w:val="00E03190"/>
    <w:rsid w:val="00E21AE6"/>
    <w:rsid w:val="00E27316"/>
    <w:rsid w:val="00E32579"/>
    <w:rsid w:val="00E45F1D"/>
    <w:rsid w:val="00E70AD5"/>
    <w:rsid w:val="00E749B1"/>
    <w:rsid w:val="00E763D3"/>
    <w:rsid w:val="00E86F88"/>
    <w:rsid w:val="00EB6485"/>
    <w:rsid w:val="00ED4F1F"/>
    <w:rsid w:val="00EF3768"/>
    <w:rsid w:val="00EF78DC"/>
    <w:rsid w:val="00F00253"/>
    <w:rsid w:val="00F037A1"/>
    <w:rsid w:val="00F43DBE"/>
    <w:rsid w:val="00F65ADE"/>
    <w:rsid w:val="00F66E9A"/>
    <w:rsid w:val="00F72993"/>
    <w:rsid w:val="00F80ED1"/>
    <w:rsid w:val="00FA61AE"/>
    <w:rsid w:val="00FD0C22"/>
    <w:rsid w:val="00FE5235"/>
    <w:rsid w:val="00FF324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5755"/>
    <w:rPr>
      <w:rFonts w:eastAsia="Times New Roman" w:cs="Times New Roman"/>
      <w:sz w:val="22"/>
    </w:rPr>
  </w:style>
  <w:style w:type="paragraph" w:styleId="Heading1">
    <w:name w:val="heading 1"/>
    <w:next w:val="Bodycopy"/>
    <w:link w:val="Heading1Char"/>
    <w:qFormat/>
    <w:rsid w:val="00213E81"/>
    <w:pPr>
      <w:keepNext/>
      <w:numPr>
        <w:numId w:val="16"/>
      </w:numPr>
      <w:spacing w:beforeLines="150" w:afterLines="100"/>
      <w:ind w:left="567" w:hanging="567"/>
      <w:outlineLvl w:val="0"/>
    </w:pPr>
    <w:rPr>
      <w:rFonts w:ascii="Arial Narrow" w:eastAsiaTheme="majorEastAsia" w:hAnsi="Arial Narrow" w:cstheme="majorBidi"/>
      <w:bCs/>
      <w:smallCaps/>
      <w:color w:val="000000" w:themeColor="text1"/>
      <w:sz w:val="44"/>
      <w:szCs w:val="44"/>
    </w:rPr>
  </w:style>
  <w:style w:type="paragraph" w:styleId="Heading2">
    <w:name w:val="heading 2"/>
    <w:next w:val="Bodycopy"/>
    <w:link w:val="Heading2Char"/>
    <w:uiPriority w:val="9"/>
    <w:unhideWhenUsed/>
    <w:qFormat/>
    <w:rsid w:val="00266334"/>
    <w:pPr>
      <w:keepNext/>
      <w:widowControl w:val="0"/>
      <w:spacing w:beforeLines="150" w:afterLines="100"/>
      <w:outlineLvl w:val="1"/>
    </w:pPr>
    <w:rPr>
      <w:rFonts w:asciiTheme="majorHAnsi" w:eastAsiaTheme="minorEastAsia" w:hAnsiTheme="majorHAnsi" w:cstheme="majorHAnsi"/>
      <w:smallCaps/>
      <w:sz w:val="36"/>
      <w:szCs w:val="36"/>
    </w:rPr>
  </w:style>
  <w:style w:type="paragraph" w:styleId="Heading3">
    <w:name w:val="heading 3"/>
    <w:next w:val="Bodycopy"/>
    <w:link w:val="Heading3Char"/>
    <w:qFormat/>
    <w:rsid w:val="00F037A1"/>
    <w:pPr>
      <w:keepNext/>
      <w:keepLines/>
      <w:spacing w:beforeLines="100" w:afterLines="100"/>
      <w:outlineLvl w:val="2"/>
    </w:pPr>
    <w:rPr>
      <w:rFonts w:asciiTheme="majorHAnsi" w:eastAsiaTheme="minorEastAsia" w:hAnsiTheme="majorHAnsi" w:cstheme="majorHAnsi"/>
      <w:smallCaps/>
      <w:sz w:val="30"/>
      <w:szCs w:val="30"/>
    </w:rPr>
  </w:style>
  <w:style w:type="paragraph" w:styleId="Heading4">
    <w:name w:val="heading 4"/>
    <w:aliases w:val="no number"/>
    <w:next w:val="Bodycopy"/>
    <w:link w:val="Heading4Char"/>
    <w:qFormat/>
    <w:rsid w:val="00266334"/>
    <w:pPr>
      <w:keepNext/>
      <w:widowControl w:val="0"/>
      <w:spacing w:beforeLines="100" w:afterLines="100"/>
      <w:outlineLvl w:val="3"/>
    </w:pPr>
    <w:rPr>
      <w:rFonts w:asciiTheme="majorHAnsi" w:eastAsiaTheme="minorEastAsia" w:hAnsiTheme="majorHAnsi" w:cstheme="majorHAnsi"/>
      <w:smallCaps/>
      <w:sz w:val="26"/>
      <w:szCs w:val="26"/>
    </w:rPr>
  </w:style>
  <w:style w:type="paragraph" w:styleId="Heading5">
    <w:name w:val="heading 5"/>
    <w:next w:val="Bodycopy"/>
    <w:link w:val="Heading5Char"/>
    <w:uiPriority w:val="9"/>
    <w:unhideWhenUsed/>
    <w:qFormat/>
    <w:rsid w:val="00266334"/>
    <w:pPr>
      <w:keepNext/>
      <w:widowControl w:val="0"/>
      <w:spacing w:beforeLines="100" w:afterLines="50" w:line="300" w:lineRule="exact"/>
      <w:outlineLvl w:val="4"/>
    </w:pPr>
    <w:rPr>
      <w:rFonts w:asciiTheme="majorHAnsi" w:eastAsiaTheme="minorEastAsia" w:hAnsiTheme="majorHAnsi" w:cstheme="majorHAnsi"/>
      <w:i/>
      <w:smallCaps/>
    </w:rPr>
  </w:style>
  <w:style w:type="paragraph" w:styleId="Heading6">
    <w:name w:val="heading 6"/>
    <w:next w:val="Bodycopy"/>
    <w:link w:val="Heading6Char"/>
    <w:uiPriority w:val="9"/>
    <w:semiHidden/>
    <w:unhideWhenUsed/>
    <w:qFormat/>
    <w:rsid w:val="00266334"/>
    <w:pPr>
      <w:keepNext/>
      <w:widowControl w:val="0"/>
      <w:spacing w:before="200"/>
      <w:outlineLvl w:val="5"/>
    </w:pPr>
    <w:rPr>
      <w:rFonts w:asciiTheme="majorHAnsi" w:eastAsiaTheme="majorEastAsia" w:hAnsiTheme="majorHAnsi" w:cstheme="majorBidi"/>
      <w:i/>
      <w:iCs/>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E81"/>
    <w:rPr>
      <w:rFonts w:ascii="Arial Narrow" w:eastAsiaTheme="majorEastAsia" w:hAnsi="Arial Narrow" w:cstheme="majorBidi"/>
      <w:bCs/>
      <w:smallCaps/>
      <w:color w:val="000000" w:themeColor="text1"/>
      <w:sz w:val="44"/>
      <w:szCs w:val="44"/>
    </w:rPr>
  </w:style>
  <w:style w:type="character" w:customStyle="1" w:styleId="Heading3Char">
    <w:name w:val="Heading 3 Char"/>
    <w:basedOn w:val="DefaultParagraphFont"/>
    <w:link w:val="Heading3"/>
    <w:rsid w:val="00F037A1"/>
    <w:rPr>
      <w:rFonts w:asciiTheme="majorHAnsi" w:eastAsiaTheme="minorEastAsia" w:hAnsiTheme="majorHAnsi" w:cstheme="majorHAnsi"/>
      <w:smallCaps/>
      <w:sz w:val="30"/>
      <w:szCs w:val="30"/>
    </w:rPr>
  </w:style>
  <w:style w:type="character" w:customStyle="1" w:styleId="Heading4Char">
    <w:name w:val="Heading 4 Char"/>
    <w:aliases w:val="no number Char"/>
    <w:basedOn w:val="DefaultParagraphFont"/>
    <w:link w:val="Heading4"/>
    <w:rsid w:val="00266334"/>
    <w:rPr>
      <w:rFonts w:asciiTheme="majorHAnsi" w:eastAsiaTheme="minorEastAsia" w:hAnsiTheme="majorHAnsi" w:cstheme="majorHAnsi"/>
      <w:smallCaps/>
      <w:sz w:val="26"/>
      <w:szCs w:val="26"/>
    </w:rPr>
  </w:style>
  <w:style w:type="paragraph" w:customStyle="1" w:styleId="Bodycopybulletlevel2">
    <w:name w:val="Body copy bullet level 2"/>
    <w:qFormat/>
    <w:rsid w:val="00841065"/>
    <w:pPr>
      <w:keepNext/>
      <w:widowControl w:val="0"/>
      <w:numPr>
        <w:numId w:val="2"/>
      </w:numPr>
      <w:spacing w:beforeLines="120" w:afterLines="120" w:line="200" w:lineRule="exact"/>
      <w:ind w:left="1985" w:hanging="567"/>
    </w:pPr>
    <w:rPr>
      <w:rFonts w:cstheme="minorHAnsi"/>
      <w:color w:val="000000"/>
      <w:spacing w:val="-3"/>
      <w:sz w:val="22"/>
      <w:szCs w:val="20"/>
      <w:lang w:eastAsia="en-AU"/>
    </w:rPr>
  </w:style>
  <w:style w:type="paragraph" w:styleId="Header">
    <w:name w:val="header"/>
    <w:basedOn w:val="Normal"/>
    <w:link w:val="HeaderChar"/>
    <w:semiHidden/>
    <w:unhideWhenUsed/>
    <w:rsid w:val="005F2F07"/>
    <w:pPr>
      <w:tabs>
        <w:tab w:val="center" w:pos="4513"/>
        <w:tab w:val="right" w:pos="9026"/>
      </w:tabs>
    </w:pPr>
  </w:style>
  <w:style w:type="character" w:customStyle="1" w:styleId="HeaderChar">
    <w:name w:val="Header Char"/>
    <w:basedOn w:val="DefaultParagraphFont"/>
    <w:link w:val="Header"/>
    <w:semiHidden/>
    <w:rsid w:val="005F2F07"/>
    <w:rPr>
      <w:rFonts w:eastAsia="Times New Roman" w:cs="Times New Roman"/>
      <w:sz w:val="20"/>
    </w:rPr>
  </w:style>
  <w:style w:type="character" w:customStyle="1" w:styleId="Heading6Char">
    <w:name w:val="Heading 6 Char"/>
    <w:basedOn w:val="DefaultParagraphFont"/>
    <w:link w:val="Heading6"/>
    <w:uiPriority w:val="9"/>
    <w:semiHidden/>
    <w:rsid w:val="00266334"/>
    <w:rPr>
      <w:rFonts w:asciiTheme="majorHAnsi" w:eastAsiaTheme="majorEastAsia" w:hAnsiTheme="majorHAnsi" w:cstheme="majorBidi"/>
      <w:i/>
      <w:iCs/>
      <w:smallCaps/>
      <w:sz w:val="22"/>
    </w:rPr>
  </w:style>
  <w:style w:type="paragraph" w:customStyle="1" w:styleId="Titleheading">
    <w:name w:val="Title heading"/>
    <w:basedOn w:val="Normal"/>
    <w:next w:val="Bodycopy"/>
    <w:rsid w:val="00F037A1"/>
    <w:pPr>
      <w:keepNext/>
      <w:keepLines/>
      <w:tabs>
        <w:tab w:val="left" w:pos="9643"/>
      </w:tabs>
      <w:spacing w:beforeLines="1500" w:afterLines="1500"/>
      <w:outlineLvl w:val="0"/>
    </w:pPr>
    <w:rPr>
      <w:rFonts w:asciiTheme="majorHAnsi" w:eastAsiaTheme="minorEastAsia" w:hAnsiTheme="majorHAnsi" w:cstheme="majorHAnsi"/>
      <w:smallCaps/>
      <w:sz w:val="60"/>
      <w:szCs w:val="60"/>
    </w:rPr>
  </w:style>
  <w:style w:type="table" w:customStyle="1" w:styleId="LightShading1">
    <w:name w:val="Light Shading1"/>
    <w:basedOn w:val="TableNormal"/>
    <w:uiPriority w:val="60"/>
    <w:rsid w:val="00274259"/>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copy">
    <w:name w:val="Body copy"/>
    <w:qFormat/>
    <w:rsid w:val="00F037A1"/>
    <w:pPr>
      <w:keepNext/>
      <w:keepLines/>
      <w:spacing w:before="200" w:after="200" w:line="300" w:lineRule="exact"/>
    </w:pPr>
    <w:rPr>
      <w:rFonts w:cstheme="minorHAnsi"/>
      <w:color w:val="000000"/>
      <w:spacing w:val="-3"/>
      <w:sz w:val="22"/>
      <w:szCs w:val="20"/>
      <w:lang w:eastAsia="en-AU"/>
    </w:rPr>
  </w:style>
  <w:style w:type="paragraph" w:customStyle="1" w:styleId="Bodycopybulletlevel1">
    <w:name w:val="Body copy bullet level 1"/>
    <w:qFormat/>
    <w:rsid w:val="00841065"/>
    <w:pPr>
      <w:keepNext/>
      <w:widowControl w:val="0"/>
      <w:numPr>
        <w:numId w:val="1"/>
      </w:numPr>
      <w:spacing w:beforeLines="120" w:afterLines="120" w:line="200" w:lineRule="exact"/>
      <w:ind w:left="1418" w:hanging="567"/>
    </w:pPr>
    <w:rPr>
      <w:rFonts w:cstheme="minorHAnsi"/>
      <w:color w:val="000000"/>
      <w:spacing w:val="-3"/>
      <w:sz w:val="22"/>
      <w:szCs w:val="20"/>
      <w:lang w:eastAsia="en-AU"/>
    </w:rPr>
  </w:style>
  <w:style w:type="paragraph" w:customStyle="1" w:styleId="Tableheading">
    <w:name w:val="Table heading"/>
    <w:basedOn w:val="Normal"/>
    <w:qFormat/>
    <w:rsid w:val="0024610B"/>
    <w:pPr>
      <w:spacing w:before="128" w:after="160"/>
    </w:pPr>
    <w:rPr>
      <w:rFonts w:eastAsiaTheme="minorHAnsi" w:cstheme="minorHAnsi"/>
      <w:b/>
      <w:bCs/>
      <w:caps/>
      <w:color w:val="FFFFFF" w:themeColor="background1"/>
      <w:szCs w:val="20"/>
      <w:lang w:eastAsia="en-AU"/>
    </w:rPr>
  </w:style>
  <w:style w:type="paragraph" w:customStyle="1" w:styleId="Tablebodycopy">
    <w:name w:val="Table body copy"/>
    <w:basedOn w:val="Normal"/>
    <w:qFormat/>
    <w:rsid w:val="00BB4FE8"/>
    <w:pPr>
      <w:spacing w:before="128" w:after="160"/>
    </w:pPr>
    <w:rPr>
      <w:rFonts w:eastAsiaTheme="minorHAnsi" w:cstheme="minorHAnsi"/>
      <w:bCs/>
      <w:szCs w:val="20"/>
      <w:lang w:eastAsia="en-AU"/>
    </w:rPr>
  </w:style>
  <w:style w:type="character" w:customStyle="1" w:styleId="Heading2Char">
    <w:name w:val="Heading 2 Char"/>
    <w:basedOn w:val="DefaultParagraphFont"/>
    <w:link w:val="Heading2"/>
    <w:uiPriority w:val="9"/>
    <w:rsid w:val="00266334"/>
    <w:rPr>
      <w:rFonts w:asciiTheme="majorHAnsi" w:eastAsiaTheme="minorEastAsia" w:hAnsiTheme="majorHAnsi" w:cstheme="majorHAnsi"/>
      <w:smallCaps/>
      <w:sz w:val="36"/>
      <w:szCs w:val="36"/>
    </w:rPr>
  </w:style>
  <w:style w:type="paragraph" w:styleId="BalloonText">
    <w:name w:val="Balloon Text"/>
    <w:basedOn w:val="Normal"/>
    <w:link w:val="BalloonTextChar"/>
    <w:uiPriority w:val="99"/>
    <w:semiHidden/>
    <w:unhideWhenUsed/>
    <w:rsid w:val="00274259"/>
    <w:rPr>
      <w:rFonts w:ascii="Tahoma" w:hAnsi="Tahoma" w:cs="Tahoma"/>
      <w:sz w:val="16"/>
      <w:szCs w:val="16"/>
    </w:rPr>
  </w:style>
  <w:style w:type="character" w:customStyle="1" w:styleId="BalloonTextChar">
    <w:name w:val="Balloon Text Char"/>
    <w:basedOn w:val="DefaultParagraphFont"/>
    <w:link w:val="BalloonText"/>
    <w:uiPriority w:val="99"/>
    <w:semiHidden/>
    <w:rsid w:val="00274259"/>
    <w:rPr>
      <w:rFonts w:ascii="Tahoma" w:eastAsia="Times New Roman" w:hAnsi="Tahoma" w:cs="Tahoma"/>
      <w:sz w:val="16"/>
      <w:szCs w:val="16"/>
    </w:rPr>
  </w:style>
  <w:style w:type="numbering" w:customStyle="1" w:styleId="Style1">
    <w:name w:val="Style1"/>
    <w:uiPriority w:val="99"/>
    <w:rsid w:val="00DE55CE"/>
    <w:pPr>
      <w:numPr>
        <w:numId w:val="8"/>
      </w:numPr>
    </w:pPr>
  </w:style>
  <w:style w:type="character" w:customStyle="1" w:styleId="Heading5Char">
    <w:name w:val="Heading 5 Char"/>
    <w:basedOn w:val="DefaultParagraphFont"/>
    <w:link w:val="Heading5"/>
    <w:uiPriority w:val="9"/>
    <w:rsid w:val="00266334"/>
    <w:rPr>
      <w:rFonts w:asciiTheme="majorHAnsi" w:eastAsiaTheme="minorEastAsia" w:hAnsiTheme="majorHAnsi" w:cstheme="majorHAnsi"/>
      <w:i/>
      <w:smallCaps/>
    </w:rPr>
  </w:style>
  <w:style w:type="paragraph" w:styleId="Footer">
    <w:name w:val="footer"/>
    <w:basedOn w:val="Normal"/>
    <w:link w:val="FooterChar"/>
    <w:uiPriority w:val="99"/>
    <w:semiHidden/>
    <w:unhideWhenUsed/>
    <w:rsid w:val="00C044CF"/>
    <w:pPr>
      <w:tabs>
        <w:tab w:val="center" w:pos="4513"/>
        <w:tab w:val="right" w:pos="9026"/>
      </w:tabs>
    </w:pPr>
  </w:style>
  <w:style w:type="character" w:customStyle="1" w:styleId="FooterChar">
    <w:name w:val="Footer Char"/>
    <w:basedOn w:val="DefaultParagraphFont"/>
    <w:link w:val="Footer"/>
    <w:uiPriority w:val="99"/>
    <w:semiHidden/>
    <w:rsid w:val="00C044CF"/>
    <w:rPr>
      <w:rFonts w:eastAsia="Times New Roman" w:cs="Times New Roman"/>
      <w:sz w:val="20"/>
    </w:rPr>
  </w:style>
  <w:style w:type="numbering" w:customStyle="1" w:styleId="Style2">
    <w:name w:val="Style2"/>
    <w:uiPriority w:val="99"/>
    <w:rsid w:val="004C7CD5"/>
    <w:pPr>
      <w:numPr>
        <w:numId w:val="12"/>
      </w:numPr>
    </w:pPr>
  </w:style>
  <w:style w:type="paragraph" w:customStyle="1" w:styleId="Detailsblock">
    <w:name w:val="Details block"/>
    <w:rsid w:val="006461AB"/>
    <w:pPr>
      <w:keepNext/>
      <w:widowControl w:val="0"/>
      <w:spacing w:before="240" w:after="240" w:line="320" w:lineRule="exact"/>
    </w:pPr>
    <w:rPr>
      <w:rFonts w:cstheme="minorHAnsi"/>
      <w:color w:val="000000"/>
      <w:lang w:eastAsia="en-AU"/>
    </w:rPr>
  </w:style>
  <w:style w:type="paragraph" w:styleId="FootnoteText">
    <w:name w:val="footnote text"/>
    <w:basedOn w:val="Normal"/>
    <w:link w:val="FootnoteTextChar"/>
    <w:uiPriority w:val="99"/>
    <w:semiHidden/>
    <w:unhideWhenUsed/>
    <w:rsid w:val="00AF3E15"/>
    <w:pPr>
      <w:spacing w:before="80" w:after="80" w:line="160" w:lineRule="exact"/>
    </w:pPr>
    <w:rPr>
      <w:sz w:val="18"/>
      <w:szCs w:val="20"/>
    </w:rPr>
  </w:style>
  <w:style w:type="character" w:customStyle="1" w:styleId="FootnoteTextChar">
    <w:name w:val="Footnote Text Char"/>
    <w:basedOn w:val="DefaultParagraphFont"/>
    <w:link w:val="FootnoteText"/>
    <w:uiPriority w:val="99"/>
    <w:semiHidden/>
    <w:rsid w:val="00AF3E15"/>
    <w:rPr>
      <w:rFonts w:eastAsia="Times New Roman" w:cs="Times New Roman"/>
      <w:sz w:val="18"/>
      <w:szCs w:val="20"/>
    </w:rPr>
  </w:style>
  <w:style w:type="paragraph" w:customStyle="1" w:styleId="Customheader">
    <w:name w:val="Custom header"/>
    <w:rsid w:val="006461AB"/>
    <w:pPr>
      <w:keepNext/>
      <w:widowControl w:val="0"/>
      <w:jc w:val="both"/>
    </w:pPr>
    <w:rPr>
      <w:rFonts w:asciiTheme="majorHAnsi" w:eastAsia="Times New Roman" w:hAnsiTheme="majorHAnsi" w:cstheme="minorHAnsi"/>
      <w:smallCaps/>
      <w:sz w:val="28"/>
      <w:szCs w:val="28"/>
    </w:rPr>
  </w:style>
  <w:style w:type="paragraph" w:customStyle="1" w:styleId="Signatureblock">
    <w:name w:val="Signature block"/>
    <w:basedOn w:val="Normal"/>
    <w:rsid w:val="00C01CC4"/>
    <w:pPr>
      <w:widowControl w:val="0"/>
      <w:spacing w:line="300" w:lineRule="exact"/>
      <w:ind w:left="567" w:hanging="567"/>
      <w:outlineLvl w:val="1"/>
    </w:pPr>
    <w:rPr>
      <w:rFonts w:cstheme="minorHAnsi"/>
      <w:iCs/>
    </w:rPr>
  </w:style>
  <w:style w:type="paragraph" w:customStyle="1" w:styleId="Resolution">
    <w:name w:val="Resolution"/>
    <w:basedOn w:val="Heading3"/>
    <w:rsid w:val="00C25041"/>
    <w:pPr>
      <w:spacing w:beforeLines="200" w:afterLines="200"/>
      <w:jc w:val="center"/>
    </w:pPr>
    <w:rPr>
      <w:b/>
    </w:rPr>
  </w:style>
  <w:style w:type="paragraph" w:customStyle="1" w:styleId="Heading4numbered">
    <w:name w:val="Heading 4 numbered"/>
    <w:next w:val="Bodycopy"/>
    <w:rsid w:val="00266334"/>
    <w:pPr>
      <w:keepNext/>
      <w:widowControl w:val="0"/>
      <w:numPr>
        <w:numId w:val="17"/>
      </w:numPr>
      <w:spacing w:before="240" w:after="240"/>
      <w:ind w:left="567" w:hanging="567"/>
    </w:pPr>
    <w:rPr>
      <w:rFonts w:asciiTheme="majorHAnsi" w:eastAsiaTheme="minorEastAsia" w:hAnsiTheme="majorHAnsi" w:cstheme="majorHAnsi"/>
      <w:b/>
      <w:smallCaps/>
      <w:sz w:val="26"/>
      <w:szCs w:val="26"/>
    </w:rPr>
  </w:style>
  <w:style w:type="paragraph" w:customStyle="1" w:styleId="Heading1nonumber">
    <w:name w:val="Heading 1 no number"/>
    <w:next w:val="Bodycopy"/>
    <w:rsid w:val="00266334"/>
    <w:pPr>
      <w:keepNext/>
      <w:widowControl w:val="0"/>
    </w:pPr>
    <w:rPr>
      <w:rFonts w:ascii="Arial Narrow" w:eastAsiaTheme="majorEastAsia" w:hAnsi="Arial Narrow" w:cstheme="majorBidi"/>
      <w:bCs/>
      <w:smallCaps/>
      <w:color w:val="000000" w:themeColor="text1"/>
      <w:sz w:val="44"/>
      <w:szCs w:val="44"/>
    </w:rPr>
  </w:style>
  <w:style w:type="paragraph" w:customStyle="1" w:styleId="Bodycopynumbered">
    <w:name w:val="Body copy numbered"/>
    <w:rsid w:val="006461AB"/>
    <w:pPr>
      <w:keepNext/>
      <w:widowControl w:val="0"/>
      <w:numPr>
        <w:numId w:val="21"/>
      </w:numPr>
      <w:spacing w:before="200" w:after="200" w:line="300" w:lineRule="exact"/>
      <w:ind w:left="567" w:hanging="567"/>
    </w:pPr>
    <w:rPr>
      <w:rFonts w:eastAsia="Times New Roman" w:cstheme="minorHAnsi"/>
      <w:iCs/>
      <w:sz w:val="22"/>
    </w:rPr>
  </w:style>
  <w:style w:type="paragraph" w:customStyle="1" w:styleId="Bulletlistalpha">
    <w:name w:val="Bullet list alpha"/>
    <w:rsid w:val="006461AB"/>
    <w:pPr>
      <w:keepNext/>
      <w:widowControl w:val="0"/>
      <w:numPr>
        <w:ilvl w:val="1"/>
        <w:numId w:val="18"/>
      </w:numPr>
      <w:spacing w:before="120" w:after="120" w:line="300" w:lineRule="exact"/>
      <w:ind w:left="1418" w:hanging="567"/>
    </w:pPr>
    <w:rPr>
      <w:rFonts w:cstheme="minorHAnsi"/>
      <w:color w:val="000000"/>
      <w:spacing w:val="-3"/>
      <w:szCs w:val="20"/>
      <w:lang w:eastAsia="en-AU"/>
    </w:rPr>
  </w:style>
  <w:style w:type="paragraph" w:customStyle="1" w:styleId="Bulletlistroman">
    <w:name w:val="Bullet list roman"/>
    <w:rsid w:val="006461AB"/>
    <w:pPr>
      <w:keepNext/>
      <w:widowControl w:val="0"/>
      <w:numPr>
        <w:numId w:val="19"/>
      </w:numPr>
      <w:spacing w:beforeLines="120" w:afterLines="120" w:line="200" w:lineRule="exact"/>
      <w:ind w:left="1985" w:hanging="567"/>
    </w:pPr>
    <w:rPr>
      <w:rFonts w:cstheme="minorHAnsi"/>
      <w:color w:val="000000"/>
      <w:spacing w:val="-3"/>
      <w:sz w:val="22"/>
      <w:szCs w:val="20"/>
      <w:lang w:eastAsia="en-AU"/>
    </w:rPr>
  </w:style>
  <w:style w:type="paragraph" w:customStyle="1" w:styleId="Bulletlistquote">
    <w:name w:val="Bullet list quote"/>
    <w:qFormat/>
    <w:rsid w:val="006461AB"/>
    <w:pPr>
      <w:keepNext/>
      <w:widowControl w:val="0"/>
      <w:ind w:left="1418"/>
    </w:pPr>
    <w:rPr>
      <w:rFonts w:cstheme="minorHAnsi"/>
      <w:i/>
      <w:color w:val="000000"/>
      <w:spacing w:val="-3"/>
      <w:sz w:val="22"/>
      <w:szCs w:val="20"/>
      <w:lang w:eastAsia="en-AU"/>
    </w:rPr>
  </w:style>
  <w:style w:type="paragraph" w:customStyle="1" w:styleId="Bulletnumbered">
    <w:name w:val="Bullet numbered"/>
    <w:basedOn w:val="Normal"/>
    <w:rsid w:val="00FE5235"/>
    <w:pPr>
      <w:numPr>
        <w:numId w:val="23"/>
      </w:numPr>
      <w:spacing w:before="200" w:after="200" w:line="300" w:lineRule="exact"/>
      <w:ind w:left="567" w:hanging="567"/>
    </w:pPr>
    <w:rPr>
      <w:rFonts w:eastAsiaTheme="minorHAnsi" w:cstheme="minorHAnsi"/>
      <w:color w:val="000000"/>
      <w:szCs w:val="20"/>
      <w:lang w:eastAsia="en-AU"/>
    </w:rPr>
  </w:style>
  <w:style w:type="paragraph" w:customStyle="1" w:styleId="Disclaimer">
    <w:name w:val="Disclaimer"/>
    <w:basedOn w:val="Normal"/>
    <w:rsid w:val="00346E5D"/>
    <w:pPr>
      <w:spacing w:before="80"/>
      <w:jc w:val="right"/>
    </w:pPr>
    <w:rPr>
      <w:rFonts w:asciiTheme="majorHAnsi" w:hAnsiTheme="majorHAnsi"/>
      <w:color w:val="808080" w:themeColor="background1" w:themeShade="80"/>
      <w:sz w:val="14"/>
      <w:szCs w:val="14"/>
    </w:rPr>
  </w:style>
  <w:style w:type="character" w:styleId="Strong">
    <w:name w:val="Strong"/>
    <w:basedOn w:val="DefaultParagraphFont"/>
    <w:uiPriority w:val="22"/>
    <w:qFormat/>
    <w:rsid w:val="00DD5224"/>
    <w:rPr>
      <w:b/>
      <w:bCs/>
    </w:rPr>
  </w:style>
  <w:style w:type="paragraph" w:styleId="Quote">
    <w:name w:val="Quote"/>
    <w:basedOn w:val="Normal"/>
    <w:next w:val="Normal"/>
    <w:link w:val="QuoteChar"/>
    <w:uiPriority w:val="29"/>
    <w:qFormat/>
    <w:rsid w:val="00F037A1"/>
    <w:pPr>
      <w:keepNext/>
      <w:keepLines/>
      <w:spacing w:after="200" w:line="276" w:lineRule="auto"/>
    </w:pPr>
    <w:rPr>
      <w:rFonts w:ascii="Calibri" w:eastAsia="Calibri" w:hAnsi="Calibri"/>
      <w:i/>
      <w:iCs/>
      <w:color w:val="000000"/>
      <w:szCs w:val="22"/>
    </w:rPr>
  </w:style>
  <w:style w:type="character" w:customStyle="1" w:styleId="QuoteChar">
    <w:name w:val="Quote Char"/>
    <w:basedOn w:val="DefaultParagraphFont"/>
    <w:link w:val="Quote"/>
    <w:uiPriority w:val="29"/>
    <w:rsid w:val="00F037A1"/>
    <w:rPr>
      <w:rFonts w:ascii="Calibri" w:eastAsia="Calibri" w:hAnsi="Calibri" w:cs="Times New Roman"/>
      <w:i/>
      <w:iCs/>
      <w:color w:val="000000"/>
      <w:sz w:val="22"/>
      <w:szCs w:val="22"/>
    </w:rPr>
  </w:style>
  <w:style w:type="paragraph" w:customStyle="1" w:styleId="Default">
    <w:name w:val="Default"/>
    <w:rsid w:val="00DD5224"/>
    <w:pPr>
      <w:autoSpaceDE w:val="0"/>
      <w:autoSpaceDN w:val="0"/>
      <w:adjustRightInd w:val="0"/>
    </w:pPr>
    <w:rPr>
      <w:rFonts w:ascii="Palatino Linotype" w:eastAsia="Calibri" w:hAnsi="Palatino Linotype" w:cs="Palatino Linotype"/>
      <w:color w:val="000000"/>
      <w:lang w:eastAsia="en-AU"/>
    </w:rPr>
  </w:style>
  <w:style w:type="character" w:styleId="FootnoteReference">
    <w:name w:val="footnote reference"/>
    <w:basedOn w:val="DefaultParagraphFont"/>
    <w:uiPriority w:val="99"/>
    <w:semiHidden/>
    <w:unhideWhenUsed/>
    <w:rsid w:val="00DD5224"/>
    <w:rPr>
      <w:vertAlign w:val="superscript"/>
    </w:rPr>
  </w:style>
  <w:style w:type="paragraph" w:styleId="Title">
    <w:name w:val="Title"/>
    <w:basedOn w:val="Normal"/>
    <w:next w:val="Normal"/>
    <w:link w:val="TitleChar"/>
    <w:uiPriority w:val="10"/>
    <w:qFormat/>
    <w:rsid w:val="00DD5224"/>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DD5224"/>
    <w:rPr>
      <w:rFonts w:ascii="Cambria" w:eastAsia="Times New Roman" w:hAnsi="Cambria" w:cs="Times New Roman"/>
      <w:b/>
      <w:bCs/>
      <w:kern w:val="28"/>
      <w:sz w:val="32"/>
      <w:szCs w:val="32"/>
    </w:rPr>
  </w:style>
  <w:style w:type="paragraph" w:styleId="ListParagraph">
    <w:name w:val="List Paragraph"/>
    <w:basedOn w:val="Normal"/>
    <w:uiPriority w:val="34"/>
    <w:qFormat/>
    <w:rsid w:val="00DD5224"/>
    <w:pPr>
      <w:spacing w:after="200" w:line="276" w:lineRule="auto"/>
      <w:ind w:left="720"/>
      <w:contextualSpacing/>
    </w:pPr>
    <w:rPr>
      <w:rFonts w:ascii="Calibri" w:eastAsia="Calibri" w:hAnsi="Calibri"/>
      <w:sz w:val="28"/>
      <w:szCs w:val="22"/>
    </w:rPr>
  </w:style>
  <w:style w:type="paragraph" w:customStyle="1" w:styleId="Tabletext">
    <w:name w:val="Table text"/>
    <w:basedOn w:val="Normal"/>
    <w:rsid w:val="00DD5224"/>
    <w:pPr>
      <w:keepNext/>
      <w:spacing w:before="160" w:after="80" w:line="288" w:lineRule="auto"/>
      <w:outlineLvl w:val="1"/>
    </w:pPr>
    <w:rPr>
      <w:rFonts w:ascii="Arial Narrow" w:hAnsi="Arial Narrow" w:cs="Arial"/>
      <w:iCs/>
      <w:color w:val="000000"/>
      <w:sz w:val="20"/>
      <w:szCs w:val="20"/>
    </w:rPr>
  </w:style>
  <w:style w:type="character" w:styleId="SubtleEmphasis">
    <w:name w:val="Subtle Emphasis"/>
    <w:basedOn w:val="DefaultParagraphFont"/>
    <w:uiPriority w:val="19"/>
    <w:qFormat/>
    <w:rsid w:val="00DD5224"/>
    <w:rPr>
      <w:i/>
      <w:iCs/>
      <w:color w:val="808080"/>
    </w:rPr>
  </w:style>
  <w:style w:type="paragraph" w:customStyle="1" w:styleId="Footnote">
    <w:name w:val="Footnote"/>
    <w:basedOn w:val="FootnoteText"/>
    <w:rsid w:val="00F037A1"/>
    <w:pPr>
      <w:spacing w:before="60" w:after="60" w:line="240" w:lineRule="auto"/>
    </w:pPr>
  </w:style>
</w:styles>
</file>

<file path=word/webSettings.xml><?xml version="1.0" encoding="utf-8"?>
<w:webSettings xmlns:r="http://schemas.openxmlformats.org/officeDocument/2006/relationships" xmlns:w="http://schemas.openxmlformats.org/wordprocessingml/2006/main">
  <w:divs>
    <w:div w:id="191805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 Sans Serif">
      <a:majorFont>
        <a:latin typeface="Arial Narrow"/>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9</Pages>
  <Words>2424</Words>
  <Characters>11882</Characters>
  <Application>Microsoft Office Word</Application>
  <DocSecurity>0</DocSecurity>
  <Lines>625</Lines>
  <Paragraphs>529</Paragraphs>
  <ScaleCrop>false</ScaleCrop>
  <HeadingPairs>
    <vt:vector size="2" baseType="variant">
      <vt:variant>
        <vt:lpstr>Title</vt:lpstr>
      </vt:variant>
      <vt:variant>
        <vt:i4>1</vt:i4>
      </vt:variant>
    </vt:vector>
  </HeadingPairs>
  <TitlesOfParts>
    <vt:vector size="1" baseType="lpstr">
      <vt:lpstr>Officers of the Legislative Assembly</vt:lpstr>
    </vt:vector>
  </TitlesOfParts>
  <Company>ACT Legislative Assembly</Company>
  <LinksUpToDate>false</LinksUpToDate>
  <CharactersWithSpaces>13777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 of the Legislative Assembly</dc:title>
  <dc:subject>Paper presented by Vicki Dunne for 46th Presiding Officers and Clerk's Conference 2015</dc:subject>
  <dc:creator>Vicki Dunne</dc:creator>
  <cp:lastModifiedBy>FIONA MATZ</cp:lastModifiedBy>
  <cp:revision>3</cp:revision>
  <cp:lastPrinted>2015-08-03T04:30:00Z</cp:lastPrinted>
  <dcterms:created xsi:type="dcterms:W3CDTF">2015-08-03T02:26:00Z</dcterms:created>
  <dcterms:modified xsi:type="dcterms:W3CDTF">2015-08-03T04:31:00Z</dcterms:modified>
</cp:coreProperties>
</file>