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BC" w:rsidRDefault="00D561BC" w:rsidP="00BB6A15">
      <w:pPr>
        <w:pStyle w:val="Prelimminorheading"/>
        <w:numPr>
          <w:ilvl w:val="0"/>
          <w:numId w:val="0"/>
        </w:numPr>
        <w:spacing w:after="8400"/>
      </w:pPr>
    </w:p>
    <w:p w:rsidR="008909CB" w:rsidRPr="000E29E2" w:rsidRDefault="00997E13" w:rsidP="008909CB">
      <w:pPr>
        <w:pStyle w:val="Reporttitle"/>
        <w:rPr>
          <w:sz w:val="38"/>
          <w:szCs w:val="38"/>
        </w:rPr>
      </w:pPr>
      <w:r w:rsidRPr="000E29E2">
        <w:rPr>
          <w:sz w:val="38"/>
          <w:szCs w:val="38"/>
        </w:rPr>
        <w:t>REPORT ON ANNUAL AND FINANCIAL REPORTS 201</w:t>
      </w:r>
      <w:r w:rsidR="007D68C7">
        <w:rPr>
          <w:sz w:val="38"/>
          <w:szCs w:val="38"/>
        </w:rPr>
        <w:t>5</w:t>
      </w:r>
      <w:r w:rsidRPr="000E29E2">
        <w:rPr>
          <w:sz w:val="38"/>
          <w:szCs w:val="38"/>
        </w:rPr>
        <w:t>-201</w:t>
      </w:r>
      <w:r w:rsidR="007D68C7">
        <w:rPr>
          <w:sz w:val="38"/>
          <w:szCs w:val="38"/>
        </w:rPr>
        <w:t>6</w:t>
      </w:r>
    </w:p>
    <w:p w:rsidR="008909CB" w:rsidRDefault="00997E13" w:rsidP="00F22201">
      <w:pPr>
        <w:pStyle w:val="Committeename"/>
        <w:spacing w:before="480" w:after="480"/>
      </w:pPr>
      <w:r w:rsidRPr="00997E13">
        <w:t xml:space="preserve">STANDING COMMITTEE ON </w:t>
      </w:r>
      <w:r w:rsidR="007D68C7">
        <w:t>ECONOMIC DEVELOPMENT AND TOURISM</w:t>
      </w:r>
      <w:r w:rsidRPr="00997E13">
        <w:t xml:space="preserve"> </w:t>
      </w:r>
    </w:p>
    <w:p w:rsidR="008909CB" w:rsidRDefault="00D70E14" w:rsidP="00F22201">
      <w:pPr>
        <w:pStyle w:val="Reportdate"/>
        <w:spacing w:after="360"/>
      </w:pPr>
      <w:r>
        <w:t>May</w:t>
      </w:r>
      <w:r w:rsidR="00997E13">
        <w:t xml:space="preserve"> 201</w:t>
      </w:r>
      <w:r w:rsidR="007D68C7">
        <w:t>7</w:t>
      </w:r>
    </w:p>
    <w:p w:rsidR="008909CB" w:rsidRDefault="00695B9A" w:rsidP="00F22201">
      <w:pPr>
        <w:pStyle w:val="Reportnumber"/>
        <w:spacing w:before="720"/>
      </w:pPr>
      <w:r>
        <w:t xml:space="preserve">Report </w:t>
      </w:r>
      <w:r w:rsidR="00086F0C">
        <w:t>1</w:t>
      </w:r>
    </w:p>
    <w:p w:rsidR="008909CB" w:rsidRDefault="008909CB">
      <w:pPr>
        <w:pStyle w:val="Prelimminorheading"/>
        <w:numPr>
          <w:ilvl w:val="0"/>
          <w:numId w:val="0"/>
        </w:numPr>
        <w:sectPr w:rsidR="008909CB" w:rsidSect="009D46B6">
          <w:headerReference w:type="even" r:id="rId9"/>
          <w:headerReference w:type="default" r:id="rId10"/>
          <w:footerReference w:type="even" r:id="rId11"/>
          <w:footerReference w:type="default" r:id="rId12"/>
          <w:headerReference w:type="first" r:id="rId13"/>
          <w:footerReference w:type="first" r:id="rId14"/>
          <w:pgSz w:w="11907" w:h="16840" w:code="9"/>
          <w:pgMar w:top="1588" w:right="1418" w:bottom="425" w:left="1418" w:header="720" w:footer="851" w:gutter="0"/>
          <w:pgNumType w:fmt="lowerRoman"/>
          <w:cols w:space="720"/>
          <w:titlePg/>
          <w:docGrid w:linePitch="360"/>
        </w:sectPr>
      </w:pPr>
    </w:p>
    <w:p w:rsidR="002E676A" w:rsidRPr="00BD6446" w:rsidRDefault="00AF784F" w:rsidP="002E676A">
      <w:pPr>
        <w:pStyle w:val="Prelimminorheading"/>
        <w:numPr>
          <w:ilvl w:val="0"/>
          <w:numId w:val="0"/>
        </w:numPr>
        <w:rPr>
          <w:spacing w:val="4"/>
          <w:sz w:val="30"/>
          <w:szCs w:val="30"/>
        </w:rPr>
      </w:pPr>
      <w:bookmarkStart w:id="0" w:name="_Toc170711045"/>
      <w:bookmarkStart w:id="1" w:name="_Toc341433411"/>
      <w:bookmarkStart w:id="2" w:name="_Toc341687854"/>
      <w:bookmarkStart w:id="3" w:name="_Toc481488984"/>
      <w:r w:rsidRPr="00BD6446">
        <w:rPr>
          <w:spacing w:val="4"/>
          <w:sz w:val="30"/>
          <w:szCs w:val="30"/>
        </w:rPr>
        <w:lastRenderedPageBreak/>
        <w:t>Committee m</w:t>
      </w:r>
      <w:r w:rsidR="002E676A" w:rsidRPr="00BD6446">
        <w:rPr>
          <w:spacing w:val="4"/>
          <w:sz w:val="30"/>
          <w:szCs w:val="30"/>
        </w:rPr>
        <w:t>embership</w:t>
      </w:r>
      <w:bookmarkEnd w:id="0"/>
      <w:bookmarkEnd w:id="1"/>
      <w:bookmarkEnd w:id="2"/>
      <w:bookmarkEnd w:id="3"/>
    </w:p>
    <w:p w:rsidR="00F67E4B" w:rsidRDefault="007D68C7" w:rsidP="00F67E4B">
      <w:pPr>
        <w:pStyle w:val="Bodytextnonumbering"/>
        <w:keepNext w:val="0"/>
      </w:pPr>
      <w:bookmarkStart w:id="4" w:name="_Toc341433412"/>
      <w:bookmarkStart w:id="5" w:name="_Toc341687855"/>
      <w:r>
        <w:t xml:space="preserve">Mr Jeremy Hanson </w:t>
      </w:r>
      <w:r w:rsidR="008A300C">
        <w:t>MLA</w:t>
      </w:r>
      <w:r w:rsidR="008A300C">
        <w:tab/>
      </w:r>
      <w:r>
        <w:tab/>
        <w:t>Chair</w:t>
      </w:r>
    </w:p>
    <w:p w:rsidR="00502DE2" w:rsidRDefault="007D68C7" w:rsidP="00F67E4B">
      <w:pPr>
        <w:pStyle w:val="Bodytextnonumbering"/>
        <w:keepNext w:val="0"/>
      </w:pPr>
      <w:r>
        <w:t>Mr Michael Pettersson MLA</w:t>
      </w:r>
      <w:r w:rsidR="00502DE2">
        <w:tab/>
      </w:r>
      <w:r>
        <w:t xml:space="preserve">Deputy </w:t>
      </w:r>
      <w:r w:rsidR="00502DE2">
        <w:t>Chair</w:t>
      </w:r>
    </w:p>
    <w:p w:rsidR="00997E13" w:rsidRDefault="00997E13" w:rsidP="00997E13">
      <w:pPr>
        <w:pStyle w:val="Bodytextnonumbering"/>
        <w:keepNext w:val="0"/>
      </w:pPr>
      <w:r>
        <w:t xml:space="preserve">Mr </w:t>
      </w:r>
      <w:r w:rsidR="007D68C7">
        <w:t>Mark Parton</w:t>
      </w:r>
      <w:r>
        <w:t xml:space="preserve"> MLA</w:t>
      </w:r>
      <w:r>
        <w:tab/>
      </w:r>
      <w:r>
        <w:tab/>
      </w:r>
    </w:p>
    <w:p w:rsidR="00502DE2" w:rsidRDefault="00502DE2" w:rsidP="00997E13">
      <w:pPr>
        <w:pStyle w:val="Bodytextnonumbering"/>
        <w:keepNext w:val="0"/>
      </w:pPr>
      <w:r>
        <w:t xml:space="preserve">Ms </w:t>
      </w:r>
      <w:r w:rsidR="007D68C7">
        <w:t>Suzanne Orr</w:t>
      </w:r>
      <w:r w:rsidR="00264964">
        <w:t xml:space="preserve"> </w:t>
      </w:r>
      <w:r>
        <w:t>MLA</w:t>
      </w:r>
      <w:r>
        <w:tab/>
      </w:r>
    </w:p>
    <w:bookmarkEnd w:id="4"/>
    <w:bookmarkEnd w:id="5"/>
    <w:p w:rsidR="0036524C" w:rsidRDefault="0036524C" w:rsidP="0036524C">
      <w:pPr>
        <w:pStyle w:val="Bodytextnonumbering"/>
        <w:keepNext w:val="0"/>
      </w:pPr>
    </w:p>
    <w:p w:rsidR="00670409" w:rsidRDefault="00670409" w:rsidP="0036524C">
      <w:pPr>
        <w:pStyle w:val="Bodytextnonumbering"/>
        <w:keepNext w:val="0"/>
      </w:pPr>
    </w:p>
    <w:p w:rsidR="002E676A" w:rsidRPr="00F14364" w:rsidRDefault="002E676A" w:rsidP="00EB4D32">
      <w:pPr>
        <w:pStyle w:val="Secretariat"/>
      </w:pPr>
      <w:bookmarkStart w:id="6" w:name="_Toc170711046"/>
      <w:bookmarkStart w:id="7" w:name="_Toc341433413"/>
      <w:bookmarkStart w:id="8" w:name="_Toc341687856"/>
      <w:bookmarkStart w:id="9" w:name="_Toc481488985"/>
      <w:r w:rsidRPr="00F74C60">
        <w:t>Secretariat</w:t>
      </w:r>
      <w:bookmarkEnd w:id="6"/>
      <w:bookmarkEnd w:id="7"/>
      <w:bookmarkEnd w:id="8"/>
      <w:bookmarkEnd w:id="9"/>
    </w:p>
    <w:p w:rsidR="009232F1" w:rsidRDefault="009232F1" w:rsidP="009232F1">
      <w:pPr>
        <w:pStyle w:val="Bodytextnonumbering"/>
      </w:pPr>
      <w:r>
        <w:t>Mr Hamish Finlay</w:t>
      </w:r>
      <w:r>
        <w:tab/>
      </w:r>
      <w:r w:rsidR="004410E8">
        <w:tab/>
      </w:r>
      <w:r>
        <w:t>Secretary</w:t>
      </w:r>
    </w:p>
    <w:p w:rsidR="0036524C" w:rsidRDefault="0036524C" w:rsidP="009232F1">
      <w:pPr>
        <w:pStyle w:val="Bodytextnonumbering"/>
        <w:keepNext w:val="0"/>
      </w:pPr>
      <w:r>
        <w:t>Ms Lydia Chung</w:t>
      </w:r>
      <w:r>
        <w:tab/>
      </w:r>
      <w:r>
        <w:tab/>
      </w:r>
      <w:r w:rsidR="004410E8">
        <w:tab/>
      </w:r>
      <w:r>
        <w:t>Administrative Assistant</w:t>
      </w:r>
    </w:p>
    <w:p w:rsidR="00670409" w:rsidRDefault="00670409" w:rsidP="009232F1">
      <w:pPr>
        <w:pStyle w:val="Bodytextnonumbering"/>
        <w:keepNext w:val="0"/>
      </w:pPr>
    </w:p>
    <w:p w:rsidR="00670409" w:rsidRDefault="00670409" w:rsidP="009232F1">
      <w:pPr>
        <w:pStyle w:val="Bodytextnonumbering"/>
        <w:keepNext w:val="0"/>
      </w:pPr>
    </w:p>
    <w:p w:rsidR="002E676A" w:rsidRPr="00F14364" w:rsidRDefault="00AF784F" w:rsidP="00EB4D32">
      <w:pPr>
        <w:pStyle w:val="Contactinformation"/>
      </w:pPr>
      <w:bookmarkStart w:id="10" w:name="_Toc162949737"/>
      <w:bookmarkStart w:id="11" w:name="_Toc170711047"/>
      <w:bookmarkStart w:id="12" w:name="_Toc341433415"/>
      <w:bookmarkStart w:id="13" w:name="_Toc341687858"/>
      <w:bookmarkStart w:id="14" w:name="_Toc414371247"/>
      <w:bookmarkStart w:id="15" w:name="_Toc481488986"/>
      <w:r w:rsidRPr="00F14364">
        <w:t xml:space="preserve">Contact </w:t>
      </w:r>
      <w:r w:rsidRPr="00F74C60">
        <w:t>i</w:t>
      </w:r>
      <w:r w:rsidR="002E676A" w:rsidRPr="00F74C60">
        <w:t>nformation</w:t>
      </w:r>
      <w:bookmarkEnd w:id="10"/>
      <w:bookmarkEnd w:id="11"/>
      <w:bookmarkEnd w:id="12"/>
      <w:bookmarkEnd w:id="13"/>
      <w:bookmarkEnd w:id="14"/>
      <w:bookmarkEnd w:id="15"/>
    </w:p>
    <w:p w:rsidR="00AF784F" w:rsidRPr="00EC5178" w:rsidRDefault="00AF784F" w:rsidP="00EC5178">
      <w:pPr>
        <w:pStyle w:val="StyleBodytextnonumberingBefore0ptAfter0ptLinesp"/>
      </w:pPr>
    </w:p>
    <w:p w:rsidR="002E676A" w:rsidRDefault="009458A5" w:rsidP="00975541">
      <w:pPr>
        <w:pStyle w:val="Bodytextnonumbering"/>
      </w:pPr>
      <w:bookmarkStart w:id="16" w:name="_Toc341433416"/>
      <w:bookmarkStart w:id="17" w:name="_Toc341687859"/>
      <w:r>
        <w:t>Telephone</w:t>
      </w:r>
      <w:r>
        <w:tab/>
        <w:t>02</w:t>
      </w:r>
      <w:bookmarkEnd w:id="16"/>
      <w:bookmarkEnd w:id="17"/>
      <w:r w:rsidR="009232F1">
        <w:t xml:space="preserve"> 6205 0129</w:t>
      </w:r>
    </w:p>
    <w:p w:rsidR="005B60C2" w:rsidRDefault="005B60C2" w:rsidP="00975541">
      <w:pPr>
        <w:pStyle w:val="Bodytextnonumbering"/>
      </w:pPr>
      <w:bookmarkStart w:id="18" w:name="_Toc341433418"/>
      <w:bookmarkStart w:id="19" w:name="_Toc341687861"/>
      <w:r>
        <w:t>Post</w:t>
      </w:r>
      <w:r>
        <w:tab/>
      </w:r>
      <w:r w:rsidR="00D50ADD">
        <w:tab/>
      </w:r>
      <w:r>
        <w:t>GPO Box 1020, CANBERRA ACT 2601</w:t>
      </w:r>
      <w:bookmarkEnd w:id="18"/>
      <w:bookmarkEnd w:id="19"/>
    </w:p>
    <w:p w:rsidR="002E676A" w:rsidRPr="005B60C2" w:rsidRDefault="002E676A" w:rsidP="00975541">
      <w:pPr>
        <w:pStyle w:val="Bodytextnonumbering"/>
      </w:pPr>
      <w:bookmarkStart w:id="20" w:name="_Toc341433419"/>
      <w:bookmarkStart w:id="21" w:name="_Toc341687862"/>
      <w:r>
        <w:t>Email</w:t>
      </w:r>
      <w:r>
        <w:tab/>
      </w:r>
      <w:r w:rsidR="00D50ADD">
        <w:tab/>
      </w:r>
      <w:hyperlink r:id="rId15" w:history="1">
        <w:r w:rsidRPr="00975541">
          <w:t>committees@parliament.act.gov.au</w:t>
        </w:r>
        <w:bookmarkEnd w:id="20"/>
        <w:bookmarkEnd w:id="21"/>
      </w:hyperlink>
    </w:p>
    <w:p w:rsidR="002E676A" w:rsidRDefault="002E676A" w:rsidP="00975541">
      <w:pPr>
        <w:pStyle w:val="Bodytextnonumbering"/>
      </w:pPr>
      <w:bookmarkStart w:id="22" w:name="_Toc341433420"/>
      <w:bookmarkStart w:id="23" w:name="_Toc341687863"/>
      <w:r w:rsidRPr="005B60C2">
        <w:t>Website</w:t>
      </w:r>
      <w:r w:rsidRPr="005B60C2">
        <w:tab/>
      </w:r>
      <w:hyperlink r:id="rId16" w:history="1">
        <w:r w:rsidRPr="00975541">
          <w:t>www.parliament.act.gov.au</w:t>
        </w:r>
        <w:bookmarkEnd w:id="22"/>
        <w:bookmarkEnd w:id="23"/>
      </w:hyperlink>
      <w:r w:rsidRPr="005B60C2">
        <w:t xml:space="preserve"> </w:t>
      </w:r>
    </w:p>
    <w:p w:rsidR="00D22AC9" w:rsidRDefault="002E676A" w:rsidP="002E676A">
      <w:pPr>
        <w:pStyle w:val="Prelimminorheading"/>
        <w:numPr>
          <w:ilvl w:val="0"/>
          <w:numId w:val="0"/>
        </w:numPr>
        <w:sectPr w:rsidR="00D22AC9" w:rsidSect="00D22AC9">
          <w:headerReference w:type="even" r:id="rId17"/>
          <w:headerReference w:type="default" r:id="rId18"/>
          <w:footerReference w:type="even" r:id="rId19"/>
          <w:footerReference w:type="default" r:id="rId20"/>
          <w:headerReference w:type="first" r:id="rId21"/>
          <w:type w:val="oddPage"/>
          <w:pgSz w:w="11907" w:h="16840" w:code="9"/>
          <w:pgMar w:top="1588" w:right="1418" w:bottom="1418" w:left="1418" w:header="720" w:footer="851" w:gutter="0"/>
          <w:pgNumType w:fmt="lowerRoman" w:start="1"/>
          <w:cols w:space="720"/>
          <w:docGrid w:linePitch="360"/>
        </w:sectPr>
      </w:pPr>
      <w:r>
        <w:br w:type="page"/>
      </w:r>
      <w:bookmarkStart w:id="24" w:name="_Toc162949738"/>
      <w:bookmarkStart w:id="25" w:name="_Toc170711048"/>
      <w:bookmarkStart w:id="26" w:name="_Toc341433421"/>
      <w:bookmarkStart w:id="27" w:name="_Toc341687864"/>
      <w:bookmarkStart w:id="28" w:name="_Toc481488987"/>
    </w:p>
    <w:p w:rsidR="002E676A" w:rsidRPr="00C2492A" w:rsidRDefault="00AF784F" w:rsidP="002E676A">
      <w:pPr>
        <w:pStyle w:val="Prelimminorheading"/>
        <w:numPr>
          <w:ilvl w:val="0"/>
          <w:numId w:val="0"/>
        </w:numPr>
        <w:rPr>
          <w:sz w:val="30"/>
          <w:szCs w:val="30"/>
        </w:rPr>
      </w:pPr>
      <w:r w:rsidRPr="00C2492A">
        <w:rPr>
          <w:sz w:val="30"/>
          <w:szCs w:val="30"/>
        </w:rPr>
        <w:lastRenderedPageBreak/>
        <w:t>Resolution of a</w:t>
      </w:r>
      <w:r w:rsidR="002E676A" w:rsidRPr="00C2492A">
        <w:rPr>
          <w:sz w:val="30"/>
          <w:szCs w:val="30"/>
        </w:rPr>
        <w:t>ppointment</w:t>
      </w:r>
      <w:bookmarkEnd w:id="24"/>
      <w:bookmarkEnd w:id="25"/>
      <w:bookmarkEnd w:id="26"/>
      <w:bookmarkEnd w:id="27"/>
      <w:bookmarkEnd w:id="28"/>
    </w:p>
    <w:p w:rsidR="00533D61" w:rsidRDefault="00533D61" w:rsidP="00533D61">
      <w:pPr>
        <w:pStyle w:val="Bodytextnonumbering"/>
      </w:pPr>
      <w:r>
        <w:t xml:space="preserve">On </w:t>
      </w:r>
      <w:r w:rsidR="007D68C7">
        <w:t>13 December</w:t>
      </w:r>
      <w:r>
        <w:t xml:space="preserve"> 201</w:t>
      </w:r>
      <w:r w:rsidR="007D68C7">
        <w:t>6</w:t>
      </w:r>
      <w:r>
        <w:t xml:space="preserve"> the ACT Legislative Assembly (the Assembly) agreed by resolution to establish legislative and general purpose standing committees to inquire into and report on matters referred to them by the Assembly or matters that are considered by the committees to be of concern to the community, including:</w:t>
      </w:r>
    </w:p>
    <w:p w:rsidR="00533D61" w:rsidRDefault="00533D61" w:rsidP="00533D61">
      <w:pPr>
        <w:pStyle w:val="Quote"/>
      </w:pPr>
      <w:r>
        <w:t>(</w:t>
      </w:r>
      <w:r w:rsidR="007D68C7">
        <w:t>g</w:t>
      </w:r>
      <w:r>
        <w:t>)</w:t>
      </w:r>
      <w:r>
        <w:tab/>
      </w:r>
      <w:r w:rsidR="007D68C7" w:rsidRPr="00316564">
        <w:t>a Standing Committee on Economic Development and Tourism to examine matters relating to economic and business development, small business, tourism, market and regulatory reform, public sector management, taxation and revenue, procurement, regional development, international trade, skills development and employment creation, a</w:t>
      </w:r>
      <w:r w:rsidR="007D68C7">
        <w:t>nd technology, arts and culture</w:t>
      </w:r>
      <w:r w:rsidR="00757CE7">
        <w:t>.</w:t>
      </w:r>
      <w:r w:rsidR="00106AF3">
        <w:rPr>
          <w:rStyle w:val="FootnoteReference"/>
        </w:rPr>
        <w:footnoteReference w:id="1"/>
      </w:r>
    </w:p>
    <w:p w:rsidR="002E676A" w:rsidRDefault="00533D61" w:rsidP="00533D61">
      <w:pPr>
        <w:pStyle w:val="Bodytextnonumbering"/>
      </w:pPr>
      <w:r>
        <w:t>The Assembly agreed that each committee shall have power to consider and make use of the evidence and records of the relevant standing committees appointed during the previous Assembly.</w:t>
      </w:r>
    </w:p>
    <w:p w:rsidR="002E676A" w:rsidRPr="00C2492A" w:rsidRDefault="00AF784F" w:rsidP="002E676A">
      <w:pPr>
        <w:pStyle w:val="Prelimminorheading"/>
        <w:numPr>
          <w:ilvl w:val="0"/>
          <w:numId w:val="0"/>
        </w:numPr>
        <w:rPr>
          <w:sz w:val="30"/>
          <w:szCs w:val="30"/>
        </w:rPr>
      </w:pPr>
      <w:bookmarkStart w:id="29" w:name="_Toc162949739"/>
      <w:bookmarkStart w:id="30" w:name="_Toc170711049"/>
      <w:bookmarkStart w:id="31" w:name="_Toc341433422"/>
      <w:bookmarkStart w:id="32" w:name="_Toc341687866"/>
      <w:bookmarkStart w:id="33" w:name="_Toc481488988"/>
      <w:r w:rsidRPr="00C2492A">
        <w:rPr>
          <w:sz w:val="30"/>
          <w:szCs w:val="30"/>
        </w:rPr>
        <w:t>Terms of r</w:t>
      </w:r>
      <w:r w:rsidR="002E676A" w:rsidRPr="00C2492A">
        <w:rPr>
          <w:sz w:val="30"/>
          <w:szCs w:val="30"/>
        </w:rPr>
        <w:t>eference</w:t>
      </w:r>
      <w:bookmarkEnd w:id="29"/>
      <w:bookmarkEnd w:id="30"/>
      <w:bookmarkEnd w:id="31"/>
      <w:bookmarkEnd w:id="32"/>
      <w:bookmarkEnd w:id="33"/>
    </w:p>
    <w:p w:rsidR="00533D61" w:rsidRDefault="00533D61" w:rsidP="00533D61">
      <w:pPr>
        <w:pStyle w:val="Bodytextnonumbering"/>
      </w:pPr>
      <w:r>
        <w:t xml:space="preserve">On </w:t>
      </w:r>
      <w:r w:rsidR="00CF44D5">
        <w:t>16 February 2017</w:t>
      </w:r>
      <w:r>
        <w:t>, the Assembly referred the annual and financial re</w:t>
      </w:r>
      <w:r w:rsidR="008A300C">
        <w:t>ports for the calendar year</w:t>
      </w:r>
      <w:r w:rsidR="00CF44D5">
        <w:t>s</w:t>
      </w:r>
      <w:r w:rsidR="008A300C">
        <w:t xml:space="preserve"> 2015</w:t>
      </w:r>
      <w:r>
        <w:t xml:space="preserve"> and </w:t>
      </w:r>
      <w:r w:rsidR="00CF44D5">
        <w:t xml:space="preserve">2016 and </w:t>
      </w:r>
      <w:r>
        <w:t>the financial year 201</w:t>
      </w:r>
      <w:r w:rsidR="00CF44D5">
        <w:t>5</w:t>
      </w:r>
      <w:r>
        <w:t>—201</w:t>
      </w:r>
      <w:r w:rsidR="00CF44D5">
        <w:t>6</w:t>
      </w:r>
      <w:r>
        <w:t xml:space="preserve"> to Assembly committees for inquiry and repor</w:t>
      </w:r>
      <w:r w:rsidR="00CF44D5">
        <w:t>t by the last sitting day in May</w:t>
      </w:r>
      <w:r>
        <w:t xml:space="preserve"> 201</w:t>
      </w:r>
      <w:r w:rsidR="00CF44D5">
        <w:t>7</w:t>
      </w:r>
      <w:r>
        <w:t>, in accordance with a schedule</w:t>
      </w:r>
      <w:r w:rsidR="00757CE7">
        <w:t>.</w:t>
      </w:r>
      <w:r w:rsidR="00106AF3">
        <w:rPr>
          <w:rStyle w:val="FootnoteReference"/>
        </w:rPr>
        <w:footnoteReference w:id="2"/>
      </w:r>
      <w:r>
        <w:t xml:space="preserve"> The reports were presented to the Assembly pursuant to the </w:t>
      </w:r>
      <w:r w:rsidRPr="00C43F79">
        <w:rPr>
          <w:i/>
        </w:rPr>
        <w:t>Annual Reports (Government Agencies) Act 2004</w:t>
      </w:r>
      <w:r>
        <w:t>.</w:t>
      </w:r>
    </w:p>
    <w:p w:rsidR="00533D61" w:rsidRDefault="00533D61" w:rsidP="00533D61">
      <w:pPr>
        <w:pStyle w:val="Bodytextnonumbering"/>
      </w:pPr>
      <w:r>
        <w:t xml:space="preserve">The reports and parts of reports referred to the Standing Committee on </w:t>
      </w:r>
      <w:r w:rsidR="009662CF">
        <w:t xml:space="preserve">Economic Development and Tourism </w:t>
      </w:r>
      <w:r>
        <w:t>were:</w:t>
      </w:r>
    </w:p>
    <w:p w:rsidR="00533D61" w:rsidRPr="00D33979" w:rsidRDefault="00D33979" w:rsidP="00DD5F6B">
      <w:pPr>
        <w:pStyle w:val="ListBullet"/>
      </w:pPr>
      <w:r w:rsidRPr="0039251E">
        <w:t>Chief Minister, Treasury and Economic Development Directorate</w:t>
      </w:r>
      <w:r>
        <w:t xml:space="preserve"> – </w:t>
      </w:r>
      <w:r w:rsidR="009662CF">
        <w:rPr>
          <w:lang w:eastAsia="zh-TW"/>
        </w:rPr>
        <w:t>Government Policy and Strategy; Public Sector Management; Coordinated Communications and community engagement</w:t>
      </w:r>
      <w:r>
        <w:t>,</w:t>
      </w:r>
      <w:r w:rsidR="009662CF">
        <w:t xml:space="preserve"> </w:t>
      </w:r>
      <w:r w:rsidR="009662CF">
        <w:rPr>
          <w:lang w:eastAsia="zh-TW"/>
        </w:rPr>
        <w:t>Economic and Financial Management, Revenue and Government Business Management, Innovation, Trade and Investment—Innovate Canberra, Visit Canberra, Property Services,</w:t>
      </w:r>
      <w:r>
        <w:t xml:space="preserve"> </w:t>
      </w:r>
      <w:r w:rsidR="009662CF">
        <w:rPr>
          <w:lang w:eastAsia="zh-TW"/>
        </w:rPr>
        <w:t>Arts Engagement, Access Canberra,</w:t>
      </w:r>
      <w:r w:rsidR="009662CF">
        <w:t xml:space="preserve"> </w:t>
      </w:r>
      <w:r w:rsidR="009662CF">
        <w:rPr>
          <w:lang w:eastAsia="zh-TW"/>
        </w:rPr>
        <w:t xml:space="preserve">ACT Executive, </w:t>
      </w:r>
      <w:r w:rsidRPr="0039251E">
        <w:rPr>
          <w:i/>
        </w:rPr>
        <w:t>Constructions Occupations (Licensing) Act 2004</w:t>
      </w:r>
      <w:r w:rsidR="009662CF">
        <w:t xml:space="preserve">, </w:t>
      </w:r>
      <w:r w:rsidR="009662CF">
        <w:rPr>
          <w:lang w:eastAsia="zh-TW"/>
        </w:rPr>
        <w:t xml:space="preserve">ACT Government Procurement Board, </w:t>
      </w:r>
      <w:r w:rsidR="009662CF">
        <w:t xml:space="preserve">Venues and Events, </w:t>
      </w:r>
      <w:r w:rsidR="009662CF">
        <w:rPr>
          <w:lang w:eastAsia="zh-TW"/>
        </w:rPr>
        <w:t>Director of Territory Records</w:t>
      </w:r>
      <w:r w:rsidR="009662CF">
        <w:rPr>
          <w:i/>
        </w:rPr>
        <w:t>;</w:t>
      </w:r>
    </w:p>
    <w:p w:rsidR="00265F47" w:rsidRPr="00265F47" w:rsidRDefault="009662CF" w:rsidP="00DD5F6B">
      <w:pPr>
        <w:pStyle w:val="ListBullet"/>
      </w:pPr>
      <w:r w:rsidRPr="009662CF">
        <w:t>Commissioner for Public Administration’s State of the Service Report</w:t>
      </w:r>
      <w:r w:rsidR="00EE0975" w:rsidRPr="009662CF">
        <w:t>;</w:t>
      </w:r>
      <w:r w:rsidR="00265F47">
        <w:t xml:space="preserve"> and</w:t>
      </w:r>
    </w:p>
    <w:p w:rsidR="00533D61" w:rsidRPr="00D33979" w:rsidRDefault="009662CF" w:rsidP="00DD5F6B">
      <w:pPr>
        <w:pStyle w:val="ListBullet"/>
      </w:pPr>
      <w:r>
        <w:t>Cultural Facilities Corporation</w:t>
      </w:r>
      <w:r w:rsidR="00265F47">
        <w:t>.</w:t>
      </w:r>
    </w:p>
    <w:p w:rsidR="00533D61" w:rsidRPr="00670409" w:rsidRDefault="00533D61" w:rsidP="00670409">
      <w:pPr>
        <w:pStyle w:val="Prelimminorheading"/>
        <w:numPr>
          <w:ilvl w:val="0"/>
          <w:numId w:val="0"/>
        </w:numPr>
        <w:rPr>
          <w:iCs w:val="0"/>
          <w:smallCaps w:val="0"/>
          <w:szCs w:val="30"/>
        </w:rPr>
      </w:pPr>
      <w:r>
        <w:br w:type="page"/>
      </w:r>
      <w:bookmarkStart w:id="34" w:name="_Toc481488989"/>
      <w:r w:rsidRPr="00670409">
        <w:rPr>
          <w:iCs w:val="0"/>
          <w:smallCaps w:val="0"/>
          <w:szCs w:val="30"/>
        </w:rPr>
        <w:t>Acronyms</w:t>
      </w:r>
      <w:bookmarkEnd w:id="3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052"/>
      </w:tblGrid>
      <w:tr w:rsidR="00A172F6" w:rsidRPr="00010A4C" w:rsidTr="00DE6368">
        <w:tc>
          <w:tcPr>
            <w:tcW w:w="1985" w:type="dxa"/>
          </w:tcPr>
          <w:p w:rsidR="00A172F6" w:rsidRDefault="00A172F6" w:rsidP="00533D61">
            <w:pPr>
              <w:pStyle w:val="Tabletext"/>
              <w:jc w:val="center"/>
              <w:rPr>
                <w:color w:val="auto"/>
              </w:rPr>
            </w:pPr>
            <w:r>
              <w:rPr>
                <w:color w:val="auto"/>
              </w:rPr>
              <w:t>ACTPS</w:t>
            </w:r>
          </w:p>
        </w:tc>
        <w:tc>
          <w:tcPr>
            <w:tcW w:w="7052" w:type="dxa"/>
          </w:tcPr>
          <w:p w:rsidR="00A172F6" w:rsidRDefault="00A172F6" w:rsidP="00533D61">
            <w:pPr>
              <w:pStyle w:val="Tabletext"/>
              <w:rPr>
                <w:color w:val="auto"/>
              </w:rPr>
            </w:pPr>
            <w:r>
              <w:rPr>
                <w:color w:val="auto"/>
              </w:rPr>
              <w:t>Australian Capital Territory Public Service</w:t>
            </w:r>
          </w:p>
        </w:tc>
      </w:tr>
      <w:tr w:rsidR="00533D61" w:rsidRPr="00010A4C" w:rsidTr="00DE6368">
        <w:tc>
          <w:tcPr>
            <w:tcW w:w="1985" w:type="dxa"/>
          </w:tcPr>
          <w:p w:rsidR="00533D61" w:rsidRPr="00010A4C" w:rsidRDefault="00A24653" w:rsidP="00533D61">
            <w:pPr>
              <w:pStyle w:val="Tabletext"/>
              <w:jc w:val="center"/>
              <w:rPr>
                <w:color w:val="auto"/>
              </w:rPr>
            </w:pPr>
            <w:r>
              <w:rPr>
                <w:color w:val="auto"/>
              </w:rPr>
              <w:t>CMTEDD</w:t>
            </w:r>
          </w:p>
        </w:tc>
        <w:tc>
          <w:tcPr>
            <w:tcW w:w="7052" w:type="dxa"/>
          </w:tcPr>
          <w:p w:rsidR="00533D61" w:rsidRPr="00010A4C" w:rsidRDefault="00A24653" w:rsidP="00533D61">
            <w:pPr>
              <w:pStyle w:val="Tabletext"/>
              <w:rPr>
                <w:color w:val="auto"/>
              </w:rPr>
            </w:pPr>
            <w:r>
              <w:rPr>
                <w:color w:val="auto"/>
              </w:rPr>
              <w:t xml:space="preserve">Chief Minister, Treasury and </w:t>
            </w:r>
            <w:r w:rsidR="00533D61" w:rsidRPr="00010A4C">
              <w:rPr>
                <w:color w:val="auto"/>
              </w:rPr>
              <w:t>Economic Development Directorate</w:t>
            </w:r>
          </w:p>
        </w:tc>
      </w:tr>
      <w:tr w:rsidR="00780EBA" w:rsidRPr="00010A4C" w:rsidTr="00DE6368">
        <w:tc>
          <w:tcPr>
            <w:tcW w:w="1985" w:type="dxa"/>
          </w:tcPr>
          <w:p w:rsidR="00780EBA" w:rsidRDefault="00780EBA" w:rsidP="00533D61">
            <w:pPr>
              <w:pStyle w:val="Tabletext"/>
              <w:jc w:val="center"/>
              <w:rPr>
                <w:color w:val="auto"/>
              </w:rPr>
            </w:pPr>
            <w:r>
              <w:rPr>
                <w:color w:val="auto"/>
              </w:rPr>
              <w:t>DA</w:t>
            </w:r>
          </w:p>
        </w:tc>
        <w:tc>
          <w:tcPr>
            <w:tcW w:w="7052" w:type="dxa"/>
          </w:tcPr>
          <w:p w:rsidR="00780EBA" w:rsidRDefault="00780EBA" w:rsidP="00780EBA">
            <w:pPr>
              <w:pStyle w:val="Tabletext"/>
              <w:rPr>
                <w:color w:val="auto"/>
              </w:rPr>
            </w:pPr>
            <w:r>
              <w:rPr>
                <w:color w:val="auto"/>
              </w:rPr>
              <w:t>Development Approval</w:t>
            </w:r>
          </w:p>
        </w:tc>
      </w:tr>
      <w:tr w:rsidR="00264964" w:rsidRPr="00010A4C" w:rsidTr="00DE6368">
        <w:tc>
          <w:tcPr>
            <w:tcW w:w="1985" w:type="dxa"/>
          </w:tcPr>
          <w:p w:rsidR="00264964" w:rsidRPr="00010A4C" w:rsidRDefault="00264964" w:rsidP="00533D61">
            <w:pPr>
              <w:pStyle w:val="Tabletext"/>
              <w:jc w:val="center"/>
              <w:rPr>
                <w:color w:val="auto"/>
              </w:rPr>
            </w:pPr>
            <w:r>
              <w:rPr>
                <w:color w:val="auto"/>
              </w:rPr>
              <w:t>ED</w:t>
            </w:r>
          </w:p>
        </w:tc>
        <w:tc>
          <w:tcPr>
            <w:tcW w:w="7052" w:type="dxa"/>
          </w:tcPr>
          <w:p w:rsidR="00264964" w:rsidRPr="00010A4C" w:rsidRDefault="00264964" w:rsidP="00533D61">
            <w:pPr>
              <w:pStyle w:val="Tabletext"/>
              <w:rPr>
                <w:color w:val="auto"/>
              </w:rPr>
            </w:pPr>
            <w:r>
              <w:rPr>
                <w:color w:val="auto"/>
              </w:rPr>
              <w:t>Economic Development</w:t>
            </w:r>
          </w:p>
        </w:tc>
      </w:tr>
      <w:tr w:rsidR="00F61EF9" w:rsidRPr="00010A4C" w:rsidTr="00DE6368">
        <w:tc>
          <w:tcPr>
            <w:tcW w:w="1985" w:type="dxa"/>
          </w:tcPr>
          <w:p w:rsidR="00F61EF9" w:rsidRDefault="00F61EF9" w:rsidP="00533D61">
            <w:pPr>
              <w:pStyle w:val="Tabletext"/>
              <w:jc w:val="center"/>
              <w:rPr>
                <w:color w:val="auto"/>
              </w:rPr>
            </w:pPr>
            <w:r>
              <w:rPr>
                <w:color w:val="auto"/>
              </w:rPr>
              <w:t>EDT</w:t>
            </w:r>
          </w:p>
        </w:tc>
        <w:tc>
          <w:tcPr>
            <w:tcW w:w="7052" w:type="dxa"/>
          </w:tcPr>
          <w:p w:rsidR="00F61EF9" w:rsidRDefault="00F61EF9" w:rsidP="0076612D">
            <w:pPr>
              <w:pStyle w:val="Tabletext"/>
              <w:rPr>
                <w:color w:val="auto"/>
              </w:rPr>
            </w:pPr>
            <w:r>
              <w:rPr>
                <w:color w:val="auto"/>
              </w:rPr>
              <w:t xml:space="preserve">Standing Committee on Economic Development and Tourism </w:t>
            </w:r>
          </w:p>
        </w:tc>
      </w:tr>
      <w:tr w:rsidR="0076612D" w:rsidRPr="00010A4C" w:rsidTr="00DE6368">
        <w:tc>
          <w:tcPr>
            <w:tcW w:w="1985" w:type="dxa"/>
          </w:tcPr>
          <w:p w:rsidR="0076612D" w:rsidRDefault="0076612D" w:rsidP="00533D61">
            <w:pPr>
              <w:pStyle w:val="Tabletext"/>
              <w:jc w:val="center"/>
              <w:rPr>
                <w:color w:val="auto"/>
              </w:rPr>
            </w:pPr>
            <w:r>
              <w:rPr>
                <w:color w:val="auto"/>
              </w:rPr>
              <w:t>EPA</w:t>
            </w:r>
          </w:p>
        </w:tc>
        <w:tc>
          <w:tcPr>
            <w:tcW w:w="7052" w:type="dxa"/>
          </w:tcPr>
          <w:p w:rsidR="0076612D" w:rsidRDefault="0076612D" w:rsidP="0076612D">
            <w:pPr>
              <w:pStyle w:val="Tabletext"/>
              <w:rPr>
                <w:color w:val="auto"/>
              </w:rPr>
            </w:pPr>
            <w:r>
              <w:rPr>
                <w:color w:val="auto"/>
              </w:rPr>
              <w:t>Environmental Protection Authority</w:t>
            </w:r>
          </w:p>
        </w:tc>
      </w:tr>
      <w:tr w:rsidR="00A24653" w:rsidRPr="00010A4C" w:rsidTr="00DE6368">
        <w:tc>
          <w:tcPr>
            <w:tcW w:w="1985" w:type="dxa"/>
          </w:tcPr>
          <w:p w:rsidR="00A24653" w:rsidRPr="00010A4C" w:rsidRDefault="00A24653" w:rsidP="00533D61">
            <w:pPr>
              <w:pStyle w:val="Tabletext"/>
              <w:jc w:val="center"/>
              <w:rPr>
                <w:color w:val="auto"/>
              </w:rPr>
            </w:pPr>
            <w:r>
              <w:rPr>
                <w:color w:val="auto"/>
              </w:rPr>
              <w:t>EPIC</w:t>
            </w:r>
          </w:p>
        </w:tc>
        <w:tc>
          <w:tcPr>
            <w:tcW w:w="7052" w:type="dxa"/>
          </w:tcPr>
          <w:p w:rsidR="00A24653" w:rsidRPr="00010A4C" w:rsidRDefault="00A24653" w:rsidP="00533D61">
            <w:pPr>
              <w:pStyle w:val="Tabletext"/>
              <w:rPr>
                <w:color w:val="auto"/>
              </w:rPr>
            </w:pPr>
            <w:r>
              <w:rPr>
                <w:color w:val="auto"/>
              </w:rPr>
              <w:t>Exhibition Park in Canberra</w:t>
            </w:r>
          </w:p>
        </w:tc>
      </w:tr>
      <w:tr w:rsidR="00525DDB" w:rsidRPr="00010A4C" w:rsidTr="00DE6368">
        <w:tc>
          <w:tcPr>
            <w:tcW w:w="1985" w:type="dxa"/>
          </w:tcPr>
          <w:p w:rsidR="00525DDB" w:rsidRDefault="00525DDB" w:rsidP="00533D61">
            <w:pPr>
              <w:pStyle w:val="Tabletext"/>
              <w:jc w:val="center"/>
              <w:rPr>
                <w:color w:val="auto"/>
              </w:rPr>
            </w:pPr>
            <w:r>
              <w:rPr>
                <w:color w:val="auto"/>
              </w:rPr>
              <w:t>HIA</w:t>
            </w:r>
          </w:p>
        </w:tc>
        <w:tc>
          <w:tcPr>
            <w:tcW w:w="7052" w:type="dxa"/>
          </w:tcPr>
          <w:p w:rsidR="00525DDB" w:rsidRDefault="00525DDB" w:rsidP="00533D61">
            <w:pPr>
              <w:pStyle w:val="Tabletext"/>
              <w:rPr>
                <w:color w:val="auto"/>
              </w:rPr>
            </w:pPr>
            <w:r>
              <w:rPr>
                <w:color w:val="auto"/>
              </w:rPr>
              <w:t>Housing Industry of Australia</w:t>
            </w:r>
          </w:p>
        </w:tc>
      </w:tr>
      <w:tr w:rsidR="00A24653" w:rsidRPr="00010A4C" w:rsidTr="00DE6368">
        <w:tc>
          <w:tcPr>
            <w:tcW w:w="1985" w:type="dxa"/>
          </w:tcPr>
          <w:p w:rsidR="00A24653" w:rsidRPr="00010A4C" w:rsidRDefault="00460E48" w:rsidP="00533D61">
            <w:pPr>
              <w:pStyle w:val="Tabletext"/>
              <w:jc w:val="center"/>
              <w:rPr>
                <w:color w:val="auto"/>
              </w:rPr>
            </w:pPr>
            <w:r>
              <w:rPr>
                <w:color w:val="auto"/>
              </w:rPr>
              <w:t>ICC</w:t>
            </w:r>
          </w:p>
        </w:tc>
        <w:tc>
          <w:tcPr>
            <w:tcW w:w="7052" w:type="dxa"/>
          </w:tcPr>
          <w:p w:rsidR="00A24653" w:rsidRPr="00010A4C" w:rsidRDefault="00460E48" w:rsidP="00533D61">
            <w:pPr>
              <w:pStyle w:val="Tabletext"/>
              <w:rPr>
                <w:color w:val="auto"/>
              </w:rPr>
            </w:pPr>
            <w:r>
              <w:rPr>
                <w:color w:val="auto"/>
              </w:rPr>
              <w:t>International Cricket Council</w:t>
            </w:r>
          </w:p>
        </w:tc>
      </w:tr>
      <w:tr w:rsidR="00533D61" w:rsidRPr="00010A4C" w:rsidTr="00DE6368">
        <w:tc>
          <w:tcPr>
            <w:tcW w:w="1985" w:type="dxa"/>
          </w:tcPr>
          <w:p w:rsidR="00533D61" w:rsidRPr="00010A4C" w:rsidRDefault="00533D61" w:rsidP="00533D61">
            <w:pPr>
              <w:pStyle w:val="Tabletext"/>
              <w:jc w:val="center"/>
              <w:rPr>
                <w:color w:val="auto"/>
              </w:rPr>
            </w:pPr>
            <w:r w:rsidRPr="00010A4C">
              <w:rPr>
                <w:color w:val="auto"/>
              </w:rPr>
              <w:t>LDA</w:t>
            </w:r>
          </w:p>
        </w:tc>
        <w:tc>
          <w:tcPr>
            <w:tcW w:w="7052" w:type="dxa"/>
          </w:tcPr>
          <w:p w:rsidR="00533D61" w:rsidRPr="00010A4C" w:rsidRDefault="00533D61" w:rsidP="00533D61">
            <w:pPr>
              <w:pStyle w:val="Tabletext"/>
              <w:rPr>
                <w:color w:val="auto"/>
              </w:rPr>
            </w:pPr>
            <w:r w:rsidRPr="00010A4C">
              <w:rPr>
                <w:color w:val="auto"/>
              </w:rPr>
              <w:t>Land Development Agency</w:t>
            </w:r>
          </w:p>
        </w:tc>
      </w:tr>
      <w:tr w:rsidR="00A12B53" w:rsidRPr="00010A4C" w:rsidTr="00DE6368">
        <w:tc>
          <w:tcPr>
            <w:tcW w:w="1985" w:type="dxa"/>
          </w:tcPr>
          <w:p w:rsidR="00A12B53" w:rsidRDefault="00A12B53" w:rsidP="00533D61">
            <w:pPr>
              <w:pStyle w:val="Tabletext"/>
              <w:jc w:val="center"/>
              <w:rPr>
                <w:color w:val="auto"/>
              </w:rPr>
            </w:pPr>
            <w:r>
              <w:rPr>
                <w:color w:val="auto"/>
              </w:rPr>
              <w:t>MBA</w:t>
            </w:r>
          </w:p>
        </w:tc>
        <w:tc>
          <w:tcPr>
            <w:tcW w:w="7052" w:type="dxa"/>
          </w:tcPr>
          <w:p w:rsidR="00A12B53" w:rsidRDefault="00A12B53" w:rsidP="00533D61">
            <w:pPr>
              <w:pStyle w:val="Tabletext"/>
              <w:rPr>
                <w:color w:val="auto"/>
              </w:rPr>
            </w:pPr>
            <w:r>
              <w:rPr>
                <w:color w:val="auto"/>
              </w:rPr>
              <w:t>Master Builders Association</w:t>
            </w:r>
          </w:p>
        </w:tc>
      </w:tr>
      <w:tr w:rsidR="00264964" w:rsidRPr="00010A4C" w:rsidTr="00DE6368">
        <w:tc>
          <w:tcPr>
            <w:tcW w:w="1985" w:type="dxa"/>
          </w:tcPr>
          <w:p w:rsidR="00264964" w:rsidRDefault="001D4944" w:rsidP="00533D61">
            <w:pPr>
              <w:pStyle w:val="Tabletext"/>
              <w:jc w:val="center"/>
              <w:rPr>
                <w:color w:val="auto"/>
              </w:rPr>
            </w:pPr>
            <w:r>
              <w:rPr>
                <w:color w:val="auto"/>
              </w:rPr>
              <w:t>MOU</w:t>
            </w:r>
          </w:p>
        </w:tc>
        <w:tc>
          <w:tcPr>
            <w:tcW w:w="7052" w:type="dxa"/>
          </w:tcPr>
          <w:p w:rsidR="00264964" w:rsidRDefault="001D4944" w:rsidP="00533D61">
            <w:pPr>
              <w:pStyle w:val="Tabletext"/>
              <w:rPr>
                <w:color w:val="auto"/>
              </w:rPr>
            </w:pPr>
            <w:r>
              <w:rPr>
                <w:color w:val="auto"/>
              </w:rPr>
              <w:t>Memorandum of Understanding</w:t>
            </w:r>
          </w:p>
        </w:tc>
      </w:tr>
      <w:tr w:rsidR="00460E48" w:rsidRPr="00010A4C" w:rsidTr="00DE6368">
        <w:tc>
          <w:tcPr>
            <w:tcW w:w="1985" w:type="dxa"/>
          </w:tcPr>
          <w:p w:rsidR="00460E48" w:rsidRDefault="00460E48" w:rsidP="00533D61">
            <w:pPr>
              <w:pStyle w:val="Tabletext"/>
              <w:jc w:val="center"/>
              <w:rPr>
                <w:color w:val="auto"/>
              </w:rPr>
            </w:pPr>
            <w:r>
              <w:rPr>
                <w:color w:val="auto"/>
              </w:rPr>
              <w:t>NCA</w:t>
            </w:r>
          </w:p>
        </w:tc>
        <w:tc>
          <w:tcPr>
            <w:tcW w:w="7052" w:type="dxa"/>
          </w:tcPr>
          <w:p w:rsidR="00460E48" w:rsidRDefault="00460E48" w:rsidP="00533D61">
            <w:pPr>
              <w:pStyle w:val="Tabletext"/>
              <w:rPr>
                <w:color w:val="auto"/>
              </w:rPr>
            </w:pPr>
            <w:r>
              <w:rPr>
                <w:color w:val="auto"/>
              </w:rPr>
              <w:t>National Capital Authority</w:t>
            </w:r>
          </w:p>
        </w:tc>
      </w:tr>
      <w:tr w:rsidR="00F61EF9" w:rsidRPr="00010A4C" w:rsidTr="00DE6368">
        <w:tc>
          <w:tcPr>
            <w:tcW w:w="1985" w:type="dxa"/>
          </w:tcPr>
          <w:p w:rsidR="00F61EF9" w:rsidRDefault="00F61EF9" w:rsidP="00533D61">
            <w:pPr>
              <w:pStyle w:val="Tabletext"/>
              <w:jc w:val="center"/>
              <w:rPr>
                <w:color w:val="auto"/>
              </w:rPr>
            </w:pPr>
            <w:r>
              <w:rPr>
                <w:color w:val="auto"/>
              </w:rPr>
              <w:t>PAC</w:t>
            </w:r>
          </w:p>
        </w:tc>
        <w:tc>
          <w:tcPr>
            <w:tcW w:w="7052" w:type="dxa"/>
          </w:tcPr>
          <w:p w:rsidR="00F61EF9" w:rsidRDefault="00F61EF9" w:rsidP="00533D61">
            <w:pPr>
              <w:pStyle w:val="Tabletext"/>
              <w:rPr>
                <w:color w:val="auto"/>
              </w:rPr>
            </w:pPr>
            <w:r>
              <w:rPr>
                <w:color w:val="auto"/>
              </w:rPr>
              <w:t>Standing Committee on Public Accounts</w:t>
            </w:r>
          </w:p>
        </w:tc>
      </w:tr>
      <w:tr w:rsidR="00502DE2" w:rsidRPr="00010A4C" w:rsidTr="00DE6368">
        <w:tc>
          <w:tcPr>
            <w:tcW w:w="1985" w:type="dxa"/>
          </w:tcPr>
          <w:p w:rsidR="00502DE2" w:rsidRPr="00010A4C" w:rsidRDefault="00A12B53" w:rsidP="00533D61">
            <w:pPr>
              <w:pStyle w:val="Tabletext"/>
              <w:jc w:val="center"/>
              <w:rPr>
                <w:color w:val="auto"/>
              </w:rPr>
            </w:pPr>
            <w:r>
              <w:rPr>
                <w:color w:val="auto"/>
              </w:rPr>
              <w:t>PPP</w:t>
            </w:r>
          </w:p>
        </w:tc>
        <w:tc>
          <w:tcPr>
            <w:tcW w:w="7052" w:type="dxa"/>
          </w:tcPr>
          <w:p w:rsidR="00502DE2" w:rsidRPr="00010A4C" w:rsidRDefault="00A12B53" w:rsidP="00533D61">
            <w:pPr>
              <w:pStyle w:val="Tabletext"/>
              <w:rPr>
                <w:color w:val="auto"/>
              </w:rPr>
            </w:pPr>
            <w:r>
              <w:rPr>
                <w:color w:val="auto"/>
              </w:rPr>
              <w:t>Public private partnership</w:t>
            </w:r>
          </w:p>
        </w:tc>
      </w:tr>
      <w:tr w:rsidR="00A172F6" w:rsidRPr="00010A4C" w:rsidTr="00DE6368">
        <w:tc>
          <w:tcPr>
            <w:tcW w:w="1985" w:type="dxa"/>
          </w:tcPr>
          <w:p w:rsidR="00A172F6" w:rsidRDefault="00A172F6" w:rsidP="00533D61">
            <w:pPr>
              <w:pStyle w:val="Tabletext"/>
              <w:jc w:val="center"/>
              <w:rPr>
                <w:color w:val="auto"/>
              </w:rPr>
            </w:pPr>
            <w:r>
              <w:rPr>
                <w:color w:val="auto"/>
              </w:rPr>
              <w:t>TRO</w:t>
            </w:r>
          </w:p>
        </w:tc>
        <w:tc>
          <w:tcPr>
            <w:tcW w:w="7052" w:type="dxa"/>
          </w:tcPr>
          <w:p w:rsidR="00A172F6" w:rsidRDefault="00A172F6" w:rsidP="00533D61">
            <w:pPr>
              <w:pStyle w:val="Tabletext"/>
              <w:rPr>
                <w:color w:val="auto"/>
              </w:rPr>
            </w:pPr>
            <w:r>
              <w:rPr>
                <w:color w:val="auto"/>
              </w:rPr>
              <w:t>Territory Records Office</w:t>
            </w:r>
          </w:p>
        </w:tc>
      </w:tr>
    </w:tbl>
    <w:p w:rsidR="00670409" w:rsidRDefault="00670409" w:rsidP="00E13F34">
      <w:pPr>
        <w:pStyle w:val="TOCHeading1"/>
        <w:sectPr w:rsidR="00670409" w:rsidSect="00D22AC9">
          <w:type w:val="oddPage"/>
          <w:pgSz w:w="11907" w:h="16840" w:code="9"/>
          <w:pgMar w:top="1588" w:right="1418" w:bottom="1418" w:left="1418" w:header="720" w:footer="851" w:gutter="0"/>
          <w:pgNumType w:fmt="lowerRoman"/>
          <w:cols w:space="720"/>
          <w:docGrid w:linePitch="360"/>
        </w:sectPr>
      </w:pPr>
      <w:bookmarkStart w:id="35" w:name="_Toc341433423"/>
      <w:bookmarkStart w:id="36" w:name="_Toc341687868"/>
    </w:p>
    <w:p w:rsidR="00D561BC" w:rsidRDefault="00D561BC" w:rsidP="00E13F34">
      <w:pPr>
        <w:pStyle w:val="TOCHeading1"/>
      </w:pPr>
      <w:r>
        <w:t>Table of contents</w:t>
      </w:r>
      <w:bookmarkEnd w:id="35"/>
      <w:bookmarkEnd w:id="36"/>
      <w:r>
        <w:t xml:space="preserve"> </w:t>
      </w:r>
    </w:p>
    <w:p w:rsidR="00670409" w:rsidRDefault="00A23913">
      <w:pPr>
        <w:pStyle w:val="TOC3"/>
        <w:rPr>
          <w:rFonts w:asciiTheme="minorHAnsi" w:eastAsiaTheme="minorEastAsia" w:hAnsiTheme="minorHAnsi" w:cstheme="minorBidi"/>
          <w:b w:val="0"/>
          <w:szCs w:val="22"/>
          <w:lang w:eastAsia="zh-TW"/>
        </w:rPr>
      </w:pPr>
      <w:r w:rsidRPr="00A23913">
        <w:fldChar w:fldCharType="begin"/>
      </w:r>
      <w:r w:rsidR="00D561BC">
        <w:instrText xml:space="preserve"> TOC \o "3-3" \h \z \t "Heading 1,1,Heading 2,2,Prelim major heading,1,Appendix Heading 1,1,Heading level 2,2" </w:instrText>
      </w:r>
      <w:r w:rsidRPr="00A23913">
        <w:fldChar w:fldCharType="separate"/>
      </w:r>
      <w:hyperlink w:anchor="_Toc481488984" w:history="1">
        <w:r w:rsidR="00670409" w:rsidRPr="00683033">
          <w:rPr>
            <w:rStyle w:val="Hyperlink"/>
            <w:spacing w:val="4"/>
          </w:rPr>
          <w:t>Committee membership</w:t>
        </w:r>
        <w:r w:rsidR="00670409">
          <w:rPr>
            <w:webHidden/>
          </w:rPr>
          <w:tab/>
        </w:r>
        <w:r>
          <w:rPr>
            <w:webHidden/>
          </w:rPr>
          <w:fldChar w:fldCharType="begin"/>
        </w:r>
        <w:r w:rsidR="00670409">
          <w:rPr>
            <w:webHidden/>
          </w:rPr>
          <w:instrText xml:space="preserve"> PAGEREF _Toc481488984 \h </w:instrText>
        </w:r>
        <w:r>
          <w:rPr>
            <w:webHidden/>
          </w:rPr>
        </w:r>
        <w:r>
          <w:rPr>
            <w:webHidden/>
          </w:rPr>
          <w:fldChar w:fldCharType="separate"/>
        </w:r>
        <w:r w:rsidR="000B4A6A">
          <w:rPr>
            <w:webHidden/>
          </w:rPr>
          <w:t>i</w:t>
        </w:r>
        <w:r>
          <w:rPr>
            <w:webHidden/>
          </w:rPr>
          <w:fldChar w:fldCharType="end"/>
        </w:r>
      </w:hyperlink>
    </w:p>
    <w:p w:rsidR="00670409" w:rsidRDefault="00A23913">
      <w:pPr>
        <w:pStyle w:val="TOC3"/>
        <w:rPr>
          <w:rFonts w:asciiTheme="minorHAnsi" w:eastAsiaTheme="minorEastAsia" w:hAnsiTheme="minorHAnsi" w:cstheme="minorBidi"/>
          <w:b w:val="0"/>
          <w:szCs w:val="22"/>
          <w:lang w:eastAsia="zh-TW"/>
        </w:rPr>
      </w:pPr>
      <w:hyperlink w:anchor="_Toc481488985" w:history="1">
        <w:r w:rsidR="00670409" w:rsidRPr="00683033">
          <w:rPr>
            <w:rStyle w:val="Hyperlink"/>
          </w:rPr>
          <w:t>Secretariat</w:t>
        </w:r>
        <w:r w:rsidR="00670409">
          <w:rPr>
            <w:webHidden/>
          </w:rPr>
          <w:tab/>
        </w:r>
        <w:r>
          <w:rPr>
            <w:webHidden/>
          </w:rPr>
          <w:fldChar w:fldCharType="begin"/>
        </w:r>
        <w:r w:rsidR="00670409">
          <w:rPr>
            <w:webHidden/>
          </w:rPr>
          <w:instrText xml:space="preserve"> PAGEREF _Toc481488985 \h </w:instrText>
        </w:r>
        <w:r>
          <w:rPr>
            <w:webHidden/>
          </w:rPr>
        </w:r>
        <w:r>
          <w:rPr>
            <w:webHidden/>
          </w:rPr>
          <w:fldChar w:fldCharType="separate"/>
        </w:r>
        <w:r w:rsidR="000B4A6A">
          <w:rPr>
            <w:webHidden/>
          </w:rPr>
          <w:t>i</w:t>
        </w:r>
        <w:r>
          <w:rPr>
            <w:webHidden/>
          </w:rPr>
          <w:fldChar w:fldCharType="end"/>
        </w:r>
      </w:hyperlink>
    </w:p>
    <w:p w:rsidR="00670409" w:rsidRDefault="00A23913">
      <w:pPr>
        <w:pStyle w:val="TOC3"/>
        <w:rPr>
          <w:rFonts w:asciiTheme="minorHAnsi" w:eastAsiaTheme="minorEastAsia" w:hAnsiTheme="minorHAnsi" w:cstheme="minorBidi"/>
          <w:b w:val="0"/>
          <w:szCs w:val="22"/>
          <w:lang w:eastAsia="zh-TW"/>
        </w:rPr>
      </w:pPr>
      <w:hyperlink w:anchor="_Toc481488986" w:history="1">
        <w:r w:rsidR="00670409" w:rsidRPr="00683033">
          <w:rPr>
            <w:rStyle w:val="Hyperlink"/>
          </w:rPr>
          <w:t>Contact information</w:t>
        </w:r>
        <w:r w:rsidR="00670409">
          <w:rPr>
            <w:webHidden/>
          </w:rPr>
          <w:tab/>
        </w:r>
        <w:r>
          <w:rPr>
            <w:webHidden/>
          </w:rPr>
          <w:fldChar w:fldCharType="begin"/>
        </w:r>
        <w:r w:rsidR="00670409">
          <w:rPr>
            <w:webHidden/>
          </w:rPr>
          <w:instrText xml:space="preserve"> PAGEREF _Toc481488986 \h </w:instrText>
        </w:r>
        <w:r>
          <w:rPr>
            <w:webHidden/>
          </w:rPr>
        </w:r>
        <w:r>
          <w:rPr>
            <w:webHidden/>
          </w:rPr>
          <w:fldChar w:fldCharType="separate"/>
        </w:r>
        <w:r w:rsidR="000B4A6A">
          <w:rPr>
            <w:webHidden/>
          </w:rPr>
          <w:t>i</w:t>
        </w:r>
        <w:r>
          <w:rPr>
            <w:webHidden/>
          </w:rPr>
          <w:fldChar w:fldCharType="end"/>
        </w:r>
      </w:hyperlink>
    </w:p>
    <w:p w:rsidR="00670409" w:rsidRDefault="00A23913">
      <w:pPr>
        <w:pStyle w:val="TOC3"/>
        <w:rPr>
          <w:rFonts w:asciiTheme="minorHAnsi" w:eastAsiaTheme="minorEastAsia" w:hAnsiTheme="minorHAnsi" w:cstheme="minorBidi"/>
          <w:b w:val="0"/>
          <w:szCs w:val="22"/>
          <w:lang w:eastAsia="zh-TW"/>
        </w:rPr>
      </w:pPr>
      <w:hyperlink w:anchor="_Toc481488987" w:history="1">
        <w:r w:rsidR="00670409" w:rsidRPr="00683033">
          <w:rPr>
            <w:rStyle w:val="Hyperlink"/>
          </w:rPr>
          <w:t>Resolution of appointment</w:t>
        </w:r>
        <w:r w:rsidR="00670409">
          <w:rPr>
            <w:webHidden/>
          </w:rPr>
          <w:tab/>
        </w:r>
        <w:r>
          <w:rPr>
            <w:webHidden/>
          </w:rPr>
          <w:fldChar w:fldCharType="begin"/>
        </w:r>
        <w:r w:rsidR="00670409">
          <w:rPr>
            <w:webHidden/>
          </w:rPr>
          <w:instrText xml:space="preserve"> PAGEREF _Toc481488987 \h </w:instrText>
        </w:r>
        <w:r>
          <w:rPr>
            <w:webHidden/>
          </w:rPr>
        </w:r>
        <w:r>
          <w:rPr>
            <w:webHidden/>
          </w:rPr>
          <w:fldChar w:fldCharType="separate"/>
        </w:r>
        <w:r w:rsidR="000B4A6A">
          <w:rPr>
            <w:webHidden/>
          </w:rPr>
          <w:t>iii</w:t>
        </w:r>
        <w:r>
          <w:rPr>
            <w:webHidden/>
          </w:rPr>
          <w:fldChar w:fldCharType="end"/>
        </w:r>
      </w:hyperlink>
    </w:p>
    <w:p w:rsidR="00670409" w:rsidRDefault="00A23913">
      <w:pPr>
        <w:pStyle w:val="TOC3"/>
        <w:rPr>
          <w:rFonts w:asciiTheme="minorHAnsi" w:eastAsiaTheme="minorEastAsia" w:hAnsiTheme="minorHAnsi" w:cstheme="minorBidi"/>
          <w:b w:val="0"/>
          <w:szCs w:val="22"/>
          <w:lang w:eastAsia="zh-TW"/>
        </w:rPr>
      </w:pPr>
      <w:hyperlink w:anchor="_Toc481488988" w:history="1">
        <w:r w:rsidR="00670409" w:rsidRPr="00683033">
          <w:rPr>
            <w:rStyle w:val="Hyperlink"/>
          </w:rPr>
          <w:t>Terms of reference</w:t>
        </w:r>
        <w:r w:rsidR="00670409">
          <w:rPr>
            <w:webHidden/>
          </w:rPr>
          <w:tab/>
        </w:r>
        <w:r>
          <w:rPr>
            <w:webHidden/>
          </w:rPr>
          <w:fldChar w:fldCharType="begin"/>
        </w:r>
        <w:r w:rsidR="00670409">
          <w:rPr>
            <w:webHidden/>
          </w:rPr>
          <w:instrText xml:space="preserve"> PAGEREF _Toc481488988 \h </w:instrText>
        </w:r>
        <w:r>
          <w:rPr>
            <w:webHidden/>
          </w:rPr>
        </w:r>
        <w:r>
          <w:rPr>
            <w:webHidden/>
          </w:rPr>
          <w:fldChar w:fldCharType="separate"/>
        </w:r>
        <w:r w:rsidR="000B4A6A">
          <w:rPr>
            <w:webHidden/>
          </w:rPr>
          <w:t>iii</w:t>
        </w:r>
        <w:r>
          <w:rPr>
            <w:webHidden/>
          </w:rPr>
          <w:fldChar w:fldCharType="end"/>
        </w:r>
      </w:hyperlink>
    </w:p>
    <w:p w:rsidR="00670409" w:rsidRDefault="00A23913">
      <w:pPr>
        <w:pStyle w:val="TOC3"/>
        <w:rPr>
          <w:rFonts w:asciiTheme="minorHAnsi" w:eastAsiaTheme="minorEastAsia" w:hAnsiTheme="minorHAnsi" w:cstheme="minorBidi"/>
          <w:b w:val="0"/>
          <w:szCs w:val="22"/>
          <w:lang w:eastAsia="zh-TW"/>
        </w:rPr>
      </w:pPr>
      <w:hyperlink w:anchor="_Toc481488989" w:history="1">
        <w:r w:rsidR="00670409" w:rsidRPr="00683033">
          <w:rPr>
            <w:rStyle w:val="Hyperlink"/>
          </w:rPr>
          <w:t>Acronyms</w:t>
        </w:r>
        <w:r w:rsidR="00670409">
          <w:rPr>
            <w:webHidden/>
          </w:rPr>
          <w:tab/>
        </w:r>
        <w:r>
          <w:rPr>
            <w:webHidden/>
          </w:rPr>
          <w:fldChar w:fldCharType="begin"/>
        </w:r>
        <w:r w:rsidR="00670409">
          <w:rPr>
            <w:webHidden/>
          </w:rPr>
          <w:instrText xml:space="preserve"> PAGEREF _Toc481488989 \h </w:instrText>
        </w:r>
        <w:r>
          <w:rPr>
            <w:webHidden/>
          </w:rPr>
        </w:r>
        <w:r>
          <w:rPr>
            <w:webHidden/>
          </w:rPr>
          <w:fldChar w:fldCharType="separate"/>
        </w:r>
        <w:r w:rsidR="000B4A6A">
          <w:rPr>
            <w:webHidden/>
          </w:rPr>
          <w:t>iv</w:t>
        </w:r>
        <w:r>
          <w:rPr>
            <w:webHidden/>
          </w:rPr>
          <w:fldChar w:fldCharType="end"/>
        </w:r>
      </w:hyperlink>
    </w:p>
    <w:p w:rsidR="00670409" w:rsidRDefault="00A23913">
      <w:pPr>
        <w:pStyle w:val="TOC1"/>
        <w:rPr>
          <w:rFonts w:asciiTheme="minorHAnsi" w:eastAsiaTheme="minorEastAsia" w:hAnsiTheme="minorHAnsi" w:cstheme="minorBidi"/>
          <w:b w:val="0"/>
          <w:smallCaps w:val="0"/>
          <w:spacing w:val="0"/>
          <w:sz w:val="22"/>
          <w:lang w:eastAsia="zh-TW"/>
        </w:rPr>
      </w:pPr>
      <w:hyperlink w:anchor="_Toc481488990" w:history="1">
        <w:r w:rsidR="00670409" w:rsidRPr="00683033">
          <w:rPr>
            <w:rStyle w:val="Hyperlink"/>
          </w:rPr>
          <w:t>Recommendations</w:t>
        </w:r>
        <w:r w:rsidR="00670409">
          <w:rPr>
            <w:webHidden/>
          </w:rPr>
          <w:tab/>
        </w:r>
        <w:r>
          <w:rPr>
            <w:webHidden/>
          </w:rPr>
          <w:fldChar w:fldCharType="begin"/>
        </w:r>
        <w:r w:rsidR="00670409">
          <w:rPr>
            <w:webHidden/>
          </w:rPr>
          <w:instrText xml:space="preserve"> PAGEREF _Toc481488990 \h </w:instrText>
        </w:r>
        <w:r>
          <w:rPr>
            <w:webHidden/>
          </w:rPr>
        </w:r>
        <w:r>
          <w:rPr>
            <w:webHidden/>
          </w:rPr>
          <w:fldChar w:fldCharType="separate"/>
        </w:r>
        <w:r w:rsidR="000B4A6A">
          <w:rPr>
            <w:webHidden/>
          </w:rPr>
          <w:t>vii</w:t>
        </w:r>
        <w:r>
          <w:rPr>
            <w:webHidden/>
          </w:rPr>
          <w:fldChar w:fldCharType="end"/>
        </w:r>
      </w:hyperlink>
    </w:p>
    <w:p w:rsidR="00670409" w:rsidRDefault="00A23913">
      <w:pPr>
        <w:pStyle w:val="TOC1"/>
        <w:tabs>
          <w:tab w:val="left" w:pos="1588"/>
        </w:tabs>
        <w:rPr>
          <w:rFonts w:asciiTheme="minorHAnsi" w:eastAsiaTheme="minorEastAsia" w:hAnsiTheme="minorHAnsi" w:cstheme="minorBidi"/>
          <w:b w:val="0"/>
          <w:smallCaps w:val="0"/>
          <w:spacing w:val="0"/>
          <w:sz w:val="22"/>
          <w:lang w:eastAsia="zh-TW"/>
        </w:rPr>
      </w:pPr>
      <w:hyperlink w:anchor="_Toc481488991" w:history="1">
        <w:r w:rsidR="00670409" w:rsidRPr="00683033">
          <w:rPr>
            <w:rStyle w:val="Hyperlink"/>
          </w:rPr>
          <w:t>1.</w:t>
        </w:r>
        <w:r w:rsidR="00670409">
          <w:rPr>
            <w:rFonts w:asciiTheme="minorHAnsi" w:eastAsiaTheme="minorEastAsia" w:hAnsiTheme="minorHAnsi" w:cstheme="minorBidi"/>
            <w:b w:val="0"/>
            <w:smallCaps w:val="0"/>
            <w:spacing w:val="0"/>
            <w:sz w:val="22"/>
            <w:lang w:eastAsia="zh-TW"/>
          </w:rPr>
          <w:tab/>
        </w:r>
        <w:r w:rsidR="00670409" w:rsidRPr="00683033">
          <w:rPr>
            <w:rStyle w:val="Hyperlink"/>
          </w:rPr>
          <w:t>INTRODUCTION</w:t>
        </w:r>
        <w:r w:rsidR="00670409">
          <w:rPr>
            <w:webHidden/>
          </w:rPr>
          <w:tab/>
        </w:r>
        <w:r>
          <w:rPr>
            <w:webHidden/>
          </w:rPr>
          <w:fldChar w:fldCharType="begin"/>
        </w:r>
        <w:r w:rsidR="00670409">
          <w:rPr>
            <w:webHidden/>
          </w:rPr>
          <w:instrText xml:space="preserve"> PAGEREF _Toc481488991 \h </w:instrText>
        </w:r>
        <w:r>
          <w:rPr>
            <w:webHidden/>
          </w:rPr>
        </w:r>
        <w:r>
          <w:rPr>
            <w:webHidden/>
          </w:rPr>
          <w:fldChar w:fldCharType="separate"/>
        </w:r>
        <w:r w:rsidR="000B4A6A">
          <w:rPr>
            <w:webHidden/>
          </w:rPr>
          <w:t>1</w:t>
        </w:r>
        <w:r>
          <w:rPr>
            <w:webHidden/>
          </w:rPr>
          <w:fldChar w:fldCharType="end"/>
        </w:r>
      </w:hyperlink>
    </w:p>
    <w:p w:rsidR="00670409" w:rsidRDefault="00A23913">
      <w:pPr>
        <w:pStyle w:val="TOC2"/>
        <w:rPr>
          <w:rFonts w:asciiTheme="minorHAnsi" w:eastAsiaTheme="minorEastAsia" w:hAnsiTheme="minorHAnsi" w:cstheme="minorBidi"/>
          <w:b w:val="0"/>
          <w:szCs w:val="22"/>
          <w:lang w:eastAsia="zh-TW"/>
        </w:rPr>
      </w:pPr>
      <w:hyperlink w:anchor="_Toc481488992" w:history="1">
        <w:r w:rsidR="00670409" w:rsidRPr="00683033">
          <w:rPr>
            <w:rStyle w:val="Hyperlink"/>
          </w:rPr>
          <w:t>Conduct of the inquiry</w:t>
        </w:r>
        <w:r w:rsidR="00670409">
          <w:rPr>
            <w:webHidden/>
          </w:rPr>
          <w:tab/>
        </w:r>
        <w:r>
          <w:rPr>
            <w:webHidden/>
          </w:rPr>
          <w:fldChar w:fldCharType="begin"/>
        </w:r>
        <w:r w:rsidR="00670409">
          <w:rPr>
            <w:webHidden/>
          </w:rPr>
          <w:instrText xml:space="preserve"> PAGEREF _Toc481488992 \h </w:instrText>
        </w:r>
        <w:r>
          <w:rPr>
            <w:webHidden/>
          </w:rPr>
        </w:r>
        <w:r>
          <w:rPr>
            <w:webHidden/>
          </w:rPr>
          <w:fldChar w:fldCharType="separate"/>
        </w:r>
        <w:r w:rsidR="000B4A6A">
          <w:rPr>
            <w:webHidden/>
          </w:rPr>
          <w:t>1</w:t>
        </w:r>
        <w:r>
          <w:rPr>
            <w:webHidden/>
          </w:rPr>
          <w:fldChar w:fldCharType="end"/>
        </w:r>
      </w:hyperlink>
    </w:p>
    <w:p w:rsidR="00670409" w:rsidRDefault="00A23913">
      <w:pPr>
        <w:pStyle w:val="TOC2"/>
        <w:rPr>
          <w:rFonts w:asciiTheme="minorHAnsi" w:eastAsiaTheme="minorEastAsia" w:hAnsiTheme="minorHAnsi" w:cstheme="minorBidi"/>
          <w:b w:val="0"/>
          <w:szCs w:val="22"/>
          <w:lang w:eastAsia="zh-TW"/>
        </w:rPr>
      </w:pPr>
      <w:hyperlink w:anchor="_Toc481488993" w:history="1">
        <w:r w:rsidR="00670409" w:rsidRPr="00683033">
          <w:rPr>
            <w:rStyle w:val="Hyperlink"/>
          </w:rPr>
          <w:t>Structure of the Report</w:t>
        </w:r>
        <w:r w:rsidR="00670409">
          <w:rPr>
            <w:webHidden/>
          </w:rPr>
          <w:tab/>
        </w:r>
        <w:r>
          <w:rPr>
            <w:webHidden/>
          </w:rPr>
          <w:fldChar w:fldCharType="begin"/>
        </w:r>
        <w:r w:rsidR="00670409">
          <w:rPr>
            <w:webHidden/>
          </w:rPr>
          <w:instrText xml:space="preserve"> PAGEREF _Toc481488993 \h </w:instrText>
        </w:r>
        <w:r>
          <w:rPr>
            <w:webHidden/>
          </w:rPr>
        </w:r>
        <w:r>
          <w:rPr>
            <w:webHidden/>
          </w:rPr>
          <w:fldChar w:fldCharType="separate"/>
        </w:r>
        <w:r w:rsidR="000B4A6A">
          <w:rPr>
            <w:webHidden/>
          </w:rPr>
          <w:t>2</w:t>
        </w:r>
        <w:r>
          <w:rPr>
            <w:webHidden/>
          </w:rPr>
          <w:fldChar w:fldCharType="end"/>
        </w:r>
      </w:hyperlink>
    </w:p>
    <w:p w:rsidR="00670409" w:rsidRDefault="00A23913">
      <w:pPr>
        <w:pStyle w:val="TOC2"/>
        <w:rPr>
          <w:rFonts w:asciiTheme="minorHAnsi" w:eastAsiaTheme="minorEastAsia" w:hAnsiTheme="minorHAnsi" w:cstheme="minorBidi"/>
          <w:b w:val="0"/>
          <w:szCs w:val="22"/>
          <w:lang w:eastAsia="zh-TW"/>
        </w:rPr>
      </w:pPr>
      <w:hyperlink w:anchor="_Toc481488994" w:history="1">
        <w:r w:rsidR="00670409" w:rsidRPr="00683033">
          <w:rPr>
            <w:rStyle w:val="Hyperlink"/>
          </w:rPr>
          <w:t>Acknowledgements</w:t>
        </w:r>
        <w:r w:rsidR="00670409">
          <w:rPr>
            <w:webHidden/>
          </w:rPr>
          <w:tab/>
        </w:r>
        <w:r>
          <w:rPr>
            <w:webHidden/>
          </w:rPr>
          <w:fldChar w:fldCharType="begin"/>
        </w:r>
        <w:r w:rsidR="00670409">
          <w:rPr>
            <w:webHidden/>
          </w:rPr>
          <w:instrText xml:space="preserve"> PAGEREF _Toc481488994 \h </w:instrText>
        </w:r>
        <w:r>
          <w:rPr>
            <w:webHidden/>
          </w:rPr>
        </w:r>
        <w:r>
          <w:rPr>
            <w:webHidden/>
          </w:rPr>
          <w:fldChar w:fldCharType="separate"/>
        </w:r>
        <w:r w:rsidR="000B4A6A">
          <w:rPr>
            <w:webHidden/>
          </w:rPr>
          <w:t>2</w:t>
        </w:r>
        <w:r>
          <w:rPr>
            <w:webHidden/>
          </w:rPr>
          <w:fldChar w:fldCharType="end"/>
        </w:r>
      </w:hyperlink>
    </w:p>
    <w:p w:rsidR="00670409" w:rsidRDefault="00A23913">
      <w:pPr>
        <w:pStyle w:val="TOC1"/>
        <w:tabs>
          <w:tab w:val="left" w:pos="1588"/>
        </w:tabs>
        <w:rPr>
          <w:rFonts w:asciiTheme="minorHAnsi" w:eastAsiaTheme="minorEastAsia" w:hAnsiTheme="minorHAnsi" w:cstheme="minorBidi"/>
          <w:b w:val="0"/>
          <w:smallCaps w:val="0"/>
          <w:spacing w:val="0"/>
          <w:sz w:val="22"/>
          <w:lang w:eastAsia="zh-TW"/>
        </w:rPr>
      </w:pPr>
      <w:hyperlink w:anchor="_Toc481488995" w:history="1">
        <w:r w:rsidR="00670409" w:rsidRPr="00683033">
          <w:rPr>
            <w:rStyle w:val="Hyperlink"/>
          </w:rPr>
          <w:t>2.</w:t>
        </w:r>
        <w:r w:rsidR="00670409">
          <w:rPr>
            <w:rFonts w:asciiTheme="minorHAnsi" w:eastAsiaTheme="minorEastAsia" w:hAnsiTheme="minorHAnsi" w:cstheme="minorBidi"/>
            <w:b w:val="0"/>
            <w:smallCaps w:val="0"/>
            <w:spacing w:val="0"/>
            <w:sz w:val="22"/>
            <w:lang w:eastAsia="zh-TW"/>
          </w:rPr>
          <w:tab/>
        </w:r>
        <w:r w:rsidR="00670409" w:rsidRPr="00683033">
          <w:rPr>
            <w:rStyle w:val="Hyperlink"/>
          </w:rPr>
          <w:t>ANNUAL REPORTING REQUIREMENTS</w:t>
        </w:r>
        <w:r w:rsidR="00670409">
          <w:rPr>
            <w:webHidden/>
          </w:rPr>
          <w:tab/>
        </w:r>
        <w:r>
          <w:rPr>
            <w:webHidden/>
          </w:rPr>
          <w:fldChar w:fldCharType="begin"/>
        </w:r>
        <w:r w:rsidR="00670409">
          <w:rPr>
            <w:webHidden/>
          </w:rPr>
          <w:instrText xml:space="preserve"> PAGEREF _Toc481488995 \h </w:instrText>
        </w:r>
        <w:r>
          <w:rPr>
            <w:webHidden/>
          </w:rPr>
        </w:r>
        <w:r>
          <w:rPr>
            <w:webHidden/>
          </w:rPr>
          <w:fldChar w:fldCharType="separate"/>
        </w:r>
        <w:r w:rsidR="000B4A6A">
          <w:rPr>
            <w:webHidden/>
          </w:rPr>
          <w:t>3</w:t>
        </w:r>
        <w:r>
          <w:rPr>
            <w:webHidden/>
          </w:rPr>
          <w:fldChar w:fldCharType="end"/>
        </w:r>
      </w:hyperlink>
    </w:p>
    <w:p w:rsidR="00670409" w:rsidRDefault="00A23913">
      <w:pPr>
        <w:pStyle w:val="TOC2"/>
        <w:rPr>
          <w:rFonts w:asciiTheme="minorHAnsi" w:eastAsiaTheme="minorEastAsia" w:hAnsiTheme="minorHAnsi" w:cstheme="minorBidi"/>
          <w:b w:val="0"/>
          <w:szCs w:val="22"/>
          <w:lang w:eastAsia="zh-TW"/>
        </w:rPr>
      </w:pPr>
      <w:hyperlink w:anchor="_Toc481488996" w:history="1">
        <w:r w:rsidR="00670409" w:rsidRPr="00683033">
          <w:rPr>
            <w:rStyle w:val="Hyperlink"/>
          </w:rPr>
          <w:t>Timing and presentation of reports</w:t>
        </w:r>
        <w:r w:rsidR="00670409">
          <w:rPr>
            <w:webHidden/>
          </w:rPr>
          <w:tab/>
        </w:r>
        <w:r>
          <w:rPr>
            <w:webHidden/>
          </w:rPr>
          <w:fldChar w:fldCharType="begin"/>
        </w:r>
        <w:r w:rsidR="00670409">
          <w:rPr>
            <w:webHidden/>
          </w:rPr>
          <w:instrText xml:space="preserve"> PAGEREF _Toc481488996 \h </w:instrText>
        </w:r>
        <w:r>
          <w:rPr>
            <w:webHidden/>
          </w:rPr>
        </w:r>
        <w:r>
          <w:rPr>
            <w:webHidden/>
          </w:rPr>
          <w:fldChar w:fldCharType="separate"/>
        </w:r>
        <w:r w:rsidR="000B4A6A">
          <w:rPr>
            <w:webHidden/>
          </w:rPr>
          <w:t>4</w:t>
        </w:r>
        <w:r>
          <w:rPr>
            <w:webHidden/>
          </w:rPr>
          <w:fldChar w:fldCharType="end"/>
        </w:r>
      </w:hyperlink>
    </w:p>
    <w:p w:rsidR="00670409" w:rsidRDefault="00A23913">
      <w:pPr>
        <w:pStyle w:val="TOC2"/>
        <w:rPr>
          <w:rFonts w:asciiTheme="minorHAnsi" w:eastAsiaTheme="minorEastAsia" w:hAnsiTheme="minorHAnsi" w:cstheme="minorBidi"/>
          <w:b w:val="0"/>
          <w:szCs w:val="22"/>
          <w:lang w:eastAsia="zh-TW"/>
        </w:rPr>
      </w:pPr>
      <w:hyperlink w:anchor="_Toc481488997" w:history="1">
        <w:r w:rsidR="00670409" w:rsidRPr="00683033">
          <w:rPr>
            <w:rStyle w:val="Hyperlink"/>
          </w:rPr>
          <w:t>Allocation of Reports to Committees</w:t>
        </w:r>
        <w:r w:rsidR="00670409">
          <w:rPr>
            <w:webHidden/>
          </w:rPr>
          <w:tab/>
        </w:r>
        <w:r>
          <w:rPr>
            <w:webHidden/>
          </w:rPr>
          <w:fldChar w:fldCharType="begin"/>
        </w:r>
        <w:r w:rsidR="00670409">
          <w:rPr>
            <w:webHidden/>
          </w:rPr>
          <w:instrText xml:space="preserve"> PAGEREF _Toc481488997 \h </w:instrText>
        </w:r>
        <w:r>
          <w:rPr>
            <w:webHidden/>
          </w:rPr>
        </w:r>
        <w:r>
          <w:rPr>
            <w:webHidden/>
          </w:rPr>
          <w:fldChar w:fldCharType="separate"/>
        </w:r>
        <w:r w:rsidR="000B4A6A">
          <w:rPr>
            <w:webHidden/>
          </w:rPr>
          <w:t>4</w:t>
        </w:r>
        <w:r>
          <w:rPr>
            <w:webHidden/>
          </w:rPr>
          <w:fldChar w:fldCharType="end"/>
        </w:r>
      </w:hyperlink>
    </w:p>
    <w:p w:rsidR="00670409" w:rsidRDefault="00A23913">
      <w:pPr>
        <w:pStyle w:val="TOC1"/>
        <w:tabs>
          <w:tab w:val="left" w:pos="1588"/>
        </w:tabs>
        <w:rPr>
          <w:rFonts w:asciiTheme="minorHAnsi" w:eastAsiaTheme="minorEastAsia" w:hAnsiTheme="minorHAnsi" w:cstheme="minorBidi"/>
          <w:b w:val="0"/>
          <w:smallCaps w:val="0"/>
          <w:spacing w:val="0"/>
          <w:sz w:val="22"/>
          <w:lang w:eastAsia="zh-TW"/>
        </w:rPr>
      </w:pPr>
      <w:hyperlink w:anchor="_Toc481488998" w:history="1">
        <w:r w:rsidR="00670409" w:rsidRPr="00683033">
          <w:rPr>
            <w:rStyle w:val="Hyperlink"/>
          </w:rPr>
          <w:t>3.</w:t>
        </w:r>
        <w:r w:rsidR="00670409">
          <w:rPr>
            <w:rFonts w:asciiTheme="minorHAnsi" w:eastAsiaTheme="minorEastAsia" w:hAnsiTheme="minorHAnsi" w:cstheme="minorBidi"/>
            <w:b w:val="0"/>
            <w:smallCaps w:val="0"/>
            <w:spacing w:val="0"/>
            <w:sz w:val="22"/>
            <w:lang w:eastAsia="zh-TW"/>
          </w:rPr>
          <w:tab/>
        </w:r>
        <w:r w:rsidR="00670409" w:rsidRPr="00683033">
          <w:rPr>
            <w:rStyle w:val="Hyperlink"/>
          </w:rPr>
          <w:t>CHIEF MINISTER, TREASURY AND ECONOMIC DEVELOPMENT DIRECTORATE</w:t>
        </w:r>
        <w:r w:rsidR="00670409">
          <w:rPr>
            <w:webHidden/>
          </w:rPr>
          <w:tab/>
        </w:r>
        <w:r>
          <w:rPr>
            <w:webHidden/>
          </w:rPr>
          <w:fldChar w:fldCharType="begin"/>
        </w:r>
        <w:r w:rsidR="00670409">
          <w:rPr>
            <w:webHidden/>
          </w:rPr>
          <w:instrText xml:space="preserve"> PAGEREF _Toc481488998 \h </w:instrText>
        </w:r>
        <w:r>
          <w:rPr>
            <w:webHidden/>
          </w:rPr>
        </w:r>
        <w:r>
          <w:rPr>
            <w:webHidden/>
          </w:rPr>
          <w:fldChar w:fldCharType="separate"/>
        </w:r>
        <w:r w:rsidR="000B4A6A">
          <w:rPr>
            <w:webHidden/>
          </w:rPr>
          <w:t>7</w:t>
        </w:r>
        <w:r>
          <w:rPr>
            <w:webHidden/>
          </w:rPr>
          <w:fldChar w:fldCharType="end"/>
        </w:r>
      </w:hyperlink>
    </w:p>
    <w:p w:rsidR="00670409" w:rsidRDefault="00A23913">
      <w:pPr>
        <w:pStyle w:val="TOC2"/>
        <w:rPr>
          <w:rFonts w:asciiTheme="minorHAnsi" w:eastAsiaTheme="minorEastAsia" w:hAnsiTheme="minorHAnsi" w:cstheme="minorBidi"/>
          <w:b w:val="0"/>
          <w:szCs w:val="22"/>
          <w:lang w:eastAsia="zh-TW"/>
        </w:rPr>
      </w:pPr>
      <w:hyperlink w:anchor="_Toc481488999" w:history="1">
        <w:r w:rsidR="00670409" w:rsidRPr="00683033">
          <w:rPr>
            <w:rStyle w:val="Hyperlink"/>
          </w:rPr>
          <w:t>Introduction</w:t>
        </w:r>
        <w:r w:rsidR="00670409">
          <w:rPr>
            <w:webHidden/>
          </w:rPr>
          <w:tab/>
        </w:r>
        <w:r>
          <w:rPr>
            <w:webHidden/>
          </w:rPr>
          <w:fldChar w:fldCharType="begin"/>
        </w:r>
        <w:r w:rsidR="00670409">
          <w:rPr>
            <w:webHidden/>
          </w:rPr>
          <w:instrText xml:space="preserve"> PAGEREF _Toc481488999 \h </w:instrText>
        </w:r>
        <w:r>
          <w:rPr>
            <w:webHidden/>
          </w:rPr>
        </w:r>
        <w:r>
          <w:rPr>
            <w:webHidden/>
          </w:rPr>
          <w:fldChar w:fldCharType="separate"/>
        </w:r>
        <w:r w:rsidR="000B4A6A">
          <w:rPr>
            <w:webHidden/>
          </w:rPr>
          <w:t>7</w:t>
        </w:r>
        <w:r>
          <w:rPr>
            <w:webHidden/>
          </w:rPr>
          <w:fldChar w:fldCharType="end"/>
        </w:r>
      </w:hyperlink>
    </w:p>
    <w:p w:rsidR="00670409" w:rsidRDefault="00A23913">
      <w:pPr>
        <w:pStyle w:val="TOC2"/>
        <w:rPr>
          <w:rFonts w:asciiTheme="minorHAnsi" w:eastAsiaTheme="minorEastAsia" w:hAnsiTheme="minorHAnsi" w:cstheme="minorBidi"/>
          <w:b w:val="0"/>
          <w:szCs w:val="22"/>
          <w:lang w:eastAsia="zh-TW"/>
        </w:rPr>
      </w:pPr>
      <w:hyperlink w:anchor="_Toc481489000" w:history="1">
        <w:r w:rsidR="00670409" w:rsidRPr="00683033">
          <w:rPr>
            <w:rStyle w:val="Hyperlink"/>
          </w:rPr>
          <w:t>Economic and Financial Management</w:t>
        </w:r>
        <w:r w:rsidR="00670409">
          <w:rPr>
            <w:webHidden/>
          </w:rPr>
          <w:tab/>
        </w:r>
        <w:r>
          <w:rPr>
            <w:webHidden/>
          </w:rPr>
          <w:fldChar w:fldCharType="begin"/>
        </w:r>
        <w:r w:rsidR="00670409">
          <w:rPr>
            <w:webHidden/>
          </w:rPr>
          <w:instrText xml:space="preserve"> PAGEREF _Toc481489000 \h </w:instrText>
        </w:r>
        <w:r>
          <w:rPr>
            <w:webHidden/>
          </w:rPr>
        </w:r>
        <w:r>
          <w:rPr>
            <w:webHidden/>
          </w:rPr>
          <w:fldChar w:fldCharType="separate"/>
        </w:r>
        <w:r w:rsidR="000B4A6A">
          <w:rPr>
            <w:webHidden/>
          </w:rPr>
          <w:t>8</w:t>
        </w:r>
        <w:r>
          <w:rPr>
            <w:webHidden/>
          </w:rPr>
          <w:fldChar w:fldCharType="end"/>
        </w:r>
      </w:hyperlink>
    </w:p>
    <w:p w:rsidR="00670409" w:rsidRDefault="00A23913">
      <w:pPr>
        <w:pStyle w:val="TOC2"/>
        <w:rPr>
          <w:rFonts w:asciiTheme="minorHAnsi" w:eastAsiaTheme="minorEastAsia" w:hAnsiTheme="minorHAnsi" w:cstheme="minorBidi"/>
          <w:b w:val="0"/>
          <w:szCs w:val="22"/>
          <w:lang w:eastAsia="zh-TW"/>
        </w:rPr>
      </w:pPr>
      <w:hyperlink w:anchor="_Toc481489001" w:history="1">
        <w:r w:rsidR="00670409" w:rsidRPr="00683033">
          <w:rPr>
            <w:rStyle w:val="Hyperlink"/>
          </w:rPr>
          <w:t>Revenue Management</w:t>
        </w:r>
        <w:r w:rsidR="00670409">
          <w:rPr>
            <w:webHidden/>
          </w:rPr>
          <w:tab/>
        </w:r>
        <w:r>
          <w:rPr>
            <w:webHidden/>
          </w:rPr>
          <w:fldChar w:fldCharType="begin"/>
        </w:r>
        <w:r w:rsidR="00670409">
          <w:rPr>
            <w:webHidden/>
          </w:rPr>
          <w:instrText xml:space="preserve"> PAGEREF _Toc481489001 \h </w:instrText>
        </w:r>
        <w:r>
          <w:rPr>
            <w:webHidden/>
          </w:rPr>
        </w:r>
        <w:r>
          <w:rPr>
            <w:webHidden/>
          </w:rPr>
          <w:fldChar w:fldCharType="separate"/>
        </w:r>
        <w:r w:rsidR="000B4A6A">
          <w:rPr>
            <w:webHidden/>
          </w:rPr>
          <w:t>10</w:t>
        </w:r>
        <w:r>
          <w:rPr>
            <w:webHidden/>
          </w:rPr>
          <w:fldChar w:fldCharType="end"/>
        </w:r>
      </w:hyperlink>
    </w:p>
    <w:p w:rsidR="00670409" w:rsidRDefault="00A23913">
      <w:pPr>
        <w:pStyle w:val="TOC2"/>
        <w:rPr>
          <w:rFonts w:asciiTheme="minorHAnsi" w:eastAsiaTheme="minorEastAsia" w:hAnsiTheme="minorHAnsi" w:cstheme="minorBidi"/>
          <w:b w:val="0"/>
          <w:szCs w:val="22"/>
          <w:lang w:eastAsia="zh-TW"/>
        </w:rPr>
      </w:pPr>
      <w:hyperlink w:anchor="_Toc481489002" w:history="1">
        <w:r w:rsidR="00670409" w:rsidRPr="00683033">
          <w:rPr>
            <w:rStyle w:val="Hyperlink"/>
          </w:rPr>
          <w:t>Government Policy and Strategy</w:t>
        </w:r>
        <w:r w:rsidR="00670409">
          <w:rPr>
            <w:webHidden/>
          </w:rPr>
          <w:tab/>
        </w:r>
        <w:r>
          <w:rPr>
            <w:webHidden/>
          </w:rPr>
          <w:fldChar w:fldCharType="begin"/>
        </w:r>
        <w:r w:rsidR="00670409">
          <w:rPr>
            <w:webHidden/>
          </w:rPr>
          <w:instrText xml:space="preserve"> PAGEREF _Toc481489002 \h </w:instrText>
        </w:r>
        <w:r>
          <w:rPr>
            <w:webHidden/>
          </w:rPr>
        </w:r>
        <w:r>
          <w:rPr>
            <w:webHidden/>
          </w:rPr>
          <w:fldChar w:fldCharType="separate"/>
        </w:r>
        <w:r w:rsidR="000B4A6A">
          <w:rPr>
            <w:webHidden/>
          </w:rPr>
          <w:t>10</w:t>
        </w:r>
        <w:r>
          <w:rPr>
            <w:webHidden/>
          </w:rPr>
          <w:fldChar w:fldCharType="end"/>
        </w:r>
      </w:hyperlink>
    </w:p>
    <w:p w:rsidR="00670409" w:rsidRDefault="00A23913">
      <w:pPr>
        <w:pStyle w:val="TOC2"/>
        <w:rPr>
          <w:rFonts w:asciiTheme="minorHAnsi" w:eastAsiaTheme="minorEastAsia" w:hAnsiTheme="minorHAnsi" w:cstheme="minorBidi"/>
          <w:b w:val="0"/>
          <w:szCs w:val="22"/>
          <w:lang w:eastAsia="zh-TW"/>
        </w:rPr>
      </w:pPr>
      <w:hyperlink w:anchor="_Toc481489003" w:history="1">
        <w:r w:rsidR="00670409" w:rsidRPr="00683033">
          <w:rPr>
            <w:rStyle w:val="Hyperlink"/>
            <w:lang w:eastAsia="zh-TW"/>
          </w:rPr>
          <w:t>Coordinated Communications and Community Engagement</w:t>
        </w:r>
        <w:r w:rsidR="00670409">
          <w:rPr>
            <w:webHidden/>
          </w:rPr>
          <w:tab/>
        </w:r>
        <w:r>
          <w:rPr>
            <w:webHidden/>
          </w:rPr>
          <w:fldChar w:fldCharType="begin"/>
        </w:r>
        <w:r w:rsidR="00670409">
          <w:rPr>
            <w:webHidden/>
          </w:rPr>
          <w:instrText xml:space="preserve"> PAGEREF _Toc481489003 \h </w:instrText>
        </w:r>
        <w:r>
          <w:rPr>
            <w:webHidden/>
          </w:rPr>
        </w:r>
        <w:r>
          <w:rPr>
            <w:webHidden/>
          </w:rPr>
          <w:fldChar w:fldCharType="separate"/>
        </w:r>
        <w:r w:rsidR="000B4A6A">
          <w:rPr>
            <w:webHidden/>
          </w:rPr>
          <w:t>12</w:t>
        </w:r>
        <w:r>
          <w:rPr>
            <w:webHidden/>
          </w:rPr>
          <w:fldChar w:fldCharType="end"/>
        </w:r>
      </w:hyperlink>
    </w:p>
    <w:p w:rsidR="00670409" w:rsidRDefault="00A23913">
      <w:pPr>
        <w:pStyle w:val="TOC2"/>
        <w:rPr>
          <w:rFonts w:asciiTheme="minorHAnsi" w:eastAsiaTheme="minorEastAsia" w:hAnsiTheme="minorHAnsi" w:cstheme="minorBidi"/>
          <w:b w:val="0"/>
          <w:szCs w:val="22"/>
          <w:lang w:eastAsia="zh-TW"/>
        </w:rPr>
      </w:pPr>
      <w:hyperlink w:anchor="_Toc481489004" w:history="1">
        <w:r w:rsidR="00670409" w:rsidRPr="00683033">
          <w:rPr>
            <w:rStyle w:val="Hyperlink"/>
            <w:lang w:eastAsia="zh-TW"/>
          </w:rPr>
          <w:t>Public Sector Management and State of the Service Report</w:t>
        </w:r>
        <w:r w:rsidR="00670409">
          <w:rPr>
            <w:webHidden/>
          </w:rPr>
          <w:tab/>
        </w:r>
        <w:r>
          <w:rPr>
            <w:webHidden/>
          </w:rPr>
          <w:fldChar w:fldCharType="begin"/>
        </w:r>
        <w:r w:rsidR="00670409">
          <w:rPr>
            <w:webHidden/>
          </w:rPr>
          <w:instrText xml:space="preserve"> PAGEREF _Toc481489004 \h </w:instrText>
        </w:r>
        <w:r>
          <w:rPr>
            <w:webHidden/>
          </w:rPr>
        </w:r>
        <w:r>
          <w:rPr>
            <w:webHidden/>
          </w:rPr>
          <w:fldChar w:fldCharType="separate"/>
        </w:r>
        <w:r w:rsidR="000B4A6A">
          <w:rPr>
            <w:webHidden/>
          </w:rPr>
          <w:t>13</w:t>
        </w:r>
        <w:r>
          <w:rPr>
            <w:webHidden/>
          </w:rPr>
          <w:fldChar w:fldCharType="end"/>
        </w:r>
      </w:hyperlink>
    </w:p>
    <w:p w:rsidR="00670409" w:rsidRDefault="00A23913">
      <w:pPr>
        <w:pStyle w:val="TOC2"/>
        <w:rPr>
          <w:rFonts w:asciiTheme="minorHAnsi" w:eastAsiaTheme="minorEastAsia" w:hAnsiTheme="minorHAnsi" w:cstheme="minorBidi"/>
          <w:b w:val="0"/>
          <w:szCs w:val="22"/>
          <w:lang w:eastAsia="zh-TW"/>
        </w:rPr>
      </w:pPr>
      <w:hyperlink w:anchor="_Toc481489005" w:history="1">
        <w:r w:rsidR="00670409" w:rsidRPr="00683033">
          <w:rPr>
            <w:rStyle w:val="Hyperlink"/>
          </w:rPr>
          <w:t>Territory Records</w:t>
        </w:r>
        <w:r w:rsidR="00670409">
          <w:rPr>
            <w:webHidden/>
          </w:rPr>
          <w:tab/>
        </w:r>
        <w:r>
          <w:rPr>
            <w:webHidden/>
          </w:rPr>
          <w:fldChar w:fldCharType="begin"/>
        </w:r>
        <w:r w:rsidR="00670409">
          <w:rPr>
            <w:webHidden/>
          </w:rPr>
          <w:instrText xml:space="preserve"> PAGEREF _Toc481489005 \h </w:instrText>
        </w:r>
        <w:r>
          <w:rPr>
            <w:webHidden/>
          </w:rPr>
        </w:r>
        <w:r>
          <w:rPr>
            <w:webHidden/>
          </w:rPr>
          <w:fldChar w:fldCharType="separate"/>
        </w:r>
        <w:r w:rsidR="000B4A6A">
          <w:rPr>
            <w:webHidden/>
          </w:rPr>
          <w:t>15</w:t>
        </w:r>
        <w:r>
          <w:rPr>
            <w:webHidden/>
          </w:rPr>
          <w:fldChar w:fldCharType="end"/>
        </w:r>
      </w:hyperlink>
    </w:p>
    <w:p w:rsidR="00670409" w:rsidRDefault="00A23913">
      <w:pPr>
        <w:pStyle w:val="TOC2"/>
        <w:rPr>
          <w:rFonts w:asciiTheme="minorHAnsi" w:eastAsiaTheme="minorEastAsia" w:hAnsiTheme="minorHAnsi" w:cstheme="minorBidi"/>
          <w:b w:val="0"/>
          <w:szCs w:val="22"/>
          <w:lang w:eastAsia="zh-TW"/>
        </w:rPr>
      </w:pPr>
      <w:hyperlink w:anchor="_Toc481489006" w:history="1">
        <w:r w:rsidR="00670409" w:rsidRPr="00683033">
          <w:rPr>
            <w:rStyle w:val="Hyperlink"/>
            <w:lang w:eastAsia="zh-TW"/>
          </w:rPr>
          <w:t>Economic Development and Procurement</w:t>
        </w:r>
        <w:r w:rsidR="00670409">
          <w:rPr>
            <w:webHidden/>
          </w:rPr>
          <w:tab/>
        </w:r>
        <w:r>
          <w:rPr>
            <w:webHidden/>
          </w:rPr>
          <w:fldChar w:fldCharType="begin"/>
        </w:r>
        <w:r w:rsidR="00670409">
          <w:rPr>
            <w:webHidden/>
          </w:rPr>
          <w:instrText xml:space="preserve"> PAGEREF _Toc481489006 \h </w:instrText>
        </w:r>
        <w:r>
          <w:rPr>
            <w:webHidden/>
          </w:rPr>
        </w:r>
        <w:r>
          <w:rPr>
            <w:webHidden/>
          </w:rPr>
          <w:fldChar w:fldCharType="separate"/>
        </w:r>
        <w:r w:rsidR="000B4A6A">
          <w:rPr>
            <w:webHidden/>
          </w:rPr>
          <w:t>16</w:t>
        </w:r>
        <w:r>
          <w:rPr>
            <w:webHidden/>
          </w:rPr>
          <w:fldChar w:fldCharType="end"/>
        </w:r>
      </w:hyperlink>
    </w:p>
    <w:p w:rsidR="00670409" w:rsidRDefault="00A23913">
      <w:pPr>
        <w:pStyle w:val="TOC2"/>
        <w:rPr>
          <w:rFonts w:asciiTheme="minorHAnsi" w:eastAsiaTheme="minorEastAsia" w:hAnsiTheme="minorHAnsi" w:cstheme="minorBidi"/>
          <w:b w:val="0"/>
          <w:szCs w:val="22"/>
          <w:lang w:eastAsia="zh-TW"/>
        </w:rPr>
      </w:pPr>
      <w:hyperlink w:anchor="_Toc481489007" w:history="1">
        <w:r w:rsidR="00670409" w:rsidRPr="00683033">
          <w:rPr>
            <w:rStyle w:val="Hyperlink"/>
            <w:lang w:eastAsia="zh-TW"/>
          </w:rPr>
          <w:t>Visit Canberra</w:t>
        </w:r>
        <w:r w:rsidR="00670409">
          <w:rPr>
            <w:webHidden/>
          </w:rPr>
          <w:tab/>
        </w:r>
        <w:r>
          <w:rPr>
            <w:webHidden/>
          </w:rPr>
          <w:fldChar w:fldCharType="begin"/>
        </w:r>
        <w:r w:rsidR="00670409">
          <w:rPr>
            <w:webHidden/>
          </w:rPr>
          <w:instrText xml:space="preserve"> PAGEREF _Toc481489007 \h </w:instrText>
        </w:r>
        <w:r>
          <w:rPr>
            <w:webHidden/>
          </w:rPr>
        </w:r>
        <w:r>
          <w:rPr>
            <w:webHidden/>
          </w:rPr>
          <w:fldChar w:fldCharType="separate"/>
        </w:r>
        <w:r w:rsidR="000B4A6A">
          <w:rPr>
            <w:webHidden/>
          </w:rPr>
          <w:t>19</w:t>
        </w:r>
        <w:r>
          <w:rPr>
            <w:webHidden/>
          </w:rPr>
          <w:fldChar w:fldCharType="end"/>
        </w:r>
      </w:hyperlink>
    </w:p>
    <w:p w:rsidR="00670409" w:rsidRDefault="00A23913">
      <w:pPr>
        <w:pStyle w:val="TOC2"/>
        <w:rPr>
          <w:rFonts w:asciiTheme="minorHAnsi" w:eastAsiaTheme="minorEastAsia" w:hAnsiTheme="minorHAnsi" w:cstheme="minorBidi"/>
          <w:b w:val="0"/>
          <w:szCs w:val="22"/>
          <w:lang w:eastAsia="zh-TW"/>
        </w:rPr>
      </w:pPr>
      <w:hyperlink w:anchor="_Toc481489008" w:history="1">
        <w:r w:rsidR="00670409" w:rsidRPr="00683033">
          <w:rPr>
            <w:rStyle w:val="Hyperlink"/>
          </w:rPr>
          <w:t>Venues and Events</w:t>
        </w:r>
        <w:r w:rsidR="00670409">
          <w:rPr>
            <w:webHidden/>
          </w:rPr>
          <w:tab/>
        </w:r>
        <w:r>
          <w:rPr>
            <w:webHidden/>
          </w:rPr>
          <w:fldChar w:fldCharType="begin"/>
        </w:r>
        <w:r w:rsidR="00670409">
          <w:rPr>
            <w:webHidden/>
          </w:rPr>
          <w:instrText xml:space="preserve"> PAGEREF _Toc481489008 \h </w:instrText>
        </w:r>
        <w:r>
          <w:rPr>
            <w:webHidden/>
          </w:rPr>
        </w:r>
        <w:r>
          <w:rPr>
            <w:webHidden/>
          </w:rPr>
          <w:fldChar w:fldCharType="separate"/>
        </w:r>
        <w:r w:rsidR="000B4A6A">
          <w:rPr>
            <w:webHidden/>
          </w:rPr>
          <w:t>21</w:t>
        </w:r>
        <w:r>
          <w:rPr>
            <w:webHidden/>
          </w:rPr>
          <w:fldChar w:fldCharType="end"/>
        </w:r>
      </w:hyperlink>
    </w:p>
    <w:p w:rsidR="00670409" w:rsidRDefault="00A23913">
      <w:pPr>
        <w:pStyle w:val="TOC2"/>
        <w:rPr>
          <w:rFonts w:asciiTheme="minorHAnsi" w:eastAsiaTheme="minorEastAsia" w:hAnsiTheme="minorHAnsi" w:cstheme="minorBidi"/>
          <w:b w:val="0"/>
          <w:szCs w:val="22"/>
          <w:lang w:eastAsia="zh-TW"/>
        </w:rPr>
      </w:pPr>
      <w:hyperlink w:anchor="_Toc481489009" w:history="1">
        <w:r w:rsidR="00670409" w:rsidRPr="00683033">
          <w:rPr>
            <w:rStyle w:val="Hyperlink"/>
          </w:rPr>
          <w:t>Access Canberra</w:t>
        </w:r>
        <w:r w:rsidR="00670409">
          <w:rPr>
            <w:webHidden/>
          </w:rPr>
          <w:tab/>
        </w:r>
        <w:r>
          <w:rPr>
            <w:webHidden/>
          </w:rPr>
          <w:fldChar w:fldCharType="begin"/>
        </w:r>
        <w:r w:rsidR="00670409">
          <w:rPr>
            <w:webHidden/>
          </w:rPr>
          <w:instrText xml:space="preserve"> PAGEREF _Toc481489009 \h </w:instrText>
        </w:r>
        <w:r>
          <w:rPr>
            <w:webHidden/>
          </w:rPr>
        </w:r>
        <w:r>
          <w:rPr>
            <w:webHidden/>
          </w:rPr>
          <w:fldChar w:fldCharType="separate"/>
        </w:r>
        <w:r w:rsidR="000B4A6A">
          <w:rPr>
            <w:webHidden/>
          </w:rPr>
          <w:t>22</w:t>
        </w:r>
        <w:r>
          <w:rPr>
            <w:webHidden/>
          </w:rPr>
          <w:fldChar w:fldCharType="end"/>
        </w:r>
      </w:hyperlink>
    </w:p>
    <w:p w:rsidR="00670409" w:rsidRDefault="00A23913">
      <w:pPr>
        <w:pStyle w:val="TOC2"/>
        <w:rPr>
          <w:rFonts w:asciiTheme="minorHAnsi" w:eastAsiaTheme="minorEastAsia" w:hAnsiTheme="minorHAnsi" w:cstheme="minorBidi"/>
          <w:b w:val="0"/>
          <w:szCs w:val="22"/>
          <w:lang w:eastAsia="zh-TW"/>
        </w:rPr>
      </w:pPr>
      <w:hyperlink w:anchor="_Toc481489010" w:history="1">
        <w:r w:rsidR="00670409" w:rsidRPr="00683033">
          <w:rPr>
            <w:rStyle w:val="Hyperlink"/>
            <w:lang w:eastAsia="zh-TW"/>
          </w:rPr>
          <w:t>Arts Engagement and Cultural Facilities Corporation</w:t>
        </w:r>
        <w:r w:rsidR="00670409">
          <w:rPr>
            <w:webHidden/>
          </w:rPr>
          <w:tab/>
        </w:r>
        <w:r>
          <w:rPr>
            <w:webHidden/>
          </w:rPr>
          <w:fldChar w:fldCharType="begin"/>
        </w:r>
        <w:r w:rsidR="00670409">
          <w:rPr>
            <w:webHidden/>
          </w:rPr>
          <w:instrText xml:space="preserve"> PAGEREF _Toc481489010 \h </w:instrText>
        </w:r>
        <w:r>
          <w:rPr>
            <w:webHidden/>
          </w:rPr>
        </w:r>
        <w:r>
          <w:rPr>
            <w:webHidden/>
          </w:rPr>
          <w:fldChar w:fldCharType="separate"/>
        </w:r>
        <w:r w:rsidR="000B4A6A">
          <w:rPr>
            <w:webHidden/>
          </w:rPr>
          <w:t>28</w:t>
        </w:r>
        <w:r>
          <w:rPr>
            <w:webHidden/>
          </w:rPr>
          <w:fldChar w:fldCharType="end"/>
        </w:r>
      </w:hyperlink>
    </w:p>
    <w:p w:rsidR="00670409" w:rsidRDefault="00A23913">
      <w:pPr>
        <w:pStyle w:val="TOC1"/>
        <w:tabs>
          <w:tab w:val="left" w:pos="1588"/>
        </w:tabs>
        <w:rPr>
          <w:rFonts w:asciiTheme="minorHAnsi" w:eastAsiaTheme="minorEastAsia" w:hAnsiTheme="minorHAnsi" w:cstheme="minorBidi"/>
          <w:b w:val="0"/>
          <w:smallCaps w:val="0"/>
          <w:spacing w:val="0"/>
          <w:sz w:val="22"/>
          <w:lang w:eastAsia="zh-TW"/>
        </w:rPr>
      </w:pPr>
      <w:hyperlink w:anchor="_Toc481489011" w:history="1">
        <w:r w:rsidR="00670409" w:rsidRPr="00683033">
          <w:rPr>
            <w:rStyle w:val="Hyperlink"/>
          </w:rPr>
          <w:t>4.</w:t>
        </w:r>
        <w:r w:rsidR="00670409">
          <w:rPr>
            <w:rFonts w:asciiTheme="minorHAnsi" w:eastAsiaTheme="minorEastAsia" w:hAnsiTheme="minorHAnsi" w:cstheme="minorBidi"/>
            <w:b w:val="0"/>
            <w:smallCaps w:val="0"/>
            <w:spacing w:val="0"/>
            <w:sz w:val="22"/>
            <w:lang w:eastAsia="zh-TW"/>
          </w:rPr>
          <w:tab/>
        </w:r>
        <w:r w:rsidR="00670409" w:rsidRPr="00683033">
          <w:rPr>
            <w:rStyle w:val="Hyperlink"/>
          </w:rPr>
          <w:t>CONCLUSION</w:t>
        </w:r>
        <w:r w:rsidR="00670409">
          <w:rPr>
            <w:webHidden/>
          </w:rPr>
          <w:tab/>
        </w:r>
        <w:r>
          <w:rPr>
            <w:webHidden/>
          </w:rPr>
          <w:fldChar w:fldCharType="begin"/>
        </w:r>
        <w:r w:rsidR="00670409">
          <w:rPr>
            <w:webHidden/>
          </w:rPr>
          <w:instrText xml:space="preserve"> PAGEREF _Toc481489011 \h </w:instrText>
        </w:r>
        <w:r>
          <w:rPr>
            <w:webHidden/>
          </w:rPr>
        </w:r>
        <w:r>
          <w:rPr>
            <w:webHidden/>
          </w:rPr>
          <w:fldChar w:fldCharType="separate"/>
        </w:r>
        <w:r w:rsidR="000B4A6A">
          <w:rPr>
            <w:webHidden/>
          </w:rPr>
          <w:t>31</w:t>
        </w:r>
        <w:r>
          <w:rPr>
            <w:webHidden/>
          </w:rPr>
          <w:fldChar w:fldCharType="end"/>
        </w:r>
      </w:hyperlink>
    </w:p>
    <w:p w:rsidR="00670409" w:rsidRDefault="00A23913">
      <w:pPr>
        <w:pStyle w:val="TOC1"/>
        <w:tabs>
          <w:tab w:val="left" w:pos="2329"/>
        </w:tabs>
        <w:rPr>
          <w:rFonts w:asciiTheme="minorHAnsi" w:eastAsiaTheme="minorEastAsia" w:hAnsiTheme="minorHAnsi" w:cstheme="minorBidi"/>
          <w:b w:val="0"/>
          <w:smallCaps w:val="0"/>
          <w:spacing w:val="0"/>
          <w:sz w:val="22"/>
          <w:lang w:eastAsia="zh-TW"/>
        </w:rPr>
      </w:pPr>
      <w:hyperlink w:anchor="_Toc481489012" w:history="1">
        <w:r w:rsidR="00670409" w:rsidRPr="00683033">
          <w:rPr>
            <w:rStyle w:val="Hyperlink"/>
          </w:rPr>
          <w:t>Appendix A</w:t>
        </w:r>
        <w:r w:rsidR="00670409">
          <w:rPr>
            <w:rFonts w:asciiTheme="minorHAnsi" w:eastAsiaTheme="minorEastAsia" w:hAnsiTheme="minorHAnsi" w:cstheme="minorBidi"/>
            <w:b w:val="0"/>
            <w:smallCaps w:val="0"/>
            <w:spacing w:val="0"/>
            <w:sz w:val="22"/>
            <w:lang w:eastAsia="zh-TW"/>
          </w:rPr>
          <w:tab/>
        </w:r>
        <w:r w:rsidR="00670409" w:rsidRPr="00683033">
          <w:rPr>
            <w:rStyle w:val="Hyperlink"/>
          </w:rPr>
          <w:t>Questions taken on Notice/Questions on Notice</w:t>
        </w:r>
        <w:r w:rsidR="00670409">
          <w:rPr>
            <w:webHidden/>
          </w:rPr>
          <w:tab/>
        </w:r>
        <w:r>
          <w:rPr>
            <w:webHidden/>
          </w:rPr>
          <w:fldChar w:fldCharType="begin"/>
        </w:r>
        <w:r w:rsidR="00670409">
          <w:rPr>
            <w:webHidden/>
          </w:rPr>
          <w:instrText xml:space="preserve"> PAGEREF _Toc481489012 \h </w:instrText>
        </w:r>
        <w:r>
          <w:rPr>
            <w:webHidden/>
          </w:rPr>
        </w:r>
        <w:r>
          <w:rPr>
            <w:webHidden/>
          </w:rPr>
          <w:fldChar w:fldCharType="separate"/>
        </w:r>
        <w:r w:rsidR="000B4A6A">
          <w:rPr>
            <w:webHidden/>
          </w:rPr>
          <w:t>33</w:t>
        </w:r>
        <w:r>
          <w:rPr>
            <w:webHidden/>
          </w:rPr>
          <w:fldChar w:fldCharType="end"/>
        </w:r>
      </w:hyperlink>
    </w:p>
    <w:p w:rsidR="00670409" w:rsidRDefault="00A23913">
      <w:pPr>
        <w:pStyle w:val="TOC1"/>
        <w:tabs>
          <w:tab w:val="left" w:pos="2318"/>
        </w:tabs>
        <w:rPr>
          <w:rFonts w:asciiTheme="minorHAnsi" w:eastAsiaTheme="minorEastAsia" w:hAnsiTheme="minorHAnsi" w:cstheme="minorBidi"/>
          <w:b w:val="0"/>
          <w:smallCaps w:val="0"/>
          <w:spacing w:val="0"/>
          <w:sz w:val="22"/>
          <w:lang w:eastAsia="zh-TW"/>
        </w:rPr>
      </w:pPr>
      <w:hyperlink w:anchor="_Toc481489013" w:history="1">
        <w:r w:rsidR="00670409" w:rsidRPr="00683033">
          <w:rPr>
            <w:rStyle w:val="Hyperlink"/>
          </w:rPr>
          <w:t>Appendix B</w:t>
        </w:r>
        <w:r w:rsidR="00670409">
          <w:rPr>
            <w:rFonts w:asciiTheme="minorHAnsi" w:eastAsiaTheme="minorEastAsia" w:hAnsiTheme="minorHAnsi" w:cstheme="minorBidi"/>
            <w:b w:val="0"/>
            <w:smallCaps w:val="0"/>
            <w:spacing w:val="0"/>
            <w:sz w:val="22"/>
            <w:lang w:eastAsia="zh-TW"/>
          </w:rPr>
          <w:tab/>
        </w:r>
        <w:r w:rsidR="00670409" w:rsidRPr="00683033">
          <w:rPr>
            <w:rStyle w:val="Hyperlink"/>
          </w:rPr>
          <w:t>Witnesses</w:t>
        </w:r>
        <w:r w:rsidR="00670409">
          <w:rPr>
            <w:webHidden/>
          </w:rPr>
          <w:tab/>
        </w:r>
        <w:r>
          <w:rPr>
            <w:webHidden/>
          </w:rPr>
          <w:fldChar w:fldCharType="begin"/>
        </w:r>
        <w:r w:rsidR="00670409">
          <w:rPr>
            <w:webHidden/>
          </w:rPr>
          <w:instrText xml:space="preserve"> PAGEREF _Toc481489013 \h </w:instrText>
        </w:r>
        <w:r>
          <w:rPr>
            <w:webHidden/>
          </w:rPr>
        </w:r>
        <w:r>
          <w:rPr>
            <w:webHidden/>
          </w:rPr>
          <w:fldChar w:fldCharType="separate"/>
        </w:r>
        <w:r w:rsidR="000B4A6A">
          <w:rPr>
            <w:webHidden/>
          </w:rPr>
          <w:t>39</w:t>
        </w:r>
        <w:r>
          <w:rPr>
            <w:webHidden/>
          </w:rPr>
          <w:fldChar w:fldCharType="end"/>
        </w:r>
      </w:hyperlink>
    </w:p>
    <w:p w:rsidR="00670409" w:rsidRDefault="00A23913">
      <w:pPr>
        <w:pStyle w:val="TOC2"/>
        <w:rPr>
          <w:rFonts w:asciiTheme="minorHAnsi" w:eastAsiaTheme="minorEastAsia" w:hAnsiTheme="minorHAnsi" w:cstheme="minorBidi"/>
          <w:b w:val="0"/>
          <w:szCs w:val="22"/>
          <w:lang w:eastAsia="zh-TW"/>
        </w:rPr>
      </w:pPr>
      <w:hyperlink w:anchor="_Toc481489014" w:history="1">
        <w:r w:rsidR="00670409" w:rsidRPr="00683033">
          <w:rPr>
            <w:rStyle w:val="Hyperlink"/>
          </w:rPr>
          <w:t>Monday 27 February 2017</w:t>
        </w:r>
        <w:r w:rsidR="00670409">
          <w:rPr>
            <w:webHidden/>
          </w:rPr>
          <w:tab/>
        </w:r>
        <w:r>
          <w:rPr>
            <w:webHidden/>
          </w:rPr>
          <w:fldChar w:fldCharType="begin"/>
        </w:r>
        <w:r w:rsidR="00670409">
          <w:rPr>
            <w:webHidden/>
          </w:rPr>
          <w:instrText xml:space="preserve"> PAGEREF _Toc481489014 \h </w:instrText>
        </w:r>
        <w:r>
          <w:rPr>
            <w:webHidden/>
          </w:rPr>
        </w:r>
        <w:r>
          <w:rPr>
            <w:webHidden/>
          </w:rPr>
          <w:fldChar w:fldCharType="separate"/>
        </w:r>
        <w:r w:rsidR="000B4A6A">
          <w:rPr>
            <w:webHidden/>
          </w:rPr>
          <w:t>39</w:t>
        </w:r>
        <w:r>
          <w:rPr>
            <w:webHidden/>
          </w:rPr>
          <w:fldChar w:fldCharType="end"/>
        </w:r>
      </w:hyperlink>
    </w:p>
    <w:p w:rsidR="00670409" w:rsidRDefault="00A23913">
      <w:pPr>
        <w:pStyle w:val="TOC2"/>
        <w:rPr>
          <w:rFonts w:asciiTheme="minorHAnsi" w:eastAsiaTheme="minorEastAsia" w:hAnsiTheme="minorHAnsi" w:cstheme="minorBidi"/>
          <w:b w:val="0"/>
          <w:szCs w:val="22"/>
          <w:lang w:eastAsia="zh-TW"/>
        </w:rPr>
      </w:pPr>
      <w:hyperlink w:anchor="_Toc481489015" w:history="1">
        <w:r w:rsidR="00670409" w:rsidRPr="00683033">
          <w:rPr>
            <w:rStyle w:val="Hyperlink"/>
          </w:rPr>
          <w:t>Wednesday 11 November 2015</w:t>
        </w:r>
        <w:r w:rsidR="00670409">
          <w:rPr>
            <w:webHidden/>
          </w:rPr>
          <w:tab/>
        </w:r>
        <w:r>
          <w:rPr>
            <w:webHidden/>
          </w:rPr>
          <w:fldChar w:fldCharType="begin"/>
        </w:r>
        <w:r w:rsidR="00670409">
          <w:rPr>
            <w:webHidden/>
          </w:rPr>
          <w:instrText xml:space="preserve"> PAGEREF _Toc481489015 \h </w:instrText>
        </w:r>
        <w:r>
          <w:rPr>
            <w:webHidden/>
          </w:rPr>
        </w:r>
        <w:r>
          <w:rPr>
            <w:webHidden/>
          </w:rPr>
          <w:fldChar w:fldCharType="separate"/>
        </w:r>
        <w:r w:rsidR="000B4A6A">
          <w:rPr>
            <w:webHidden/>
          </w:rPr>
          <w:t>39</w:t>
        </w:r>
        <w:r>
          <w:rPr>
            <w:webHidden/>
          </w:rPr>
          <w:fldChar w:fldCharType="end"/>
        </w:r>
      </w:hyperlink>
    </w:p>
    <w:p w:rsidR="00E8651F" w:rsidRDefault="00A23913">
      <w:pPr>
        <w:pStyle w:val="Prelimmajorheading"/>
        <w:keepNext w:val="0"/>
        <w:pageBreakBefore w:val="0"/>
        <w:rPr>
          <w:rFonts w:ascii="Arial" w:hAnsi="Arial" w:cs="Times New Roman"/>
          <w:bCs w:val="0"/>
          <w:spacing w:val="0"/>
          <w:kern w:val="0"/>
          <w:sz w:val="20"/>
          <w:szCs w:val="20"/>
        </w:rPr>
        <w:sectPr w:rsidR="00E8651F" w:rsidSect="00AD20CA">
          <w:type w:val="oddPage"/>
          <w:pgSz w:w="11907" w:h="16840" w:code="9"/>
          <w:pgMar w:top="1588" w:right="1418" w:bottom="1418" w:left="1418" w:header="720" w:footer="851" w:gutter="0"/>
          <w:pgNumType w:fmt="lowerRoman"/>
          <w:cols w:space="720"/>
          <w:docGrid w:linePitch="360"/>
        </w:sectPr>
      </w:pPr>
      <w:r>
        <w:rPr>
          <w:rFonts w:ascii="Arial" w:hAnsi="Arial" w:cs="Times New Roman"/>
          <w:bCs w:val="0"/>
          <w:spacing w:val="0"/>
          <w:kern w:val="0"/>
          <w:sz w:val="20"/>
          <w:szCs w:val="20"/>
        </w:rPr>
        <w:fldChar w:fldCharType="end"/>
      </w:r>
    </w:p>
    <w:p w:rsidR="00D561BC" w:rsidRDefault="00D561BC" w:rsidP="001F58CC">
      <w:pPr>
        <w:pStyle w:val="Prelimmajorheading"/>
        <w:keepNext w:val="0"/>
        <w:pageBreakBefore w:val="0"/>
        <w:spacing w:after="480"/>
      </w:pPr>
      <w:bookmarkStart w:id="37" w:name="_Toc341433424"/>
      <w:bookmarkStart w:id="38" w:name="_Toc341687869"/>
      <w:bookmarkStart w:id="39" w:name="_Toc481488990"/>
      <w:r>
        <w:t>Recommendations</w:t>
      </w:r>
      <w:bookmarkEnd w:id="37"/>
      <w:bookmarkEnd w:id="38"/>
      <w:bookmarkEnd w:id="39"/>
    </w:p>
    <w:p w:rsidR="00670409" w:rsidRDefault="00A23913">
      <w:pPr>
        <w:pStyle w:val="TOC1"/>
        <w:rPr>
          <w:rFonts w:asciiTheme="minorHAnsi" w:eastAsiaTheme="minorEastAsia" w:hAnsiTheme="minorHAnsi" w:cstheme="minorBidi"/>
          <w:b w:val="0"/>
          <w:smallCaps w:val="0"/>
          <w:spacing w:val="0"/>
          <w:sz w:val="22"/>
          <w:lang w:eastAsia="zh-TW"/>
        </w:rPr>
      </w:pPr>
      <w:r w:rsidRPr="00A23913">
        <w:rPr>
          <w:rFonts w:ascii="Arial Narrow" w:hAnsi="Arial Narrow" w:cs="Arial"/>
          <w:b w:val="0"/>
          <w:bCs/>
          <w:noProof w:val="0"/>
          <w:kern w:val="32"/>
          <w:sz w:val="44"/>
          <w:szCs w:val="36"/>
        </w:rPr>
        <w:fldChar w:fldCharType="begin"/>
      </w:r>
      <w:r w:rsidR="007A5CB5">
        <w:instrText xml:space="preserve"> TOC \n \p " " \h \z \t "Recommendation,1,Recommendation Text,2,Recommendation Bullet,3" </w:instrText>
      </w:r>
      <w:r w:rsidRPr="00A23913">
        <w:rPr>
          <w:rFonts w:ascii="Arial Narrow" w:hAnsi="Arial Narrow" w:cs="Arial"/>
          <w:b w:val="0"/>
          <w:bCs/>
          <w:noProof w:val="0"/>
          <w:kern w:val="32"/>
          <w:sz w:val="44"/>
          <w:szCs w:val="36"/>
        </w:rPr>
        <w:fldChar w:fldCharType="separate"/>
      </w:r>
      <w:hyperlink w:anchor="_Toc481489016" w:history="1">
        <w:r w:rsidR="00670409" w:rsidRPr="007015D3">
          <w:rPr>
            <w:rStyle w:val="Hyperlink"/>
          </w:rPr>
          <w:t>Recommendation 1</w:t>
        </w:r>
      </w:hyperlink>
    </w:p>
    <w:p w:rsidR="00670409" w:rsidRDefault="00A23913">
      <w:pPr>
        <w:pStyle w:val="TOC2"/>
        <w:rPr>
          <w:rFonts w:asciiTheme="minorHAnsi" w:eastAsiaTheme="minorEastAsia" w:hAnsiTheme="minorHAnsi" w:cstheme="minorBidi"/>
          <w:b w:val="0"/>
          <w:szCs w:val="22"/>
          <w:lang w:eastAsia="zh-TW"/>
        </w:rPr>
      </w:pPr>
      <w:hyperlink w:anchor="_Toc481489017" w:history="1">
        <w:r w:rsidR="00670409" w:rsidRPr="007015D3">
          <w:rPr>
            <w:rStyle w:val="Hyperlink"/>
          </w:rPr>
          <w:t>2.10</w:t>
        </w:r>
        <w:r w:rsidR="00670409">
          <w:rPr>
            <w:rFonts w:asciiTheme="minorHAnsi" w:eastAsiaTheme="minorEastAsia" w:hAnsiTheme="minorHAnsi" w:cstheme="minorBidi"/>
            <w:b w:val="0"/>
            <w:szCs w:val="22"/>
            <w:lang w:eastAsia="zh-TW"/>
          </w:rPr>
          <w:tab/>
        </w:r>
        <w:r w:rsidR="00670409" w:rsidRPr="007015D3">
          <w:rPr>
            <w:rStyle w:val="Hyperlink"/>
          </w:rPr>
          <w:t>The Committee recommends that the Standing Committee on Administration and Procedure, with input from Committee Chairs, examine the motion establishing committees with a view to proposing amendments to assist in a balanced allocation of annual report examination responsibilities.</w:t>
        </w:r>
      </w:hyperlink>
    </w:p>
    <w:p w:rsidR="00670409" w:rsidRDefault="00A23913">
      <w:pPr>
        <w:pStyle w:val="TOC1"/>
        <w:rPr>
          <w:rFonts w:asciiTheme="minorHAnsi" w:eastAsiaTheme="minorEastAsia" w:hAnsiTheme="minorHAnsi" w:cstheme="minorBidi"/>
          <w:b w:val="0"/>
          <w:smallCaps w:val="0"/>
          <w:spacing w:val="0"/>
          <w:sz w:val="22"/>
          <w:lang w:eastAsia="zh-TW"/>
        </w:rPr>
      </w:pPr>
      <w:hyperlink w:anchor="_Toc481489018" w:history="1">
        <w:r w:rsidR="00670409" w:rsidRPr="007015D3">
          <w:rPr>
            <w:rStyle w:val="Hyperlink"/>
          </w:rPr>
          <w:t>Recommendation 2</w:t>
        </w:r>
      </w:hyperlink>
    </w:p>
    <w:p w:rsidR="00670409" w:rsidRDefault="00A23913">
      <w:pPr>
        <w:pStyle w:val="TOC2"/>
        <w:rPr>
          <w:rFonts w:asciiTheme="minorHAnsi" w:eastAsiaTheme="minorEastAsia" w:hAnsiTheme="minorHAnsi" w:cstheme="minorBidi"/>
          <w:b w:val="0"/>
          <w:szCs w:val="22"/>
          <w:lang w:eastAsia="zh-TW"/>
        </w:rPr>
      </w:pPr>
      <w:hyperlink w:anchor="_Toc481489019" w:history="1">
        <w:r w:rsidR="00670409" w:rsidRPr="007015D3">
          <w:rPr>
            <w:rStyle w:val="Hyperlink"/>
          </w:rPr>
          <w:t>3.8</w:t>
        </w:r>
        <w:r w:rsidR="00670409">
          <w:rPr>
            <w:rFonts w:asciiTheme="minorHAnsi" w:eastAsiaTheme="minorEastAsia" w:hAnsiTheme="minorHAnsi" w:cstheme="minorBidi"/>
            <w:b w:val="0"/>
            <w:szCs w:val="22"/>
            <w:lang w:eastAsia="zh-TW"/>
          </w:rPr>
          <w:tab/>
        </w:r>
        <w:r w:rsidR="00670409" w:rsidRPr="007015D3">
          <w:rPr>
            <w:rStyle w:val="Hyperlink"/>
          </w:rPr>
          <w:t>The Committee recommends that, once the management contract for the street light network is signed, the Treasurer inform the Assembly of the costs, savings and incentives for network upgrades that arise from the contract.</w:t>
        </w:r>
      </w:hyperlink>
    </w:p>
    <w:p w:rsidR="00670409" w:rsidRDefault="00A23913">
      <w:pPr>
        <w:pStyle w:val="TOC1"/>
        <w:rPr>
          <w:rFonts w:asciiTheme="minorHAnsi" w:eastAsiaTheme="minorEastAsia" w:hAnsiTheme="minorHAnsi" w:cstheme="minorBidi"/>
          <w:b w:val="0"/>
          <w:smallCaps w:val="0"/>
          <w:spacing w:val="0"/>
          <w:sz w:val="22"/>
          <w:lang w:eastAsia="zh-TW"/>
        </w:rPr>
      </w:pPr>
      <w:hyperlink w:anchor="_Toc481489020" w:history="1">
        <w:r w:rsidR="00670409" w:rsidRPr="007015D3">
          <w:rPr>
            <w:rStyle w:val="Hyperlink"/>
          </w:rPr>
          <w:t>Recommendation 3</w:t>
        </w:r>
      </w:hyperlink>
    </w:p>
    <w:p w:rsidR="00670409" w:rsidRDefault="00A23913">
      <w:pPr>
        <w:pStyle w:val="TOC2"/>
        <w:rPr>
          <w:rFonts w:asciiTheme="minorHAnsi" w:eastAsiaTheme="minorEastAsia" w:hAnsiTheme="minorHAnsi" w:cstheme="minorBidi"/>
          <w:b w:val="0"/>
          <w:szCs w:val="22"/>
          <w:lang w:eastAsia="zh-TW"/>
        </w:rPr>
      </w:pPr>
      <w:hyperlink w:anchor="_Toc481489021" w:history="1">
        <w:r w:rsidR="00670409" w:rsidRPr="007015D3">
          <w:rPr>
            <w:rStyle w:val="Hyperlink"/>
          </w:rPr>
          <w:t>3.18</w:t>
        </w:r>
        <w:r w:rsidR="00670409">
          <w:rPr>
            <w:rFonts w:asciiTheme="minorHAnsi" w:eastAsiaTheme="minorEastAsia" w:hAnsiTheme="minorHAnsi" w:cstheme="minorBidi"/>
            <w:b w:val="0"/>
            <w:szCs w:val="22"/>
            <w:lang w:eastAsia="zh-TW"/>
          </w:rPr>
          <w:tab/>
        </w:r>
        <w:r w:rsidR="00670409" w:rsidRPr="007015D3">
          <w:rPr>
            <w:rStyle w:val="Hyperlink"/>
          </w:rPr>
          <w:t>The Committee recommends that the ACT Government accept properly directed questions in the Assembly about the implementation of the Parliamentary Agreement for the 9</w:t>
        </w:r>
        <w:r w:rsidR="00670409" w:rsidRPr="007015D3">
          <w:rPr>
            <w:rStyle w:val="Hyperlink"/>
            <w:vertAlign w:val="superscript"/>
          </w:rPr>
          <w:t>th</w:t>
        </w:r>
        <w:r w:rsidR="00670409" w:rsidRPr="007015D3">
          <w:rPr>
            <w:rStyle w:val="Hyperlink"/>
          </w:rPr>
          <w:t xml:space="preserve"> Legislative Assembly of the Australian Capital Territory, in accordance with the public service’s monitoring role.</w:t>
        </w:r>
      </w:hyperlink>
    </w:p>
    <w:p w:rsidR="00670409" w:rsidRDefault="00A23913">
      <w:pPr>
        <w:pStyle w:val="TOC1"/>
        <w:rPr>
          <w:rFonts w:asciiTheme="minorHAnsi" w:eastAsiaTheme="minorEastAsia" w:hAnsiTheme="minorHAnsi" w:cstheme="minorBidi"/>
          <w:b w:val="0"/>
          <w:smallCaps w:val="0"/>
          <w:spacing w:val="0"/>
          <w:sz w:val="22"/>
          <w:lang w:eastAsia="zh-TW"/>
        </w:rPr>
      </w:pPr>
      <w:hyperlink w:anchor="_Toc481489022" w:history="1">
        <w:r w:rsidR="00670409" w:rsidRPr="007015D3">
          <w:rPr>
            <w:rStyle w:val="Hyperlink"/>
          </w:rPr>
          <w:t>Recommendation 4</w:t>
        </w:r>
      </w:hyperlink>
    </w:p>
    <w:p w:rsidR="00670409" w:rsidRDefault="00A23913">
      <w:pPr>
        <w:pStyle w:val="TOC2"/>
        <w:rPr>
          <w:rFonts w:asciiTheme="minorHAnsi" w:eastAsiaTheme="minorEastAsia" w:hAnsiTheme="minorHAnsi" w:cstheme="minorBidi"/>
          <w:b w:val="0"/>
          <w:szCs w:val="22"/>
          <w:lang w:eastAsia="zh-TW"/>
        </w:rPr>
      </w:pPr>
      <w:hyperlink w:anchor="_Toc481489023" w:history="1">
        <w:r w:rsidR="00670409" w:rsidRPr="007015D3">
          <w:rPr>
            <w:rStyle w:val="Hyperlink"/>
          </w:rPr>
          <w:t>3.21</w:t>
        </w:r>
        <w:r w:rsidR="00670409">
          <w:rPr>
            <w:rFonts w:asciiTheme="minorHAnsi" w:eastAsiaTheme="minorEastAsia" w:hAnsiTheme="minorHAnsi" w:cstheme="minorBidi"/>
            <w:b w:val="0"/>
            <w:szCs w:val="22"/>
            <w:lang w:eastAsia="zh-TW"/>
          </w:rPr>
          <w:tab/>
        </w:r>
        <w:r w:rsidR="00670409" w:rsidRPr="007015D3">
          <w:rPr>
            <w:rStyle w:val="Hyperlink"/>
          </w:rPr>
          <w:t>The Committee recommends that ACT Government directorates and agencies monitor and maintain their website pages, newsletters, event pages, and associated online material to ensure the information is correct and current and that there are no broken links.</w:t>
        </w:r>
      </w:hyperlink>
    </w:p>
    <w:p w:rsidR="00670409" w:rsidRDefault="00A23913">
      <w:pPr>
        <w:pStyle w:val="TOC1"/>
        <w:rPr>
          <w:rFonts w:asciiTheme="minorHAnsi" w:eastAsiaTheme="minorEastAsia" w:hAnsiTheme="minorHAnsi" w:cstheme="minorBidi"/>
          <w:b w:val="0"/>
          <w:smallCaps w:val="0"/>
          <w:spacing w:val="0"/>
          <w:sz w:val="22"/>
          <w:lang w:eastAsia="zh-TW"/>
        </w:rPr>
      </w:pPr>
      <w:hyperlink w:anchor="_Toc481489024" w:history="1">
        <w:r w:rsidR="00670409" w:rsidRPr="007015D3">
          <w:rPr>
            <w:rStyle w:val="Hyperlink"/>
          </w:rPr>
          <w:t>Recommendation 5</w:t>
        </w:r>
      </w:hyperlink>
    </w:p>
    <w:p w:rsidR="00670409" w:rsidRDefault="00A23913">
      <w:pPr>
        <w:pStyle w:val="TOC2"/>
        <w:rPr>
          <w:rFonts w:asciiTheme="minorHAnsi" w:eastAsiaTheme="minorEastAsia" w:hAnsiTheme="minorHAnsi" w:cstheme="minorBidi"/>
          <w:b w:val="0"/>
          <w:szCs w:val="22"/>
          <w:lang w:eastAsia="zh-TW"/>
        </w:rPr>
      </w:pPr>
      <w:hyperlink w:anchor="_Toc481489025" w:history="1">
        <w:r w:rsidR="00670409" w:rsidRPr="007015D3">
          <w:rPr>
            <w:rStyle w:val="Hyperlink"/>
          </w:rPr>
          <w:t>3.22</w:t>
        </w:r>
        <w:r w:rsidR="00670409">
          <w:rPr>
            <w:rFonts w:asciiTheme="minorHAnsi" w:eastAsiaTheme="minorEastAsia" w:hAnsiTheme="minorHAnsi" w:cstheme="minorBidi"/>
            <w:b w:val="0"/>
            <w:szCs w:val="22"/>
            <w:lang w:eastAsia="zh-TW"/>
          </w:rPr>
          <w:tab/>
        </w:r>
        <w:r w:rsidR="00670409" w:rsidRPr="007015D3">
          <w:rPr>
            <w:rStyle w:val="Hyperlink"/>
          </w:rPr>
          <w:t>The Committee recommends that ACT Government directorates and agencies ensure that when newsletters or other updates have been or will be ceased, the webpage or last newsletter should reflect this change and the effective date of cessation.</w:t>
        </w:r>
      </w:hyperlink>
    </w:p>
    <w:p w:rsidR="00670409" w:rsidRDefault="00A23913">
      <w:pPr>
        <w:pStyle w:val="TOC1"/>
        <w:rPr>
          <w:rFonts w:asciiTheme="minorHAnsi" w:eastAsiaTheme="minorEastAsia" w:hAnsiTheme="minorHAnsi" w:cstheme="minorBidi"/>
          <w:b w:val="0"/>
          <w:smallCaps w:val="0"/>
          <w:spacing w:val="0"/>
          <w:sz w:val="22"/>
          <w:lang w:eastAsia="zh-TW"/>
        </w:rPr>
      </w:pPr>
      <w:hyperlink w:anchor="_Toc481489026" w:history="1">
        <w:r w:rsidR="00670409" w:rsidRPr="007015D3">
          <w:rPr>
            <w:rStyle w:val="Hyperlink"/>
          </w:rPr>
          <w:t>Recommendation 6</w:t>
        </w:r>
      </w:hyperlink>
    </w:p>
    <w:p w:rsidR="00670409" w:rsidRDefault="00A23913">
      <w:pPr>
        <w:pStyle w:val="TOC2"/>
        <w:rPr>
          <w:rFonts w:asciiTheme="minorHAnsi" w:eastAsiaTheme="minorEastAsia" w:hAnsiTheme="minorHAnsi" w:cstheme="minorBidi"/>
          <w:b w:val="0"/>
          <w:szCs w:val="22"/>
          <w:lang w:eastAsia="zh-TW"/>
        </w:rPr>
      </w:pPr>
      <w:hyperlink w:anchor="_Toc481489027" w:history="1">
        <w:r w:rsidR="00670409" w:rsidRPr="007015D3">
          <w:rPr>
            <w:rStyle w:val="Hyperlink"/>
          </w:rPr>
          <w:t>3.29</w:t>
        </w:r>
        <w:r w:rsidR="00670409">
          <w:rPr>
            <w:rFonts w:asciiTheme="minorHAnsi" w:eastAsiaTheme="minorEastAsia" w:hAnsiTheme="minorHAnsi" w:cstheme="minorBidi"/>
            <w:b w:val="0"/>
            <w:szCs w:val="22"/>
            <w:lang w:eastAsia="zh-TW"/>
          </w:rPr>
          <w:tab/>
        </w:r>
        <w:r w:rsidR="00670409" w:rsidRPr="007015D3">
          <w:rPr>
            <w:rStyle w:val="Hyperlink"/>
          </w:rPr>
          <w:t>The Committee recommends that the ACT Public Service review its procedures for misconduct investigations and consider whether parties who have left the ACT Public Service should be able to choose to have such investigations concluded rather than abandoned.</w:t>
        </w:r>
      </w:hyperlink>
    </w:p>
    <w:p w:rsidR="00AD20CA" w:rsidRDefault="00AD20CA">
      <w:pPr>
        <w:rPr>
          <w:rStyle w:val="Hyperlink"/>
          <w:rFonts w:cs="Calibri"/>
          <w:b/>
          <w:smallCaps/>
          <w:noProof/>
          <w:spacing w:val="40"/>
          <w:sz w:val="24"/>
          <w:szCs w:val="22"/>
        </w:rPr>
      </w:pPr>
      <w:r>
        <w:rPr>
          <w:rStyle w:val="Hyperlink"/>
        </w:rPr>
        <w:br w:type="page"/>
      </w:r>
    </w:p>
    <w:p w:rsidR="00670409" w:rsidRDefault="00A23913">
      <w:pPr>
        <w:pStyle w:val="TOC1"/>
        <w:rPr>
          <w:rFonts w:asciiTheme="minorHAnsi" w:eastAsiaTheme="minorEastAsia" w:hAnsiTheme="minorHAnsi" w:cstheme="minorBidi"/>
          <w:b w:val="0"/>
          <w:smallCaps w:val="0"/>
          <w:spacing w:val="0"/>
          <w:sz w:val="22"/>
          <w:lang w:eastAsia="zh-TW"/>
        </w:rPr>
      </w:pPr>
      <w:hyperlink w:anchor="_Toc481489028" w:history="1">
        <w:r w:rsidR="00670409" w:rsidRPr="007015D3">
          <w:rPr>
            <w:rStyle w:val="Hyperlink"/>
          </w:rPr>
          <w:t>Recommendation 7</w:t>
        </w:r>
      </w:hyperlink>
    </w:p>
    <w:p w:rsidR="00670409" w:rsidRDefault="00A23913">
      <w:pPr>
        <w:pStyle w:val="TOC2"/>
        <w:rPr>
          <w:rFonts w:asciiTheme="minorHAnsi" w:eastAsiaTheme="minorEastAsia" w:hAnsiTheme="minorHAnsi" w:cstheme="minorBidi"/>
          <w:b w:val="0"/>
          <w:szCs w:val="22"/>
          <w:lang w:eastAsia="zh-TW"/>
        </w:rPr>
      </w:pPr>
      <w:hyperlink w:anchor="_Toc481489029" w:history="1">
        <w:r w:rsidR="00670409" w:rsidRPr="007015D3">
          <w:rPr>
            <w:rStyle w:val="Hyperlink"/>
          </w:rPr>
          <w:t>3.33</w:t>
        </w:r>
        <w:r w:rsidR="00670409">
          <w:rPr>
            <w:rFonts w:asciiTheme="minorHAnsi" w:eastAsiaTheme="minorEastAsia" w:hAnsiTheme="minorHAnsi" w:cstheme="minorBidi"/>
            <w:b w:val="0"/>
            <w:szCs w:val="22"/>
            <w:lang w:eastAsia="zh-TW"/>
          </w:rPr>
          <w:tab/>
        </w:r>
        <w:r w:rsidR="00670409" w:rsidRPr="007015D3">
          <w:rPr>
            <w:rStyle w:val="Hyperlink"/>
          </w:rPr>
          <w:t>The Committee recommends that ACT Government directorates and agencies consult with the Territory Record Office when developing or amending their Record Management Program, or altering the Program significantly.</w:t>
        </w:r>
      </w:hyperlink>
    </w:p>
    <w:p w:rsidR="00670409" w:rsidRDefault="00A23913">
      <w:pPr>
        <w:pStyle w:val="TOC1"/>
        <w:rPr>
          <w:rFonts w:asciiTheme="minorHAnsi" w:eastAsiaTheme="minorEastAsia" w:hAnsiTheme="minorHAnsi" w:cstheme="minorBidi"/>
          <w:b w:val="0"/>
          <w:smallCaps w:val="0"/>
          <w:spacing w:val="0"/>
          <w:sz w:val="22"/>
          <w:lang w:eastAsia="zh-TW"/>
        </w:rPr>
      </w:pPr>
      <w:hyperlink w:anchor="_Toc481489030" w:history="1">
        <w:r w:rsidR="00670409" w:rsidRPr="007015D3">
          <w:rPr>
            <w:rStyle w:val="Hyperlink"/>
          </w:rPr>
          <w:t>Recommendation 8</w:t>
        </w:r>
      </w:hyperlink>
    </w:p>
    <w:p w:rsidR="00670409" w:rsidRDefault="00A23913">
      <w:pPr>
        <w:pStyle w:val="TOC2"/>
        <w:rPr>
          <w:rFonts w:asciiTheme="minorHAnsi" w:eastAsiaTheme="minorEastAsia" w:hAnsiTheme="minorHAnsi" w:cstheme="minorBidi"/>
          <w:b w:val="0"/>
          <w:szCs w:val="22"/>
          <w:lang w:eastAsia="zh-TW"/>
        </w:rPr>
      </w:pPr>
      <w:hyperlink w:anchor="_Toc481489031" w:history="1">
        <w:r w:rsidR="00670409" w:rsidRPr="007015D3">
          <w:rPr>
            <w:rStyle w:val="Hyperlink"/>
          </w:rPr>
          <w:t>3.34</w:t>
        </w:r>
        <w:r w:rsidR="00670409">
          <w:rPr>
            <w:rFonts w:asciiTheme="minorHAnsi" w:eastAsiaTheme="minorEastAsia" w:hAnsiTheme="minorHAnsi" w:cstheme="minorBidi"/>
            <w:b w:val="0"/>
            <w:szCs w:val="22"/>
            <w:lang w:eastAsia="zh-TW"/>
          </w:rPr>
          <w:tab/>
        </w:r>
        <w:r w:rsidR="00670409" w:rsidRPr="007015D3">
          <w:rPr>
            <w:rStyle w:val="Hyperlink"/>
          </w:rPr>
          <w:t>The Committee recommends that ACT Government directorates and agencies’ adherence to their Record Management Programs should be reviewed by the Territory Record Office every three years, and that the results of these reviews be published.</w:t>
        </w:r>
      </w:hyperlink>
    </w:p>
    <w:p w:rsidR="00670409" w:rsidRDefault="00A23913">
      <w:pPr>
        <w:pStyle w:val="TOC1"/>
        <w:rPr>
          <w:rFonts w:asciiTheme="minorHAnsi" w:eastAsiaTheme="minorEastAsia" w:hAnsiTheme="minorHAnsi" w:cstheme="minorBidi"/>
          <w:b w:val="0"/>
          <w:smallCaps w:val="0"/>
          <w:spacing w:val="0"/>
          <w:sz w:val="22"/>
          <w:lang w:eastAsia="zh-TW"/>
        </w:rPr>
      </w:pPr>
      <w:hyperlink w:anchor="_Toc481489032" w:history="1">
        <w:r w:rsidR="00670409" w:rsidRPr="007015D3">
          <w:rPr>
            <w:rStyle w:val="Hyperlink"/>
          </w:rPr>
          <w:t>Recommendation 9</w:t>
        </w:r>
      </w:hyperlink>
    </w:p>
    <w:p w:rsidR="00670409" w:rsidRDefault="00A23913">
      <w:pPr>
        <w:pStyle w:val="TOC2"/>
        <w:rPr>
          <w:rFonts w:asciiTheme="minorHAnsi" w:eastAsiaTheme="minorEastAsia" w:hAnsiTheme="minorHAnsi" w:cstheme="minorBidi"/>
          <w:b w:val="0"/>
          <w:szCs w:val="22"/>
          <w:lang w:eastAsia="zh-TW"/>
        </w:rPr>
      </w:pPr>
      <w:hyperlink w:anchor="_Toc481489033" w:history="1">
        <w:r w:rsidR="00670409" w:rsidRPr="007015D3">
          <w:rPr>
            <w:rStyle w:val="Hyperlink"/>
          </w:rPr>
          <w:t>3.35</w:t>
        </w:r>
        <w:r w:rsidR="00670409">
          <w:rPr>
            <w:rFonts w:asciiTheme="minorHAnsi" w:eastAsiaTheme="minorEastAsia" w:hAnsiTheme="minorHAnsi" w:cstheme="minorBidi"/>
            <w:b w:val="0"/>
            <w:szCs w:val="22"/>
            <w:lang w:eastAsia="zh-TW"/>
          </w:rPr>
          <w:tab/>
        </w:r>
        <w:r w:rsidR="00670409" w:rsidRPr="007015D3">
          <w:rPr>
            <w:rStyle w:val="Hyperlink"/>
          </w:rPr>
          <w:t>The Committee recommends that ACT Government guidelines for record keeping should be reviewed every three years to ensure the processes stay current and are integrated with new technology upgrades as they become available.</w:t>
        </w:r>
      </w:hyperlink>
    </w:p>
    <w:p w:rsidR="00670409" w:rsidRDefault="00A23913">
      <w:pPr>
        <w:pStyle w:val="TOC1"/>
        <w:rPr>
          <w:rFonts w:asciiTheme="minorHAnsi" w:eastAsiaTheme="minorEastAsia" w:hAnsiTheme="minorHAnsi" w:cstheme="minorBidi"/>
          <w:b w:val="0"/>
          <w:smallCaps w:val="0"/>
          <w:spacing w:val="0"/>
          <w:sz w:val="22"/>
          <w:lang w:eastAsia="zh-TW"/>
        </w:rPr>
      </w:pPr>
      <w:hyperlink w:anchor="_Toc481489034" w:history="1">
        <w:r w:rsidR="00670409" w:rsidRPr="007015D3">
          <w:rPr>
            <w:rStyle w:val="Hyperlink"/>
          </w:rPr>
          <w:t>Recommendation 10</w:t>
        </w:r>
      </w:hyperlink>
    </w:p>
    <w:p w:rsidR="00670409" w:rsidRDefault="00A23913">
      <w:pPr>
        <w:pStyle w:val="TOC2"/>
        <w:rPr>
          <w:rFonts w:asciiTheme="minorHAnsi" w:eastAsiaTheme="minorEastAsia" w:hAnsiTheme="minorHAnsi" w:cstheme="minorBidi"/>
          <w:b w:val="0"/>
          <w:szCs w:val="22"/>
          <w:lang w:eastAsia="zh-TW"/>
        </w:rPr>
      </w:pPr>
      <w:hyperlink w:anchor="_Toc481489035" w:history="1">
        <w:r w:rsidR="00670409" w:rsidRPr="007015D3">
          <w:rPr>
            <w:rStyle w:val="Hyperlink"/>
          </w:rPr>
          <w:t>3.45</w:t>
        </w:r>
        <w:r w:rsidR="00670409">
          <w:rPr>
            <w:rFonts w:asciiTheme="minorHAnsi" w:eastAsiaTheme="minorEastAsia" w:hAnsiTheme="minorHAnsi" w:cstheme="minorBidi"/>
            <w:b w:val="0"/>
            <w:szCs w:val="22"/>
            <w:lang w:eastAsia="zh-TW"/>
          </w:rPr>
          <w:tab/>
        </w:r>
        <w:r w:rsidR="00670409" w:rsidRPr="007015D3">
          <w:rPr>
            <w:rStyle w:val="Hyperlink"/>
          </w:rPr>
          <w:t>The Committee recommends that ACT Government guidelines given to independent assessors undertaking financial assessments of external contractors be reviewed to determine what level of financial deterioration is acceptable before a company is no longer able to be classified as prequalified.</w:t>
        </w:r>
      </w:hyperlink>
    </w:p>
    <w:p w:rsidR="00670409" w:rsidRDefault="00A23913">
      <w:pPr>
        <w:pStyle w:val="TOC1"/>
        <w:rPr>
          <w:rFonts w:asciiTheme="minorHAnsi" w:eastAsiaTheme="minorEastAsia" w:hAnsiTheme="minorHAnsi" w:cstheme="minorBidi"/>
          <w:b w:val="0"/>
          <w:smallCaps w:val="0"/>
          <w:spacing w:val="0"/>
          <w:sz w:val="22"/>
          <w:lang w:eastAsia="zh-TW"/>
        </w:rPr>
      </w:pPr>
      <w:hyperlink w:anchor="_Toc481489036" w:history="1">
        <w:r w:rsidR="00670409" w:rsidRPr="007015D3">
          <w:rPr>
            <w:rStyle w:val="Hyperlink"/>
          </w:rPr>
          <w:t>Recommendation 11</w:t>
        </w:r>
      </w:hyperlink>
    </w:p>
    <w:p w:rsidR="00670409" w:rsidRDefault="00A23913">
      <w:pPr>
        <w:pStyle w:val="TOC2"/>
        <w:rPr>
          <w:rFonts w:asciiTheme="minorHAnsi" w:eastAsiaTheme="minorEastAsia" w:hAnsiTheme="minorHAnsi" w:cstheme="minorBidi"/>
          <w:b w:val="0"/>
          <w:szCs w:val="22"/>
          <w:lang w:eastAsia="zh-TW"/>
        </w:rPr>
      </w:pPr>
      <w:hyperlink w:anchor="_Toc481489037" w:history="1">
        <w:r w:rsidR="00670409" w:rsidRPr="007015D3">
          <w:rPr>
            <w:rStyle w:val="Hyperlink"/>
          </w:rPr>
          <w:t>3.46</w:t>
        </w:r>
        <w:r w:rsidR="00670409">
          <w:rPr>
            <w:rFonts w:asciiTheme="minorHAnsi" w:eastAsiaTheme="minorEastAsia" w:hAnsiTheme="minorHAnsi" w:cstheme="minorBidi"/>
            <w:b w:val="0"/>
            <w:szCs w:val="22"/>
            <w:lang w:eastAsia="zh-TW"/>
          </w:rPr>
          <w:tab/>
        </w:r>
        <w:r w:rsidR="00670409" w:rsidRPr="007015D3">
          <w:rPr>
            <w:rStyle w:val="Hyperlink"/>
          </w:rPr>
          <w:t>The Committee recommends that additional or more frequent assessments be undertaken on a pre-qualified entity after it has shown signs of financial deterioration.  The additional reviews should be conducted with reference to the length and value of the contract.</w:t>
        </w:r>
      </w:hyperlink>
    </w:p>
    <w:p w:rsidR="00670409" w:rsidRDefault="00A23913">
      <w:pPr>
        <w:pStyle w:val="TOC1"/>
        <w:rPr>
          <w:rFonts w:asciiTheme="minorHAnsi" w:eastAsiaTheme="minorEastAsia" w:hAnsiTheme="minorHAnsi" w:cstheme="minorBidi"/>
          <w:b w:val="0"/>
          <w:smallCaps w:val="0"/>
          <w:spacing w:val="0"/>
          <w:sz w:val="22"/>
          <w:lang w:eastAsia="zh-TW"/>
        </w:rPr>
      </w:pPr>
      <w:hyperlink w:anchor="_Toc481489038" w:history="1">
        <w:r w:rsidR="00670409" w:rsidRPr="007015D3">
          <w:rPr>
            <w:rStyle w:val="Hyperlink"/>
          </w:rPr>
          <w:t>Recommendation 12</w:t>
        </w:r>
      </w:hyperlink>
    </w:p>
    <w:p w:rsidR="00670409" w:rsidRDefault="00A23913">
      <w:pPr>
        <w:pStyle w:val="TOC2"/>
        <w:rPr>
          <w:rFonts w:asciiTheme="minorHAnsi" w:eastAsiaTheme="minorEastAsia" w:hAnsiTheme="minorHAnsi" w:cstheme="minorBidi"/>
          <w:b w:val="0"/>
          <w:szCs w:val="22"/>
          <w:lang w:eastAsia="zh-TW"/>
        </w:rPr>
      </w:pPr>
      <w:hyperlink w:anchor="_Toc481489039" w:history="1">
        <w:r w:rsidR="00670409" w:rsidRPr="007015D3">
          <w:rPr>
            <w:rStyle w:val="Hyperlink"/>
          </w:rPr>
          <w:t>3.47</w:t>
        </w:r>
        <w:r w:rsidR="00670409">
          <w:rPr>
            <w:rFonts w:asciiTheme="minorHAnsi" w:eastAsiaTheme="minorEastAsia" w:hAnsiTheme="minorHAnsi" w:cstheme="minorBidi"/>
            <w:b w:val="0"/>
            <w:szCs w:val="22"/>
            <w:lang w:eastAsia="zh-TW"/>
          </w:rPr>
          <w:tab/>
        </w:r>
        <w:r w:rsidR="00670409" w:rsidRPr="007015D3">
          <w:rPr>
            <w:rStyle w:val="Hyperlink"/>
          </w:rPr>
          <w:t>The Committee recommends that the ACT Government evaluate existing procedures to mitigate the risk of contractors engaged by the ACT not paying subcontractors and workers, including evaluating whether financial risk assessments are accurate and current, and whether contractors’ statutory declarations are sufficiently reliable or should include some further form of proof from sub-contractors.</w:t>
        </w:r>
      </w:hyperlink>
    </w:p>
    <w:p w:rsidR="00670409" w:rsidRDefault="00A23913">
      <w:pPr>
        <w:pStyle w:val="TOC1"/>
        <w:rPr>
          <w:rFonts w:asciiTheme="minorHAnsi" w:eastAsiaTheme="minorEastAsia" w:hAnsiTheme="minorHAnsi" w:cstheme="minorBidi"/>
          <w:b w:val="0"/>
          <w:smallCaps w:val="0"/>
          <w:spacing w:val="0"/>
          <w:sz w:val="22"/>
          <w:lang w:eastAsia="zh-TW"/>
        </w:rPr>
      </w:pPr>
      <w:hyperlink w:anchor="_Toc481489040" w:history="1">
        <w:r w:rsidR="00670409" w:rsidRPr="007015D3">
          <w:rPr>
            <w:rStyle w:val="Hyperlink"/>
          </w:rPr>
          <w:t>Recommendation 13</w:t>
        </w:r>
      </w:hyperlink>
    </w:p>
    <w:p w:rsidR="00670409" w:rsidRDefault="00A23913">
      <w:pPr>
        <w:pStyle w:val="TOC2"/>
        <w:rPr>
          <w:rFonts w:asciiTheme="minorHAnsi" w:eastAsiaTheme="minorEastAsia" w:hAnsiTheme="minorHAnsi" w:cstheme="minorBidi"/>
          <w:b w:val="0"/>
          <w:szCs w:val="22"/>
          <w:lang w:eastAsia="zh-TW"/>
        </w:rPr>
      </w:pPr>
      <w:hyperlink w:anchor="_Toc481489041" w:history="1">
        <w:r w:rsidR="00670409" w:rsidRPr="007015D3">
          <w:rPr>
            <w:rStyle w:val="Hyperlink"/>
          </w:rPr>
          <w:t>3.48</w:t>
        </w:r>
        <w:r w:rsidR="00670409">
          <w:rPr>
            <w:rFonts w:asciiTheme="minorHAnsi" w:eastAsiaTheme="minorEastAsia" w:hAnsiTheme="minorHAnsi" w:cstheme="minorBidi"/>
            <w:b w:val="0"/>
            <w:szCs w:val="22"/>
            <w:lang w:eastAsia="zh-TW"/>
          </w:rPr>
          <w:tab/>
        </w:r>
        <w:r w:rsidR="00670409" w:rsidRPr="007015D3">
          <w:rPr>
            <w:rStyle w:val="Hyperlink"/>
          </w:rPr>
          <w:t>The Committee recommends that the Government develop specific guidelines and policy on how to interact with contractors and subcontractors after an entity is suspected to be financially unstable or goes into administration.</w:t>
        </w:r>
      </w:hyperlink>
    </w:p>
    <w:p w:rsidR="00670409" w:rsidRDefault="00A23913">
      <w:pPr>
        <w:pStyle w:val="TOC1"/>
        <w:rPr>
          <w:rFonts w:asciiTheme="minorHAnsi" w:eastAsiaTheme="minorEastAsia" w:hAnsiTheme="minorHAnsi" w:cstheme="minorBidi"/>
          <w:b w:val="0"/>
          <w:smallCaps w:val="0"/>
          <w:spacing w:val="0"/>
          <w:sz w:val="22"/>
          <w:lang w:eastAsia="zh-TW"/>
        </w:rPr>
      </w:pPr>
      <w:hyperlink w:anchor="_Toc481489042" w:history="1">
        <w:r w:rsidR="00670409" w:rsidRPr="007015D3">
          <w:rPr>
            <w:rStyle w:val="Hyperlink"/>
          </w:rPr>
          <w:t>Recommendation 14</w:t>
        </w:r>
      </w:hyperlink>
    </w:p>
    <w:p w:rsidR="00670409" w:rsidRDefault="00A23913">
      <w:pPr>
        <w:pStyle w:val="TOC2"/>
        <w:rPr>
          <w:rFonts w:asciiTheme="minorHAnsi" w:eastAsiaTheme="minorEastAsia" w:hAnsiTheme="minorHAnsi" w:cstheme="minorBidi"/>
          <w:b w:val="0"/>
          <w:szCs w:val="22"/>
          <w:lang w:eastAsia="zh-TW"/>
        </w:rPr>
      </w:pPr>
      <w:hyperlink w:anchor="_Toc481489043" w:history="1">
        <w:r w:rsidR="00670409" w:rsidRPr="007015D3">
          <w:rPr>
            <w:rStyle w:val="Hyperlink"/>
          </w:rPr>
          <w:t>3.50</w:t>
        </w:r>
        <w:r w:rsidR="00670409">
          <w:rPr>
            <w:rFonts w:asciiTheme="minorHAnsi" w:eastAsiaTheme="minorEastAsia" w:hAnsiTheme="minorHAnsi" w:cstheme="minorBidi"/>
            <w:b w:val="0"/>
            <w:szCs w:val="22"/>
            <w:lang w:eastAsia="zh-TW"/>
          </w:rPr>
          <w:tab/>
        </w:r>
        <w:r w:rsidR="00670409" w:rsidRPr="007015D3">
          <w:rPr>
            <w:rStyle w:val="Hyperlink"/>
          </w:rPr>
          <w:t>The Committee recommends that a regular schedule of briefings and updates be implemented between the ACT Government Procurement Board, the Asbestos Response Taskforce, and Procurement and Capital Works (CMTEDD) to ensure the large scale procurement associated with these undertakings is correctly assessed and the risks are appropriately managed.</w:t>
        </w:r>
      </w:hyperlink>
    </w:p>
    <w:p w:rsidR="00670409" w:rsidRDefault="00A23913">
      <w:pPr>
        <w:pStyle w:val="TOC1"/>
        <w:rPr>
          <w:rFonts w:asciiTheme="minorHAnsi" w:eastAsiaTheme="minorEastAsia" w:hAnsiTheme="minorHAnsi" w:cstheme="minorBidi"/>
          <w:b w:val="0"/>
          <w:smallCaps w:val="0"/>
          <w:spacing w:val="0"/>
          <w:sz w:val="22"/>
          <w:lang w:eastAsia="zh-TW"/>
        </w:rPr>
      </w:pPr>
      <w:hyperlink w:anchor="_Toc481489044" w:history="1">
        <w:r w:rsidR="00670409" w:rsidRPr="007015D3">
          <w:rPr>
            <w:rStyle w:val="Hyperlink"/>
          </w:rPr>
          <w:t>Recommendation 15</w:t>
        </w:r>
      </w:hyperlink>
    </w:p>
    <w:p w:rsidR="00670409" w:rsidRDefault="00A23913">
      <w:pPr>
        <w:pStyle w:val="TOC2"/>
        <w:rPr>
          <w:rFonts w:asciiTheme="minorHAnsi" w:eastAsiaTheme="minorEastAsia" w:hAnsiTheme="minorHAnsi" w:cstheme="minorBidi"/>
          <w:b w:val="0"/>
          <w:szCs w:val="22"/>
          <w:lang w:eastAsia="zh-TW"/>
        </w:rPr>
      </w:pPr>
      <w:hyperlink w:anchor="_Toc481489045" w:history="1">
        <w:r w:rsidR="00670409" w:rsidRPr="007015D3">
          <w:rPr>
            <w:rStyle w:val="Hyperlink"/>
          </w:rPr>
          <w:t>3.69</w:t>
        </w:r>
        <w:r w:rsidR="00670409">
          <w:rPr>
            <w:rFonts w:asciiTheme="minorHAnsi" w:eastAsiaTheme="minorEastAsia" w:hAnsiTheme="minorHAnsi" w:cstheme="minorBidi"/>
            <w:b w:val="0"/>
            <w:szCs w:val="22"/>
            <w:lang w:eastAsia="zh-TW"/>
          </w:rPr>
          <w:tab/>
        </w:r>
        <w:r w:rsidR="00670409" w:rsidRPr="007015D3">
          <w:rPr>
            <w:rStyle w:val="Hyperlink"/>
          </w:rPr>
          <w:t>The Committee recommends that Access Canberra publish annual statistics on the number of client interactions, the time taken to respond to client queries, and the number of queries that are finalised.</w:t>
        </w:r>
      </w:hyperlink>
    </w:p>
    <w:p w:rsidR="00670409" w:rsidRDefault="00A23913">
      <w:pPr>
        <w:pStyle w:val="TOC1"/>
        <w:rPr>
          <w:rFonts w:asciiTheme="minorHAnsi" w:eastAsiaTheme="minorEastAsia" w:hAnsiTheme="minorHAnsi" w:cstheme="minorBidi"/>
          <w:b w:val="0"/>
          <w:smallCaps w:val="0"/>
          <w:spacing w:val="0"/>
          <w:sz w:val="22"/>
          <w:lang w:eastAsia="zh-TW"/>
        </w:rPr>
      </w:pPr>
      <w:hyperlink w:anchor="_Toc481489046" w:history="1">
        <w:r w:rsidR="00670409" w:rsidRPr="007015D3">
          <w:rPr>
            <w:rStyle w:val="Hyperlink"/>
          </w:rPr>
          <w:t>Recommendation 16</w:t>
        </w:r>
      </w:hyperlink>
    </w:p>
    <w:p w:rsidR="00670409" w:rsidRDefault="00A23913">
      <w:pPr>
        <w:pStyle w:val="TOC2"/>
        <w:rPr>
          <w:rFonts w:asciiTheme="minorHAnsi" w:eastAsiaTheme="minorEastAsia" w:hAnsiTheme="minorHAnsi" w:cstheme="minorBidi"/>
          <w:b w:val="0"/>
          <w:szCs w:val="22"/>
          <w:lang w:eastAsia="zh-TW"/>
        </w:rPr>
      </w:pPr>
      <w:hyperlink w:anchor="_Toc481489047" w:history="1">
        <w:r w:rsidR="00670409" w:rsidRPr="007015D3">
          <w:rPr>
            <w:rStyle w:val="Hyperlink"/>
          </w:rPr>
          <w:t>3.77</w:t>
        </w:r>
        <w:r w:rsidR="00670409">
          <w:rPr>
            <w:rFonts w:asciiTheme="minorHAnsi" w:eastAsiaTheme="minorEastAsia" w:hAnsiTheme="minorHAnsi" w:cstheme="minorBidi"/>
            <w:b w:val="0"/>
            <w:szCs w:val="22"/>
            <w:lang w:eastAsia="zh-TW"/>
          </w:rPr>
          <w:tab/>
        </w:r>
        <w:r w:rsidR="00670409" w:rsidRPr="007015D3">
          <w:rPr>
            <w:rStyle w:val="Hyperlink"/>
          </w:rPr>
          <w:t>The Committee recommends that where Access Canberra becomes aware of construction and/or excavation work undertaken not in compliance with development approvals, the initial response from Access Canberra be to halt further work and seek ways in which the work can be rectified so that it is in compliance.</w:t>
        </w:r>
      </w:hyperlink>
    </w:p>
    <w:p w:rsidR="00670409" w:rsidRDefault="00A23913">
      <w:pPr>
        <w:pStyle w:val="TOC1"/>
        <w:rPr>
          <w:rFonts w:asciiTheme="minorHAnsi" w:eastAsiaTheme="minorEastAsia" w:hAnsiTheme="minorHAnsi" w:cstheme="minorBidi"/>
          <w:b w:val="0"/>
          <w:smallCaps w:val="0"/>
          <w:spacing w:val="0"/>
          <w:sz w:val="22"/>
          <w:lang w:eastAsia="zh-TW"/>
        </w:rPr>
      </w:pPr>
      <w:hyperlink w:anchor="_Toc481489048" w:history="1">
        <w:r w:rsidR="00670409" w:rsidRPr="007015D3">
          <w:rPr>
            <w:rStyle w:val="Hyperlink"/>
          </w:rPr>
          <w:t>Recommendation 17</w:t>
        </w:r>
      </w:hyperlink>
    </w:p>
    <w:p w:rsidR="00670409" w:rsidRDefault="00A23913">
      <w:pPr>
        <w:pStyle w:val="TOC2"/>
        <w:rPr>
          <w:rFonts w:asciiTheme="minorHAnsi" w:eastAsiaTheme="minorEastAsia" w:hAnsiTheme="minorHAnsi" w:cstheme="minorBidi"/>
          <w:b w:val="0"/>
          <w:szCs w:val="22"/>
          <w:lang w:eastAsia="zh-TW"/>
        </w:rPr>
      </w:pPr>
      <w:hyperlink w:anchor="_Toc481489049" w:history="1">
        <w:r w:rsidR="00670409" w:rsidRPr="007015D3">
          <w:rPr>
            <w:rStyle w:val="Hyperlink"/>
          </w:rPr>
          <w:t>3.82</w:t>
        </w:r>
        <w:r w:rsidR="00670409">
          <w:rPr>
            <w:rFonts w:asciiTheme="minorHAnsi" w:eastAsiaTheme="minorEastAsia" w:hAnsiTheme="minorHAnsi" w:cstheme="minorBidi"/>
            <w:b w:val="0"/>
            <w:szCs w:val="22"/>
            <w:lang w:eastAsia="zh-TW"/>
          </w:rPr>
          <w:tab/>
        </w:r>
        <w:r w:rsidR="00670409" w:rsidRPr="007015D3">
          <w:rPr>
            <w:rStyle w:val="Hyperlink"/>
          </w:rPr>
          <w:t>The Committee recommends that the ACT Government permanently file and archive air quality monitoring reports created during the demolition of loose fill asbestos affected sites.</w:t>
        </w:r>
      </w:hyperlink>
    </w:p>
    <w:p w:rsidR="00670409" w:rsidRDefault="00A23913">
      <w:pPr>
        <w:pStyle w:val="TOC1"/>
        <w:rPr>
          <w:rFonts w:asciiTheme="minorHAnsi" w:eastAsiaTheme="minorEastAsia" w:hAnsiTheme="minorHAnsi" w:cstheme="minorBidi"/>
          <w:b w:val="0"/>
          <w:smallCaps w:val="0"/>
          <w:spacing w:val="0"/>
          <w:sz w:val="22"/>
          <w:lang w:eastAsia="zh-TW"/>
        </w:rPr>
      </w:pPr>
      <w:hyperlink w:anchor="_Toc481489050" w:history="1">
        <w:r w:rsidR="00670409" w:rsidRPr="007015D3">
          <w:rPr>
            <w:rStyle w:val="Hyperlink"/>
          </w:rPr>
          <w:t>Recommendation 18</w:t>
        </w:r>
      </w:hyperlink>
    </w:p>
    <w:p w:rsidR="00670409" w:rsidRDefault="00A23913">
      <w:pPr>
        <w:pStyle w:val="TOC2"/>
        <w:rPr>
          <w:rFonts w:asciiTheme="minorHAnsi" w:eastAsiaTheme="minorEastAsia" w:hAnsiTheme="minorHAnsi" w:cstheme="minorBidi"/>
          <w:b w:val="0"/>
          <w:szCs w:val="22"/>
          <w:lang w:eastAsia="zh-TW"/>
        </w:rPr>
      </w:pPr>
      <w:hyperlink w:anchor="_Toc481489051" w:history="1">
        <w:r w:rsidR="00670409" w:rsidRPr="007015D3">
          <w:rPr>
            <w:rStyle w:val="Hyperlink"/>
          </w:rPr>
          <w:t>3.87</w:t>
        </w:r>
        <w:r w:rsidR="00670409">
          <w:rPr>
            <w:rFonts w:asciiTheme="minorHAnsi" w:eastAsiaTheme="minorEastAsia" w:hAnsiTheme="minorHAnsi" w:cstheme="minorBidi"/>
            <w:b w:val="0"/>
            <w:szCs w:val="22"/>
            <w:lang w:eastAsia="zh-TW"/>
          </w:rPr>
          <w:tab/>
        </w:r>
        <w:r w:rsidR="00670409" w:rsidRPr="007015D3">
          <w:rPr>
            <w:rStyle w:val="Hyperlink"/>
          </w:rPr>
          <w:t>The Committee recommends that the Land Development Authority and artsACT consult closely with all arts organisations that are moving to the Kingston arts precinct on all aspects of their moves, including obtaining any necessary specialist technical advice in relation to their individual needs to ensure their accommodation is fully fit-for-purpose.</w:t>
        </w:r>
      </w:hyperlink>
    </w:p>
    <w:p w:rsidR="00670409" w:rsidRDefault="00A23913">
      <w:pPr>
        <w:pStyle w:val="TOC1"/>
        <w:rPr>
          <w:rFonts w:asciiTheme="minorHAnsi" w:eastAsiaTheme="minorEastAsia" w:hAnsiTheme="minorHAnsi" w:cstheme="minorBidi"/>
          <w:b w:val="0"/>
          <w:smallCaps w:val="0"/>
          <w:spacing w:val="0"/>
          <w:sz w:val="22"/>
          <w:lang w:eastAsia="zh-TW"/>
        </w:rPr>
      </w:pPr>
      <w:hyperlink w:anchor="_Toc481489052" w:history="1">
        <w:r w:rsidR="00670409" w:rsidRPr="007015D3">
          <w:rPr>
            <w:rStyle w:val="Hyperlink"/>
          </w:rPr>
          <w:t>Recommendation 19</w:t>
        </w:r>
      </w:hyperlink>
    </w:p>
    <w:p w:rsidR="00670409" w:rsidRDefault="00A23913">
      <w:pPr>
        <w:pStyle w:val="TOC2"/>
        <w:rPr>
          <w:rFonts w:asciiTheme="minorHAnsi" w:eastAsiaTheme="minorEastAsia" w:hAnsiTheme="minorHAnsi" w:cstheme="minorBidi"/>
          <w:b w:val="0"/>
          <w:szCs w:val="22"/>
          <w:lang w:eastAsia="zh-TW"/>
        </w:rPr>
      </w:pPr>
      <w:hyperlink w:anchor="_Toc481489053" w:history="1">
        <w:r w:rsidR="00670409" w:rsidRPr="007015D3">
          <w:rPr>
            <w:rStyle w:val="Hyperlink"/>
          </w:rPr>
          <w:t>3.88</w:t>
        </w:r>
        <w:r w:rsidR="00670409">
          <w:rPr>
            <w:rFonts w:asciiTheme="minorHAnsi" w:eastAsiaTheme="minorEastAsia" w:hAnsiTheme="minorHAnsi" w:cstheme="minorBidi"/>
            <w:b w:val="0"/>
            <w:szCs w:val="22"/>
            <w:lang w:eastAsia="zh-TW"/>
          </w:rPr>
          <w:tab/>
        </w:r>
        <w:r w:rsidR="00670409" w:rsidRPr="007015D3">
          <w:rPr>
            <w:rStyle w:val="Hyperlink"/>
          </w:rPr>
          <w:t>The Committee recommends that the Minister for the Arts and Community Events update the Assembly regularly on the progress of the Kingston arts precinct development, including consultation with relevant arts organisations, together with updates on whether the project is meeting agreed timelines and whether it is within budget allocations.</w:t>
        </w:r>
      </w:hyperlink>
    </w:p>
    <w:p w:rsidR="00AD20CA" w:rsidRDefault="00AD20CA">
      <w:pPr>
        <w:rPr>
          <w:rStyle w:val="Hyperlink"/>
          <w:rFonts w:cs="Calibri"/>
          <w:b/>
          <w:smallCaps/>
          <w:noProof/>
          <w:spacing w:val="40"/>
          <w:sz w:val="24"/>
          <w:szCs w:val="22"/>
        </w:rPr>
      </w:pPr>
      <w:r>
        <w:rPr>
          <w:rStyle w:val="Hyperlink"/>
        </w:rPr>
        <w:br w:type="page"/>
      </w:r>
    </w:p>
    <w:p w:rsidR="00670409" w:rsidRDefault="00A23913">
      <w:pPr>
        <w:pStyle w:val="TOC1"/>
        <w:rPr>
          <w:rFonts w:asciiTheme="minorHAnsi" w:eastAsiaTheme="minorEastAsia" w:hAnsiTheme="minorHAnsi" w:cstheme="minorBidi"/>
          <w:b w:val="0"/>
          <w:smallCaps w:val="0"/>
          <w:spacing w:val="0"/>
          <w:sz w:val="22"/>
          <w:lang w:eastAsia="zh-TW"/>
        </w:rPr>
      </w:pPr>
      <w:hyperlink w:anchor="_Toc481489054" w:history="1">
        <w:r w:rsidR="00670409" w:rsidRPr="007015D3">
          <w:rPr>
            <w:rStyle w:val="Hyperlink"/>
          </w:rPr>
          <w:t>Recommendation 20</w:t>
        </w:r>
      </w:hyperlink>
    </w:p>
    <w:p w:rsidR="00670409" w:rsidRDefault="00A23913">
      <w:pPr>
        <w:pStyle w:val="TOC2"/>
        <w:rPr>
          <w:rFonts w:asciiTheme="minorHAnsi" w:eastAsiaTheme="minorEastAsia" w:hAnsiTheme="minorHAnsi" w:cstheme="minorBidi"/>
          <w:b w:val="0"/>
          <w:szCs w:val="22"/>
          <w:lang w:eastAsia="zh-TW"/>
        </w:rPr>
      </w:pPr>
      <w:hyperlink w:anchor="_Toc481489055" w:history="1">
        <w:r w:rsidR="00670409" w:rsidRPr="007015D3">
          <w:rPr>
            <w:rStyle w:val="Hyperlink"/>
          </w:rPr>
          <w:t>3.90</w:t>
        </w:r>
        <w:r w:rsidR="00670409">
          <w:rPr>
            <w:rFonts w:asciiTheme="minorHAnsi" w:eastAsiaTheme="minorEastAsia" w:hAnsiTheme="minorHAnsi" w:cstheme="minorBidi"/>
            <w:b w:val="0"/>
            <w:szCs w:val="22"/>
            <w:lang w:eastAsia="zh-TW"/>
          </w:rPr>
          <w:tab/>
        </w:r>
        <w:r w:rsidR="00670409" w:rsidRPr="007015D3">
          <w:rPr>
            <w:rStyle w:val="Hyperlink"/>
          </w:rPr>
          <w:t>The Committee recommends that the ACT Government consolidate ownership and management responsibility for all works of public art, including maintenance activity and the cost thereof, into one agency.</w:t>
        </w:r>
      </w:hyperlink>
    </w:p>
    <w:p w:rsidR="00670409" w:rsidRDefault="00A23913">
      <w:pPr>
        <w:pStyle w:val="TOC1"/>
        <w:rPr>
          <w:rFonts w:asciiTheme="minorHAnsi" w:eastAsiaTheme="minorEastAsia" w:hAnsiTheme="minorHAnsi" w:cstheme="minorBidi"/>
          <w:b w:val="0"/>
          <w:smallCaps w:val="0"/>
          <w:spacing w:val="0"/>
          <w:sz w:val="22"/>
          <w:lang w:eastAsia="zh-TW"/>
        </w:rPr>
      </w:pPr>
      <w:hyperlink w:anchor="_Toc481489056" w:history="1">
        <w:r w:rsidR="00670409" w:rsidRPr="007015D3">
          <w:rPr>
            <w:rStyle w:val="Hyperlink"/>
          </w:rPr>
          <w:t>Recommendation 21</w:t>
        </w:r>
      </w:hyperlink>
    </w:p>
    <w:p w:rsidR="00670409" w:rsidRDefault="00A23913">
      <w:pPr>
        <w:pStyle w:val="TOC2"/>
        <w:rPr>
          <w:rFonts w:asciiTheme="minorHAnsi" w:eastAsiaTheme="minorEastAsia" w:hAnsiTheme="minorHAnsi" w:cstheme="minorBidi"/>
          <w:b w:val="0"/>
          <w:szCs w:val="22"/>
          <w:lang w:eastAsia="zh-TW"/>
        </w:rPr>
      </w:pPr>
      <w:hyperlink w:anchor="_Toc481489057" w:history="1">
        <w:r w:rsidR="00670409" w:rsidRPr="007015D3">
          <w:rPr>
            <w:rStyle w:val="Hyperlink"/>
          </w:rPr>
          <w:t>3.91</w:t>
        </w:r>
        <w:r w:rsidR="00670409">
          <w:rPr>
            <w:rFonts w:asciiTheme="minorHAnsi" w:eastAsiaTheme="minorEastAsia" w:hAnsiTheme="minorHAnsi" w:cstheme="minorBidi"/>
            <w:b w:val="0"/>
            <w:szCs w:val="22"/>
            <w:lang w:eastAsia="zh-TW"/>
          </w:rPr>
          <w:tab/>
        </w:r>
        <w:r w:rsidR="00670409" w:rsidRPr="007015D3">
          <w:rPr>
            <w:rStyle w:val="Hyperlink"/>
          </w:rPr>
          <w:t>The Committee recommends that the ACT Government establish a contingency fund for unusual or extraordinary maintenance or repair work that may be required for works of public art that could not be anticipated in a recurrent maintenance budget.</w:t>
        </w:r>
      </w:hyperlink>
    </w:p>
    <w:p w:rsidR="003606E5" w:rsidRDefault="00A23913" w:rsidP="00812109">
      <w:pPr>
        <w:pStyle w:val="Heading1"/>
        <w:keepNext w:val="0"/>
        <w:pageBreakBefore w:val="0"/>
        <w:numPr>
          <w:ilvl w:val="0"/>
          <w:numId w:val="0"/>
        </w:numPr>
        <w:ind w:left="567"/>
        <w:sectPr w:rsidR="003606E5" w:rsidSect="000E7567">
          <w:headerReference w:type="even" r:id="rId22"/>
          <w:headerReference w:type="default" r:id="rId23"/>
          <w:footerReference w:type="default" r:id="rId24"/>
          <w:headerReference w:type="first" r:id="rId25"/>
          <w:type w:val="oddPage"/>
          <w:pgSz w:w="11907" w:h="16840" w:code="9"/>
          <w:pgMar w:top="1588" w:right="1418" w:bottom="1418" w:left="1418" w:header="720" w:footer="851" w:gutter="0"/>
          <w:pgNumType w:fmt="lowerRoman"/>
          <w:cols w:space="720"/>
          <w:docGrid w:linePitch="360"/>
        </w:sectPr>
      </w:pPr>
      <w:r>
        <w:rPr>
          <w:rFonts w:ascii="Calibri" w:hAnsi="Calibri" w:cs="Calibri"/>
          <w:b/>
          <w:bCs w:val="0"/>
          <w:noProof/>
          <w:kern w:val="0"/>
          <w:sz w:val="24"/>
          <w:szCs w:val="22"/>
        </w:rPr>
        <w:fldChar w:fldCharType="end"/>
      </w:r>
    </w:p>
    <w:p w:rsidR="00D561BC" w:rsidRDefault="00B95CCE" w:rsidP="00812109">
      <w:pPr>
        <w:pStyle w:val="Heading1"/>
      </w:pPr>
      <w:bookmarkStart w:id="40" w:name="_Toc481488991"/>
      <w:r>
        <w:t>INTRODUCTION</w:t>
      </w:r>
      <w:bookmarkEnd w:id="40"/>
    </w:p>
    <w:p w:rsidR="00533D61" w:rsidRPr="00010A4C" w:rsidRDefault="00265F47" w:rsidP="00533D61">
      <w:pPr>
        <w:pStyle w:val="BodyText1"/>
      </w:pPr>
      <w:r w:rsidRPr="00265F47">
        <w:t xml:space="preserve">On 16 February 2017, the Assembly referred the annual and financial reports for the calendar years 2015 and 2016 and the financial year 2015—2016 to Assembly committees for inquiry and report by the last sitting day in May 2017, in accordance with a schedule. </w:t>
      </w:r>
      <w:r w:rsidR="00957CC8">
        <w:t>Referral</w:t>
      </w:r>
      <w:r w:rsidRPr="00265F47">
        <w:t xml:space="preserve"> </w:t>
      </w:r>
      <w:r w:rsidR="00957CC8">
        <w:t xml:space="preserve">of the reports and public hearings would normally have occurred in the second half of 2016 but were delayed by the ACT Legislative Assembly elections. </w:t>
      </w:r>
      <w:r w:rsidRPr="00265F47">
        <w:t xml:space="preserve">The reports were presented to the Assembly pursuant to the </w:t>
      </w:r>
      <w:r w:rsidRPr="00D70E14">
        <w:rPr>
          <w:i/>
        </w:rPr>
        <w:t>Annual Reports (Government Agencies) Act 2004</w:t>
      </w:r>
      <w:r w:rsidRPr="00265F47">
        <w:t>.</w:t>
      </w:r>
    </w:p>
    <w:p w:rsidR="00533D61" w:rsidRDefault="00533D61" w:rsidP="00533D61">
      <w:pPr>
        <w:pStyle w:val="BodyText1"/>
      </w:pPr>
      <w:r>
        <w:t xml:space="preserve">The following annual reports, or sections of annual reports were referred to the Standing Committee on </w:t>
      </w:r>
      <w:r w:rsidR="00265F47">
        <w:t>Economic Development and Tourism</w:t>
      </w:r>
      <w:r>
        <w:t xml:space="preserve"> (the Committee):</w:t>
      </w:r>
    </w:p>
    <w:p w:rsidR="00265F47" w:rsidRPr="00D33979" w:rsidRDefault="00265F47" w:rsidP="00DD5F6B">
      <w:pPr>
        <w:pStyle w:val="ListBullet"/>
      </w:pPr>
      <w:r w:rsidRPr="0039251E">
        <w:t>Chief Minister, Treasury and Economic Development Directorate</w:t>
      </w:r>
      <w:r>
        <w:t xml:space="preserve"> – </w:t>
      </w:r>
      <w:r>
        <w:rPr>
          <w:lang w:eastAsia="zh-TW"/>
        </w:rPr>
        <w:t xml:space="preserve">Government Policy and Strategy; Public Sector Management; Coordinated Communications and </w:t>
      </w:r>
      <w:r w:rsidR="00744BD5">
        <w:rPr>
          <w:lang w:eastAsia="zh-TW"/>
        </w:rPr>
        <w:t>C</w:t>
      </w:r>
      <w:r>
        <w:rPr>
          <w:lang w:eastAsia="zh-TW"/>
        </w:rPr>
        <w:t xml:space="preserve">ommunity </w:t>
      </w:r>
      <w:r w:rsidR="00744BD5">
        <w:rPr>
          <w:lang w:eastAsia="zh-TW"/>
        </w:rPr>
        <w:t>E</w:t>
      </w:r>
      <w:r>
        <w:rPr>
          <w:lang w:eastAsia="zh-TW"/>
        </w:rPr>
        <w:t>ngagement</w:t>
      </w:r>
      <w:r>
        <w:t xml:space="preserve">, </w:t>
      </w:r>
      <w:r>
        <w:rPr>
          <w:lang w:eastAsia="zh-TW"/>
        </w:rPr>
        <w:t>Economic and Financial Management, Revenue and Government Business Management, Innovation, Trade and Investment—Innovate Canberra, Visit Canberra, Property Services,</w:t>
      </w:r>
      <w:r>
        <w:t xml:space="preserve"> </w:t>
      </w:r>
      <w:r>
        <w:rPr>
          <w:lang w:eastAsia="zh-TW"/>
        </w:rPr>
        <w:t>Arts Engagement, Access Canberra,</w:t>
      </w:r>
      <w:r>
        <w:t xml:space="preserve"> </w:t>
      </w:r>
      <w:r>
        <w:rPr>
          <w:lang w:eastAsia="zh-TW"/>
        </w:rPr>
        <w:t xml:space="preserve">ACT Executive, </w:t>
      </w:r>
      <w:r w:rsidRPr="0039251E">
        <w:rPr>
          <w:i/>
        </w:rPr>
        <w:t>Constructions Occupations (Licensing) Act 2004</w:t>
      </w:r>
      <w:r>
        <w:t xml:space="preserve">, </w:t>
      </w:r>
      <w:r>
        <w:rPr>
          <w:lang w:eastAsia="zh-TW"/>
        </w:rPr>
        <w:t xml:space="preserve">ACT Government Procurement Board, </w:t>
      </w:r>
      <w:r>
        <w:t xml:space="preserve">Venues and Events, </w:t>
      </w:r>
      <w:r>
        <w:rPr>
          <w:lang w:eastAsia="zh-TW"/>
        </w:rPr>
        <w:t>Director of Territory Records</w:t>
      </w:r>
      <w:r>
        <w:rPr>
          <w:i/>
        </w:rPr>
        <w:t>;</w:t>
      </w:r>
    </w:p>
    <w:p w:rsidR="00265F47" w:rsidRPr="00265F47" w:rsidRDefault="00265F47" w:rsidP="00DD5F6B">
      <w:pPr>
        <w:pStyle w:val="ListBullet"/>
      </w:pPr>
      <w:r w:rsidRPr="009662CF">
        <w:t>Commissioner for Public Administration’s State of the Service Report;</w:t>
      </w:r>
      <w:r>
        <w:t xml:space="preserve"> and</w:t>
      </w:r>
    </w:p>
    <w:p w:rsidR="00265F47" w:rsidRPr="00D33979" w:rsidRDefault="00265F47" w:rsidP="00DD5F6B">
      <w:pPr>
        <w:pStyle w:val="ListBullet"/>
      </w:pPr>
      <w:r>
        <w:t>Cultural Facilities Corporation.</w:t>
      </w:r>
    </w:p>
    <w:p w:rsidR="00533D61" w:rsidRPr="00695B9A" w:rsidRDefault="00735DFE" w:rsidP="003260BE">
      <w:pPr>
        <w:pStyle w:val="Headinglevel2"/>
      </w:pPr>
      <w:bookmarkStart w:id="41" w:name="_Toc481488992"/>
      <w:r>
        <w:t>C</w:t>
      </w:r>
      <w:r w:rsidRPr="00695B9A">
        <w:t>onduct of the inquiry</w:t>
      </w:r>
      <w:bookmarkEnd w:id="41"/>
    </w:p>
    <w:p w:rsidR="00533D61" w:rsidRPr="001B2C3C" w:rsidRDefault="00533D61" w:rsidP="00533D61">
      <w:pPr>
        <w:pStyle w:val="BodyText1"/>
      </w:pPr>
      <w:r w:rsidRPr="001B2C3C">
        <w:t xml:space="preserve">The Committee held </w:t>
      </w:r>
      <w:r w:rsidR="00265F47">
        <w:t>two</w:t>
      </w:r>
      <w:r w:rsidR="00010A4C" w:rsidRPr="001B2C3C">
        <w:t xml:space="preserve"> </w:t>
      </w:r>
      <w:r w:rsidRPr="001B2C3C">
        <w:t xml:space="preserve">public hearings on </w:t>
      </w:r>
      <w:r w:rsidR="00265F47">
        <w:t>27 and</w:t>
      </w:r>
      <w:r w:rsidRPr="001B2C3C">
        <w:t xml:space="preserve"> </w:t>
      </w:r>
      <w:r w:rsidR="00265F47">
        <w:t>28 February 2017</w:t>
      </w:r>
      <w:r w:rsidRPr="001B2C3C">
        <w:t xml:space="preserve">. At these hearings, the Committee heard evidence from </w:t>
      </w:r>
      <w:r w:rsidR="00F61EF9">
        <w:t>29</w:t>
      </w:r>
      <w:r w:rsidRPr="001B2C3C">
        <w:t xml:space="preserve"> witnesses. Full details of witnesses who appeared are available in Appendix B of this report. Transcripts from the hearings are available at </w:t>
      </w:r>
      <w:hyperlink r:id="rId26" w:history="1">
        <w:r w:rsidR="00102026" w:rsidRPr="00102026">
          <w:rPr>
            <w:rStyle w:val="Hyperlink"/>
          </w:rPr>
          <w:t>http://www.hansard.act.gov.au/hansard/2017/comms/default.htm#economic</w:t>
        </w:r>
      </w:hyperlink>
      <w:r w:rsidR="00F61EF9">
        <w:t xml:space="preserve">. </w:t>
      </w:r>
    </w:p>
    <w:p w:rsidR="00533D61" w:rsidRPr="001B2C3C" w:rsidRDefault="00533D61" w:rsidP="00533D61">
      <w:pPr>
        <w:pStyle w:val="BodyText1"/>
      </w:pPr>
      <w:r w:rsidRPr="001B2C3C">
        <w:t xml:space="preserve">A total of </w:t>
      </w:r>
      <w:r w:rsidR="00F61EF9">
        <w:t>33</w:t>
      </w:r>
      <w:r w:rsidRPr="001B2C3C">
        <w:t xml:space="preserve"> questions were taken on notice during the public hearings</w:t>
      </w:r>
      <w:r w:rsidR="001B2C3C">
        <w:t xml:space="preserve"> and </w:t>
      </w:r>
      <w:r w:rsidR="00F61EF9">
        <w:t>45</w:t>
      </w:r>
      <w:r w:rsidR="001B2C3C">
        <w:t xml:space="preserve"> questions were placed on notice after the hearings</w:t>
      </w:r>
      <w:r w:rsidRPr="001B2C3C">
        <w:t xml:space="preserve">. Please refer to Appendix A for a list of the questions. Answers to the questions are provided on the inquiry webpage: </w:t>
      </w:r>
      <w:hyperlink r:id="rId27" w:history="1">
        <w:r w:rsidR="00F61EF9" w:rsidRPr="00B31B3F">
          <w:rPr>
            <w:rStyle w:val="Hyperlink"/>
          </w:rPr>
          <w:t>http://www.parliament.act.gov.au/in-committees/standing-committees-current-assembly/standing-committee-on-economic-development-and-tourism/inquiry-into-annual-and-financial-reports-2015-16</w:t>
        </w:r>
      </w:hyperlink>
      <w:r w:rsidR="00F61EF9">
        <w:t xml:space="preserve">. </w:t>
      </w:r>
    </w:p>
    <w:p w:rsidR="00533D61" w:rsidRDefault="00264964" w:rsidP="00533D61">
      <w:pPr>
        <w:pStyle w:val="BodyText1"/>
      </w:pPr>
      <w:r>
        <w:t>Most r</w:t>
      </w:r>
      <w:r w:rsidR="00533D61" w:rsidRPr="001B2C3C">
        <w:t>esponses to questions taken on notice at public hearings were received promptly. The Committee would like to thank Ministers and directorate staff for their prompt return of</w:t>
      </w:r>
      <w:r w:rsidR="00533D61">
        <w:t xml:space="preserve"> responses. References to questions taken on notice are included throughout this report in footnotes.</w:t>
      </w:r>
    </w:p>
    <w:p w:rsidR="00533D61" w:rsidRPr="003260BE" w:rsidRDefault="005873CD" w:rsidP="003260BE">
      <w:pPr>
        <w:pStyle w:val="Headinglevel2"/>
      </w:pPr>
      <w:bookmarkStart w:id="42" w:name="_Toc481488993"/>
      <w:r w:rsidRPr="003260BE">
        <w:t>Structure of the Report</w:t>
      </w:r>
      <w:bookmarkEnd w:id="42"/>
    </w:p>
    <w:p w:rsidR="00533D61" w:rsidRPr="00813C2C" w:rsidRDefault="00533D61" w:rsidP="00533D61">
      <w:pPr>
        <w:pStyle w:val="BodyText1"/>
      </w:pPr>
      <w:r w:rsidRPr="00813C2C">
        <w:t>This report presents a summary of the Committee’s inquiry into the annual reports listed in paragraph 1.2. In developing this report, the Committee has primarily focused on the issues that were raised at public hearings although some additional material has been drawn from annual reports documents.</w:t>
      </w:r>
    </w:p>
    <w:p w:rsidR="00533D61" w:rsidRPr="00A355EA" w:rsidRDefault="00533D61" w:rsidP="00533D61">
      <w:pPr>
        <w:pStyle w:val="BodyText1"/>
      </w:pPr>
      <w:r w:rsidRPr="00A355EA">
        <w:t>The structure of this report is as follows:</w:t>
      </w:r>
    </w:p>
    <w:p w:rsidR="00533D61" w:rsidRPr="00A355EA" w:rsidRDefault="00102026" w:rsidP="00DD5F6B">
      <w:pPr>
        <w:pStyle w:val="ListBullet"/>
      </w:pPr>
      <w:r>
        <w:t>Chapter 1: Introduction</w:t>
      </w:r>
    </w:p>
    <w:p w:rsidR="00533D61" w:rsidRPr="00A355EA" w:rsidRDefault="00533D61" w:rsidP="00DD5F6B">
      <w:pPr>
        <w:pStyle w:val="ListBullet"/>
      </w:pPr>
      <w:r w:rsidRPr="00A355EA">
        <w:t>Chapter 2: Annual reporting requirements</w:t>
      </w:r>
    </w:p>
    <w:p w:rsidR="00533D61" w:rsidRPr="00A355EA" w:rsidRDefault="00533D61" w:rsidP="00DD5F6B">
      <w:pPr>
        <w:pStyle w:val="ListBullet"/>
      </w:pPr>
      <w:r w:rsidRPr="00A355EA">
        <w:t xml:space="preserve">Chapter 3: </w:t>
      </w:r>
      <w:r w:rsidR="00A355EA" w:rsidRPr="00A355EA">
        <w:t xml:space="preserve">Chief Minister, Treasury and Economic Development </w:t>
      </w:r>
      <w:r w:rsidR="00102026">
        <w:t>Directorate</w:t>
      </w:r>
    </w:p>
    <w:p w:rsidR="00265F47" w:rsidRPr="00A355EA" w:rsidRDefault="00533D61" w:rsidP="00DD5F6B">
      <w:pPr>
        <w:pStyle w:val="ListBullet"/>
      </w:pPr>
      <w:r w:rsidRPr="00A355EA">
        <w:t>Chapter 4:</w:t>
      </w:r>
      <w:r w:rsidR="00F61EF9">
        <w:t xml:space="preserve"> Conclusion</w:t>
      </w:r>
    </w:p>
    <w:p w:rsidR="006B229A" w:rsidRDefault="006B229A" w:rsidP="006B229A">
      <w:pPr>
        <w:pStyle w:val="Headinglevel2"/>
      </w:pPr>
      <w:bookmarkStart w:id="43" w:name="_Toc481488994"/>
      <w:r>
        <w:t>Acknowledgements</w:t>
      </w:r>
      <w:bookmarkEnd w:id="43"/>
    </w:p>
    <w:p w:rsidR="00002730" w:rsidRDefault="00106AF3" w:rsidP="003260BE">
      <w:pPr>
        <w:pStyle w:val="BodyText1"/>
      </w:pPr>
      <w:r>
        <w:t>The Committee thanks relevant ACT Government Ministers and acco</w:t>
      </w:r>
      <w:r w:rsidR="00813C2C">
        <w:t xml:space="preserve">mpanying directorate officials </w:t>
      </w:r>
      <w:r>
        <w:t>for providing their time and expertise as witnesses at its annual reports hearings.</w:t>
      </w:r>
    </w:p>
    <w:p w:rsidR="00002730" w:rsidRPr="00002730" w:rsidRDefault="00002730" w:rsidP="00002730">
      <w:pPr>
        <w:pStyle w:val="BodyText1"/>
        <w:sectPr w:rsidR="00002730" w:rsidRPr="00002730" w:rsidSect="000161FB">
          <w:headerReference w:type="even" r:id="rId28"/>
          <w:headerReference w:type="default" r:id="rId29"/>
          <w:footerReference w:type="even" r:id="rId30"/>
          <w:footerReference w:type="default" r:id="rId31"/>
          <w:headerReference w:type="first" r:id="rId32"/>
          <w:type w:val="oddPage"/>
          <w:pgSz w:w="11907" w:h="16840" w:code="9"/>
          <w:pgMar w:top="1588" w:right="1418" w:bottom="1418" w:left="1418" w:header="720" w:footer="851" w:gutter="0"/>
          <w:pgNumType w:start="1"/>
          <w:cols w:space="720"/>
          <w:docGrid w:linePitch="360"/>
        </w:sectPr>
      </w:pPr>
    </w:p>
    <w:p w:rsidR="00106AF3" w:rsidRDefault="008652DF" w:rsidP="00106AF3">
      <w:pPr>
        <w:pStyle w:val="Heading1"/>
      </w:pPr>
      <w:bookmarkStart w:id="44" w:name="_Toc481488995"/>
      <w:r>
        <w:t>ANNUAL REPORTING REQUIREMENTS</w:t>
      </w:r>
      <w:bookmarkEnd w:id="44"/>
    </w:p>
    <w:p w:rsidR="00106AF3" w:rsidRDefault="00106AF3" w:rsidP="00106AF3">
      <w:pPr>
        <w:pStyle w:val="BodyText1"/>
      </w:pPr>
      <w:r w:rsidRPr="00813C2C">
        <w:t xml:space="preserve">The </w:t>
      </w:r>
      <w:r w:rsidRPr="00813C2C">
        <w:rPr>
          <w:i/>
        </w:rPr>
        <w:t>Annual Reports (Government Agencies) Act 2004</w:t>
      </w:r>
      <w:r w:rsidRPr="00813C2C">
        <w:t xml:space="preserve"> sets the framework for</w:t>
      </w:r>
      <w:r>
        <w:t xml:space="preserve"> annual reporting across the ACT public sector. In accordance with the </w:t>
      </w:r>
      <w:r w:rsidRPr="00C43F79">
        <w:rPr>
          <w:i/>
        </w:rPr>
        <w:t>Annual Reports (Government Agencies) Act 2004</w:t>
      </w:r>
      <w:r>
        <w:t>, the Annual Reports Directions (the Directions) are issued annually to outline agency reporting requirements.</w:t>
      </w:r>
    </w:p>
    <w:p w:rsidR="00FD1862" w:rsidRDefault="00106AF3" w:rsidP="00106AF3">
      <w:pPr>
        <w:pStyle w:val="BodyText1"/>
      </w:pPr>
      <w:r>
        <w:t>As specified in the Directions, annual reports are ‘reports from agency heads to their responsible Minister, the Legislative Assembly and the public’. Annual reports enable agencies to provide an account of their performance, through Ministers, to the Legislative Assembly and the wider community</w:t>
      </w:r>
      <w:r w:rsidR="00757CE7">
        <w:t>.</w:t>
      </w:r>
      <w:r>
        <w:rPr>
          <w:rStyle w:val="FootnoteReference"/>
        </w:rPr>
        <w:footnoteReference w:id="3"/>
      </w:r>
      <w:r>
        <w:t xml:space="preserve"> </w:t>
      </w:r>
    </w:p>
    <w:p w:rsidR="00106AF3" w:rsidRDefault="00106AF3" w:rsidP="00106AF3">
      <w:pPr>
        <w:pStyle w:val="BodyText1"/>
      </w:pPr>
      <w:r>
        <w:t>The Directions state that an effective annual report will:</w:t>
      </w:r>
    </w:p>
    <w:p w:rsidR="00106AF3" w:rsidRDefault="00106AF3" w:rsidP="00DD5F6B">
      <w:pPr>
        <w:pStyle w:val="ListBullet"/>
      </w:pPr>
      <w:r>
        <w:t>provide clear information about the agency’s purpose, priorities, outputs and achievements;</w:t>
      </w:r>
    </w:p>
    <w:p w:rsidR="00106AF3" w:rsidRDefault="00106AF3" w:rsidP="00DD5F6B">
      <w:pPr>
        <w:pStyle w:val="ListBullet"/>
      </w:pPr>
      <w:r>
        <w:t>focus on results and outcomes ‐ communicate the success or shortfalls of the agency’s activities in pursuing government objectives in the reporting year, while accounting for the resources used in the process and explaining changes in performance over time;</w:t>
      </w:r>
    </w:p>
    <w:p w:rsidR="00106AF3" w:rsidRDefault="00106AF3" w:rsidP="00DD5F6B">
      <w:pPr>
        <w:pStyle w:val="ListBullet"/>
      </w:pPr>
      <w:r>
        <w:t>discuss results against expectations ‐ provide sufficient information and analysis for the Legislative Assembly and community to make a fully informed judgment on agency’s performance;</w:t>
      </w:r>
    </w:p>
    <w:p w:rsidR="00106AF3" w:rsidRDefault="00106AF3" w:rsidP="00DD5F6B">
      <w:pPr>
        <w:pStyle w:val="ListBullet"/>
      </w:pPr>
      <w:r>
        <w:t>clearly identify any changes to structures or functions of the agency in the reporting period;</w:t>
      </w:r>
    </w:p>
    <w:p w:rsidR="00106AF3" w:rsidRDefault="00106AF3" w:rsidP="00DD5F6B">
      <w:pPr>
        <w:pStyle w:val="ListBullet"/>
      </w:pPr>
      <w:r>
        <w:t>report on agency financial and operational performance and clearly link this with budgeted priorities and financial projections as set out in annual Budget Estimate Papers and the agency Statement of Intent and Corporate Plan;</w:t>
      </w:r>
    </w:p>
    <w:p w:rsidR="00106AF3" w:rsidRDefault="00106AF3" w:rsidP="00DD5F6B">
      <w:pPr>
        <w:pStyle w:val="ListBullet"/>
      </w:pPr>
      <w:r>
        <w:t>provide performance information that is complete and informative, linking costs and results to provide evidence of value for money;</w:t>
      </w:r>
    </w:p>
    <w:p w:rsidR="00106AF3" w:rsidRDefault="00106AF3" w:rsidP="00DD5F6B">
      <w:pPr>
        <w:pStyle w:val="ListBullet"/>
      </w:pPr>
      <w:r>
        <w:t>discuss risks and environmental factors affecting the agency’s ability to achieve objectives including any strategies employed to manage these factors, and forecast future needs and expectations;</w:t>
      </w:r>
    </w:p>
    <w:p w:rsidR="00106AF3" w:rsidRDefault="00106AF3" w:rsidP="00DD5F6B">
      <w:pPr>
        <w:pStyle w:val="ListBullet"/>
      </w:pPr>
      <w:r>
        <w:t>recognise the diverse needs and backgrounds of stakeholder groups and present information in a manner that is useful to the maximum number of users while maintaining a suitable level of detail; and</w:t>
      </w:r>
    </w:p>
    <w:p w:rsidR="00106AF3" w:rsidRDefault="00106AF3" w:rsidP="00DD5F6B">
      <w:pPr>
        <w:pStyle w:val="ListBullet"/>
      </w:pPr>
      <w:r>
        <w:t xml:space="preserve">comply with legislative reporting requirements including the </w:t>
      </w:r>
      <w:r w:rsidRPr="00C43F79">
        <w:rPr>
          <w:i/>
        </w:rPr>
        <w:t>Annual Reports (Government Agencies) Act 2004</w:t>
      </w:r>
      <w:r>
        <w:t xml:space="preserve"> and the Annual Report Directions</w:t>
      </w:r>
      <w:r w:rsidR="00757CE7">
        <w:t>.</w:t>
      </w:r>
      <w:r>
        <w:rPr>
          <w:rStyle w:val="FootnoteReference"/>
        </w:rPr>
        <w:footnoteReference w:id="4"/>
      </w:r>
      <w:r>
        <w:t xml:space="preserve"> </w:t>
      </w:r>
    </w:p>
    <w:p w:rsidR="00106AF3" w:rsidRDefault="00106AF3" w:rsidP="00106AF3">
      <w:pPr>
        <w:pStyle w:val="BodyText1"/>
      </w:pPr>
      <w:r>
        <w:t>Annual reports are public documents and available for use by stakeholders, including educational and research institutions, and the broader community. They provide a valuable tool for public reporting, accountability and transparency.</w:t>
      </w:r>
    </w:p>
    <w:p w:rsidR="00106AF3" w:rsidRDefault="00464BFE" w:rsidP="003260BE">
      <w:pPr>
        <w:pStyle w:val="Headinglevel2"/>
      </w:pPr>
      <w:bookmarkStart w:id="45" w:name="_Toc481488996"/>
      <w:r>
        <w:t>Timing and presentation of reports</w:t>
      </w:r>
      <w:bookmarkEnd w:id="45"/>
    </w:p>
    <w:p w:rsidR="00106AF3" w:rsidRPr="00EA0649" w:rsidRDefault="00106AF3" w:rsidP="00106AF3">
      <w:pPr>
        <w:pStyle w:val="BodyText1"/>
      </w:pPr>
      <w:r w:rsidRPr="00EA0649">
        <w:t>The Directions for 201</w:t>
      </w:r>
      <w:r w:rsidR="00955A59" w:rsidRPr="00EA0649">
        <w:t>5</w:t>
      </w:r>
      <w:r w:rsidRPr="00EA0649">
        <w:t xml:space="preserve"> required annual reports to be presented to the responsible Minister before the close of business on </w:t>
      </w:r>
      <w:r w:rsidR="00EA0649" w:rsidRPr="00EA0649">
        <w:t>Tuesday 6</w:t>
      </w:r>
      <w:r w:rsidR="00955A59" w:rsidRPr="00EA0649">
        <w:t xml:space="preserve"> October</w:t>
      </w:r>
      <w:r w:rsidRPr="00EA0649">
        <w:t xml:space="preserve"> 201</w:t>
      </w:r>
      <w:r w:rsidR="00F61EF9">
        <w:t>6</w:t>
      </w:r>
      <w:r w:rsidRPr="00EA0649">
        <w:t xml:space="preserve">. Unless an extension of time was granted under section 14 of the Act, annual reports were required to be given to the Speaker’s Office by the close of business on </w:t>
      </w:r>
      <w:r w:rsidR="00EA0649" w:rsidRPr="00EA0649">
        <w:t>Tuesday 13 October 201</w:t>
      </w:r>
      <w:r w:rsidR="00F61EF9">
        <w:t>6</w:t>
      </w:r>
      <w:r w:rsidRPr="00EA0649">
        <w:t>.</w:t>
      </w:r>
    </w:p>
    <w:p w:rsidR="00106AF3" w:rsidRPr="00EA0649" w:rsidRDefault="00106AF3" w:rsidP="00106AF3">
      <w:pPr>
        <w:pStyle w:val="BodyText1"/>
      </w:pPr>
      <w:r w:rsidRPr="00EA0649">
        <w:t>All reports examined by the Committee were presented to the Speaker by the required date.</w:t>
      </w:r>
    </w:p>
    <w:p w:rsidR="00F61EF9" w:rsidRDefault="00F61EF9" w:rsidP="003F3279">
      <w:pPr>
        <w:pStyle w:val="Headinglevel2"/>
      </w:pPr>
      <w:bookmarkStart w:id="46" w:name="_Toc481488997"/>
      <w:bookmarkStart w:id="47" w:name="_Toc341433429"/>
      <w:bookmarkStart w:id="48" w:name="_Toc341687874"/>
      <w:r>
        <w:t>Allocation of Reports to Committees</w:t>
      </w:r>
      <w:bookmarkEnd w:id="46"/>
    </w:p>
    <w:p w:rsidR="003F3279" w:rsidRDefault="00F61EF9" w:rsidP="00F61EF9">
      <w:pPr>
        <w:pStyle w:val="BodyText1"/>
      </w:pPr>
      <w:r>
        <w:t xml:space="preserve">This is the first set of annual report hearings held since the formation of the Standing Committee on Economic Development and Tourism (EDT). </w:t>
      </w:r>
      <w:r w:rsidR="003F3279">
        <w:t>The 13 December 2016 motion that established committees allocated responsibilities to the new EDT that in previous Assemblies had belonged to the Standing Committee on Public Accounts (PAC). The Committee understands that this was at least partially motivated by a desire to lessen PAC’s considerable workload.</w:t>
      </w:r>
    </w:p>
    <w:p w:rsidR="00C714D8" w:rsidRDefault="003F3279" w:rsidP="00F61EF9">
      <w:pPr>
        <w:pStyle w:val="BodyText1"/>
      </w:pPr>
      <w:r>
        <w:t xml:space="preserve">Prior to the referral of annual reports to committees by the Assembly the Committee looked at the likely division of responsibilities for examining those reports. </w:t>
      </w:r>
      <w:r w:rsidR="00C714D8">
        <w:t>It appeared to the Committee that a strict reading of the motion establishing</w:t>
      </w:r>
      <w:r>
        <w:t xml:space="preserve"> </w:t>
      </w:r>
      <w:r w:rsidR="00CA780F">
        <w:t xml:space="preserve">committees would have </w:t>
      </w:r>
      <w:r w:rsidR="00C714D8">
        <w:t xml:space="preserve">PAC only </w:t>
      </w:r>
      <w:r w:rsidR="00CA780F">
        <w:t xml:space="preserve">examining </w:t>
      </w:r>
      <w:r w:rsidR="00C714D8">
        <w:t>one or two reports while EDT would have a substantial load of reports, many with a technical nature perhaps better suited to PAC. The Committee discussed the issue, drawing on a conversation the Chair had with the Chair of PAC, and agreed to write to the Manager of Government Business suggesting changes to the allocation of annual report responsibilities.</w:t>
      </w:r>
      <w:r w:rsidR="00C714D8">
        <w:rPr>
          <w:rStyle w:val="FootnoteReference"/>
        </w:rPr>
        <w:footnoteReference w:id="5"/>
      </w:r>
      <w:r w:rsidR="00C714D8">
        <w:t xml:space="preserve"> The 16 February motion that referred annual reports to committees incorporated these suggested changes.</w:t>
      </w:r>
    </w:p>
    <w:p w:rsidR="00985743" w:rsidRDefault="00C714D8" w:rsidP="00F61EF9">
      <w:pPr>
        <w:pStyle w:val="BodyText1"/>
      </w:pPr>
      <w:r>
        <w:t xml:space="preserve">The Committee </w:t>
      </w:r>
      <w:r w:rsidR="009E4922">
        <w:t>believes that the referral motion as passed provides a more reasonable split of annual report responsibilities but acknowledges that it does not line up neatly with the responsibilities set out in the motion establishing committees. The Committee believes that the Assembly should re-examine the motion establishing committees</w:t>
      </w:r>
      <w:r w:rsidR="00985743">
        <w:t xml:space="preserve"> with a view to amending it. These amendments would particularly focus on the allocation of responsibilities between EDT and PAC but there are other amendments, such as an explicit responsibility for gaming and racing matters, which could be usefully pursued. </w:t>
      </w:r>
    </w:p>
    <w:p w:rsidR="00985743" w:rsidRDefault="00985743" w:rsidP="00985743">
      <w:pPr>
        <w:pStyle w:val="Recommendation"/>
      </w:pPr>
      <w:bookmarkStart w:id="49" w:name="_Toc481489016"/>
      <w:bookmarkEnd w:id="49"/>
    </w:p>
    <w:p w:rsidR="00F61EF9" w:rsidRPr="00F61EF9" w:rsidRDefault="00985743" w:rsidP="00985743">
      <w:pPr>
        <w:pStyle w:val="RecommendationText"/>
      </w:pPr>
      <w:bookmarkStart w:id="50" w:name="_Toc481489017"/>
      <w:r>
        <w:t>The Committee recommends that the Standing Committee on Administration and Procedure, with input from Committee Chairs, examine the motion establishing committees with a view to proposi</w:t>
      </w:r>
      <w:r w:rsidR="00557EB4">
        <w:t>ng</w:t>
      </w:r>
      <w:r>
        <w:t xml:space="preserve"> amendments to assist in a balanced allocation of annual report examination responsibilities.</w:t>
      </w:r>
      <w:bookmarkEnd w:id="50"/>
      <w:r>
        <w:t xml:space="preserve"> </w:t>
      </w:r>
    </w:p>
    <w:p w:rsidR="00F61EF9" w:rsidRDefault="00F61EF9" w:rsidP="00FD1862">
      <w:pPr>
        <w:sectPr w:rsidR="00F61EF9" w:rsidSect="00957111">
          <w:type w:val="oddPage"/>
          <w:pgSz w:w="11907" w:h="16840" w:code="9"/>
          <w:pgMar w:top="1588" w:right="1418" w:bottom="1418" w:left="1418" w:header="720" w:footer="851" w:gutter="0"/>
          <w:cols w:space="720"/>
          <w:docGrid w:linePitch="360"/>
        </w:sectPr>
      </w:pPr>
    </w:p>
    <w:p w:rsidR="00106AF3" w:rsidRDefault="00CE5F61" w:rsidP="00812109">
      <w:pPr>
        <w:pStyle w:val="Heading1"/>
      </w:pPr>
      <w:bookmarkStart w:id="51" w:name="_Toc93834242"/>
      <w:bookmarkStart w:id="52" w:name="_Toc341431891"/>
      <w:bookmarkStart w:id="53" w:name="_Toc481488998"/>
      <w:bookmarkEnd w:id="51"/>
      <w:bookmarkEnd w:id="52"/>
      <w:r>
        <w:t>C</w:t>
      </w:r>
      <w:r w:rsidR="00502DE2">
        <w:t xml:space="preserve">HIEF </w:t>
      </w:r>
      <w:r>
        <w:t>M</w:t>
      </w:r>
      <w:r w:rsidR="00502DE2">
        <w:t xml:space="preserve">INISTER, </w:t>
      </w:r>
      <w:r>
        <w:t>T</w:t>
      </w:r>
      <w:r w:rsidR="00502DE2">
        <w:t xml:space="preserve">REASURY AND </w:t>
      </w:r>
      <w:r>
        <w:t>E</w:t>
      </w:r>
      <w:r w:rsidR="00502DE2">
        <w:t xml:space="preserve">CONOMIC </w:t>
      </w:r>
      <w:r>
        <w:t>D</w:t>
      </w:r>
      <w:r w:rsidR="00502DE2">
        <w:t xml:space="preserve">EVELOPMENT </w:t>
      </w:r>
      <w:r>
        <w:t>D</w:t>
      </w:r>
      <w:r w:rsidR="00502DE2">
        <w:t>IRECTORATE</w:t>
      </w:r>
      <w:bookmarkEnd w:id="53"/>
    </w:p>
    <w:p w:rsidR="00106AF3" w:rsidRDefault="00464BFE" w:rsidP="003260BE">
      <w:pPr>
        <w:pStyle w:val="Headinglevel2"/>
      </w:pPr>
      <w:bookmarkStart w:id="54" w:name="_Toc481488999"/>
      <w:r>
        <w:t>Introduction</w:t>
      </w:r>
      <w:bookmarkEnd w:id="54"/>
    </w:p>
    <w:p w:rsidR="00957CC8" w:rsidRDefault="00957CC8" w:rsidP="00106AF3">
      <w:pPr>
        <w:pStyle w:val="BodyText1"/>
      </w:pPr>
      <w:r>
        <w:t xml:space="preserve">In its Annual Report the Chief Minister, Treasury and Economic Development Directorate (CMTEDD) </w:t>
      </w:r>
      <w:r w:rsidR="0047283D">
        <w:t xml:space="preserve">states its responsibilities include </w:t>
      </w:r>
      <w:r>
        <w:t>the following</w:t>
      </w:r>
      <w:r w:rsidR="0047283D">
        <w:t xml:space="preserve"> roles:</w:t>
      </w:r>
    </w:p>
    <w:p w:rsidR="0047283D" w:rsidRDefault="001C36AB" w:rsidP="00DD5F6B">
      <w:pPr>
        <w:pStyle w:val="ListBullet"/>
      </w:pPr>
      <w:r>
        <w:t>Providing strat</w:t>
      </w:r>
      <w:r w:rsidR="00102026">
        <w:t>egic advice and support to the C</w:t>
      </w:r>
      <w:r>
        <w:t>hief Minister, the directorate’s Ministers and the Cabinet on policy, economic and financial matters, service delivery and whole of government issues;</w:t>
      </w:r>
    </w:p>
    <w:p w:rsidR="001C36AB" w:rsidRDefault="001C36AB" w:rsidP="00DD5F6B">
      <w:pPr>
        <w:pStyle w:val="ListBullet"/>
      </w:pPr>
      <w:r>
        <w:t>Providing advice on the Territory’s budget and financial management, economic and revenue policy, infrastructure financing, federal financial relations, and workers compensation policy;</w:t>
      </w:r>
    </w:p>
    <w:p w:rsidR="001C36AB" w:rsidRDefault="001C36AB" w:rsidP="00DD5F6B">
      <w:pPr>
        <w:pStyle w:val="ListBullet"/>
      </w:pPr>
      <w:r>
        <w:t>Collecting and managing taxation revenue;</w:t>
      </w:r>
    </w:p>
    <w:p w:rsidR="001C36AB" w:rsidRDefault="001C36AB" w:rsidP="00DD5F6B">
      <w:pPr>
        <w:pStyle w:val="ListBullet"/>
      </w:pPr>
      <w:r>
        <w:t>Managing the Territory’s financial assets and liabilities;</w:t>
      </w:r>
    </w:p>
    <w:p w:rsidR="001C36AB" w:rsidRDefault="001C36AB" w:rsidP="00DD5F6B">
      <w:pPr>
        <w:pStyle w:val="ListBullet"/>
      </w:pPr>
      <w:r>
        <w:t>Managing Shared Services across government;</w:t>
      </w:r>
    </w:p>
    <w:p w:rsidR="001C36AB" w:rsidRDefault="001C36AB" w:rsidP="00DD5F6B">
      <w:pPr>
        <w:pStyle w:val="ListBullet"/>
      </w:pPr>
      <w:r>
        <w:t>Providing a one stop shop for A</w:t>
      </w:r>
      <w:r w:rsidR="00102026">
        <w:t xml:space="preserve">CT </w:t>
      </w:r>
      <w:r>
        <w:t>Government customer and regulatory services through Access Canberra;</w:t>
      </w:r>
    </w:p>
    <w:p w:rsidR="001C36AB" w:rsidRDefault="001C36AB" w:rsidP="00DD5F6B">
      <w:pPr>
        <w:pStyle w:val="ListBullet"/>
      </w:pPr>
      <w:r>
        <w:t>Facilitating business development and new investment, tourism and events, sport and recreation, and the arts;</w:t>
      </w:r>
    </w:p>
    <w:p w:rsidR="001C36AB" w:rsidRDefault="001C36AB" w:rsidP="00DD5F6B">
      <w:pPr>
        <w:pStyle w:val="ListBullet"/>
      </w:pPr>
      <w:r>
        <w:t xml:space="preserve">Responsibility for land release, facilitating projects, procurement and capital works; </w:t>
      </w:r>
      <w:r w:rsidR="00744BD5">
        <w:t>and</w:t>
      </w:r>
    </w:p>
    <w:p w:rsidR="00744BD5" w:rsidRDefault="00744BD5" w:rsidP="00DD5F6B">
      <w:pPr>
        <w:pStyle w:val="ListBullet"/>
      </w:pPr>
      <w:r>
        <w:t>Coordinating the response to the contamination of Canberra houses with loose fill asbestos insulation.</w:t>
      </w:r>
      <w:r>
        <w:rPr>
          <w:rStyle w:val="FootnoteReference"/>
        </w:rPr>
        <w:footnoteReference w:id="6"/>
      </w:r>
    </w:p>
    <w:p w:rsidR="00106AF3" w:rsidRDefault="000D6C9A" w:rsidP="00106AF3">
      <w:pPr>
        <w:pStyle w:val="BodyText1"/>
      </w:pPr>
      <w:r w:rsidRPr="000D6C9A">
        <w:t xml:space="preserve">On </w:t>
      </w:r>
      <w:r w:rsidR="00265F47">
        <w:t>27 and 28</w:t>
      </w:r>
      <w:r w:rsidR="00106AF3" w:rsidRPr="000D6C9A">
        <w:t xml:space="preserve"> </w:t>
      </w:r>
      <w:r w:rsidR="00744BD5">
        <w:t xml:space="preserve">February </w:t>
      </w:r>
      <w:r w:rsidR="00106AF3" w:rsidRPr="000D6C9A">
        <w:t>201</w:t>
      </w:r>
      <w:r w:rsidR="00744BD5">
        <w:t>7</w:t>
      </w:r>
      <w:r w:rsidR="00106AF3">
        <w:t xml:space="preserve">, the Committee examined the following areas of </w:t>
      </w:r>
      <w:r>
        <w:t>CMTEDD’s 201</w:t>
      </w:r>
      <w:r w:rsidR="00265F47">
        <w:t>5</w:t>
      </w:r>
      <w:r>
        <w:t>-1</w:t>
      </w:r>
      <w:r w:rsidR="00265F47">
        <w:t>6</w:t>
      </w:r>
      <w:r w:rsidR="00106AF3">
        <w:t xml:space="preserve"> Annual Report:</w:t>
      </w:r>
    </w:p>
    <w:p w:rsidR="00265F47" w:rsidRPr="00265F47" w:rsidRDefault="00265F47" w:rsidP="00DD5F6B">
      <w:pPr>
        <w:pStyle w:val="ListBullet"/>
      </w:pPr>
      <w:r>
        <w:rPr>
          <w:lang w:eastAsia="zh-TW"/>
        </w:rPr>
        <w:t xml:space="preserve">Government Policy and </w:t>
      </w:r>
      <w:r w:rsidR="00744BD5">
        <w:rPr>
          <w:lang w:eastAsia="zh-TW"/>
        </w:rPr>
        <w:t>Reform</w:t>
      </w:r>
      <w:r>
        <w:rPr>
          <w:lang w:eastAsia="zh-TW"/>
        </w:rPr>
        <w:t xml:space="preserve">; </w:t>
      </w:r>
    </w:p>
    <w:p w:rsidR="00265F47" w:rsidRPr="00265F47" w:rsidRDefault="00265F47" w:rsidP="00DD5F6B">
      <w:pPr>
        <w:pStyle w:val="ListBullet"/>
      </w:pPr>
      <w:r>
        <w:rPr>
          <w:lang w:eastAsia="zh-TW"/>
        </w:rPr>
        <w:t xml:space="preserve">Public Sector Management; </w:t>
      </w:r>
    </w:p>
    <w:p w:rsidR="00265F47" w:rsidRPr="00265F47" w:rsidRDefault="00265F47" w:rsidP="00DD5F6B">
      <w:pPr>
        <w:pStyle w:val="ListBullet"/>
      </w:pPr>
      <w:r>
        <w:rPr>
          <w:lang w:eastAsia="zh-TW"/>
        </w:rPr>
        <w:t>Coordinated Communications and Community Engagement;</w:t>
      </w:r>
    </w:p>
    <w:p w:rsidR="00265F47" w:rsidRPr="00265F47" w:rsidRDefault="00265F47" w:rsidP="00DD5F6B">
      <w:pPr>
        <w:pStyle w:val="ListBullet"/>
      </w:pPr>
      <w:r>
        <w:rPr>
          <w:lang w:eastAsia="zh-TW"/>
        </w:rPr>
        <w:t>Economic and Financial Management;</w:t>
      </w:r>
    </w:p>
    <w:p w:rsidR="00265F47" w:rsidRDefault="00265F47" w:rsidP="00DD5F6B">
      <w:pPr>
        <w:pStyle w:val="ListBullet"/>
      </w:pPr>
      <w:r>
        <w:rPr>
          <w:lang w:eastAsia="zh-TW"/>
        </w:rPr>
        <w:t>Revenue Management;</w:t>
      </w:r>
    </w:p>
    <w:p w:rsidR="00265F47" w:rsidRPr="00265F47" w:rsidRDefault="00265F47" w:rsidP="00DD5F6B">
      <w:pPr>
        <w:pStyle w:val="ListBullet"/>
      </w:pPr>
      <w:r>
        <w:rPr>
          <w:lang w:eastAsia="zh-TW"/>
        </w:rPr>
        <w:t>Innovation, Trade and Investment—Innovate Canberra;</w:t>
      </w:r>
    </w:p>
    <w:p w:rsidR="00265F47" w:rsidRPr="00265F47" w:rsidRDefault="00265F47" w:rsidP="00DD5F6B">
      <w:pPr>
        <w:pStyle w:val="ListBullet"/>
      </w:pPr>
      <w:r>
        <w:rPr>
          <w:lang w:eastAsia="zh-TW"/>
        </w:rPr>
        <w:t>VisitCanberra;</w:t>
      </w:r>
    </w:p>
    <w:p w:rsidR="00265F47" w:rsidRPr="00744BD5" w:rsidRDefault="00265F47" w:rsidP="00DD5F6B">
      <w:pPr>
        <w:pStyle w:val="ListBullet"/>
      </w:pPr>
      <w:r>
        <w:rPr>
          <w:lang w:eastAsia="zh-TW"/>
        </w:rPr>
        <w:t>Property Services;</w:t>
      </w:r>
    </w:p>
    <w:p w:rsidR="00744BD5" w:rsidRPr="00265F47" w:rsidRDefault="00744BD5" w:rsidP="00DD5F6B">
      <w:pPr>
        <w:pStyle w:val="ListBullet"/>
      </w:pPr>
      <w:r>
        <w:t>Venues and Events;</w:t>
      </w:r>
    </w:p>
    <w:p w:rsidR="00265F47" w:rsidRPr="00265F47" w:rsidRDefault="00265F47" w:rsidP="00DD5F6B">
      <w:pPr>
        <w:pStyle w:val="ListBullet"/>
      </w:pPr>
      <w:r>
        <w:rPr>
          <w:lang w:eastAsia="zh-TW"/>
        </w:rPr>
        <w:t>Arts Engagement;</w:t>
      </w:r>
    </w:p>
    <w:p w:rsidR="00265F47" w:rsidRPr="00265F47" w:rsidRDefault="00265F47" w:rsidP="00DD5F6B">
      <w:pPr>
        <w:pStyle w:val="ListBullet"/>
      </w:pPr>
      <w:r>
        <w:rPr>
          <w:lang w:eastAsia="zh-TW"/>
        </w:rPr>
        <w:t>Access Canberra;</w:t>
      </w:r>
    </w:p>
    <w:p w:rsidR="00265F47" w:rsidRPr="00265F47" w:rsidRDefault="00265F47" w:rsidP="00DD5F6B">
      <w:pPr>
        <w:pStyle w:val="ListBullet"/>
      </w:pPr>
      <w:r>
        <w:rPr>
          <w:lang w:eastAsia="zh-TW"/>
        </w:rPr>
        <w:t>ACT Executive</w:t>
      </w:r>
      <w:r w:rsidR="00744BD5">
        <w:rPr>
          <w:lang w:eastAsia="zh-TW"/>
        </w:rPr>
        <w:t xml:space="preserve"> (annexed report)</w:t>
      </w:r>
      <w:r>
        <w:rPr>
          <w:lang w:eastAsia="zh-TW"/>
        </w:rPr>
        <w:t>;</w:t>
      </w:r>
    </w:p>
    <w:p w:rsidR="00265F47" w:rsidRPr="00265F47" w:rsidRDefault="00744BD5" w:rsidP="00DD5F6B">
      <w:pPr>
        <w:pStyle w:val="ListBullet"/>
      </w:pPr>
      <w:r>
        <w:t>ACT Construction Occupations (annexed report)</w:t>
      </w:r>
      <w:r w:rsidR="00265F47">
        <w:t>;</w:t>
      </w:r>
    </w:p>
    <w:p w:rsidR="00265F47" w:rsidRPr="00265F47" w:rsidRDefault="00265F47" w:rsidP="00DD5F6B">
      <w:pPr>
        <w:pStyle w:val="ListBullet"/>
      </w:pPr>
      <w:r>
        <w:rPr>
          <w:lang w:eastAsia="zh-TW"/>
        </w:rPr>
        <w:t>ACT Government Procurement Board</w:t>
      </w:r>
      <w:r w:rsidR="00744BD5">
        <w:rPr>
          <w:lang w:eastAsia="zh-TW"/>
        </w:rPr>
        <w:t xml:space="preserve"> (annexed report)</w:t>
      </w:r>
      <w:r>
        <w:rPr>
          <w:lang w:eastAsia="zh-TW"/>
        </w:rPr>
        <w:t>;</w:t>
      </w:r>
      <w:r w:rsidR="00744BD5">
        <w:rPr>
          <w:lang w:eastAsia="zh-TW"/>
        </w:rPr>
        <w:t xml:space="preserve"> and</w:t>
      </w:r>
    </w:p>
    <w:p w:rsidR="00106AF3" w:rsidRDefault="00265F47" w:rsidP="00DD5F6B">
      <w:pPr>
        <w:pStyle w:val="ListBullet"/>
      </w:pPr>
      <w:r>
        <w:rPr>
          <w:lang w:eastAsia="zh-TW"/>
        </w:rPr>
        <w:t>Director of Territory Records</w:t>
      </w:r>
      <w:r w:rsidR="00744BD5">
        <w:rPr>
          <w:lang w:eastAsia="zh-TW"/>
        </w:rPr>
        <w:t xml:space="preserve"> (annexed report)</w:t>
      </w:r>
      <w:r w:rsidR="00106AF3">
        <w:t>.</w:t>
      </w:r>
    </w:p>
    <w:p w:rsidR="00D561BC" w:rsidRDefault="00106AF3" w:rsidP="00106AF3">
      <w:pPr>
        <w:pStyle w:val="BodyText1"/>
      </w:pPr>
      <w:r>
        <w:t xml:space="preserve">Others areas of the </w:t>
      </w:r>
      <w:r w:rsidR="000D6C9A">
        <w:t>CMTEDD</w:t>
      </w:r>
      <w:r>
        <w:t xml:space="preserve"> </w:t>
      </w:r>
      <w:r w:rsidR="000D6C9A">
        <w:t xml:space="preserve">report </w:t>
      </w:r>
      <w:r>
        <w:t xml:space="preserve">were considered by </w:t>
      </w:r>
      <w:r w:rsidR="000D6C9A">
        <w:t xml:space="preserve">other </w:t>
      </w:r>
      <w:r w:rsidR="001027FA">
        <w:t xml:space="preserve">standing </w:t>
      </w:r>
      <w:r w:rsidR="000D6C9A">
        <w:t>committees</w:t>
      </w:r>
      <w:r>
        <w:t>.</w:t>
      </w:r>
      <w:r w:rsidR="00D33F96" w:rsidRPr="00123676">
        <w:t xml:space="preserve"> </w:t>
      </w:r>
      <w:bookmarkEnd w:id="47"/>
      <w:bookmarkEnd w:id="48"/>
    </w:p>
    <w:p w:rsidR="008151D7" w:rsidRDefault="008151D7" w:rsidP="008151D7">
      <w:pPr>
        <w:pStyle w:val="Headinglevel2"/>
      </w:pPr>
      <w:bookmarkStart w:id="55" w:name="_Toc481489000"/>
      <w:r>
        <w:t xml:space="preserve">Economic and Financial </w:t>
      </w:r>
      <w:r w:rsidR="00D94B0A">
        <w:t>Management</w:t>
      </w:r>
      <w:bookmarkEnd w:id="55"/>
    </w:p>
    <w:p w:rsidR="008151D7" w:rsidRDefault="008151D7" w:rsidP="008151D7">
      <w:pPr>
        <w:pStyle w:val="BodyText1"/>
      </w:pPr>
      <w:r>
        <w:t xml:space="preserve">The Committee </w:t>
      </w:r>
      <w:r w:rsidR="006108C0">
        <w:t xml:space="preserve">heard from the Treasurer and officials on 27 February 2017. The Committee </w:t>
      </w:r>
      <w:r>
        <w:t>discussed the following issues:</w:t>
      </w:r>
    </w:p>
    <w:p w:rsidR="008151D7" w:rsidRDefault="007D0CA2" w:rsidP="00DD5F6B">
      <w:pPr>
        <w:pStyle w:val="ListBullet"/>
      </w:pPr>
      <w:r>
        <w:t>Asset Recycling Initiative</w:t>
      </w:r>
      <w:r w:rsidR="0064182F">
        <w:t>;</w:t>
      </w:r>
      <w:r w:rsidR="0064182F">
        <w:rPr>
          <w:rStyle w:val="FootnoteReference"/>
        </w:rPr>
        <w:footnoteReference w:id="7"/>
      </w:r>
    </w:p>
    <w:p w:rsidR="007D0CA2" w:rsidRDefault="007D0CA2" w:rsidP="00DD5F6B">
      <w:pPr>
        <w:pStyle w:val="ListBullet"/>
      </w:pPr>
      <w:r>
        <w:t>Credit rating;</w:t>
      </w:r>
      <w:r w:rsidR="0064182F">
        <w:rPr>
          <w:rStyle w:val="FootnoteReference"/>
        </w:rPr>
        <w:footnoteReference w:id="8"/>
      </w:r>
    </w:p>
    <w:p w:rsidR="007D0CA2" w:rsidRDefault="0064182F" w:rsidP="00DD5F6B">
      <w:pPr>
        <w:pStyle w:val="ListBullet"/>
      </w:pPr>
      <w:r>
        <w:t>Human Services Cluster review</w:t>
      </w:r>
      <w:r w:rsidR="00CA51FA">
        <w:t>;</w:t>
      </w:r>
      <w:r>
        <w:rPr>
          <w:rStyle w:val="FootnoteReference"/>
        </w:rPr>
        <w:footnoteReference w:id="9"/>
      </w:r>
    </w:p>
    <w:p w:rsidR="00CA51FA" w:rsidRDefault="00CA51FA" w:rsidP="00DD5F6B">
      <w:pPr>
        <w:pStyle w:val="ListBullet"/>
      </w:pPr>
      <w:r w:rsidRPr="00412BCD">
        <w:t>Street light network outsourcing</w:t>
      </w:r>
      <w:r>
        <w:t>;</w:t>
      </w:r>
      <w:r w:rsidR="0064182F">
        <w:rPr>
          <w:rStyle w:val="FootnoteReference"/>
        </w:rPr>
        <w:footnoteReference w:id="10"/>
      </w:r>
    </w:p>
    <w:p w:rsidR="00CA51FA" w:rsidRDefault="00E96F3E" w:rsidP="00DD5F6B">
      <w:pPr>
        <w:pStyle w:val="ListBullet"/>
      </w:pPr>
      <w:r>
        <w:t>Operating deficit;</w:t>
      </w:r>
      <w:r w:rsidR="00037EB4">
        <w:rPr>
          <w:rStyle w:val="FootnoteReference"/>
        </w:rPr>
        <w:footnoteReference w:id="11"/>
      </w:r>
    </w:p>
    <w:p w:rsidR="00E96F3E" w:rsidRDefault="00E96F3E" w:rsidP="00DD5F6B">
      <w:pPr>
        <w:pStyle w:val="ListBullet"/>
      </w:pPr>
      <w:r>
        <w:t>Own source revenue;</w:t>
      </w:r>
      <w:r w:rsidR="00037EB4">
        <w:rPr>
          <w:rStyle w:val="FootnoteReference"/>
        </w:rPr>
        <w:footnoteReference w:id="12"/>
      </w:r>
    </w:p>
    <w:p w:rsidR="00E96F3E" w:rsidRDefault="00E96F3E" w:rsidP="00DD5F6B">
      <w:pPr>
        <w:pStyle w:val="ListBullet"/>
      </w:pPr>
      <w:r w:rsidRPr="00412BCD">
        <w:t>Australia Forum</w:t>
      </w:r>
      <w:r w:rsidR="009348CD" w:rsidRPr="00412BCD">
        <w:t xml:space="preserve"> and readiness for investment</w:t>
      </w:r>
      <w:r>
        <w:t>;</w:t>
      </w:r>
      <w:r w:rsidR="00037EB4">
        <w:rPr>
          <w:rStyle w:val="FootnoteReference"/>
        </w:rPr>
        <w:footnoteReference w:id="13"/>
      </w:r>
    </w:p>
    <w:p w:rsidR="009348CD" w:rsidRDefault="001B0151" w:rsidP="00DD5F6B">
      <w:pPr>
        <w:pStyle w:val="ListBullet"/>
      </w:pPr>
      <w:r>
        <w:t>Commonwealth Grants Commission process;</w:t>
      </w:r>
      <w:r w:rsidR="00F65316">
        <w:rPr>
          <w:rStyle w:val="FootnoteReference"/>
        </w:rPr>
        <w:footnoteReference w:id="14"/>
      </w:r>
      <w:r w:rsidR="00FC2065">
        <w:t xml:space="preserve"> and</w:t>
      </w:r>
    </w:p>
    <w:p w:rsidR="001B0151" w:rsidRDefault="0023255A" w:rsidP="00DD5F6B">
      <w:pPr>
        <w:pStyle w:val="ListBullet"/>
      </w:pPr>
      <w:r>
        <w:t>Audit of headline net operating balance</w:t>
      </w:r>
      <w:r w:rsidR="00FC2065">
        <w:t>.</w:t>
      </w:r>
      <w:r w:rsidR="00F65316">
        <w:rPr>
          <w:rStyle w:val="FootnoteReference"/>
        </w:rPr>
        <w:footnoteReference w:id="15"/>
      </w:r>
    </w:p>
    <w:p w:rsidR="00DC3DAA" w:rsidRDefault="00DC3DAA" w:rsidP="00DC3DAA">
      <w:pPr>
        <w:pStyle w:val="Headinglevel3"/>
      </w:pPr>
      <w:r>
        <w:t>Street light network outsourcing</w:t>
      </w:r>
    </w:p>
    <w:p w:rsidR="00DC3DAA" w:rsidRDefault="00DC3DAA" w:rsidP="00DC3DAA">
      <w:pPr>
        <w:pStyle w:val="BodyText1"/>
      </w:pPr>
      <w:r>
        <w:t xml:space="preserve">The Committee asked about </w:t>
      </w:r>
      <w:r w:rsidR="00102026">
        <w:t xml:space="preserve">the </w:t>
      </w:r>
      <w:r>
        <w:t>status of the project to outsource the management of the Territory’s street light network.  The Committee was informed that a request for tender for the ongoing management of the Territory’s street light network closed in early 2017. Six parties responded to the request and an evaluation process to be completed in March 2017 should result in a shortlist of two or three tenderers. A new management contract is anticipated to be in place from 1 July 2017.</w:t>
      </w:r>
      <w:r>
        <w:rPr>
          <w:rStyle w:val="FootnoteReference"/>
        </w:rPr>
        <w:footnoteReference w:id="16"/>
      </w:r>
    </w:p>
    <w:p w:rsidR="00DC3DAA" w:rsidRDefault="00DC3DAA" w:rsidP="00DC3DAA">
      <w:pPr>
        <w:pStyle w:val="BodyText1"/>
      </w:pPr>
      <w:r>
        <w:t>The Committee was informed that any upgrades in infrastructure would depend on final offers. The feedback from the market was that a long term contract that covered management of the capital asset as well as day to day management might provide sufficient incentives to bidders to upgrade infrastructure. This may include use of the network to run a “smart city platform”.</w:t>
      </w:r>
    </w:p>
    <w:p w:rsidR="00BC17BE" w:rsidRDefault="00BC17BE" w:rsidP="00DC3DAA">
      <w:pPr>
        <w:pStyle w:val="BodyText1"/>
      </w:pPr>
      <w:r>
        <w:t>The network consists of 79,000 powered sites across the city that have been installed at different times in the city’s history and so are of diverse quality and condition. Streetlights account for 25 per cent of the Territory’s electricity usage and 18 per cent of its greenhouse gas emissions.</w:t>
      </w:r>
    </w:p>
    <w:p w:rsidR="00BC17BE" w:rsidRDefault="00BC17BE" w:rsidP="00BC17BE">
      <w:pPr>
        <w:pStyle w:val="Recommendation"/>
      </w:pPr>
      <w:bookmarkStart w:id="56" w:name="_Toc481489018"/>
      <w:bookmarkEnd w:id="56"/>
    </w:p>
    <w:p w:rsidR="00BC17BE" w:rsidRDefault="00BC17BE" w:rsidP="00BC17BE">
      <w:pPr>
        <w:pStyle w:val="RecommendationText"/>
      </w:pPr>
      <w:bookmarkStart w:id="57" w:name="_Toc481489019"/>
      <w:r>
        <w:t>The Committee recommends that, once the management contract for the street light network is signed, the Treasurer inform the Assembly of the costs, savings and incentives for network upgrades that arise from the contract.</w:t>
      </w:r>
      <w:bookmarkEnd w:id="57"/>
    </w:p>
    <w:p w:rsidR="00412BCD" w:rsidRDefault="00412BCD" w:rsidP="00412BCD">
      <w:pPr>
        <w:pStyle w:val="Headinglevel3"/>
      </w:pPr>
      <w:r>
        <w:t>Australia Forum and readiness for investment</w:t>
      </w:r>
    </w:p>
    <w:p w:rsidR="00412BCD" w:rsidRDefault="00412BCD" w:rsidP="00412BCD">
      <w:pPr>
        <w:pStyle w:val="BodyText1"/>
      </w:pPr>
      <w:r>
        <w:t xml:space="preserve">The Committee asked about </w:t>
      </w:r>
      <w:r w:rsidR="00EE75DD">
        <w:t>work required to get the Australia Forum convention centre investment ready. The Treasurer stated that there had been a provision in the forward estimates of up to $8 million for expenditure on the project. This provision was removed in the budget review.</w:t>
      </w:r>
      <w:r w:rsidR="00EE75DD">
        <w:rPr>
          <w:rStyle w:val="FootnoteReference"/>
        </w:rPr>
        <w:footnoteReference w:id="17"/>
      </w:r>
    </w:p>
    <w:p w:rsidR="001176D7" w:rsidRDefault="001176D7" w:rsidP="00412BCD">
      <w:pPr>
        <w:pStyle w:val="BodyText1"/>
      </w:pPr>
      <w:r>
        <w:t>The Treasurer noted that the rapid business case outlined a capital cost of about $430 million but the reference design came in close to double that. The next step is further discussion with the Commonwealth about their interest in the project. The Territory government has said that it will make available the site within London Circuit and proceeds from the asset sale of the existing convention centre site would be a contribution to the project.</w:t>
      </w:r>
      <w:r>
        <w:rPr>
          <w:rStyle w:val="FootnoteReference"/>
        </w:rPr>
        <w:footnoteReference w:id="18"/>
      </w:r>
    </w:p>
    <w:p w:rsidR="001176D7" w:rsidRDefault="001176D7" w:rsidP="00412BCD">
      <w:pPr>
        <w:pStyle w:val="BodyText1"/>
      </w:pPr>
      <w:r>
        <w:t xml:space="preserve">The Committee asked </w:t>
      </w:r>
      <w:r w:rsidR="00BC4DA2">
        <w:t xml:space="preserve">whether something </w:t>
      </w:r>
      <w:r>
        <w:t xml:space="preserve">had changed to prompt the government to remove </w:t>
      </w:r>
      <w:r w:rsidR="00102026">
        <w:t xml:space="preserve">the </w:t>
      </w:r>
      <w:r>
        <w:t>$8 million provision for further work</w:t>
      </w:r>
      <w:r w:rsidR="00BC4DA2">
        <w:t xml:space="preserve"> on the project</w:t>
      </w:r>
      <w:r>
        <w:t>. The Treasurer replied</w:t>
      </w:r>
      <w:r w:rsidR="00BC4DA2">
        <w:t>, “Yes. I do not believe the commonwealth are fair dinkum about supporting the project.”</w:t>
      </w:r>
      <w:r w:rsidR="00BC4DA2">
        <w:rPr>
          <w:rStyle w:val="FootnoteReference"/>
        </w:rPr>
        <w:footnoteReference w:id="19"/>
      </w:r>
      <w:r w:rsidR="00BC4DA2">
        <w:t xml:space="preserve"> The Treasurer noted that he had raised the matter with successive Prime Ministers and the Territory had raised the matter with the Commonwealth on numerous occasions. The Territory will now raise the project as part of the Commonwealth’s City Deals.</w:t>
      </w:r>
      <w:r w:rsidR="00BC4DA2">
        <w:rPr>
          <w:rStyle w:val="FootnoteReference"/>
        </w:rPr>
        <w:footnoteReference w:id="20"/>
      </w:r>
    </w:p>
    <w:p w:rsidR="00BC4DA2" w:rsidRPr="00412BCD" w:rsidRDefault="00BC4DA2" w:rsidP="00412BCD">
      <w:pPr>
        <w:pStyle w:val="BodyText1"/>
      </w:pPr>
      <w:r>
        <w:t>The Committee notes the information provided by the Treasurer. The Committee has announced an inquiry into a new Convention Centre for Canberra</w:t>
      </w:r>
      <w:r w:rsidR="00C632A8">
        <w:t xml:space="preserve"> and plans to report before the end of 2017.</w:t>
      </w:r>
    </w:p>
    <w:p w:rsidR="008151D7" w:rsidRDefault="008151D7" w:rsidP="008151D7">
      <w:pPr>
        <w:pStyle w:val="Headinglevel2"/>
      </w:pPr>
      <w:bookmarkStart w:id="58" w:name="_Toc481489001"/>
      <w:r>
        <w:t xml:space="preserve">Revenue </w:t>
      </w:r>
      <w:r w:rsidR="001466AC">
        <w:t>Management</w:t>
      </w:r>
      <w:bookmarkEnd w:id="58"/>
    </w:p>
    <w:p w:rsidR="008151D7" w:rsidRDefault="008C1341" w:rsidP="008151D7">
      <w:pPr>
        <w:pStyle w:val="BodyText1"/>
      </w:pPr>
      <w:r>
        <w:t xml:space="preserve">The Committee heard from the Treasurer and officials on 27 February 2017. </w:t>
      </w:r>
      <w:r w:rsidR="008151D7">
        <w:t>The Committee discussed the following issues:</w:t>
      </w:r>
    </w:p>
    <w:p w:rsidR="008151D7" w:rsidRDefault="001B0151" w:rsidP="00DD5F6B">
      <w:pPr>
        <w:pStyle w:val="ListBullet"/>
      </w:pPr>
      <w:r>
        <w:t>Tax Reform initiatives</w:t>
      </w:r>
      <w:r w:rsidR="00BE242A">
        <w:t>;</w:t>
      </w:r>
      <w:r w:rsidR="00F65316">
        <w:rPr>
          <w:rStyle w:val="FootnoteReference"/>
        </w:rPr>
        <w:footnoteReference w:id="21"/>
      </w:r>
    </w:p>
    <w:p w:rsidR="008151D7" w:rsidRDefault="001B0151" w:rsidP="00DD5F6B">
      <w:pPr>
        <w:pStyle w:val="ListBullet"/>
      </w:pPr>
      <w:r>
        <w:t>Payroll tax</w:t>
      </w:r>
      <w:r w:rsidR="00BE242A">
        <w:t>;</w:t>
      </w:r>
      <w:r w:rsidR="00F65316">
        <w:rPr>
          <w:rStyle w:val="FootnoteReference"/>
        </w:rPr>
        <w:footnoteReference w:id="22"/>
      </w:r>
      <w:r w:rsidR="00102026">
        <w:t xml:space="preserve"> and</w:t>
      </w:r>
    </w:p>
    <w:p w:rsidR="00BE242A" w:rsidRDefault="005E1900" w:rsidP="00DD5F6B">
      <w:pPr>
        <w:pStyle w:val="ListBullet"/>
      </w:pPr>
      <w:r w:rsidRPr="003B1FBD">
        <w:t>Stamp duty and impact on house prices</w:t>
      </w:r>
      <w:r w:rsidR="00102026">
        <w:t>.</w:t>
      </w:r>
      <w:r w:rsidR="00F65316">
        <w:rPr>
          <w:rStyle w:val="FootnoteReference"/>
        </w:rPr>
        <w:footnoteReference w:id="23"/>
      </w:r>
    </w:p>
    <w:p w:rsidR="0023255A" w:rsidRDefault="0023255A" w:rsidP="0023255A">
      <w:pPr>
        <w:pStyle w:val="Headinglevel2"/>
      </w:pPr>
      <w:bookmarkStart w:id="59" w:name="_Toc481489002"/>
      <w:r>
        <w:t>Government Policy and Strategy</w:t>
      </w:r>
      <w:bookmarkEnd w:id="59"/>
    </w:p>
    <w:p w:rsidR="0023255A" w:rsidRDefault="008C1341" w:rsidP="0023255A">
      <w:pPr>
        <w:pStyle w:val="BodyText1"/>
      </w:pPr>
      <w:r>
        <w:t xml:space="preserve">The Committee heard from the Chief Minister and officials on 27 February 2017. </w:t>
      </w:r>
      <w:r w:rsidR="0023255A">
        <w:t>The Committee discussed the following issues:</w:t>
      </w:r>
    </w:p>
    <w:p w:rsidR="0023255A" w:rsidRDefault="0023255A" w:rsidP="00DD5F6B">
      <w:pPr>
        <w:pStyle w:val="ListBullet"/>
      </w:pPr>
      <w:r>
        <w:t>Government office building</w:t>
      </w:r>
      <w:r w:rsidR="008224EC">
        <w:t xml:space="preserve"> and directorate locations</w:t>
      </w:r>
      <w:r>
        <w:t>;</w:t>
      </w:r>
      <w:r w:rsidR="005811C8">
        <w:rPr>
          <w:rStyle w:val="FootnoteReference"/>
        </w:rPr>
        <w:footnoteReference w:id="24"/>
      </w:r>
    </w:p>
    <w:p w:rsidR="0023255A" w:rsidRDefault="008224EC" w:rsidP="00DD5F6B">
      <w:pPr>
        <w:pStyle w:val="ListBullet"/>
      </w:pPr>
      <w:r>
        <w:t>Whole of Government digital strategy;</w:t>
      </w:r>
      <w:r w:rsidR="006702FF">
        <w:rPr>
          <w:rStyle w:val="FootnoteReference"/>
        </w:rPr>
        <w:footnoteReference w:id="25"/>
      </w:r>
    </w:p>
    <w:p w:rsidR="008224EC" w:rsidRDefault="008224EC" w:rsidP="00DD5F6B">
      <w:pPr>
        <w:pStyle w:val="ListBullet"/>
      </w:pPr>
      <w:r>
        <w:t>Activity based work pilot;</w:t>
      </w:r>
      <w:r w:rsidR="006702FF">
        <w:rPr>
          <w:rStyle w:val="FootnoteReference"/>
        </w:rPr>
        <w:footnoteReference w:id="26"/>
      </w:r>
    </w:p>
    <w:p w:rsidR="008224EC" w:rsidRDefault="00C25FD4" w:rsidP="00DD5F6B">
      <w:pPr>
        <w:pStyle w:val="ListBullet"/>
      </w:pPr>
      <w:r>
        <w:t>Reports on progress on Parliamentary Agreement;</w:t>
      </w:r>
      <w:r w:rsidR="006702FF">
        <w:rPr>
          <w:rStyle w:val="FootnoteReference"/>
        </w:rPr>
        <w:footnoteReference w:id="27"/>
      </w:r>
    </w:p>
    <w:p w:rsidR="00C25FD4" w:rsidRDefault="005F1324" w:rsidP="00DD5F6B">
      <w:pPr>
        <w:pStyle w:val="ListBullet"/>
      </w:pPr>
      <w:r>
        <w:t>Annual report requirements;</w:t>
      </w:r>
      <w:r w:rsidR="00E7009C">
        <w:rPr>
          <w:rStyle w:val="FootnoteReference"/>
        </w:rPr>
        <w:footnoteReference w:id="28"/>
      </w:r>
    </w:p>
    <w:p w:rsidR="005F1324" w:rsidRDefault="005F1324" w:rsidP="00DD5F6B">
      <w:pPr>
        <w:pStyle w:val="ListBullet"/>
      </w:pPr>
      <w:r>
        <w:t xml:space="preserve">Auditor-General’s </w:t>
      </w:r>
      <w:r w:rsidR="00E7009C">
        <w:t>recommendations for CMTEDD</w:t>
      </w:r>
      <w:r>
        <w:t>;</w:t>
      </w:r>
      <w:r w:rsidR="00E7009C">
        <w:rPr>
          <w:rStyle w:val="FootnoteReference"/>
        </w:rPr>
        <w:footnoteReference w:id="29"/>
      </w:r>
    </w:p>
    <w:p w:rsidR="002B75A6" w:rsidRDefault="002B75A6" w:rsidP="00DD5F6B">
      <w:pPr>
        <w:pStyle w:val="ListBullet"/>
      </w:pPr>
      <w:r>
        <w:t>Smart parking;</w:t>
      </w:r>
      <w:r w:rsidR="00E621CD">
        <w:rPr>
          <w:rStyle w:val="FootnoteReference"/>
        </w:rPr>
        <w:footnoteReference w:id="30"/>
      </w:r>
    </w:p>
    <w:p w:rsidR="002B75A6" w:rsidRDefault="00260D82" w:rsidP="00DD5F6B">
      <w:pPr>
        <w:pStyle w:val="ListBullet"/>
      </w:pPr>
      <w:r>
        <w:t>Ride-sharing;</w:t>
      </w:r>
      <w:r w:rsidR="00E621CD">
        <w:rPr>
          <w:rStyle w:val="FootnoteReference"/>
        </w:rPr>
        <w:footnoteReference w:id="31"/>
      </w:r>
      <w:r w:rsidR="00FC2065">
        <w:t xml:space="preserve"> and</w:t>
      </w:r>
    </w:p>
    <w:p w:rsidR="00260D82" w:rsidRDefault="00FC2065" w:rsidP="00DD5F6B">
      <w:pPr>
        <w:pStyle w:val="ListBullet"/>
      </w:pPr>
      <w:r>
        <w:t>Support for ACT Executive.</w:t>
      </w:r>
      <w:r>
        <w:rPr>
          <w:rStyle w:val="FootnoteReference"/>
        </w:rPr>
        <w:footnoteReference w:id="32"/>
      </w:r>
    </w:p>
    <w:p w:rsidR="00523ED3" w:rsidRDefault="00523ED3" w:rsidP="00CA780F">
      <w:pPr>
        <w:pStyle w:val="Headinglevel3"/>
      </w:pPr>
      <w:r>
        <w:t>Reports on progress on Parliamentary Agreement</w:t>
      </w:r>
    </w:p>
    <w:p w:rsidR="0007060A" w:rsidRDefault="00523ED3" w:rsidP="00523ED3">
      <w:pPr>
        <w:pStyle w:val="BodyText1"/>
      </w:pPr>
      <w:r>
        <w:t>The Committee asked about the public service providing</w:t>
      </w:r>
      <w:r w:rsidR="0007060A">
        <w:t xml:space="preserve"> reports on the progress of the Parliamentary Agreement between the </w:t>
      </w:r>
      <w:r w:rsidR="00102026">
        <w:t>ACT</w:t>
      </w:r>
      <w:r w:rsidR="0007060A">
        <w:t xml:space="preserve"> Labor Party and the </w:t>
      </w:r>
      <w:r w:rsidR="00102026">
        <w:t xml:space="preserve">ACT </w:t>
      </w:r>
      <w:r w:rsidR="0007060A">
        <w:t>Greens. The Committee was directed to the CMTEDD report where it states that the directorate “had responsibility for monitoring progress of Government priorities as articulated through the Government’s election commitments, the Parliamentary Agreement and strategic priorities”.</w:t>
      </w:r>
      <w:r w:rsidR="0007060A">
        <w:rPr>
          <w:rStyle w:val="FootnoteReference"/>
        </w:rPr>
        <w:footnoteReference w:id="33"/>
      </w:r>
      <w:r w:rsidR="0007060A">
        <w:t xml:space="preserve"> The Chief Minister noted that the parties </w:t>
      </w:r>
    </w:p>
    <w:p w:rsidR="00523ED3" w:rsidRDefault="0007060A" w:rsidP="0007060A">
      <w:pPr>
        <w:pStyle w:val="Quote"/>
      </w:pPr>
      <w:r>
        <w:t>“issue annual statements of progress against parliamentary agreement items. More broadly in terms of election commitments, parliamentary agreement items and other strategic priorities, they are reported in the budget, in the midyear update and in the annual reports process.”</w:t>
      </w:r>
      <w:r>
        <w:rPr>
          <w:rStyle w:val="FootnoteReference"/>
        </w:rPr>
        <w:footnoteReference w:id="34"/>
      </w:r>
    </w:p>
    <w:p w:rsidR="0007060A" w:rsidRDefault="00970C34" w:rsidP="00970C34">
      <w:pPr>
        <w:pStyle w:val="BodyText1"/>
        <w:ind w:left="680" w:hanging="680"/>
      </w:pPr>
      <w:r>
        <w:t>The Committee asked whether there was a contradiction between the public service providing advice on the implementation of the agreement but questions in the Assembly on the agreement being ruled out of order because of the agreement being a political document and not the purview of government. The Chief Minister responded that, “when that government is formed and the first cabinet meeting occurs, official government policy is set, and the bureaucracy responds to that.”</w:t>
      </w:r>
      <w:r>
        <w:rPr>
          <w:rStyle w:val="FootnoteReference"/>
        </w:rPr>
        <w:footnoteReference w:id="35"/>
      </w:r>
    </w:p>
    <w:p w:rsidR="00970C34" w:rsidRDefault="00970C34" w:rsidP="00970C34">
      <w:pPr>
        <w:pStyle w:val="BodyText1"/>
        <w:ind w:left="680" w:hanging="680"/>
      </w:pPr>
      <w:r>
        <w:t xml:space="preserve">The Committee thanks the Chief Minister for </w:t>
      </w:r>
      <w:r w:rsidR="00995C24">
        <w:t>his explanation of the public service’s role in monitoring the implementation of parliamentary agreements. Given this explanation the Committee hopes that the government will be supportive of questions in the Assembly about progress in implementing the Parliamentary Agreement between the ACT Labor Party and the A</w:t>
      </w:r>
      <w:r w:rsidR="00102026">
        <w:t xml:space="preserve">CT </w:t>
      </w:r>
      <w:r w:rsidR="00995C24">
        <w:t>Greens for the Ninth Assembly.</w:t>
      </w:r>
    </w:p>
    <w:p w:rsidR="00995C24" w:rsidRDefault="00995C24" w:rsidP="00995C24">
      <w:pPr>
        <w:pStyle w:val="Recommendation"/>
      </w:pPr>
      <w:bookmarkStart w:id="60" w:name="_Toc481489020"/>
      <w:bookmarkEnd w:id="60"/>
    </w:p>
    <w:p w:rsidR="00995C24" w:rsidRPr="00995C24" w:rsidRDefault="00995C24" w:rsidP="00995C24">
      <w:pPr>
        <w:pStyle w:val="RecommendationText"/>
      </w:pPr>
      <w:bookmarkStart w:id="61" w:name="_Toc481489021"/>
      <w:r>
        <w:t xml:space="preserve">The Committee recommends that the </w:t>
      </w:r>
      <w:r w:rsidR="003B1FBD">
        <w:t>ACT G</w:t>
      </w:r>
      <w:r>
        <w:t>overnment accept properly directed questions in the Assembly about the implementation of the Parliamentary Agreement for the 9</w:t>
      </w:r>
      <w:r w:rsidRPr="00995C24">
        <w:rPr>
          <w:vertAlign w:val="superscript"/>
        </w:rPr>
        <w:t>th</w:t>
      </w:r>
      <w:r>
        <w:t xml:space="preserve"> Legislative Assembly of the Australian Capital Territory</w:t>
      </w:r>
      <w:r w:rsidR="00C36F0E">
        <w:t>,</w:t>
      </w:r>
      <w:r>
        <w:t xml:space="preserve"> in accordance with the public service’s monitoring role.</w:t>
      </w:r>
      <w:bookmarkEnd w:id="61"/>
    </w:p>
    <w:p w:rsidR="00265F47" w:rsidRDefault="00265F47" w:rsidP="00260D82">
      <w:pPr>
        <w:pStyle w:val="Headinglevel2"/>
        <w:numPr>
          <w:ilvl w:val="0"/>
          <w:numId w:val="0"/>
        </w:numPr>
      </w:pPr>
      <w:bookmarkStart w:id="62" w:name="_Toc481489003"/>
      <w:r>
        <w:rPr>
          <w:color w:val="000000"/>
          <w:lang w:eastAsia="zh-TW"/>
        </w:rPr>
        <w:t>Coordinated Communications and Community Engagement</w:t>
      </w:r>
      <w:bookmarkEnd w:id="62"/>
      <w:r>
        <w:t xml:space="preserve"> </w:t>
      </w:r>
    </w:p>
    <w:p w:rsidR="00265F47" w:rsidRDefault="003B1FBD" w:rsidP="00265F47">
      <w:pPr>
        <w:pStyle w:val="BodyText1"/>
      </w:pPr>
      <w:r>
        <w:t xml:space="preserve">The Committee heard from the Chief Minister and officials on 27 February 2017. The </w:t>
      </w:r>
      <w:r w:rsidR="00265F47">
        <w:t>Committee discussed the following issue:</w:t>
      </w:r>
    </w:p>
    <w:p w:rsidR="00265F47" w:rsidRDefault="00086C31" w:rsidP="00DD5F6B">
      <w:pPr>
        <w:pStyle w:val="ListBullet"/>
      </w:pPr>
      <w:r>
        <w:t>Our Canberra monthly newsletter</w:t>
      </w:r>
      <w:r w:rsidR="00102026">
        <w:t>.</w:t>
      </w:r>
      <w:r w:rsidR="00E621CD">
        <w:rPr>
          <w:rStyle w:val="FootnoteReference"/>
        </w:rPr>
        <w:footnoteReference w:id="36"/>
      </w:r>
    </w:p>
    <w:p w:rsidR="005054EA" w:rsidRDefault="005054EA" w:rsidP="005054EA">
      <w:pPr>
        <w:pStyle w:val="Headinglevel3"/>
      </w:pPr>
      <w:r>
        <w:t>Website maintenance</w:t>
      </w:r>
    </w:p>
    <w:p w:rsidR="005054EA" w:rsidRPr="005054EA" w:rsidRDefault="000F2496" w:rsidP="005054EA">
      <w:pPr>
        <w:pStyle w:val="BodyText1"/>
      </w:pPr>
      <w:r>
        <w:t xml:space="preserve">The Committee notes the importance of regular website maintenance. At the time of writing </w:t>
      </w:r>
      <w:r w:rsidRPr="000F2496">
        <w:t>Innovate Canberr</w:t>
      </w:r>
      <w:r>
        <w:t xml:space="preserve">a has failed to update the News and </w:t>
      </w:r>
      <w:r w:rsidRPr="000F2496">
        <w:t>Events sections of their website for months</w:t>
      </w:r>
      <w:r>
        <w:t xml:space="preserve"> and have not issued a new newsletter for over a year.</w:t>
      </w:r>
      <w:r w:rsidRPr="000F2496">
        <w:t xml:space="preserve"> </w:t>
      </w:r>
      <w:r>
        <w:t>O</w:t>
      </w:r>
      <w:r w:rsidRPr="000F2496">
        <w:t>ther Government websites have broken links</w:t>
      </w:r>
      <w:r w:rsidR="00A25F78">
        <w:t xml:space="preserve"> or are poorly designed. The Committee believes if websites are to remain a useful avenue of engaging with the public they must be maintained and contain updated information.</w:t>
      </w:r>
    </w:p>
    <w:p w:rsidR="005054EA" w:rsidRDefault="005054EA" w:rsidP="005054EA">
      <w:pPr>
        <w:pStyle w:val="Recommendation"/>
      </w:pPr>
      <w:bookmarkStart w:id="63" w:name="_Toc481489022"/>
      <w:bookmarkEnd w:id="63"/>
    </w:p>
    <w:p w:rsidR="005054EA" w:rsidRDefault="005054EA" w:rsidP="005054EA">
      <w:pPr>
        <w:pStyle w:val="RecommendationText"/>
      </w:pPr>
      <w:bookmarkStart w:id="64" w:name="_Toc481489023"/>
      <w:r>
        <w:t>The Committee recommends that ACT Government directorates and agencies monitor and maintain their website pages, newsletters, event pages, and associated online material to ensure the information is correct and current and that there are no broken links.</w:t>
      </w:r>
      <w:bookmarkEnd w:id="64"/>
    </w:p>
    <w:p w:rsidR="005054EA" w:rsidRDefault="005054EA" w:rsidP="005054EA">
      <w:pPr>
        <w:pStyle w:val="Recommendation"/>
      </w:pPr>
      <w:bookmarkStart w:id="65" w:name="_Toc481489024"/>
      <w:bookmarkEnd w:id="65"/>
    </w:p>
    <w:p w:rsidR="005054EA" w:rsidRPr="005054EA" w:rsidRDefault="005054EA" w:rsidP="005054EA">
      <w:pPr>
        <w:pStyle w:val="RecommendationText"/>
      </w:pPr>
      <w:bookmarkStart w:id="66" w:name="_Toc481489025"/>
      <w:r>
        <w:t>The Committee recommends that ACT Government directorates and agencies ensure that when newsletters or other updates have been or will be ceased, the webpage or last newsletter should reflect this change and the effective date</w:t>
      </w:r>
      <w:r w:rsidR="00102026">
        <w:t xml:space="preserve"> of cessation</w:t>
      </w:r>
      <w:r>
        <w:t>.</w:t>
      </w:r>
      <w:bookmarkEnd w:id="66"/>
    </w:p>
    <w:p w:rsidR="00265F47" w:rsidRDefault="00265F47" w:rsidP="00260D82">
      <w:pPr>
        <w:pStyle w:val="Headinglevel2"/>
        <w:numPr>
          <w:ilvl w:val="0"/>
          <w:numId w:val="0"/>
        </w:numPr>
        <w:rPr>
          <w:lang w:eastAsia="zh-TW"/>
        </w:rPr>
      </w:pPr>
      <w:bookmarkStart w:id="67" w:name="_Toc481489004"/>
      <w:r>
        <w:rPr>
          <w:lang w:eastAsia="zh-TW"/>
        </w:rPr>
        <w:t>Public Sector Management and State of the Service Report</w:t>
      </w:r>
      <w:bookmarkEnd w:id="67"/>
    </w:p>
    <w:p w:rsidR="005F1324" w:rsidRDefault="008C1341" w:rsidP="005F1324">
      <w:pPr>
        <w:pStyle w:val="BodyText1"/>
      </w:pPr>
      <w:r>
        <w:t xml:space="preserve">The Committee heard from the Chief Minister, the Head of Service, the Commissioner for Public Administration and other officials on 27 February 2017. </w:t>
      </w:r>
      <w:r w:rsidR="005F1324">
        <w:t>The Committee discussed the following issues:</w:t>
      </w:r>
    </w:p>
    <w:p w:rsidR="005F1324" w:rsidRDefault="005F1324" w:rsidP="00DD5F6B">
      <w:pPr>
        <w:pStyle w:val="ListBullet"/>
      </w:pPr>
      <w:r>
        <w:t>Independent Public Service Commissioner;</w:t>
      </w:r>
      <w:r w:rsidR="00E7009C">
        <w:rPr>
          <w:rStyle w:val="FootnoteReference"/>
        </w:rPr>
        <w:footnoteReference w:id="37"/>
      </w:r>
    </w:p>
    <w:p w:rsidR="005F1324" w:rsidRDefault="009166A4" w:rsidP="00DD5F6B">
      <w:pPr>
        <w:pStyle w:val="ListBullet"/>
      </w:pPr>
      <w:r>
        <w:t xml:space="preserve">Appointment of </w:t>
      </w:r>
      <w:r w:rsidR="005F1324">
        <w:t>Commissioner</w:t>
      </w:r>
      <w:r w:rsidR="00E7009C">
        <w:t xml:space="preserve"> </w:t>
      </w:r>
      <w:r w:rsidR="005F1324">
        <w:t>for International Engagement;</w:t>
      </w:r>
      <w:r w:rsidR="00E7009C">
        <w:rPr>
          <w:rStyle w:val="FootnoteReference"/>
        </w:rPr>
        <w:footnoteReference w:id="38"/>
      </w:r>
    </w:p>
    <w:p w:rsidR="005F1324" w:rsidRDefault="009166A4" w:rsidP="00DD5F6B">
      <w:pPr>
        <w:pStyle w:val="ListBullet"/>
      </w:pPr>
      <w:r>
        <w:t xml:space="preserve">Appointments </w:t>
      </w:r>
      <w:r w:rsidR="00E7009C">
        <w:t xml:space="preserve">made within the </w:t>
      </w:r>
      <w:r>
        <w:t>Commissioner for International Engagement</w:t>
      </w:r>
      <w:r w:rsidR="00E7009C">
        <w:t>’s office</w:t>
      </w:r>
      <w:r>
        <w:t>;</w:t>
      </w:r>
      <w:r w:rsidR="00E7009C">
        <w:rPr>
          <w:rStyle w:val="FootnoteReference"/>
        </w:rPr>
        <w:footnoteReference w:id="39"/>
      </w:r>
      <w:r w:rsidR="008C3A56">
        <w:t xml:space="preserve"> </w:t>
      </w:r>
    </w:p>
    <w:p w:rsidR="009166A4" w:rsidRDefault="009166A4" w:rsidP="00DD5F6B">
      <w:pPr>
        <w:pStyle w:val="ListBullet"/>
      </w:pPr>
      <w:r w:rsidRPr="00A4011D">
        <w:t xml:space="preserve">Investigations against people who leave </w:t>
      </w:r>
      <w:r w:rsidR="004B09A0" w:rsidRPr="00A4011D">
        <w:t>the public service</w:t>
      </w:r>
      <w:r w:rsidR="004B09A0">
        <w:t>;</w:t>
      </w:r>
      <w:bookmarkStart w:id="68" w:name="_GoBack"/>
      <w:bookmarkEnd w:id="68"/>
      <w:r w:rsidR="00DB65A0">
        <w:rPr>
          <w:rStyle w:val="FootnoteReference"/>
        </w:rPr>
        <w:footnoteReference w:id="40"/>
      </w:r>
    </w:p>
    <w:p w:rsidR="004B09A0" w:rsidRDefault="002B75A6" w:rsidP="00DD5F6B">
      <w:pPr>
        <w:pStyle w:val="ListBullet"/>
      </w:pPr>
      <w:r>
        <w:t xml:space="preserve">Indigenous employment in the ACT </w:t>
      </w:r>
      <w:r w:rsidR="0008411D">
        <w:t>Public Service;</w:t>
      </w:r>
      <w:r w:rsidR="00E621CD">
        <w:rPr>
          <w:rStyle w:val="FootnoteReference"/>
        </w:rPr>
        <w:footnoteReference w:id="41"/>
      </w:r>
    </w:p>
    <w:p w:rsidR="0008411D" w:rsidRDefault="0008411D" w:rsidP="00DD5F6B">
      <w:pPr>
        <w:pStyle w:val="ListBullet"/>
      </w:pPr>
      <w:r>
        <w:t>Ban on fundraising chocolates in ACT Public Service;</w:t>
      </w:r>
      <w:r w:rsidR="00E621CD">
        <w:rPr>
          <w:rStyle w:val="FootnoteReference"/>
        </w:rPr>
        <w:footnoteReference w:id="42"/>
      </w:r>
    </w:p>
    <w:p w:rsidR="0008411D" w:rsidRDefault="008C3A56" w:rsidP="00DD5F6B">
      <w:pPr>
        <w:pStyle w:val="ListBullet"/>
      </w:pPr>
      <w:r>
        <w:t>Public Interest Disclosures;</w:t>
      </w:r>
      <w:r w:rsidR="00E621CD">
        <w:rPr>
          <w:rStyle w:val="FootnoteReference"/>
        </w:rPr>
        <w:footnoteReference w:id="43"/>
      </w:r>
    </w:p>
    <w:p w:rsidR="008C3A56" w:rsidRDefault="00086C31" w:rsidP="00DD5F6B">
      <w:pPr>
        <w:pStyle w:val="ListBullet"/>
      </w:pPr>
      <w:r>
        <w:t>Executive termination;</w:t>
      </w:r>
      <w:r w:rsidR="00E621CD">
        <w:rPr>
          <w:rStyle w:val="FootnoteReference"/>
        </w:rPr>
        <w:footnoteReference w:id="44"/>
      </w:r>
    </w:p>
    <w:p w:rsidR="00086C31" w:rsidRDefault="00086C31" w:rsidP="00DD5F6B">
      <w:pPr>
        <w:pStyle w:val="ListBullet"/>
      </w:pPr>
      <w:r>
        <w:t>Additional remuneration;</w:t>
      </w:r>
      <w:r w:rsidR="00FC2065">
        <w:t xml:space="preserve"> and</w:t>
      </w:r>
    </w:p>
    <w:p w:rsidR="00086C31" w:rsidRDefault="00086C31" w:rsidP="00DD5F6B">
      <w:pPr>
        <w:pStyle w:val="ListBullet"/>
      </w:pPr>
      <w:r w:rsidRPr="003B1FBD">
        <w:t>Australian Workplace Agreements</w:t>
      </w:r>
      <w:r w:rsidR="00FC2065">
        <w:t>.</w:t>
      </w:r>
      <w:r w:rsidR="00E621CD">
        <w:rPr>
          <w:rStyle w:val="FootnoteReference"/>
        </w:rPr>
        <w:footnoteReference w:id="45"/>
      </w:r>
    </w:p>
    <w:p w:rsidR="005F1324" w:rsidRDefault="00A4011D" w:rsidP="00A4011D">
      <w:pPr>
        <w:pStyle w:val="Headinglevel3"/>
      </w:pPr>
      <w:r w:rsidRPr="00A4011D">
        <w:t>Investigations against people who leave the public service</w:t>
      </w:r>
    </w:p>
    <w:p w:rsidR="00A4011D" w:rsidRDefault="009F28B6" w:rsidP="00A4011D">
      <w:pPr>
        <w:pStyle w:val="BodyText1"/>
      </w:pPr>
      <w:r>
        <w:t>The Committee asked questions about the appointment of Mr Farnhill to a temporary position in the Commissioner of International Engagement’s office. Mr Farnhill’s partner, Mr House, held the position of deputy director-general in CMTEDD</w:t>
      </w:r>
      <w:r w:rsidR="00362C6F">
        <w:t xml:space="preserve"> and had a role in creating the Commissioner for International Engagement. Media coverage subsequently highlighted </w:t>
      </w:r>
      <w:r w:rsidR="00522D65">
        <w:t>the appointment of Mr Farnhill and asked about the process used.</w:t>
      </w:r>
      <w:r w:rsidR="00522D65">
        <w:rPr>
          <w:rStyle w:val="FootnoteReference"/>
        </w:rPr>
        <w:footnoteReference w:id="46"/>
      </w:r>
      <w:r w:rsidR="00522D65">
        <w:t xml:space="preserve"> </w:t>
      </w:r>
      <w:r>
        <w:t xml:space="preserve">Mr House </w:t>
      </w:r>
      <w:r w:rsidR="00522D65">
        <w:t>resigned from his position effective 8 February 2017 and Mr Farnhill resigned effective 22 February 2017. The Committee asked whether there had been a conflict of interest, if so how it had been managed, and what had prompted the resignations.</w:t>
      </w:r>
    </w:p>
    <w:p w:rsidR="00522D65" w:rsidRDefault="00522D65" w:rsidP="00A4011D">
      <w:pPr>
        <w:pStyle w:val="BodyText1"/>
      </w:pPr>
      <w:r>
        <w:t xml:space="preserve">The Committee was informed that Mr Farnhill was appointed </w:t>
      </w:r>
      <w:r w:rsidR="00AF5400">
        <w:t>by a standard recruitment process with the position being advertised, a panel being formed, applicants interviewed and a successful applicant determined.</w:t>
      </w:r>
      <w:r w:rsidR="00AF5400">
        <w:rPr>
          <w:rStyle w:val="FootnoteReference"/>
        </w:rPr>
        <w:footnoteReference w:id="47"/>
      </w:r>
      <w:r w:rsidR="00AD765A">
        <w:t xml:space="preserve"> Following this appointment Mr House noted the potential for an actual or perceived conflict of interest and advised senior officials how this would be managed.</w:t>
      </w:r>
      <w:r w:rsidR="00AD765A">
        <w:rPr>
          <w:rStyle w:val="FootnoteReference"/>
        </w:rPr>
        <w:footnoteReference w:id="48"/>
      </w:r>
    </w:p>
    <w:p w:rsidR="00686C32" w:rsidRDefault="00025184" w:rsidP="00A4011D">
      <w:pPr>
        <w:pStyle w:val="BodyText1"/>
      </w:pPr>
      <w:r>
        <w:t>The Committee has no comm</w:t>
      </w:r>
      <w:r w:rsidR="00686C32">
        <w:t>ent to make regarding the individual circumstances in this appointment and subsequent resignations. The Committee asked questions to see whether appropriate processes were followed by the officials involved.</w:t>
      </w:r>
    </w:p>
    <w:p w:rsidR="00AD765A" w:rsidRDefault="00686C32" w:rsidP="00A4011D">
      <w:pPr>
        <w:pStyle w:val="BodyText1"/>
      </w:pPr>
      <w:r>
        <w:t>In the course of discussion at the hearing</w:t>
      </w:r>
      <w:r w:rsidR="00D33B54">
        <w:t xml:space="preserve"> the Commissioner for Public Administration said that once “individuals leave the public service we do not continue with investigations”.</w:t>
      </w:r>
      <w:r w:rsidR="00D33B54">
        <w:rPr>
          <w:rStyle w:val="FootnoteReference"/>
        </w:rPr>
        <w:footnoteReference w:id="49"/>
      </w:r>
      <w:r w:rsidR="00D33B54">
        <w:t xml:space="preserve"> The Commissioner when on to say that that</w:t>
      </w:r>
      <w:r w:rsidR="005763AB">
        <w:t xml:space="preserve"> did not apply to matters that should be referred to Police. People who have left the public service are not subject to misconduct sanctions unless there is a criminal aspect to them. Officials clarified that events may prompt a review of conflict of interest support materials and recruitment guidance to ensure it is satisfactory.</w:t>
      </w:r>
      <w:r w:rsidR="005763AB">
        <w:rPr>
          <w:rStyle w:val="FootnoteReference"/>
        </w:rPr>
        <w:footnoteReference w:id="50"/>
      </w:r>
    </w:p>
    <w:p w:rsidR="009870A0" w:rsidRDefault="005763AB" w:rsidP="00A4011D">
      <w:pPr>
        <w:pStyle w:val="BodyText1"/>
      </w:pPr>
      <w:r>
        <w:t xml:space="preserve">The Committee noted during the hearings that there may be circumstances where an incomplete investigation would be unsatisfactory to the parties involved. A hypothetical was raised of a contractor whose contract concluded while an investigation was incomplete. The contractor may wish to have the investigation completed to “clear their name”. The Committee notes the Commissioner’s assurances </w:t>
      </w:r>
      <w:r w:rsidR="009870A0">
        <w:t>that the privacy of individuals under investigation is protected but believes there are circumstances, such as where someone is absent from the workplace due to suspension, where rumours may have an adverse impact on someone’s reputation.</w:t>
      </w:r>
      <w:r w:rsidR="009870A0" w:rsidRPr="009870A0">
        <w:rPr>
          <w:rStyle w:val="FootnoteReference"/>
        </w:rPr>
        <w:t xml:space="preserve"> </w:t>
      </w:r>
      <w:r w:rsidR="009870A0">
        <w:rPr>
          <w:rStyle w:val="FootnoteReference"/>
        </w:rPr>
        <w:footnoteReference w:id="51"/>
      </w:r>
      <w:r w:rsidR="009870A0">
        <w:t xml:space="preserve"> In such case</w:t>
      </w:r>
      <w:r w:rsidR="00102026">
        <w:t xml:space="preserve">s the Committee believes it is worth considering giving </w:t>
      </w:r>
      <w:r w:rsidR="009870A0">
        <w:t>parties an opportunity to have an investigation concluded if they so wish.</w:t>
      </w:r>
    </w:p>
    <w:p w:rsidR="005763AB" w:rsidRDefault="005763AB" w:rsidP="009870A0">
      <w:pPr>
        <w:pStyle w:val="Recommendation"/>
      </w:pPr>
      <w:bookmarkStart w:id="69" w:name="_Toc481489026"/>
      <w:bookmarkEnd w:id="69"/>
    </w:p>
    <w:p w:rsidR="009870A0" w:rsidRDefault="009870A0" w:rsidP="009870A0">
      <w:pPr>
        <w:pStyle w:val="RecommendationText"/>
      </w:pPr>
      <w:bookmarkStart w:id="70" w:name="_Toc481489027"/>
      <w:r>
        <w:t xml:space="preserve">The Committee recommends that the ACT Public Service review its procedures for misconduct investigations </w:t>
      </w:r>
      <w:r w:rsidR="00D843CB">
        <w:t>and consider whether</w:t>
      </w:r>
      <w:r>
        <w:t xml:space="preserve"> parties who have left the ACT Public Service </w:t>
      </w:r>
      <w:r w:rsidR="00D843CB">
        <w:t>should be able to</w:t>
      </w:r>
      <w:r>
        <w:t xml:space="preserve"> choose to have </w:t>
      </w:r>
      <w:r w:rsidR="00362DD0">
        <w:t>such investigations concluded rather than abandoned.</w:t>
      </w:r>
      <w:bookmarkEnd w:id="70"/>
    </w:p>
    <w:p w:rsidR="00C36F0E" w:rsidRDefault="00C36F0E" w:rsidP="00C36F0E">
      <w:pPr>
        <w:pStyle w:val="Headinglevel2"/>
        <w:numPr>
          <w:ilvl w:val="0"/>
          <w:numId w:val="0"/>
        </w:numPr>
      </w:pPr>
      <w:bookmarkStart w:id="71" w:name="_Toc481489005"/>
      <w:r>
        <w:t>Territory Records</w:t>
      </w:r>
      <w:bookmarkEnd w:id="71"/>
    </w:p>
    <w:p w:rsidR="00A172F6" w:rsidRDefault="00C36F0E" w:rsidP="00A172F6">
      <w:pPr>
        <w:pStyle w:val="BodyText1"/>
      </w:pPr>
      <w:r>
        <w:t>A Question on Notice was asked about the Territory Records Office (TRO)</w:t>
      </w:r>
      <w:r w:rsidR="00A172F6">
        <w:t xml:space="preserve"> and funding for record digitisation</w:t>
      </w:r>
      <w:r>
        <w:t>. The Committee was informed</w:t>
      </w:r>
      <w:r w:rsidR="00A172F6">
        <w:t xml:space="preserve"> that</w:t>
      </w:r>
      <w:r>
        <w:t xml:space="preserve"> </w:t>
      </w:r>
      <w:r w:rsidR="00A172F6">
        <w:t>r</w:t>
      </w:r>
      <w:r w:rsidRPr="00C36F0E">
        <w:t xml:space="preserve">esponsibility </w:t>
      </w:r>
      <w:r w:rsidR="00A172F6" w:rsidRPr="00A172F6">
        <w:t xml:space="preserve">for compliance with the </w:t>
      </w:r>
      <w:r w:rsidR="00A172F6" w:rsidRPr="00A172F6">
        <w:rPr>
          <w:i/>
        </w:rPr>
        <w:t>Territory Records Act 2002</w:t>
      </w:r>
      <w:r w:rsidR="00A172F6">
        <w:t xml:space="preserve"> </w:t>
      </w:r>
      <w:r w:rsidR="00A172F6" w:rsidRPr="00A172F6">
        <w:t xml:space="preserve">lies with the Principal Officers of agencies. The TRO produces standards, guidelines and other advice products to help agencies to meet the requirements of the Act. TRO staff also meet regularly with agency staff and provide training and ad hoc advice as necessary. In 2015-16 the TRO's major contribution to agency recordkeeping was the establishment of the whole of government framework for </w:t>
      </w:r>
      <w:r w:rsidR="00A172F6">
        <w:t>electronic document and records management systems</w:t>
      </w:r>
      <w:r w:rsidR="00A172F6" w:rsidRPr="00A172F6">
        <w:t xml:space="preserve"> services, which provides a key tool to assist agency record keeping performance. Currently, the TRO is working on a checklist to help agencies assess their recordkeeping maturity, and is developing a new advice service that will help agencies to undertake more in-depth reviews of their record keeping practices.</w:t>
      </w:r>
      <w:r w:rsidR="00A172F6">
        <w:rPr>
          <w:rStyle w:val="FootnoteReference"/>
        </w:rPr>
        <w:footnoteReference w:id="52"/>
      </w:r>
    </w:p>
    <w:p w:rsidR="00C36F0E" w:rsidRDefault="00A172F6" w:rsidP="00A172F6">
      <w:pPr>
        <w:pStyle w:val="BodyText1"/>
      </w:pPr>
      <w:r>
        <w:t>In 2015-16 the TRO was allocated $375 000 for a project to establish a whole of government capability for digital record keeping. That project established a governance framework for ACTPS management of electronic document and records management systems and deployed seven sites that demonstrate the effectiveness of the system in a variety of business settings.</w:t>
      </w:r>
      <w:r>
        <w:rPr>
          <w:rStyle w:val="FootnoteReference"/>
        </w:rPr>
        <w:footnoteReference w:id="53"/>
      </w:r>
    </w:p>
    <w:p w:rsidR="00A172F6" w:rsidRDefault="00416BAF" w:rsidP="00A172F6">
      <w:pPr>
        <w:pStyle w:val="BodyText1"/>
      </w:pPr>
      <w:r>
        <w:t>T</w:t>
      </w:r>
      <w:r w:rsidR="00A172F6">
        <w:t xml:space="preserve">he Committee notes </w:t>
      </w:r>
      <w:r>
        <w:t>that the 2015-16 annual reporting period was the first time that information about agency records management arrangements was consolidated in the Director of Territory Records’ annual report. The Committee welcomes this development. The Committee notes that two entities, the ACT Insurance Authority and the Community Services Directorate, reported Records Management Programs that had not been reviewed in at least four years.</w:t>
      </w:r>
      <w:r w:rsidR="00212EAE">
        <w:rPr>
          <w:rStyle w:val="FootnoteReference"/>
        </w:rPr>
        <w:footnoteReference w:id="54"/>
      </w:r>
      <w:r>
        <w:t xml:space="preserve"> The Committee welcomes the efforts by the TRO to accelerate digital record keeping and notes that implementation of this will require monitoring for software updates and innovations in the field.</w:t>
      </w:r>
    </w:p>
    <w:p w:rsidR="00C36F0E" w:rsidRDefault="00C36F0E" w:rsidP="00C36F0E">
      <w:pPr>
        <w:pStyle w:val="Recommendation"/>
      </w:pPr>
      <w:bookmarkStart w:id="72" w:name="_Toc481489028"/>
      <w:bookmarkEnd w:id="72"/>
    </w:p>
    <w:p w:rsidR="00C36F0E" w:rsidRDefault="00C36F0E" w:rsidP="00C36F0E">
      <w:pPr>
        <w:pStyle w:val="RecommendationText"/>
      </w:pPr>
      <w:bookmarkStart w:id="73" w:name="_Toc481489029"/>
      <w:r>
        <w:t>The Committee recommends that ACT Govern</w:t>
      </w:r>
      <w:r w:rsidR="00D843CB">
        <w:t xml:space="preserve">ment directorates and agencies </w:t>
      </w:r>
      <w:r>
        <w:t>consult with the Territory Record Office when developing or amending their Record Management Program, or altering the Program significantly.</w:t>
      </w:r>
      <w:bookmarkEnd w:id="73"/>
    </w:p>
    <w:p w:rsidR="00C36F0E" w:rsidRDefault="00C36F0E" w:rsidP="00C36F0E">
      <w:pPr>
        <w:pStyle w:val="Recommendation"/>
      </w:pPr>
      <w:bookmarkStart w:id="74" w:name="_Toc481489030"/>
      <w:bookmarkEnd w:id="74"/>
    </w:p>
    <w:p w:rsidR="00C36F0E" w:rsidRDefault="00C36F0E" w:rsidP="00C36F0E">
      <w:pPr>
        <w:pStyle w:val="RecommendationText"/>
      </w:pPr>
      <w:bookmarkStart w:id="75" w:name="_Toc481489031"/>
      <w:r>
        <w:t>The Committee recommends that ACT Government directorates and agencies’ adherence to their Record Management Programs should be reviewed by the Territory Record Office every three years, and that the results of these reviews be published.</w:t>
      </w:r>
      <w:bookmarkEnd w:id="75"/>
    </w:p>
    <w:p w:rsidR="00C36F0E" w:rsidRDefault="00C36F0E" w:rsidP="00C36F0E">
      <w:pPr>
        <w:pStyle w:val="Recommendation"/>
      </w:pPr>
      <w:bookmarkStart w:id="76" w:name="_Toc481489032"/>
      <w:bookmarkEnd w:id="76"/>
    </w:p>
    <w:p w:rsidR="00C36F0E" w:rsidRPr="00C36F0E" w:rsidRDefault="00C36F0E" w:rsidP="00C36F0E">
      <w:pPr>
        <w:pStyle w:val="RecommendationText"/>
      </w:pPr>
      <w:bookmarkStart w:id="77" w:name="_Toc481489033"/>
      <w:r>
        <w:t>The Committee recommends that ACT Government guidelines for record keeping should be reviewed every three years to ensure the processes stay current and are integrated with new technology upgrades as they become available.</w:t>
      </w:r>
      <w:bookmarkEnd w:id="77"/>
    </w:p>
    <w:p w:rsidR="00D94B0A" w:rsidRDefault="00D94B0A" w:rsidP="00D94B0A">
      <w:pPr>
        <w:pStyle w:val="Headinglevel2"/>
        <w:numPr>
          <w:ilvl w:val="0"/>
          <w:numId w:val="0"/>
        </w:numPr>
        <w:rPr>
          <w:lang w:eastAsia="zh-TW"/>
        </w:rPr>
      </w:pPr>
      <w:bookmarkStart w:id="78" w:name="_Toc481489006"/>
      <w:r>
        <w:rPr>
          <w:lang w:eastAsia="zh-TW"/>
        </w:rPr>
        <w:t>Economic Development and Procurement</w:t>
      </w:r>
      <w:bookmarkEnd w:id="78"/>
    </w:p>
    <w:p w:rsidR="00D94B0A" w:rsidRDefault="00D94B0A" w:rsidP="00D94B0A">
      <w:pPr>
        <w:pStyle w:val="BodyText1"/>
      </w:pPr>
      <w:r>
        <w:t xml:space="preserve">The </w:t>
      </w:r>
      <w:r w:rsidR="003B1FBD">
        <w:t xml:space="preserve">Committee heard from the Treasurer and officials on 27 February 2017. The </w:t>
      </w:r>
      <w:r>
        <w:t>Committee discussed the following issues:</w:t>
      </w:r>
    </w:p>
    <w:p w:rsidR="00D94B0A" w:rsidRDefault="00D94B0A" w:rsidP="00DD5F6B">
      <w:pPr>
        <w:pStyle w:val="ListBullet"/>
      </w:pPr>
      <w:r w:rsidRPr="006A2FF4">
        <w:t xml:space="preserve">MOU with Unions ACT and </w:t>
      </w:r>
      <w:r w:rsidR="005A2443" w:rsidRPr="006A2FF4">
        <w:t xml:space="preserve">stakeholder involvement in </w:t>
      </w:r>
      <w:r w:rsidRPr="006A2FF4">
        <w:t>procurement</w:t>
      </w:r>
      <w:r>
        <w:t>;</w:t>
      </w:r>
      <w:r w:rsidR="005A2443">
        <w:rPr>
          <w:rStyle w:val="FootnoteReference"/>
        </w:rPr>
        <w:footnoteReference w:id="55"/>
      </w:r>
    </w:p>
    <w:p w:rsidR="00D94B0A" w:rsidRDefault="0067174D" w:rsidP="00DD5F6B">
      <w:pPr>
        <w:pStyle w:val="ListBullet"/>
      </w:pPr>
      <w:r>
        <w:t>Complaints about contractors by employee representative organisations;</w:t>
      </w:r>
      <w:r w:rsidR="005A2443">
        <w:rPr>
          <w:rStyle w:val="FootnoteReference"/>
        </w:rPr>
        <w:footnoteReference w:id="56"/>
      </w:r>
    </w:p>
    <w:p w:rsidR="0067174D" w:rsidRDefault="00886E0C" w:rsidP="00DD5F6B">
      <w:pPr>
        <w:pStyle w:val="ListBullet"/>
      </w:pPr>
      <w:r>
        <w:t>Financial risk assessments of failed construction firm SMI group;</w:t>
      </w:r>
      <w:r w:rsidR="005A2443">
        <w:rPr>
          <w:rStyle w:val="FootnoteReference"/>
        </w:rPr>
        <w:footnoteReference w:id="57"/>
      </w:r>
    </w:p>
    <w:p w:rsidR="00886E0C" w:rsidRDefault="002B5A24" w:rsidP="00DD5F6B">
      <w:pPr>
        <w:pStyle w:val="ListBullet"/>
      </w:pPr>
      <w:r>
        <w:t>Cyber security industry in the ACT;</w:t>
      </w:r>
      <w:r w:rsidR="005A2443">
        <w:rPr>
          <w:rStyle w:val="FootnoteReference"/>
        </w:rPr>
        <w:footnoteReference w:id="58"/>
      </w:r>
    </w:p>
    <w:p w:rsidR="002B5A24" w:rsidRDefault="002B5A24" w:rsidP="00DD5F6B">
      <w:pPr>
        <w:pStyle w:val="ListBullet"/>
      </w:pPr>
      <w:r>
        <w:t>Canberra free Wifi;</w:t>
      </w:r>
      <w:r w:rsidR="005A2443">
        <w:rPr>
          <w:rStyle w:val="FootnoteReference"/>
        </w:rPr>
        <w:footnoteReference w:id="59"/>
      </w:r>
    </w:p>
    <w:p w:rsidR="002B5A24" w:rsidRDefault="00C3023D" w:rsidP="00DD5F6B">
      <w:pPr>
        <w:pStyle w:val="ListBullet"/>
      </w:pPr>
      <w:r>
        <w:t>Commissioner for International Engagement;</w:t>
      </w:r>
      <w:r w:rsidR="005A2443">
        <w:rPr>
          <w:rStyle w:val="FootnoteReference"/>
        </w:rPr>
        <w:footnoteReference w:id="60"/>
      </w:r>
    </w:p>
    <w:p w:rsidR="00C3023D" w:rsidRDefault="004F2A93" w:rsidP="00DD5F6B">
      <w:pPr>
        <w:pStyle w:val="ListBullet"/>
      </w:pPr>
      <w:r>
        <w:t>Appointments made within the Commissioner for International Engagement’s office</w:t>
      </w:r>
      <w:r w:rsidR="00D81628">
        <w:t>;</w:t>
      </w:r>
      <w:r>
        <w:rPr>
          <w:rStyle w:val="FootnoteReference"/>
        </w:rPr>
        <w:footnoteReference w:id="61"/>
      </w:r>
      <w:r>
        <w:t xml:space="preserve"> and</w:t>
      </w:r>
    </w:p>
    <w:p w:rsidR="00C60BD9" w:rsidRDefault="004F2A93" w:rsidP="00DD5F6B">
      <w:pPr>
        <w:pStyle w:val="ListBullet"/>
      </w:pPr>
      <w:r>
        <w:t>Local Industry Advocate.</w:t>
      </w:r>
      <w:r>
        <w:rPr>
          <w:rStyle w:val="FootnoteReference"/>
        </w:rPr>
        <w:footnoteReference w:id="62"/>
      </w:r>
    </w:p>
    <w:p w:rsidR="00D81628" w:rsidRDefault="0093407E" w:rsidP="00A7004C">
      <w:pPr>
        <w:pStyle w:val="Headinglevel3"/>
      </w:pPr>
      <w:r>
        <w:t>Stakeholder involvement in procurement</w:t>
      </w:r>
    </w:p>
    <w:p w:rsidR="0093407E" w:rsidRDefault="001D4944" w:rsidP="0093407E">
      <w:pPr>
        <w:pStyle w:val="BodyText1"/>
      </w:pPr>
      <w:r>
        <w:t>The Committee asked how the operation of the ACT Government’s Memorandum of Understanding (MOU) with UnionsACT affected government procurement processes. The Committee was informed that at the beginning of hiring contractors there were processes of checking prequalification, industrial relations and employment certification. Particular attention was paid to the financial viability of firms and whether they have adverse court rulings against them for illegal practices or offences against workers. These checks reflect the aim of the MOU to ensure that the government uses fair and appropriate work practices and hires firms that do the same.</w:t>
      </w:r>
      <w:r w:rsidR="00A12B53">
        <w:rPr>
          <w:rStyle w:val="FootnoteReference"/>
        </w:rPr>
        <w:footnoteReference w:id="63"/>
      </w:r>
    </w:p>
    <w:p w:rsidR="001D4944" w:rsidRDefault="001D4944" w:rsidP="0093407E">
      <w:pPr>
        <w:pStyle w:val="BodyText1"/>
      </w:pPr>
      <w:r>
        <w:t xml:space="preserve">Unions are notified about the tender list and of people applying for prequalification. </w:t>
      </w:r>
      <w:r w:rsidR="003F7DA9">
        <w:t>The unions, and members of the public, can comment on the lists. Comments suggesting there are matters such as adverse court rulings against a firm will be further considered.</w:t>
      </w:r>
      <w:r w:rsidR="00A12B53">
        <w:rPr>
          <w:rStyle w:val="FootnoteReference"/>
        </w:rPr>
        <w:footnoteReference w:id="64"/>
      </w:r>
    </w:p>
    <w:p w:rsidR="00805C73" w:rsidRDefault="00805C73" w:rsidP="0093407E">
      <w:pPr>
        <w:pStyle w:val="BodyText1"/>
      </w:pPr>
      <w:r>
        <w:t>The Committee asked about a request by UnionsACT for procurement decisions in excess of $1 mi</w:t>
      </w:r>
      <w:r w:rsidR="00A12B53">
        <w:t>l</w:t>
      </w:r>
      <w:r>
        <w:t>lion to be suspended until the MOU could be negotiated. Officials told the Committee that they received a request for suspension but informed UnionsACT that this was not practicable.</w:t>
      </w:r>
      <w:r w:rsidR="00A12B53">
        <w:rPr>
          <w:rStyle w:val="FootnoteReference"/>
        </w:rPr>
        <w:footnoteReference w:id="65"/>
      </w:r>
    </w:p>
    <w:p w:rsidR="00057E99" w:rsidRDefault="00057E99" w:rsidP="0093407E">
      <w:pPr>
        <w:pStyle w:val="BodyText1"/>
      </w:pPr>
      <w:r>
        <w:t xml:space="preserve">The Committee asked about stakeholder input in procurement. The Committee was informed that for big procurements </w:t>
      </w:r>
      <w:r w:rsidR="00A12B53">
        <w:t>the government takes industry soundings. In the case of the court building refurbishment this produced a clear message that industry was interest</w:t>
      </w:r>
      <w:r w:rsidR="0033440C">
        <w:t>ed</w:t>
      </w:r>
      <w:r w:rsidR="00A12B53">
        <w:t xml:space="preserve"> in a public-private partnership and so a PPP procurement was advanced. More generally, when policy or process changes are proposed, such as the introduction of active certification for building sites, extensive consultation with stakeholders is undertaken. Procurement and Capital Works, CMTEDD, meet with the Master Builders Association and Consult Australia quarterly and on a more ad hoc basis with unions.</w:t>
      </w:r>
      <w:r w:rsidR="00A12B53">
        <w:rPr>
          <w:rStyle w:val="FootnoteReference"/>
        </w:rPr>
        <w:footnoteReference w:id="66"/>
      </w:r>
    </w:p>
    <w:p w:rsidR="0061613F" w:rsidRDefault="0061613F" w:rsidP="0093407E">
      <w:pPr>
        <w:pStyle w:val="BodyText1"/>
      </w:pPr>
      <w:r>
        <w:t xml:space="preserve">The Committee was informed that local industry will often inform the government if there are concerns about a new entrant to the market. Established firms may view </w:t>
      </w:r>
      <w:r w:rsidR="006A2FF4">
        <w:t>companies that have non compliant industrial relations and employment practices as having an unfair advantage (for example by underpaying superannuation levies). It was suggested that industry was more likely than unions to raise concerns about competitors’ behaviour.</w:t>
      </w:r>
      <w:r w:rsidR="006A2FF4">
        <w:rPr>
          <w:rStyle w:val="FootnoteReference"/>
        </w:rPr>
        <w:footnoteReference w:id="67"/>
      </w:r>
    </w:p>
    <w:p w:rsidR="00135ACD" w:rsidRDefault="00135ACD" w:rsidP="00135ACD">
      <w:pPr>
        <w:pStyle w:val="Headinglevel3"/>
      </w:pPr>
      <w:r>
        <w:t>Financial risk assessment</w:t>
      </w:r>
    </w:p>
    <w:p w:rsidR="00135ACD" w:rsidRDefault="004A2AD0" w:rsidP="00135ACD">
      <w:pPr>
        <w:pStyle w:val="BodyText1"/>
      </w:pPr>
      <w:r>
        <w:t xml:space="preserve">The Committee asked about financial risk assessments of ACT-based construction firm SMI, which went into administration on 7 February 2017. </w:t>
      </w:r>
      <w:r w:rsidR="001C62AF">
        <w:t xml:space="preserve">The Committee was informed that independent firm </w:t>
      </w:r>
      <w:r w:rsidR="00135ACD">
        <w:t>Kingsway</w:t>
      </w:r>
      <w:r w:rsidR="001C62AF">
        <w:t xml:space="preserve"> undertook a financial assessment of SMI on 3 November 2016. The report found some deterioration of SMI’s accounts but not enough to prevent prequalification.</w:t>
      </w:r>
      <w:r w:rsidR="001C62AF">
        <w:rPr>
          <w:rStyle w:val="FootnoteReference"/>
        </w:rPr>
        <w:footnoteReference w:id="68"/>
      </w:r>
    </w:p>
    <w:p w:rsidR="001C62AF" w:rsidRDefault="001C62AF" w:rsidP="00135ACD">
      <w:pPr>
        <w:pStyle w:val="BodyText1"/>
      </w:pPr>
      <w:r>
        <w:t>The Committee asked what declarations SMI presented to government to advise that subcontractors were being paid. The Committee was advised that for each part or progress payment from government SMI had to supply a declaration that “all due and payable” payments had been made.</w:t>
      </w:r>
      <w:r w:rsidR="00204CCC">
        <w:rPr>
          <w:rStyle w:val="FootnoteReference"/>
        </w:rPr>
        <w:footnoteReference w:id="69"/>
      </w:r>
    </w:p>
    <w:p w:rsidR="00204CCC" w:rsidRDefault="00204CCC" w:rsidP="00135ACD">
      <w:pPr>
        <w:pStyle w:val="BodyText1"/>
      </w:pPr>
      <w:r>
        <w:t>The Committee welcomes the statement from officials that their priority is taking action to protect subcontractors and once the immediate impact of the administration is addressed that they will be looking at whether there are any improvements to processes that should be made.</w:t>
      </w:r>
      <w:r>
        <w:rPr>
          <w:rStyle w:val="FootnoteReference"/>
        </w:rPr>
        <w:footnoteReference w:id="70"/>
      </w:r>
    </w:p>
    <w:p w:rsidR="00135ACD" w:rsidRDefault="00135ACD" w:rsidP="00135ACD">
      <w:pPr>
        <w:pStyle w:val="Recommendation"/>
      </w:pPr>
      <w:bookmarkStart w:id="79" w:name="_Toc481489034"/>
      <w:bookmarkEnd w:id="79"/>
    </w:p>
    <w:p w:rsidR="00135ACD" w:rsidRDefault="00135ACD" w:rsidP="00135ACD">
      <w:pPr>
        <w:pStyle w:val="RecommendationText"/>
      </w:pPr>
      <w:bookmarkStart w:id="80" w:name="_Toc481489035"/>
      <w:r>
        <w:t>The Committee recommends that ACT Government guidelines given to independent assessors undertaking financial assessments of external contractors be reviewed to determine what level of financial deterioration is acceptable before a company is no longer able to be classified as prequalified.</w:t>
      </w:r>
      <w:bookmarkEnd w:id="80"/>
    </w:p>
    <w:p w:rsidR="00135ACD" w:rsidRDefault="00135ACD" w:rsidP="00135ACD">
      <w:pPr>
        <w:pStyle w:val="Recommendation"/>
      </w:pPr>
      <w:bookmarkStart w:id="81" w:name="_Toc481489036"/>
      <w:bookmarkEnd w:id="81"/>
    </w:p>
    <w:p w:rsidR="00135ACD" w:rsidRDefault="00135ACD" w:rsidP="00135ACD">
      <w:pPr>
        <w:pStyle w:val="RecommendationText"/>
      </w:pPr>
      <w:bookmarkStart w:id="82" w:name="_Toc481489037"/>
      <w:r>
        <w:t>The Committee recommends that additional or more frequent assessments be undertaken on a</w:t>
      </w:r>
      <w:r w:rsidR="00D843CB">
        <w:t xml:space="preserve"> pre-qualified</w:t>
      </w:r>
      <w:r>
        <w:t xml:space="preserve"> entity after it has shown signs of financial deterioration.  The additional reviews should be conducted with reference to the length and value of the contract.</w:t>
      </w:r>
      <w:bookmarkEnd w:id="82"/>
    </w:p>
    <w:p w:rsidR="00135ACD" w:rsidRDefault="00135ACD" w:rsidP="00135ACD">
      <w:pPr>
        <w:pStyle w:val="Recommendation"/>
      </w:pPr>
      <w:bookmarkStart w:id="83" w:name="_Toc481489038"/>
      <w:bookmarkEnd w:id="83"/>
    </w:p>
    <w:p w:rsidR="00135ACD" w:rsidRDefault="00135ACD" w:rsidP="00135ACD">
      <w:pPr>
        <w:pStyle w:val="RecommendationText"/>
      </w:pPr>
      <w:bookmarkStart w:id="84" w:name="_Toc481489039"/>
      <w:r>
        <w:t xml:space="preserve">The Committee recommends that the </w:t>
      </w:r>
      <w:r w:rsidR="004A2AD0">
        <w:t xml:space="preserve">ACT </w:t>
      </w:r>
      <w:r>
        <w:t>Government evaluate existing procedures to mitigate the risk of contractors engaged by the ACT not paying subcontractors</w:t>
      </w:r>
      <w:r w:rsidR="00D843CB">
        <w:t xml:space="preserve"> and workers</w:t>
      </w:r>
      <w:r>
        <w:t>, including evaluating whether financial risk assessments are accurate and current, and whether contractors’ statutory declarations are sufficiently reliable or should include some further form of proof from sub-contractors.</w:t>
      </w:r>
      <w:bookmarkEnd w:id="84"/>
    </w:p>
    <w:p w:rsidR="00135ACD" w:rsidRDefault="00135ACD" w:rsidP="00135ACD">
      <w:pPr>
        <w:pStyle w:val="Recommendation"/>
      </w:pPr>
      <w:bookmarkStart w:id="85" w:name="_Toc481489040"/>
      <w:bookmarkEnd w:id="85"/>
    </w:p>
    <w:p w:rsidR="00135ACD" w:rsidRPr="00135ACD" w:rsidRDefault="00135ACD" w:rsidP="00135ACD">
      <w:pPr>
        <w:pStyle w:val="RecommendationText"/>
      </w:pPr>
      <w:bookmarkStart w:id="86" w:name="_Toc481489041"/>
      <w:r>
        <w:t xml:space="preserve">The Committee </w:t>
      </w:r>
      <w:r w:rsidR="00D843CB">
        <w:t>recommends that the Government</w:t>
      </w:r>
      <w:r>
        <w:t xml:space="preserve"> develop specific guidelines and policy on how to interact with contractors and subcontractors after an entity is suspected to be financially unstable or goes into administration.</w:t>
      </w:r>
      <w:bookmarkEnd w:id="86"/>
    </w:p>
    <w:p w:rsidR="00416BAF" w:rsidRDefault="00416BAF" w:rsidP="00416BAF">
      <w:pPr>
        <w:pStyle w:val="Headinglevel3"/>
      </w:pPr>
      <w:r>
        <w:t>Procurement Board and Asbestos Taskforce</w:t>
      </w:r>
    </w:p>
    <w:p w:rsidR="00416BAF" w:rsidRDefault="00212EAE" w:rsidP="00416BAF">
      <w:pPr>
        <w:pStyle w:val="BodyText1"/>
      </w:pPr>
      <w:r>
        <w:t>The Committee notes that the Standing Committee on Public Accounts in the Eight Assembly recommended that the ACT Government inform the ACT Legislative Assembly as to whether the Loose Fill Asbestos Eradication Scheme has or will be subject to consideration by the A</w:t>
      </w:r>
      <w:r w:rsidR="00953078">
        <w:t>CT</w:t>
      </w:r>
      <w:r>
        <w:t xml:space="preserve"> </w:t>
      </w:r>
      <w:r w:rsidR="00953078">
        <w:t xml:space="preserve">Government </w:t>
      </w:r>
      <w:r>
        <w:t xml:space="preserve">Procurement Board. The government response agreed to the recommendation and stated that representatives from the </w:t>
      </w:r>
      <w:r w:rsidR="00953078">
        <w:t xml:space="preserve">Asbestos Response </w:t>
      </w:r>
      <w:r w:rsidRPr="00416BAF">
        <w:t>Taskforce</w:t>
      </w:r>
      <w:r w:rsidR="00953078">
        <w:t>,</w:t>
      </w:r>
      <w:r w:rsidRPr="00416BAF">
        <w:t xml:space="preserve"> </w:t>
      </w:r>
      <w:r w:rsidR="00953078">
        <w:t>and Procurement and Capital Works (CMTEDD),</w:t>
      </w:r>
      <w:r>
        <w:t xml:space="preserve"> </w:t>
      </w:r>
      <w:r w:rsidR="00953078">
        <w:t>had briefed the ACT Government Procurement Board on two occasions. These briefings occurred despite the value of the initial proposed procurements being below the level where Board endorsement was required.</w:t>
      </w:r>
      <w:r w:rsidR="00953078">
        <w:rPr>
          <w:rStyle w:val="FootnoteReference"/>
        </w:rPr>
        <w:footnoteReference w:id="71"/>
      </w:r>
      <w:r w:rsidR="00953078">
        <w:t xml:space="preserve"> Given the size of the procurement involved in the Loose-fill Asbestos Insulation Eradication Scheme the Committee welcomes the Taskforce’s interaction with the ACT Government Procurement Board and hopes to see it continue.</w:t>
      </w:r>
    </w:p>
    <w:p w:rsidR="00416BAF" w:rsidRDefault="00416BAF" w:rsidP="00416BAF">
      <w:pPr>
        <w:pStyle w:val="Recommendation"/>
      </w:pPr>
      <w:bookmarkStart w:id="87" w:name="_Toc481489042"/>
      <w:bookmarkEnd w:id="87"/>
    </w:p>
    <w:p w:rsidR="00416BAF" w:rsidRPr="00416BAF" w:rsidRDefault="00416BAF" w:rsidP="00416BAF">
      <w:pPr>
        <w:pStyle w:val="RecommendationText"/>
      </w:pPr>
      <w:bookmarkStart w:id="88" w:name="_Toc481489043"/>
      <w:r w:rsidRPr="00416BAF">
        <w:t>The Committee recommends that a regular sch</w:t>
      </w:r>
      <w:r w:rsidR="00212EAE">
        <w:t xml:space="preserve">edule of briefings and updates </w:t>
      </w:r>
      <w:r w:rsidRPr="00416BAF">
        <w:t xml:space="preserve">be implemented between the ACT Government Procurement Board, the </w:t>
      </w:r>
      <w:r w:rsidR="00953078">
        <w:t xml:space="preserve">Asbestos Response </w:t>
      </w:r>
      <w:r w:rsidRPr="00416BAF">
        <w:t>Taskforce, and Procurement and Capital Works</w:t>
      </w:r>
      <w:r w:rsidR="00212EAE">
        <w:t xml:space="preserve"> (CMTEDD)</w:t>
      </w:r>
      <w:r w:rsidRPr="00416BAF">
        <w:t xml:space="preserve"> to ensure the large scale procurement associated with these undertakings is correctly assessed and the risks are appropriately managed.</w:t>
      </w:r>
      <w:bookmarkEnd w:id="88"/>
    </w:p>
    <w:p w:rsidR="00D81628" w:rsidRDefault="00D81628" w:rsidP="00D81628">
      <w:pPr>
        <w:pStyle w:val="Headinglevel2"/>
        <w:numPr>
          <w:ilvl w:val="0"/>
          <w:numId w:val="0"/>
        </w:numPr>
        <w:rPr>
          <w:lang w:eastAsia="zh-TW"/>
        </w:rPr>
      </w:pPr>
      <w:bookmarkStart w:id="89" w:name="_Toc481489007"/>
      <w:r>
        <w:rPr>
          <w:lang w:eastAsia="zh-TW"/>
        </w:rPr>
        <w:t>Visit Canberra</w:t>
      </w:r>
      <w:bookmarkEnd w:id="89"/>
    </w:p>
    <w:p w:rsidR="00D81628" w:rsidRDefault="000539B4" w:rsidP="00D81628">
      <w:pPr>
        <w:pStyle w:val="BodyText1"/>
      </w:pPr>
      <w:r>
        <w:t xml:space="preserve">The Minister for Tourism and Major events appeared before the Committee with officials on 28 February 2017. </w:t>
      </w:r>
      <w:r w:rsidR="00D81628">
        <w:t>The Committee discussed the following issues:</w:t>
      </w:r>
    </w:p>
    <w:p w:rsidR="00D81628" w:rsidRDefault="00D81628" w:rsidP="00DD5F6B">
      <w:pPr>
        <w:pStyle w:val="ListBullet"/>
      </w:pPr>
      <w:r>
        <w:t>Measur</w:t>
      </w:r>
      <w:r w:rsidR="004F2A93">
        <w:t xml:space="preserve">ing the </w:t>
      </w:r>
      <w:r>
        <w:t>success of tourism marketing</w:t>
      </w:r>
      <w:r w:rsidR="004F2A93">
        <w:t xml:space="preserve"> and arrangements with airlines</w:t>
      </w:r>
      <w:r>
        <w:t>;</w:t>
      </w:r>
      <w:r w:rsidR="004F2A93">
        <w:rPr>
          <w:rStyle w:val="FootnoteReference"/>
        </w:rPr>
        <w:footnoteReference w:id="72"/>
      </w:r>
    </w:p>
    <w:p w:rsidR="00D81628" w:rsidRDefault="00C60BD9" w:rsidP="00DD5F6B">
      <w:pPr>
        <w:pStyle w:val="ListBullet"/>
      </w:pPr>
      <w:r>
        <w:t>Average stay and spend of international visitors to the ACT;</w:t>
      </w:r>
      <w:r w:rsidR="004F2A93">
        <w:rPr>
          <w:rStyle w:val="FootnoteReference"/>
        </w:rPr>
        <w:footnoteReference w:id="73"/>
      </w:r>
    </w:p>
    <w:p w:rsidR="00C60BD9" w:rsidRDefault="00C60BD9" w:rsidP="00DD5F6B">
      <w:pPr>
        <w:pStyle w:val="ListBullet"/>
      </w:pPr>
      <w:r>
        <w:t>Social media and internet strategy;</w:t>
      </w:r>
      <w:r w:rsidR="004F2A93">
        <w:rPr>
          <w:rStyle w:val="FootnoteReference"/>
        </w:rPr>
        <w:footnoteReference w:id="74"/>
      </w:r>
      <w:r w:rsidR="004F2A93">
        <w:t xml:space="preserve"> and</w:t>
      </w:r>
    </w:p>
    <w:p w:rsidR="00C60BD9" w:rsidRDefault="001438C8" w:rsidP="00DD5F6B">
      <w:pPr>
        <w:pStyle w:val="ListBullet"/>
      </w:pPr>
      <w:r>
        <w:t>Canberra Region Visitor Centre</w:t>
      </w:r>
      <w:r w:rsidR="004F2A93">
        <w:t>.</w:t>
      </w:r>
      <w:r w:rsidR="004F2A93">
        <w:rPr>
          <w:rStyle w:val="FootnoteReference"/>
        </w:rPr>
        <w:footnoteReference w:id="75"/>
      </w:r>
    </w:p>
    <w:p w:rsidR="000539B4" w:rsidRDefault="000539B4" w:rsidP="000539B4">
      <w:pPr>
        <w:pStyle w:val="Headinglevel3"/>
      </w:pPr>
      <w:r>
        <w:t>Measuring impact of tourism marketing</w:t>
      </w:r>
    </w:p>
    <w:p w:rsidR="000539B4" w:rsidRDefault="000539B4" w:rsidP="000539B4">
      <w:pPr>
        <w:pStyle w:val="BodyText1"/>
      </w:pPr>
      <w:r>
        <w:t xml:space="preserve">The Committee asked how the ACT government measured the success of its marketing arrangement with Singapore Airlines. The Minister told the Committee that public data, such as the quarterly international visitor survey on passengers and tourists entering the ACT, was available. In addition there was immigration arrivals data and </w:t>
      </w:r>
      <w:r w:rsidR="00B641C4">
        <w:t>Singapore Airlines closely monitor</w:t>
      </w:r>
      <w:r>
        <w:t xml:space="preserve"> its flight loadings.</w:t>
      </w:r>
      <w:r w:rsidR="00B641C4">
        <w:t xml:space="preserve"> Marketing is focussed on Wellington and Singapore and there are double digit percentage increases in international arrivals from Singapore and New Zealand.</w:t>
      </w:r>
      <w:r w:rsidR="00864DD0">
        <w:rPr>
          <w:rStyle w:val="FootnoteReference"/>
        </w:rPr>
        <w:footnoteReference w:id="76"/>
      </w:r>
    </w:p>
    <w:p w:rsidR="00B641C4" w:rsidRDefault="00B641C4" w:rsidP="000539B4">
      <w:pPr>
        <w:pStyle w:val="BodyText1"/>
      </w:pPr>
      <w:r>
        <w:t>There is also a freight element to the Singapore Airlines flights and that will be measured. A further indicator is industry interest and the Minister noted the announcement from Qatar Airlines of their interest in flying to Canberra.</w:t>
      </w:r>
      <w:r w:rsidR="00864DD0">
        <w:rPr>
          <w:rStyle w:val="FootnoteReference"/>
        </w:rPr>
        <w:footnoteReference w:id="77"/>
      </w:r>
    </w:p>
    <w:p w:rsidR="000539B4" w:rsidRDefault="00B641C4" w:rsidP="000539B4">
      <w:pPr>
        <w:pStyle w:val="BodyText1"/>
      </w:pPr>
      <w:r>
        <w:t>Officials informed the Committee that the ACT attracts approximately 203,000 international visitors annually. The top five markets are China, the US, the UK, New Zealand and Singapore, in that order. There has been significant growth in the last few years in visitor numbers from China. The Singapore Airlines flights have generated growth not just from Singapore but from Malaysia and beyond.</w:t>
      </w:r>
      <w:r w:rsidR="00864DD0">
        <w:rPr>
          <w:rStyle w:val="FootnoteReference"/>
        </w:rPr>
        <w:footnoteReference w:id="78"/>
      </w:r>
    </w:p>
    <w:p w:rsidR="00E55B54" w:rsidRDefault="00E55B54" w:rsidP="000539B4">
      <w:pPr>
        <w:pStyle w:val="BodyText1"/>
      </w:pPr>
      <w:r>
        <w:t xml:space="preserve">The Committee asked about how ACT </w:t>
      </w:r>
      <w:r w:rsidR="00864DD0">
        <w:t xml:space="preserve">international </w:t>
      </w:r>
      <w:r>
        <w:t>tourism marketing spend was split between direct and with partners. The Committee was informed</w:t>
      </w:r>
      <w:r w:rsidR="00864DD0">
        <w:t xml:space="preserve"> that around fifty per cent of expenditur</w:t>
      </w:r>
      <w:r w:rsidR="00D843CB">
        <w:t>e was through the partnership with</w:t>
      </w:r>
      <w:r w:rsidR="00864DD0">
        <w:t xml:space="preserve"> Singapore Airlines with the majority of the rest with Tourism Australia. As a relatively small jurisdiction the A</w:t>
      </w:r>
      <w:r w:rsidR="00D843CB">
        <w:t xml:space="preserve">CT </w:t>
      </w:r>
      <w:r w:rsidR="00864DD0">
        <w:t>needs partners to get reach in international marketing. The ACT has been targeting Singaporean visitors who have visited Australia a number of times previously and are looking for a new destination. The ACT markets the Canberra region to these travellers with co-contributions from other regional authorities.</w:t>
      </w:r>
      <w:r w:rsidR="00864DD0">
        <w:rPr>
          <w:rStyle w:val="FootnoteReference"/>
        </w:rPr>
        <w:footnoteReference w:id="79"/>
      </w:r>
    </w:p>
    <w:p w:rsidR="00274DBC" w:rsidRDefault="00274DBC" w:rsidP="00274DBC">
      <w:pPr>
        <w:pStyle w:val="Headinglevel3"/>
      </w:pPr>
      <w:r>
        <w:t xml:space="preserve">Canberra Region </w:t>
      </w:r>
      <w:r w:rsidR="00AD765A">
        <w:t>V</w:t>
      </w:r>
      <w:r>
        <w:t>isitor Centre</w:t>
      </w:r>
    </w:p>
    <w:p w:rsidR="00274DBC" w:rsidRDefault="00274DBC" w:rsidP="00274DBC">
      <w:pPr>
        <w:pStyle w:val="BodyText1"/>
      </w:pPr>
      <w:r>
        <w:t>The Committee asked about the move of the Canberra and Region Visitor Centre from Northbourne Avenue to Regatta Point. The Committee was informed that, nationally, visitor centre numbers were declining and Canberra had seen a similar trend. One of the advantages of moving to Regatta Point is that it is a destination in its own right. The new location makes it easier for visitors to understand Canberra and where key locations are.</w:t>
      </w:r>
      <w:r w:rsidR="00051B22">
        <w:t xml:space="preserve"> There is a focus on technology and interactive experiences at the centre. The new centre has increased foot traffic and the length of stay of visitors is considerably longer.</w:t>
      </w:r>
      <w:r w:rsidR="001A50C5">
        <w:t xml:space="preserve"> There are also more Canberrans visiting the centre, which is important as a third of all visitors are visiting family and friends.</w:t>
      </w:r>
      <w:r w:rsidR="001A50C5">
        <w:rPr>
          <w:rStyle w:val="FootnoteReference"/>
        </w:rPr>
        <w:footnoteReference w:id="80"/>
      </w:r>
    </w:p>
    <w:p w:rsidR="00051B22" w:rsidRPr="00274DBC" w:rsidRDefault="001A50C5" w:rsidP="00274DBC">
      <w:pPr>
        <w:pStyle w:val="BodyText1"/>
      </w:pPr>
      <w:r>
        <w:t>The Committee asked about the cost of the move. The Committee was informed that the total cost was $4,146,485. This cost included the cost of building refurbishment, the fit out and technology requirements and the new signage.</w:t>
      </w:r>
      <w:r>
        <w:rPr>
          <w:rStyle w:val="FootnoteReference"/>
        </w:rPr>
        <w:footnoteReference w:id="81"/>
      </w:r>
    </w:p>
    <w:p w:rsidR="00757CE7" w:rsidRDefault="00464BFE" w:rsidP="00D81628">
      <w:pPr>
        <w:pStyle w:val="Headinglevel2"/>
        <w:numPr>
          <w:ilvl w:val="0"/>
          <w:numId w:val="0"/>
        </w:numPr>
      </w:pPr>
      <w:bookmarkStart w:id="90" w:name="_Toc481489008"/>
      <w:r>
        <w:t>Venues and</w:t>
      </w:r>
      <w:r w:rsidR="00B95CCE">
        <w:t xml:space="preserve"> Event</w:t>
      </w:r>
      <w:r w:rsidR="000C54EF">
        <w:t>s</w:t>
      </w:r>
      <w:bookmarkEnd w:id="90"/>
    </w:p>
    <w:p w:rsidR="00757CE7" w:rsidRDefault="00FF5EE9" w:rsidP="00757CE7">
      <w:pPr>
        <w:pStyle w:val="BodyText1"/>
      </w:pPr>
      <w:r>
        <w:t>Territory Venues managed GIO Stadium Canberra, Exhibition Park in Canberra (EPIC), Manuka Oval and Stromlo Forest Park.</w:t>
      </w:r>
      <w:r w:rsidR="001027FA">
        <w:rPr>
          <w:rStyle w:val="FootnoteReference"/>
        </w:rPr>
        <w:footnoteReference w:id="82"/>
      </w:r>
      <w:r w:rsidR="00757CE7">
        <w:t xml:space="preserve"> </w:t>
      </w:r>
      <w:r>
        <w:t>CMTEDD also planned, promoted and delivered a suite of community and tourism events and managed the National Arboretum Canberra.</w:t>
      </w:r>
      <w:r>
        <w:rPr>
          <w:rStyle w:val="FootnoteReference"/>
        </w:rPr>
        <w:footnoteReference w:id="83"/>
      </w:r>
      <w:r>
        <w:t xml:space="preserve"> </w:t>
      </w:r>
      <w:r w:rsidR="00757CE7">
        <w:t>The Committee discussed the following issues</w:t>
      </w:r>
      <w:r w:rsidR="001027FA">
        <w:t xml:space="preserve"> </w:t>
      </w:r>
      <w:r w:rsidR="00460E48">
        <w:t xml:space="preserve">with the Minister for Tourism and Major Events and officials </w:t>
      </w:r>
      <w:r w:rsidR="001027FA">
        <w:t xml:space="preserve">at a public hearing on </w:t>
      </w:r>
      <w:r w:rsidR="00460E48">
        <w:t xml:space="preserve">28 February </w:t>
      </w:r>
      <w:r w:rsidR="001027FA">
        <w:t>201</w:t>
      </w:r>
      <w:r w:rsidR="00460E48">
        <w:t>7</w:t>
      </w:r>
      <w:r w:rsidR="00757CE7">
        <w:t>:</w:t>
      </w:r>
    </w:p>
    <w:p w:rsidR="00FD4308" w:rsidRDefault="009F5DC4" w:rsidP="00DD5F6B">
      <w:pPr>
        <w:pStyle w:val="ListBullet"/>
      </w:pPr>
      <w:r>
        <w:t xml:space="preserve">GIO Stadium </w:t>
      </w:r>
      <w:r w:rsidR="004D4A1D">
        <w:t>and Manuka Oval strategic plans.</w:t>
      </w:r>
      <w:r w:rsidR="004D4A1D">
        <w:rPr>
          <w:rStyle w:val="FootnoteReference"/>
        </w:rPr>
        <w:footnoteReference w:id="84"/>
      </w:r>
    </w:p>
    <w:p w:rsidR="00161665" w:rsidRDefault="00161665" w:rsidP="00161665">
      <w:pPr>
        <w:pStyle w:val="Headinglevel3"/>
      </w:pPr>
      <w:r>
        <w:t>Gio Stadium and Manuka Oval strategic plans</w:t>
      </w:r>
    </w:p>
    <w:p w:rsidR="00161665" w:rsidRDefault="00161665" w:rsidP="00161665">
      <w:pPr>
        <w:pStyle w:val="BodyText1"/>
      </w:pPr>
      <w:r>
        <w:t xml:space="preserve">The Committee </w:t>
      </w:r>
      <w:r w:rsidR="00D843CB">
        <w:t xml:space="preserve">asked </w:t>
      </w:r>
      <w:r w:rsidR="00460E48">
        <w:t>what the plans were for Manuka Oval and GIO Stadium. The Minister informed the Committee that in order to meet the ICC’s requirements for test match cricket, Manuka Oval needed certain upgrades prior to the summer of 2018-19. The key upgrade is a new media centre and consultation on that is underway. The preferred location is the southern end of the oval. The ACT Government has committed capital works funding to the project and the National Capital Authority has responsibility for approval. Work at Manuka Oval will follow the master plan work commenced in 2007. This means that work will be confined to within the oval precinct and be related to player, spectator and media amenity. There are no plans to change the planning zones that apply to the area. The hope is that, with the cooperation of hirers</w:t>
      </w:r>
      <w:r w:rsidR="001C20E1">
        <w:t>, there can be some increase in seating facilities.</w:t>
      </w:r>
      <w:r w:rsidR="001C20E1">
        <w:rPr>
          <w:rStyle w:val="FootnoteReference"/>
        </w:rPr>
        <w:footnoteReference w:id="85"/>
      </w:r>
    </w:p>
    <w:p w:rsidR="001C20E1" w:rsidRPr="00161665" w:rsidRDefault="006A353C" w:rsidP="00161665">
      <w:pPr>
        <w:pStyle w:val="BodyText1"/>
      </w:pPr>
      <w:r>
        <w:t xml:space="preserve">Regarding the Canberra Stadium the Committee was told that it was owned by the Australian Sports Commission and that the ACT Government is a tenant. The government was previously charged a peppercorn rent. With the Sports </w:t>
      </w:r>
      <w:r w:rsidR="00D843CB">
        <w:t>C</w:t>
      </w:r>
      <w:r>
        <w:t>ommission’s reduced budget the Government is now being charged $350,000 per year in rent. The Government has an annual budget allocation for capital upgrades at the stadium. The Minister stated that he was reluctant to invest a large amount of capital in a venue that the government did not own but that the facility had to be kept operational for the Raiders and the Brumbies.</w:t>
      </w:r>
      <w:r w:rsidR="00525DDB">
        <w:rPr>
          <w:rStyle w:val="FootnoteReference"/>
        </w:rPr>
        <w:footnoteReference w:id="86"/>
      </w:r>
    </w:p>
    <w:p w:rsidR="00D867CD" w:rsidRDefault="00D867CD" w:rsidP="00D867CD">
      <w:pPr>
        <w:pStyle w:val="Headinglevel2"/>
      </w:pPr>
      <w:bookmarkStart w:id="91" w:name="_Toc481489009"/>
      <w:r>
        <w:t>Access Canberra</w:t>
      </w:r>
      <w:bookmarkEnd w:id="91"/>
    </w:p>
    <w:p w:rsidR="00575677" w:rsidRDefault="00265E4D" w:rsidP="00575677">
      <w:pPr>
        <w:pStyle w:val="BodyText1"/>
      </w:pPr>
      <w:r>
        <w:t>Access Canberra is intended to provide a one-stop shop for ACT Government customer and regulatory services to make access for the community to government services easier, simpler and faster. Access Canberra provides over 2,000 different types of services through agencies, shopfronts and online.</w:t>
      </w:r>
      <w:r w:rsidR="00FF5EE9">
        <w:rPr>
          <w:rStyle w:val="FootnoteReference"/>
        </w:rPr>
        <w:footnoteReference w:id="87"/>
      </w:r>
      <w:r>
        <w:t xml:space="preserve"> </w:t>
      </w:r>
      <w:r w:rsidR="00575677">
        <w:t xml:space="preserve">The </w:t>
      </w:r>
      <w:r>
        <w:t xml:space="preserve">Minister for Regulatory Services and officials appeared before the Committee on 28 February 2017. The </w:t>
      </w:r>
      <w:r w:rsidR="00575677">
        <w:t>Committee discussed:</w:t>
      </w:r>
    </w:p>
    <w:p w:rsidR="008F0610" w:rsidRDefault="007E29FB" w:rsidP="00DD5F6B">
      <w:pPr>
        <w:pStyle w:val="ListBullet"/>
      </w:pPr>
      <w:r>
        <w:t>The structure of Access Canberra;</w:t>
      </w:r>
      <w:r w:rsidR="004D4A1D">
        <w:rPr>
          <w:rStyle w:val="FootnoteReference"/>
        </w:rPr>
        <w:footnoteReference w:id="88"/>
      </w:r>
    </w:p>
    <w:p w:rsidR="007E29FB" w:rsidRDefault="007E29FB" w:rsidP="00DD5F6B">
      <w:pPr>
        <w:pStyle w:val="ListBullet"/>
      </w:pPr>
      <w:r>
        <w:t>Breakdown of Access Canberra staffing;</w:t>
      </w:r>
      <w:r w:rsidR="004D4A1D">
        <w:rPr>
          <w:rStyle w:val="FootnoteReference"/>
        </w:rPr>
        <w:footnoteReference w:id="89"/>
      </w:r>
    </w:p>
    <w:p w:rsidR="007E29FB" w:rsidRDefault="007E29FB" w:rsidP="00DD5F6B">
      <w:pPr>
        <w:pStyle w:val="ListBullet"/>
      </w:pPr>
      <w:r>
        <w:t>Intimidation of WorkSafe inspectors;</w:t>
      </w:r>
      <w:r w:rsidR="004D4A1D">
        <w:rPr>
          <w:rStyle w:val="FootnoteReference"/>
        </w:rPr>
        <w:footnoteReference w:id="90"/>
      </w:r>
    </w:p>
    <w:p w:rsidR="007E29FB" w:rsidRDefault="00AA58A9" w:rsidP="00DD5F6B">
      <w:pPr>
        <w:pStyle w:val="ListBullet"/>
      </w:pPr>
      <w:r>
        <w:t>Advice on right of entry</w:t>
      </w:r>
      <w:r w:rsidR="003E264E">
        <w:t xml:space="preserve"> to construction sites</w:t>
      </w:r>
      <w:r>
        <w:t>;</w:t>
      </w:r>
      <w:r w:rsidR="003E264E">
        <w:rPr>
          <w:rStyle w:val="FootnoteReference"/>
        </w:rPr>
        <w:footnoteReference w:id="91"/>
      </w:r>
    </w:p>
    <w:p w:rsidR="00AA58A9" w:rsidRDefault="00AA58A9" w:rsidP="00DD5F6B">
      <w:pPr>
        <w:pStyle w:val="ListBullet"/>
      </w:pPr>
      <w:r>
        <w:t>Improvements to building quality and construction site safety;</w:t>
      </w:r>
      <w:r w:rsidR="003E264E">
        <w:rPr>
          <w:rStyle w:val="FootnoteReference"/>
        </w:rPr>
        <w:footnoteReference w:id="92"/>
      </w:r>
    </w:p>
    <w:p w:rsidR="00AA58A9" w:rsidRDefault="00ED4460" w:rsidP="00DD5F6B">
      <w:pPr>
        <w:pStyle w:val="ListBullet"/>
      </w:pPr>
      <w:r>
        <w:t>Training for builders;</w:t>
      </w:r>
      <w:r w:rsidR="005524AC">
        <w:rPr>
          <w:rStyle w:val="FootnoteReference"/>
        </w:rPr>
        <w:footnoteReference w:id="93"/>
      </w:r>
    </w:p>
    <w:p w:rsidR="00ED4460" w:rsidRDefault="00525DDB" w:rsidP="00DD5F6B">
      <w:pPr>
        <w:pStyle w:val="ListBullet"/>
      </w:pPr>
      <w:r>
        <w:t>Building quality certification and w</w:t>
      </w:r>
      <w:r w:rsidR="00ED4460">
        <w:t>ater ingress issues;</w:t>
      </w:r>
      <w:r w:rsidR="005524AC">
        <w:rPr>
          <w:rStyle w:val="FootnoteReference"/>
        </w:rPr>
        <w:footnoteReference w:id="94"/>
      </w:r>
    </w:p>
    <w:p w:rsidR="00ED4460" w:rsidRDefault="00886C51" w:rsidP="00DD5F6B">
      <w:pPr>
        <w:pStyle w:val="ListBullet"/>
      </w:pPr>
      <w:r>
        <w:t>Limitation on rectification period;</w:t>
      </w:r>
      <w:r w:rsidR="005524AC">
        <w:rPr>
          <w:rStyle w:val="FootnoteReference"/>
        </w:rPr>
        <w:footnoteReference w:id="95"/>
      </w:r>
    </w:p>
    <w:p w:rsidR="00886C51" w:rsidRDefault="00886C51" w:rsidP="00DD5F6B">
      <w:pPr>
        <w:pStyle w:val="ListBullet"/>
      </w:pPr>
      <w:r>
        <w:t>CFMEU action against WorkSafe;</w:t>
      </w:r>
      <w:r w:rsidR="005524AC">
        <w:rPr>
          <w:rStyle w:val="FootnoteReference"/>
        </w:rPr>
        <w:footnoteReference w:id="96"/>
      </w:r>
    </w:p>
    <w:p w:rsidR="00886C51" w:rsidRDefault="003C6D3D" w:rsidP="00DD5F6B">
      <w:pPr>
        <w:pStyle w:val="ListBullet"/>
      </w:pPr>
      <w:r>
        <w:t>Telephone wait times for Access Canberra;</w:t>
      </w:r>
      <w:r w:rsidR="005524AC">
        <w:rPr>
          <w:rStyle w:val="FootnoteReference"/>
        </w:rPr>
        <w:footnoteReference w:id="97"/>
      </w:r>
    </w:p>
    <w:p w:rsidR="003C6D3D" w:rsidRDefault="002F2850" w:rsidP="00DD5F6B">
      <w:pPr>
        <w:pStyle w:val="ListBullet"/>
      </w:pPr>
      <w:r w:rsidRPr="00864E41">
        <w:t>Stop work and rectification notices for non-compliance with planning requirements</w:t>
      </w:r>
      <w:r>
        <w:t>;</w:t>
      </w:r>
      <w:r w:rsidR="00AD309E">
        <w:rPr>
          <w:rStyle w:val="FootnoteReference"/>
        </w:rPr>
        <w:footnoteReference w:id="98"/>
      </w:r>
    </w:p>
    <w:p w:rsidR="002F2850" w:rsidRDefault="002F2850" w:rsidP="00DD5F6B">
      <w:pPr>
        <w:pStyle w:val="ListBullet"/>
      </w:pPr>
      <w:r>
        <w:t xml:space="preserve">Air quality monitoring at demolition sites for </w:t>
      </w:r>
      <w:r w:rsidR="00375031">
        <w:t xml:space="preserve">houses with </w:t>
      </w:r>
      <w:r>
        <w:t>loose-fill asbestos;</w:t>
      </w:r>
      <w:r w:rsidR="00AF1314">
        <w:rPr>
          <w:rStyle w:val="FootnoteReference"/>
        </w:rPr>
        <w:footnoteReference w:id="99"/>
      </w:r>
    </w:p>
    <w:p w:rsidR="0030320A" w:rsidRDefault="0030320A" w:rsidP="00DD5F6B">
      <w:pPr>
        <w:pStyle w:val="ListBullet"/>
      </w:pPr>
      <w:r>
        <w:t>Ainslie shops “Mr Fluffy” site;</w:t>
      </w:r>
      <w:r w:rsidR="00AF1314">
        <w:rPr>
          <w:rStyle w:val="FootnoteReference"/>
        </w:rPr>
        <w:footnoteReference w:id="100"/>
      </w:r>
    </w:p>
    <w:p w:rsidR="0030320A" w:rsidRDefault="0030320A" w:rsidP="00DD5F6B">
      <w:pPr>
        <w:pStyle w:val="ListBullet"/>
      </w:pPr>
      <w:r>
        <w:t>Parking enforcements on nature strips;</w:t>
      </w:r>
      <w:r w:rsidR="00AF1314">
        <w:rPr>
          <w:rStyle w:val="FootnoteReference"/>
        </w:rPr>
        <w:footnoteReference w:id="101"/>
      </w:r>
    </w:p>
    <w:p w:rsidR="00AF1314" w:rsidRDefault="00AF1314" w:rsidP="00DD5F6B">
      <w:pPr>
        <w:pStyle w:val="ListBullet"/>
      </w:pPr>
      <w:r>
        <w:t>Encroachment parking;</w:t>
      </w:r>
      <w:r>
        <w:rPr>
          <w:rStyle w:val="FootnoteReference"/>
        </w:rPr>
        <w:footnoteReference w:id="102"/>
      </w:r>
    </w:p>
    <w:p w:rsidR="003D0599" w:rsidRDefault="003D0599" w:rsidP="00DD5F6B">
      <w:pPr>
        <w:pStyle w:val="ListBullet"/>
      </w:pPr>
      <w:r>
        <w:t>Stock piling at recycling operation in Hume;</w:t>
      </w:r>
      <w:r w:rsidR="00AF1314">
        <w:rPr>
          <w:rStyle w:val="FootnoteReference"/>
        </w:rPr>
        <w:footnoteReference w:id="103"/>
      </w:r>
    </w:p>
    <w:p w:rsidR="003D0599" w:rsidRDefault="00796EC3" w:rsidP="00DD5F6B">
      <w:pPr>
        <w:pStyle w:val="ListBullet"/>
      </w:pPr>
      <w:r>
        <w:t>Remediation of West Belconnen site;</w:t>
      </w:r>
      <w:r w:rsidR="004A6DBD">
        <w:rPr>
          <w:rStyle w:val="FootnoteReference"/>
        </w:rPr>
        <w:footnoteReference w:id="104"/>
      </w:r>
      <w:r w:rsidR="00EE4BF4">
        <w:t xml:space="preserve"> and</w:t>
      </w:r>
    </w:p>
    <w:p w:rsidR="00796EC3" w:rsidRDefault="00EE4BF4" w:rsidP="00DD5F6B">
      <w:pPr>
        <w:pStyle w:val="ListBullet"/>
      </w:pPr>
      <w:r>
        <w:t>Woden shopfront.</w:t>
      </w:r>
      <w:r>
        <w:rPr>
          <w:rStyle w:val="FootnoteReference"/>
        </w:rPr>
        <w:footnoteReference w:id="105"/>
      </w:r>
    </w:p>
    <w:p w:rsidR="00525DDB" w:rsidRDefault="00525DDB" w:rsidP="00525DDB">
      <w:pPr>
        <w:pStyle w:val="Headinglevel3"/>
      </w:pPr>
      <w:r>
        <w:t>Building quality certification and water ingress issues</w:t>
      </w:r>
    </w:p>
    <w:p w:rsidR="00525DDB" w:rsidRDefault="00525DDB" w:rsidP="00525DDB">
      <w:pPr>
        <w:pStyle w:val="BodyText1"/>
      </w:pPr>
      <w:r>
        <w:t>The Committee asked about efforts to improve building quality with a particular focus on preventing water ingress issues. The Committee was informed that the process starts with licensing. Class C builders are required to sit a written exam when seeking license renewal. This is intended to ensure builders are applying modern standards. There is also an enforcement scheme with both proactive and reactive inspections. Access Canberra engages with industry, particularly the HIA and MBA</w:t>
      </w:r>
      <w:r w:rsidR="00C560B4">
        <w:t>, conveying the message about improving quality and the inspection regime. Access Canberra has also recently begun engaging with the independent certifiers to ensure they are clear on what the legislation expects them to be looking at. Water ingress into units has been a particular focus and Access Canberra is developing additional guidelines and possibly a training course for this area.</w:t>
      </w:r>
      <w:r w:rsidR="000B1CEB">
        <w:rPr>
          <w:rStyle w:val="FootnoteReference"/>
        </w:rPr>
        <w:footnoteReference w:id="106"/>
      </w:r>
    </w:p>
    <w:p w:rsidR="008F5219" w:rsidRDefault="00D05B41" w:rsidP="00525DDB">
      <w:pPr>
        <w:pStyle w:val="BodyText1"/>
      </w:pPr>
      <w:r>
        <w:t>Officials informed the Committee that certifiers are being encouraged to take a closer look at plans to ensure the designs make appropriate provision for preventing water ingress</w:t>
      </w:r>
      <w:r w:rsidR="00D843CB">
        <w:t>.</w:t>
      </w:r>
      <w:r>
        <w:t xml:space="preserve"> The Committee was informed that the number of buildings constructed with water ingress issues was a relatively small percentage of total construction but had a significant impact upon those affected</w:t>
      </w:r>
      <w:r w:rsidR="000B1CEB">
        <w:t>.</w:t>
      </w:r>
      <w:r w:rsidR="000B1CEB">
        <w:rPr>
          <w:rStyle w:val="FootnoteReference"/>
        </w:rPr>
        <w:footnoteReference w:id="107"/>
      </w:r>
    </w:p>
    <w:p w:rsidR="00D05B41" w:rsidRDefault="008F5219" w:rsidP="00525DDB">
      <w:pPr>
        <w:pStyle w:val="BodyText1"/>
      </w:pPr>
      <w:r>
        <w:t>The Committee asked about when inspections are carried out. The Committee was informed that there are separate plumbing and electrical inspectors</w:t>
      </w:r>
      <w:r w:rsidR="00D05B41">
        <w:t>.</w:t>
      </w:r>
      <w:r w:rsidR="00C81A11">
        <w:t xml:space="preserve"> Plumbing inspections happen before the slab is poured. Inspections are largely randomised but there is also targeting on a risk-harm basis. Builders that have a history of compliance issues may be inspected more frequently.</w:t>
      </w:r>
      <w:r w:rsidR="000B1CEB">
        <w:rPr>
          <w:rStyle w:val="FootnoteReference"/>
        </w:rPr>
        <w:footnoteReference w:id="108"/>
      </w:r>
    </w:p>
    <w:p w:rsidR="000B1CEB" w:rsidRDefault="008276F9" w:rsidP="00525DDB">
      <w:pPr>
        <w:pStyle w:val="BodyText1"/>
      </w:pPr>
      <w:r>
        <w:t xml:space="preserve">The Committee asked about rectification where leaking is discovered. The Committee was informed that litigation is usually long term and while the matter can takes years to progress through the courts the leaking goes unrectified. Access Canberra’s first approach is to engage the builder, and usually the certifier, and give them an opportunity to resolve the issue. An audit determines the work that needs doing. Usually with water ingress problems rectification may cause some disruption but is </w:t>
      </w:r>
      <w:r w:rsidR="00D76827">
        <w:t>achievable</w:t>
      </w:r>
      <w:r>
        <w:t>.</w:t>
      </w:r>
      <w:r w:rsidR="00D76827">
        <w:rPr>
          <w:rStyle w:val="FootnoteReference"/>
        </w:rPr>
        <w:footnoteReference w:id="109"/>
      </w:r>
    </w:p>
    <w:p w:rsidR="00D76827" w:rsidRDefault="00D76827" w:rsidP="00525DDB">
      <w:pPr>
        <w:pStyle w:val="BodyText1"/>
      </w:pPr>
      <w:r>
        <w:t>The Committee asked about how water ingress issues in multi-unit developments are handled. The committee was informed</w:t>
      </w:r>
      <w:r w:rsidR="00D843CB">
        <w:t xml:space="preserve"> that officials worked with bodies</w:t>
      </w:r>
      <w:r>
        <w:t xml:space="preserve"> corporate. There is a standard 10-year statute of limitations from the finalisation of a building to when a rectification can be ordered. There are also building warranties that last typically five to six years. When water ingress is discovered sometime after completion there is often a claim by the builder that this is caused by improper maintenance. Access Canberra, in association with MBA and HIA, will shortly release guidance for bod</w:t>
      </w:r>
      <w:r w:rsidR="00D843CB">
        <w:t>ies</w:t>
      </w:r>
      <w:r>
        <w:t xml:space="preserve"> corporate on maintenance.</w:t>
      </w:r>
      <w:r>
        <w:rPr>
          <w:rStyle w:val="FootnoteReference"/>
        </w:rPr>
        <w:footnoteReference w:id="110"/>
      </w:r>
    </w:p>
    <w:p w:rsidR="00FE6C40" w:rsidRDefault="00FE6C40" w:rsidP="00FE6C40">
      <w:pPr>
        <w:pStyle w:val="Headinglevel3"/>
      </w:pPr>
      <w:r>
        <w:t>Wait times</w:t>
      </w:r>
    </w:p>
    <w:p w:rsidR="00FE6C40" w:rsidRDefault="00FE6C40" w:rsidP="00FE6C40">
      <w:pPr>
        <w:pStyle w:val="BodyText1"/>
      </w:pPr>
      <w:r>
        <w:t>The Committee asked about the data recorded indicating the average call length, wait time and whether calls were resolved satisfactorily. The Committee was informed that the average wait time across the Access Canberra contact centre in January 2017 was 129 seconds and in February 2017 was 71 seconds. Access Canberra records the number of calls presented, the number answered and how long it takes to resolve the call. A call may be resolved by referring the call to another part of government.</w:t>
      </w:r>
      <w:r>
        <w:rPr>
          <w:rStyle w:val="FootnoteReference"/>
        </w:rPr>
        <w:footnoteReference w:id="111"/>
      </w:r>
    </w:p>
    <w:p w:rsidR="00135ACD" w:rsidRDefault="00135ACD" w:rsidP="00FE6C40">
      <w:pPr>
        <w:pStyle w:val="BodyText1"/>
      </w:pPr>
      <w:r>
        <w:t>The Committee notes that under the Access Canberra budget output the government has targets for the number of interactions with Access Canberra and the average cost of those interactions.</w:t>
      </w:r>
      <w:r>
        <w:rPr>
          <w:rStyle w:val="FootnoteReference"/>
        </w:rPr>
        <w:footnoteReference w:id="112"/>
      </w:r>
      <w:r>
        <w:t xml:space="preserve"> The Committee believes that the publication of additional statistics in this area would assist in building public confidence in the organisation.</w:t>
      </w:r>
    </w:p>
    <w:p w:rsidR="00135ACD" w:rsidRDefault="00135ACD" w:rsidP="00135ACD">
      <w:pPr>
        <w:pStyle w:val="Recommendation"/>
      </w:pPr>
      <w:bookmarkStart w:id="92" w:name="_Toc481489044"/>
      <w:bookmarkEnd w:id="92"/>
    </w:p>
    <w:p w:rsidR="00D843CB" w:rsidRDefault="00135ACD" w:rsidP="00135ACD">
      <w:pPr>
        <w:pStyle w:val="RecommendationText"/>
      </w:pPr>
      <w:bookmarkStart w:id="93" w:name="_Toc481489045"/>
      <w:r w:rsidRPr="00135ACD">
        <w:t>The Committee recommends that Access Canberra publish annual statistics on the number of client interactions, the time taken to respond to client queries, and the number of queries that are finalised.</w:t>
      </w:r>
      <w:bookmarkEnd w:id="93"/>
    </w:p>
    <w:p w:rsidR="00D843CB" w:rsidRDefault="00D843CB" w:rsidP="00D843CB">
      <w:pPr>
        <w:pStyle w:val="BodyText1"/>
        <w:numPr>
          <w:ilvl w:val="0"/>
          <w:numId w:val="0"/>
        </w:numPr>
        <w:ind w:left="567"/>
      </w:pPr>
    </w:p>
    <w:p w:rsidR="007E443F" w:rsidRDefault="007E443F" w:rsidP="007E443F">
      <w:pPr>
        <w:pStyle w:val="Headinglevel3"/>
      </w:pPr>
      <w:r>
        <w:t>Stop work and rectification notices for non compliance with planning approvals</w:t>
      </w:r>
    </w:p>
    <w:p w:rsidR="007E443F" w:rsidRDefault="00CF492F" w:rsidP="007E443F">
      <w:pPr>
        <w:pStyle w:val="BodyText1"/>
      </w:pPr>
      <w:r>
        <w:t>The Committee asked about action taken by Access Canberra when a builder begins construct</w:t>
      </w:r>
      <w:r w:rsidR="00780EBA">
        <w:t xml:space="preserve">ion or excavation in a </w:t>
      </w:r>
      <w:r>
        <w:t>manner inconsistent with planning approvals</w:t>
      </w:r>
      <w:r w:rsidR="00780EBA">
        <w:t>.</w:t>
      </w:r>
      <w:r w:rsidR="00F56670">
        <w:rPr>
          <w:rStyle w:val="FootnoteReference"/>
        </w:rPr>
        <w:footnoteReference w:id="113"/>
      </w:r>
      <w:r w:rsidR="00780EBA">
        <w:t xml:space="preserve"> </w:t>
      </w:r>
      <w:r w:rsidR="00AC56F0">
        <w:t xml:space="preserve">The Committee had examples before it of a boundary fence constructed </w:t>
      </w:r>
      <w:r w:rsidR="00EA16F1">
        <w:t>considerably higher than approved and an excavation that rendered part of the neighbouring yard unsafe.</w:t>
      </w:r>
      <w:r w:rsidR="00EA16F1">
        <w:rPr>
          <w:rStyle w:val="FootnoteReference"/>
        </w:rPr>
        <w:footnoteReference w:id="114"/>
      </w:r>
    </w:p>
    <w:p w:rsidR="00780EBA" w:rsidRDefault="00780EBA" w:rsidP="007E443F">
      <w:pPr>
        <w:pStyle w:val="BodyText1"/>
      </w:pPr>
      <w:r>
        <w:t>The Committee was informed:</w:t>
      </w:r>
    </w:p>
    <w:p w:rsidR="00780EBA" w:rsidRDefault="00780EBA" w:rsidP="00780EBA">
      <w:pPr>
        <w:pStyle w:val="Quote"/>
      </w:pPr>
      <w:r>
        <w:t>The response to rectify non-compliant building works is generally to request a new Development Approval (DA) or a DA amendment from the lessee. If the new DA or amendment is approved the issue is generally resolved.</w:t>
      </w:r>
    </w:p>
    <w:p w:rsidR="00780EBA" w:rsidRDefault="00780EBA" w:rsidP="00780EBA">
      <w:pPr>
        <w:pStyle w:val="Quote"/>
      </w:pPr>
      <w:r>
        <w:t>Should a new or amended DA be refused, Access Canberra has a range of avenues it can pursue to achieve substantial compliance with the approved plans. The preferred approach is to work with the lessee to reach compliance through engagement. Should this approach fail, Access Canberra can place a hold on the Certificate of Occupancy and Use, until an agreed path to compliance is identified with the certifier.</w:t>
      </w:r>
    </w:p>
    <w:p w:rsidR="00780EBA" w:rsidRDefault="00780EBA" w:rsidP="00780EBA">
      <w:pPr>
        <w:pStyle w:val="Quote"/>
      </w:pPr>
      <w:r>
        <w:t>If these avenues fail to deliver substantial compliance with the approved plans, Access Canberra can issue a rectification notice.</w:t>
      </w:r>
      <w:r>
        <w:rPr>
          <w:rStyle w:val="FootnoteReference"/>
        </w:rPr>
        <w:footnoteReference w:id="115"/>
      </w:r>
    </w:p>
    <w:p w:rsidR="00F56670" w:rsidRDefault="00F56670" w:rsidP="00780EBA">
      <w:pPr>
        <w:pStyle w:val="BodyText1"/>
      </w:pPr>
      <w:r>
        <w:t>The Committee asked about the frequency with which stop work notices were issued.</w:t>
      </w:r>
      <w:r>
        <w:rPr>
          <w:rStyle w:val="FootnoteReference"/>
        </w:rPr>
        <w:footnoteReference w:id="116"/>
      </w:r>
      <w:r>
        <w:t xml:space="preserve"> </w:t>
      </w:r>
      <w:r w:rsidR="00780EBA">
        <w:t xml:space="preserve">Three stop work notices were issued in 2015-16 by the Construction, Environment and Workplace Protection Division within Access Canberra. </w:t>
      </w:r>
      <w:r>
        <w:t>The notices were issued:</w:t>
      </w:r>
    </w:p>
    <w:p w:rsidR="00F56670" w:rsidRDefault="00F56670" w:rsidP="00DD5F6B">
      <w:pPr>
        <w:pStyle w:val="ListBullet"/>
      </w:pPr>
      <w:r>
        <w:t>to stop building works on a home while safety issues were addressed in relation to an excavation on the property. The notice is still in force.</w:t>
      </w:r>
    </w:p>
    <w:p w:rsidR="00F56670" w:rsidRDefault="00F56670" w:rsidP="00DD5F6B">
      <w:pPr>
        <w:pStyle w:val="ListBullet"/>
      </w:pPr>
      <w:r>
        <w:t>to stop building works while the Development Application was still under assessment and final approvals had not been provided. The notice is no longer in force.</w:t>
      </w:r>
    </w:p>
    <w:p w:rsidR="00F56670" w:rsidRDefault="00F56670" w:rsidP="00DD5F6B">
      <w:pPr>
        <w:pStyle w:val="ListBullet"/>
      </w:pPr>
      <w:r>
        <w:t>where it was reported that unapproved works were being conducted. The notice was revoked following investigation where it was found the works were exempt from requiring building approval.</w:t>
      </w:r>
      <w:r>
        <w:rPr>
          <w:rStyle w:val="FootnoteReference"/>
        </w:rPr>
        <w:footnoteReference w:id="117"/>
      </w:r>
    </w:p>
    <w:p w:rsidR="00A22309" w:rsidRDefault="00A22309" w:rsidP="00780EBA">
      <w:pPr>
        <w:pStyle w:val="BodyText1"/>
      </w:pPr>
      <w:r>
        <w:t>The Committee was advised that the difficulty in regulating these kinds of issues is that litigation can take years to resolve through court and that this will delay a solution. Taking a penalty or litigation course can result in the builder walking away from the site at issue. Access Canberra’s approach in the vast majority of cases is to engage with the builder to get a solution.</w:t>
      </w:r>
      <w:r>
        <w:rPr>
          <w:rStyle w:val="FootnoteReference"/>
        </w:rPr>
        <w:footnoteReference w:id="118"/>
      </w:r>
    </w:p>
    <w:p w:rsidR="00153845" w:rsidRDefault="00F56670" w:rsidP="00780EBA">
      <w:pPr>
        <w:pStyle w:val="BodyText1"/>
      </w:pPr>
      <w:r>
        <w:t xml:space="preserve">The Committee has concerns about the approach outlined by Access Canberra. </w:t>
      </w:r>
      <w:r w:rsidR="00A22309">
        <w:t xml:space="preserve">While agreeing that engagement with the builder is the best approach the Committee is less convinced that seeking variations to development approvals is the best first step. </w:t>
      </w:r>
      <w:r>
        <w:t xml:space="preserve">If the initial response to </w:t>
      </w:r>
      <w:r w:rsidR="00AC56F0">
        <w:t>non-compliant construction is to retrospectively make it compliant then the incentives for initial compliance are lowered</w:t>
      </w:r>
      <w:r w:rsidR="00D843CB">
        <w:t>,</w:t>
      </w:r>
      <w:r w:rsidR="00A22309">
        <w:t xml:space="preserve"> effectively creating a “better to seek forgiveness than permission” mindset</w:t>
      </w:r>
      <w:r w:rsidR="00AC56F0">
        <w:t xml:space="preserve">. </w:t>
      </w:r>
    </w:p>
    <w:p w:rsidR="00F56670" w:rsidRDefault="00153845" w:rsidP="00780EBA">
      <w:pPr>
        <w:pStyle w:val="BodyText1"/>
      </w:pPr>
      <w:r>
        <w:t>In the Committee’s opinion seeking amended approvals to add</w:t>
      </w:r>
      <w:r w:rsidR="00D843CB">
        <w:t xml:space="preserve">ress non-compliance should be </w:t>
      </w:r>
      <w:r>
        <w:t xml:space="preserve">the first option </w:t>
      </w:r>
      <w:r w:rsidR="00AC56F0">
        <w:t>only when the non-compliance is of a minor technical nature</w:t>
      </w:r>
      <w:r>
        <w:t>, difficult to rectify</w:t>
      </w:r>
      <w:r w:rsidR="00AC56F0">
        <w:t xml:space="preserve"> and does not have any impact upon neighbours. </w:t>
      </w:r>
      <w:r>
        <w:t xml:space="preserve">In other situations rectification to bring the work into compliance should be the first option explored. </w:t>
      </w:r>
      <w:r w:rsidR="00864E41">
        <w:t>The Committee believes that community expectations are that the emphasis should be placed on compliance with the approved D</w:t>
      </w:r>
      <w:r w:rsidR="00D843CB">
        <w:t>A</w:t>
      </w:r>
      <w:r w:rsidR="00864E41">
        <w:t>s rather than subsequent amendment.</w:t>
      </w:r>
    </w:p>
    <w:p w:rsidR="00780EBA" w:rsidRDefault="004A0B3D" w:rsidP="00780EBA">
      <w:pPr>
        <w:pStyle w:val="BodyText1"/>
      </w:pPr>
      <w:r>
        <w:t>The Committee is aware that this issue touches on planning matters and that these issues were further discussed in the annual report hearings of the Standing Committee on Planning and Urban Renewal.</w:t>
      </w:r>
    </w:p>
    <w:p w:rsidR="00F56670" w:rsidRDefault="00F56670" w:rsidP="00864E41">
      <w:pPr>
        <w:pStyle w:val="Recommendation"/>
      </w:pPr>
      <w:bookmarkStart w:id="94" w:name="_Toc481489046"/>
      <w:bookmarkEnd w:id="94"/>
    </w:p>
    <w:p w:rsidR="00864E41" w:rsidRDefault="00864E41" w:rsidP="00864E41">
      <w:pPr>
        <w:pStyle w:val="RecommendationText"/>
      </w:pPr>
      <w:bookmarkStart w:id="95" w:name="_Toc481489047"/>
      <w:r>
        <w:t>The Committee recommends that where Access Canberra becomes aware of construction and/or excavation work undertaken not in compliance with development approvals, the initial response from Access Canberra be to halt further work and seek ways in which the work can be rectified so that it is in compliance.</w:t>
      </w:r>
      <w:bookmarkEnd w:id="95"/>
    </w:p>
    <w:p w:rsidR="00375031" w:rsidRDefault="00375031" w:rsidP="00375031">
      <w:pPr>
        <w:pStyle w:val="Headinglevel3"/>
      </w:pPr>
      <w:r>
        <w:t>Air quality monitoring at demolition sites for houses with loose-fill asbestos</w:t>
      </w:r>
    </w:p>
    <w:p w:rsidR="00375031" w:rsidRDefault="00375031" w:rsidP="00375031">
      <w:pPr>
        <w:pStyle w:val="BodyText1"/>
      </w:pPr>
      <w:r>
        <w:t xml:space="preserve">The Committee asked about the Auditor-General reporting that WorkSafe ACT’s asbestos team had no air quality monitoring results </w:t>
      </w:r>
      <w:r w:rsidR="00C06D3D">
        <w:t xml:space="preserve">available </w:t>
      </w:r>
      <w:r>
        <w:t>from 18 loose-fill asbestos contaminated demolition sites.</w:t>
      </w:r>
      <w:r w:rsidR="00C06D3D">
        <w:rPr>
          <w:rStyle w:val="FootnoteReference"/>
        </w:rPr>
        <w:footnoteReference w:id="119"/>
      </w:r>
    </w:p>
    <w:p w:rsidR="00CF139E" w:rsidRDefault="00CF139E" w:rsidP="00375031">
      <w:pPr>
        <w:pStyle w:val="BodyText1"/>
      </w:pPr>
      <w:r>
        <w:t xml:space="preserve">The Committee was informed that regulations required air quality monitoring on every demolition site for the program. The monitoring reports are provided to independent </w:t>
      </w:r>
      <w:r w:rsidR="00A8016C">
        <w:t>asbestos assessors who are specially licensed contractors.</w:t>
      </w:r>
      <w:r>
        <w:t xml:space="preserve"> </w:t>
      </w:r>
      <w:r w:rsidR="00A8016C">
        <w:t xml:space="preserve">The assessors review the air quality reports each day and </w:t>
      </w:r>
      <w:r w:rsidR="00506EF9">
        <w:t>report to the Asbestos Response Taskforce, Procurement and Capital works, and WorkSafe about anything outside normal standards.</w:t>
      </w:r>
      <w:r w:rsidR="00506EF9">
        <w:rPr>
          <w:rStyle w:val="FootnoteReference"/>
        </w:rPr>
        <w:footnoteReference w:id="120"/>
      </w:r>
      <w:r w:rsidR="00506EF9">
        <w:t xml:space="preserve"> </w:t>
      </w:r>
    </w:p>
    <w:p w:rsidR="009C46B5" w:rsidRDefault="009C46B5" w:rsidP="00375031">
      <w:pPr>
        <w:pStyle w:val="BodyText1"/>
      </w:pPr>
      <w:r>
        <w:t>The Committee was informed that there have been approximately 175,000 air monitoring reports to date. These are held by the independent assessors and WorkSafe can generally obtain a specific report within 24 hours. Officials advised the Committee that government may take possession of the reports when they are finalising files.</w:t>
      </w:r>
    </w:p>
    <w:p w:rsidR="009C46B5" w:rsidRDefault="009C46B5" w:rsidP="00375031">
      <w:pPr>
        <w:pStyle w:val="BodyText1"/>
      </w:pPr>
      <w:r>
        <w:t xml:space="preserve">The Committee notes that asbestos related issues tend to have </w:t>
      </w:r>
      <w:r w:rsidR="00FF5EE9">
        <w:t xml:space="preserve">a </w:t>
      </w:r>
      <w:r>
        <w:t>long life, with environmental and health impacts being assessed over decades. Given this, the Committee considers it important that air quality monitoring reports from the demolition sites are properly archived by the ACT Government.</w:t>
      </w:r>
    </w:p>
    <w:p w:rsidR="009C46B5" w:rsidRDefault="009C46B5" w:rsidP="009C46B5">
      <w:pPr>
        <w:pStyle w:val="Recommendation"/>
      </w:pPr>
      <w:bookmarkStart w:id="96" w:name="_Toc481489048"/>
      <w:bookmarkEnd w:id="96"/>
    </w:p>
    <w:p w:rsidR="009C46B5" w:rsidRDefault="009C46B5" w:rsidP="009C46B5">
      <w:pPr>
        <w:pStyle w:val="RecommendationText"/>
      </w:pPr>
      <w:bookmarkStart w:id="97" w:name="_Toc481489049"/>
      <w:r>
        <w:t>The Committee recommends that the ACT Government permanently file and archive air quality monitoring reports created during the demolition of loose fill asbestos affected sites.</w:t>
      </w:r>
      <w:bookmarkEnd w:id="97"/>
    </w:p>
    <w:p w:rsidR="00D16BC9" w:rsidRDefault="00D16BC9" w:rsidP="00D16BC9">
      <w:pPr>
        <w:pStyle w:val="Headinglevel3"/>
      </w:pPr>
      <w:r>
        <w:t>Stock piling at recycling operation in Hume</w:t>
      </w:r>
    </w:p>
    <w:p w:rsidR="00D16BC9" w:rsidRDefault="00D16BC9" w:rsidP="00D16BC9">
      <w:pPr>
        <w:pStyle w:val="BodyText1"/>
      </w:pPr>
      <w:r>
        <w:t>The Committee asked for an update on stockpiling at the recycling centre at Hume. The Committee was informed that the stockpile at the centre had grown to the size where it required an environmental authorisation issued through the Environmental Protection Authority (EPA) in order to conduct its operations. This was complicated by the need for the centre to have a development application approved for infrastructure to enable it to recycle material. The centre’s DA was refused by the p</w:t>
      </w:r>
      <w:r w:rsidR="00D843CB">
        <w:t>lanning authority and the owner</w:t>
      </w:r>
      <w:r>
        <w:t>s have sought a review of that decision.</w:t>
      </w:r>
    </w:p>
    <w:p w:rsidR="00D16BC9" w:rsidRDefault="00A4267F" w:rsidP="00D16BC9">
      <w:pPr>
        <w:pStyle w:val="BodyText1"/>
      </w:pPr>
      <w:r>
        <w:t xml:space="preserve">The </w:t>
      </w:r>
      <w:r w:rsidR="00F374A7">
        <w:t xml:space="preserve">Committee was told that the </w:t>
      </w:r>
      <w:r>
        <w:t xml:space="preserve">EPA is negotiating with the proponent on the terms of its environmental authorisation. </w:t>
      </w:r>
      <w:r w:rsidR="00F374A7">
        <w:t xml:space="preserve">Two key provisions of that authorisation, assuming it gets approved, are that the stockpile limits be substantially less than what is currently present at the site and that a financial bond or surety be provided to cover clean-up of the site if needed. The environmental </w:t>
      </w:r>
      <w:r w:rsidR="00EA0E41">
        <w:t>authorisation</w:t>
      </w:r>
      <w:r w:rsidR="00F374A7">
        <w:t xml:space="preserve"> requires a DA to be approved first.</w:t>
      </w:r>
      <w:r w:rsidR="002F2DF9">
        <w:t xml:space="preserve"> While an environmental approval is not in place the operator needs to comply with the Environment Protection Act.</w:t>
      </w:r>
      <w:r w:rsidR="003E54AE">
        <w:t xml:space="preserve"> Access Canberra said that they were constantly working with the operator to prevent material leaving the site due to wind or rain and to reduce the stockpile. Access Canberra is considering whether additional enforcement action is needed to encourage reduction of the stockpile.</w:t>
      </w:r>
      <w:r w:rsidR="003E54AE">
        <w:rPr>
          <w:rStyle w:val="FootnoteReference"/>
        </w:rPr>
        <w:footnoteReference w:id="121"/>
      </w:r>
    </w:p>
    <w:p w:rsidR="001862EC" w:rsidRDefault="001862EC" w:rsidP="001862EC">
      <w:pPr>
        <w:pStyle w:val="Headinglevel2"/>
        <w:numPr>
          <w:ilvl w:val="0"/>
          <w:numId w:val="0"/>
        </w:numPr>
        <w:rPr>
          <w:lang w:eastAsia="zh-TW"/>
        </w:rPr>
      </w:pPr>
      <w:bookmarkStart w:id="98" w:name="_Toc481489010"/>
      <w:r>
        <w:rPr>
          <w:lang w:eastAsia="zh-TW"/>
        </w:rPr>
        <w:t>Arts Engagement and Cultural Facilities Corporation</w:t>
      </w:r>
      <w:bookmarkEnd w:id="98"/>
    </w:p>
    <w:p w:rsidR="001862EC" w:rsidRDefault="001862EC" w:rsidP="001862EC">
      <w:pPr>
        <w:pStyle w:val="BodyText1"/>
      </w:pPr>
      <w:r>
        <w:t xml:space="preserve">The </w:t>
      </w:r>
      <w:r w:rsidR="0036544A">
        <w:t xml:space="preserve">Minister for the Arts and Community Events and officials appeared before the Committee on 28 February 2017. The </w:t>
      </w:r>
      <w:r>
        <w:t>Committee discussed the following issues:</w:t>
      </w:r>
    </w:p>
    <w:p w:rsidR="001862EC" w:rsidRDefault="00B809E3" w:rsidP="00DD5F6B">
      <w:pPr>
        <w:pStyle w:val="ListBullet"/>
      </w:pPr>
      <w:r>
        <w:t>Kingston Art</w:t>
      </w:r>
      <w:r w:rsidR="00EE4BF4">
        <w:t>s</w:t>
      </w:r>
      <w:r>
        <w:t xml:space="preserve"> Precinct</w:t>
      </w:r>
      <w:r w:rsidR="001862EC">
        <w:t>;</w:t>
      </w:r>
      <w:r w:rsidR="00EE4BF4">
        <w:rPr>
          <w:rStyle w:val="FootnoteReference"/>
        </w:rPr>
        <w:footnoteReference w:id="122"/>
      </w:r>
    </w:p>
    <w:p w:rsidR="001862EC" w:rsidRDefault="007528A0" w:rsidP="00DD5F6B">
      <w:pPr>
        <w:pStyle w:val="ListBullet"/>
      </w:pPr>
      <w:r>
        <w:t>ArtSound FM;</w:t>
      </w:r>
      <w:r w:rsidR="00EE4BF4">
        <w:rPr>
          <w:rStyle w:val="FootnoteReference"/>
        </w:rPr>
        <w:footnoteReference w:id="123"/>
      </w:r>
    </w:p>
    <w:p w:rsidR="007528A0" w:rsidRDefault="007528A0" w:rsidP="00DD5F6B">
      <w:pPr>
        <w:pStyle w:val="ListBullet"/>
      </w:pPr>
      <w:r>
        <w:t>Electrical and fire systems in arts facilities;</w:t>
      </w:r>
      <w:r w:rsidR="00EE4BF4">
        <w:rPr>
          <w:rStyle w:val="FootnoteReference"/>
        </w:rPr>
        <w:footnoteReference w:id="124"/>
      </w:r>
    </w:p>
    <w:p w:rsidR="00B34AFE" w:rsidRDefault="00B34AFE" w:rsidP="00DD5F6B">
      <w:pPr>
        <w:pStyle w:val="ListBullet"/>
      </w:pPr>
      <w:r>
        <w:t>Responsibility for insurance and maintenance of Theatre 3;</w:t>
      </w:r>
      <w:r w:rsidR="00EE4BF4">
        <w:rPr>
          <w:rStyle w:val="FootnoteReference"/>
        </w:rPr>
        <w:footnoteReference w:id="125"/>
      </w:r>
    </w:p>
    <w:p w:rsidR="00B34AFE" w:rsidRDefault="00B34AFE" w:rsidP="00DD5F6B">
      <w:pPr>
        <w:pStyle w:val="ListBullet"/>
      </w:pPr>
      <w:r>
        <w:t>Social and economic contribution of arts engagement;</w:t>
      </w:r>
      <w:r w:rsidR="00D6038B">
        <w:rPr>
          <w:rStyle w:val="FootnoteReference"/>
        </w:rPr>
        <w:footnoteReference w:id="126"/>
      </w:r>
    </w:p>
    <w:p w:rsidR="00D6038B" w:rsidRDefault="00D6038B" w:rsidP="00DD5F6B">
      <w:pPr>
        <w:pStyle w:val="ListBullet"/>
      </w:pPr>
      <w:r>
        <w:t>Arts promotion and integration with tourism marketing;</w:t>
      </w:r>
      <w:r>
        <w:rPr>
          <w:rStyle w:val="FootnoteReference"/>
        </w:rPr>
        <w:footnoteReference w:id="127"/>
      </w:r>
    </w:p>
    <w:p w:rsidR="007528A0" w:rsidRDefault="00EC5669" w:rsidP="00DD5F6B">
      <w:pPr>
        <w:pStyle w:val="ListBullet"/>
      </w:pPr>
      <w:r>
        <w:t>Funding for Canberra Area Theatre Awards;</w:t>
      </w:r>
      <w:r w:rsidR="00D6038B">
        <w:rPr>
          <w:rStyle w:val="FootnoteReference"/>
        </w:rPr>
        <w:footnoteReference w:id="128"/>
      </w:r>
    </w:p>
    <w:p w:rsidR="00EC5669" w:rsidRDefault="00EC5669" w:rsidP="00DD5F6B">
      <w:pPr>
        <w:pStyle w:val="ListBullet"/>
      </w:pPr>
      <w:r>
        <w:t>Belconnen Arts Centre;</w:t>
      </w:r>
      <w:r w:rsidR="00D6038B">
        <w:rPr>
          <w:rStyle w:val="FootnoteReference"/>
        </w:rPr>
        <w:footnoteReference w:id="129"/>
      </w:r>
    </w:p>
    <w:p w:rsidR="00EC5669" w:rsidRDefault="00D840B2" w:rsidP="00DD5F6B">
      <w:pPr>
        <w:pStyle w:val="ListBullet"/>
      </w:pPr>
      <w:r>
        <w:t>Maintenance of public art;</w:t>
      </w:r>
      <w:r w:rsidR="00D6038B">
        <w:rPr>
          <w:rStyle w:val="FootnoteReference"/>
        </w:rPr>
        <w:footnoteReference w:id="130"/>
      </w:r>
    </w:p>
    <w:p w:rsidR="00D840B2" w:rsidRDefault="00D840B2" w:rsidP="00DD5F6B">
      <w:pPr>
        <w:pStyle w:val="ListBullet"/>
      </w:pPr>
      <w:r>
        <w:t>Parking for Canberra Theatre Centre;</w:t>
      </w:r>
      <w:r w:rsidR="00D6038B">
        <w:rPr>
          <w:rStyle w:val="FootnoteReference"/>
        </w:rPr>
        <w:footnoteReference w:id="131"/>
      </w:r>
    </w:p>
    <w:p w:rsidR="00D840B2" w:rsidRDefault="00C26259" w:rsidP="00DD5F6B">
      <w:pPr>
        <w:pStyle w:val="ListBullet"/>
      </w:pPr>
      <w:r>
        <w:t>Impact of government office building construction on Canberra Theatre;</w:t>
      </w:r>
      <w:r w:rsidR="00D6038B">
        <w:rPr>
          <w:rStyle w:val="FootnoteReference"/>
        </w:rPr>
        <w:footnoteReference w:id="132"/>
      </w:r>
      <w:r w:rsidR="00D6038B">
        <w:t xml:space="preserve"> and</w:t>
      </w:r>
    </w:p>
    <w:p w:rsidR="00C26259" w:rsidRDefault="00C26259" w:rsidP="00DD5F6B">
      <w:pPr>
        <w:pStyle w:val="ListBullet"/>
      </w:pPr>
      <w:r>
        <w:t>Capacity constra</w:t>
      </w:r>
      <w:r w:rsidR="00D6038B">
        <w:t>ints on Canberra Theatre Centre.</w:t>
      </w:r>
      <w:r w:rsidR="00D6038B">
        <w:rPr>
          <w:rStyle w:val="FootnoteReference"/>
        </w:rPr>
        <w:footnoteReference w:id="133"/>
      </w:r>
    </w:p>
    <w:p w:rsidR="00C26259" w:rsidRDefault="00CA3645" w:rsidP="00CA3645">
      <w:pPr>
        <w:pStyle w:val="Headinglevel3"/>
      </w:pPr>
      <w:r>
        <w:t>Kingston Arts Precinct</w:t>
      </w:r>
    </w:p>
    <w:p w:rsidR="00CA3645" w:rsidRDefault="00283AF9" w:rsidP="00CA3645">
      <w:pPr>
        <w:pStyle w:val="BodyText1"/>
      </w:pPr>
      <w:r>
        <w:t>The Committee asked about progress towards the creation of the Kingston arts precinct. The Committee was informed that the Land Development Authority (LDA) had announced on 8 February that Geocon-Fender-Katsalidis-Oculus</w:t>
      </w:r>
      <w:r w:rsidR="00E27942">
        <w:t xml:space="preserve"> won the request for tender process</w:t>
      </w:r>
      <w:r w:rsidR="00D843CB">
        <w:t>.</w:t>
      </w:r>
      <w:r w:rsidR="00E27942">
        <w:t xml:space="preserve"> The consortium was now entering negotiations with the LDA on the final design of the facility. ArtsACT was acting as an intermediary with the arts organisations who will be part of the precinct, the developers and the LDA. Canberra Glassworks and Megalo </w:t>
      </w:r>
      <w:r w:rsidR="0031182F">
        <w:t>P</w:t>
      </w:r>
      <w:r w:rsidR="00E27942">
        <w:t xml:space="preserve">rint </w:t>
      </w:r>
      <w:r w:rsidR="0031182F">
        <w:t>S</w:t>
      </w:r>
      <w:r w:rsidR="00E27942">
        <w:t xml:space="preserve">tudio </w:t>
      </w:r>
      <w:r w:rsidR="0031182F">
        <w:t>and G</w:t>
      </w:r>
      <w:r w:rsidR="00E27942">
        <w:t xml:space="preserve">allery </w:t>
      </w:r>
      <w:r w:rsidR="0031182F">
        <w:t>are already in the precinct and they will be joined by the Canberra Contemporary Art Space, Craft ACT, PhotoAccess, the Canberra Potters Society, M16 Artspace and ArtSound FM.</w:t>
      </w:r>
    </w:p>
    <w:p w:rsidR="00CA3645" w:rsidRPr="00CA3645" w:rsidRDefault="00CA3645" w:rsidP="00CA3645">
      <w:pPr>
        <w:pStyle w:val="Recommendation"/>
      </w:pPr>
      <w:bookmarkStart w:id="99" w:name="_Toc481489050"/>
      <w:bookmarkEnd w:id="99"/>
    </w:p>
    <w:p w:rsidR="00CA3645" w:rsidRDefault="00CA3645" w:rsidP="00CA3645">
      <w:pPr>
        <w:pStyle w:val="RecommendationText"/>
      </w:pPr>
      <w:bookmarkStart w:id="100" w:name="_Toc481489051"/>
      <w:r>
        <w:t xml:space="preserve">The Committee recommends that the </w:t>
      </w:r>
      <w:r w:rsidR="0031182F">
        <w:t xml:space="preserve">Land Development Authority and </w:t>
      </w:r>
      <w:r w:rsidR="000A5A7B">
        <w:t>a</w:t>
      </w:r>
      <w:r w:rsidR="0031182F">
        <w:t>rts</w:t>
      </w:r>
      <w:r w:rsidR="000A5A7B">
        <w:t>ACT</w:t>
      </w:r>
      <w:r>
        <w:t xml:space="preserve"> consult closely with all arts organisations that are moving to the Kingston arts precinct on all aspects of their moves, including obtaining any necessary specialist technical advice in relation to their individual needs to ensure their accommodation is fully fit-for-purpose.</w:t>
      </w:r>
      <w:bookmarkEnd w:id="100"/>
    </w:p>
    <w:p w:rsidR="00CA3645" w:rsidRPr="00CA3645" w:rsidRDefault="00CA3645" w:rsidP="00CA3645">
      <w:pPr>
        <w:pStyle w:val="Recommendation"/>
      </w:pPr>
      <w:bookmarkStart w:id="101" w:name="_Toc481489052"/>
      <w:bookmarkEnd w:id="101"/>
    </w:p>
    <w:p w:rsidR="00CA3645" w:rsidRDefault="00CA3645" w:rsidP="00CA3645">
      <w:pPr>
        <w:pStyle w:val="RecommendationText"/>
      </w:pPr>
      <w:bookmarkStart w:id="102" w:name="_Toc481489053"/>
      <w:r>
        <w:t>The Committee recommends that the Minister for the Arts and Community Events u</w:t>
      </w:r>
      <w:r w:rsidRPr="00CA3645">
        <w:t>pdate the Assembly regularly on the progress of the Kingston arts precinct development, including consultation with relevant arts organisations, together with updates on whether the project is meeting agreed timelines and whether it is within budget allocations.</w:t>
      </w:r>
      <w:bookmarkEnd w:id="102"/>
    </w:p>
    <w:p w:rsidR="000A5A7B" w:rsidRDefault="000A5A7B" w:rsidP="000A5A7B">
      <w:pPr>
        <w:pStyle w:val="Headinglevel3"/>
      </w:pPr>
      <w:r>
        <w:t>Maintenance of public art</w:t>
      </w:r>
    </w:p>
    <w:p w:rsidR="000A5A7B" w:rsidRDefault="000A5A7B" w:rsidP="000A5A7B">
      <w:pPr>
        <w:pStyle w:val="BodyText1"/>
      </w:pPr>
      <w:r>
        <w:t xml:space="preserve">The Committee asked about the maintenance of public art. The Committee was informed that Cultural Canberra has 120 public artworks in its portfolio but that three other directorates also have public art assets. When the government invests in an asset a percentage of the budget is set aside for repairs and maintenance. </w:t>
      </w:r>
      <w:r w:rsidR="00B34DB3">
        <w:t>This budget is allocated by focussing on the safety and structural integrity of public artworks.</w:t>
      </w:r>
    </w:p>
    <w:p w:rsidR="00B34DB3" w:rsidRDefault="00B34DB3" w:rsidP="00B34DB3">
      <w:pPr>
        <w:pStyle w:val="Recommendation"/>
      </w:pPr>
      <w:bookmarkStart w:id="103" w:name="_Toc481489054"/>
      <w:bookmarkEnd w:id="103"/>
    </w:p>
    <w:p w:rsidR="00B34DB3" w:rsidRDefault="00B34DB3" w:rsidP="00B34DB3">
      <w:pPr>
        <w:pStyle w:val="RecommendationText"/>
      </w:pPr>
      <w:bookmarkStart w:id="104" w:name="_Toc481489055"/>
      <w:r>
        <w:t>The Committee recommends that the ACT Government consolidate ownership and management responsibility for all works of public art, including maintenance activity and the cost thereof, into one agency.</w:t>
      </w:r>
      <w:bookmarkEnd w:id="104"/>
    </w:p>
    <w:p w:rsidR="00B34DB3" w:rsidRDefault="00B34DB3" w:rsidP="00B34DB3">
      <w:pPr>
        <w:pStyle w:val="Recommendation"/>
      </w:pPr>
      <w:bookmarkStart w:id="105" w:name="_Toc481489056"/>
      <w:bookmarkEnd w:id="105"/>
    </w:p>
    <w:p w:rsidR="00B34DB3" w:rsidRPr="000A5A7B" w:rsidRDefault="00B34DB3" w:rsidP="00B34DB3">
      <w:pPr>
        <w:pStyle w:val="RecommendationText"/>
      </w:pPr>
      <w:bookmarkStart w:id="106" w:name="_Toc481489057"/>
      <w:r>
        <w:t>The Committee recommends that the ACT Government establish a contingency fund for unusual or extraordinary maintenance or repair work that may be required for works of public art that could not be anticipated in a recurrent maintenance budget.</w:t>
      </w:r>
      <w:bookmarkEnd w:id="106"/>
    </w:p>
    <w:p w:rsidR="00F42F59" w:rsidRPr="00F42F59" w:rsidRDefault="00F42F59" w:rsidP="00FF5EE9">
      <w:pPr>
        <w:sectPr w:rsidR="00F42F59" w:rsidRPr="00F42F59" w:rsidSect="005B60C2">
          <w:headerReference w:type="default" r:id="rId33"/>
          <w:headerReference w:type="first" r:id="rId34"/>
          <w:type w:val="oddPage"/>
          <w:pgSz w:w="11907" w:h="16840" w:code="9"/>
          <w:pgMar w:top="1588" w:right="1418" w:bottom="1418" w:left="1418" w:header="720" w:footer="851" w:gutter="0"/>
          <w:cols w:space="720"/>
          <w:docGrid w:linePitch="360"/>
        </w:sectPr>
      </w:pPr>
    </w:p>
    <w:p w:rsidR="00D561BC" w:rsidRDefault="00B95CCE" w:rsidP="00E55AFF">
      <w:pPr>
        <w:pStyle w:val="Heading1"/>
      </w:pPr>
      <w:bookmarkStart w:id="107" w:name="_Toc481489011"/>
      <w:r>
        <w:t>CONCLUSION</w:t>
      </w:r>
      <w:bookmarkEnd w:id="107"/>
    </w:p>
    <w:p w:rsidR="00DA5B5F" w:rsidRDefault="00DA5B5F" w:rsidP="00DA5B5F">
      <w:pPr>
        <w:pStyle w:val="BodyText1"/>
        <w:ind w:left="680" w:hanging="680"/>
      </w:pPr>
      <w:r>
        <w:t xml:space="preserve">The Committee has made </w:t>
      </w:r>
      <w:r w:rsidR="00D843CB">
        <w:t>21</w:t>
      </w:r>
      <w:r w:rsidR="00FF5EE9">
        <w:t xml:space="preserve"> </w:t>
      </w:r>
      <w:r>
        <w:t>recommendations in this report relating to a broad range of areas.</w:t>
      </w:r>
    </w:p>
    <w:p w:rsidR="00D561BC" w:rsidRDefault="00DA5B5F" w:rsidP="00DA5B5F">
      <w:pPr>
        <w:pStyle w:val="BodyText1"/>
      </w:pPr>
      <w:r>
        <w:t>The Committee would like to thank ACT Government Ministers and directorate officials for their contribution to this inquiry and for their timely return of answers to questions taken on notice.</w:t>
      </w:r>
    </w:p>
    <w:p w:rsidR="00D561BC" w:rsidRDefault="00D561BC">
      <w:pPr>
        <w:pStyle w:val="BodyText1"/>
        <w:numPr>
          <w:ilvl w:val="0"/>
          <w:numId w:val="0"/>
        </w:numPr>
        <w:ind w:left="680" w:hanging="680"/>
      </w:pPr>
    </w:p>
    <w:p w:rsidR="00D561BC" w:rsidRDefault="00D561BC">
      <w:pPr>
        <w:pStyle w:val="BodyText1"/>
        <w:numPr>
          <w:ilvl w:val="0"/>
          <w:numId w:val="0"/>
        </w:numPr>
        <w:ind w:left="680" w:hanging="680"/>
      </w:pPr>
    </w:p>
    <w:p w:rsidR="00D561BC" w:rsidRDefault="00D561BC">
      <w:pPr>
        <w:pStyle w:val="BodyText1"/>
        <w:numPr>
          <w:ilvl w:val="0"/>
          <w:numId w:val="0"/>
        </w:numPr>
        <w:ind w:left="680" w:hanging="680"/>
      </w:pPr>
    </w:p>
    <w:p w:rsidR="00D561BC" w:rsidRDefault="00D561BC">
      <w:pPr>
        <w:pStyle w:val="BodyText1"/>
        <w:numPr>
          <w:ilvl w:val="0"/>
          <w:numId w:val="0"/>
        </w:numPr>
        <w:ind w:left="680" w:hanging="680"/>
      </w:pPr>
    </w:p>
    <w:p w:rsidR="00DA5B5F" w:rsidRDefault="00FF5EE9">
      <w:pPr>
        <w:pStyle w:val="BodyText1"/>
        <w:numPr>
          <w:ilvl w:val="0"/>
          <w:numId w:val="0"/>
        </w:numPr>
        <w:ind w:left="680" w:hanging="680"/>
      </w:pPr>
      <w:r>
        <w:t xml:space="preserve">Jeremy Hanson </w:t>
      </w:r>
      <w:r w:rsidR="00DA5B5F">
        <w:t>MLA</w:t>
      </w:r>
    </w:p>
    <w:p w:rsidR="00D561BC" w:rsidRDefault="00D561BC">
      <w:pPr>
        <w:pStyle w:val="BodyText1"/>
        <w:numPr>
          <w:ilvl w:val="0"/>
          <w:numId w:val="0"/>
        </w:numPr>
        <w:ind w:left="680" w:hanging="680"/>
      </w:pPr>
      <w:r>
        <w:t>Chair</w:t>
      </w:r>
    </w:p>
    <w:p w:rsidR="007F5E40" w:rsidRPr="00570B4A" w:rsidRDefault="00FF5EE9">
      <w:pPr>
        <w:pStyle w:val="BodyText1"/>
        <w:numPr>
          <w:ilvl w:val="0"/>
          <w:numId w:val="0"/>
        </w:numPr>
        <w:ind w:left="680" w:hanging="680"/>
      </w:pPr>
      <w:r>
        <w:t xml:space="preserve">2 May </w:t>
      </w:r>
      <w:r w:rsidR="008151D7">
        <w:t>2017</w:t>
      </w:r>
    </w:p>
    <w:p w:rsidR="00E629E2" w:rsidRDefault="00E629E2" w:rsidP="00E629E2">
      <w:pPr>
        <w:pStyle w:val="BodyText1"/>
        <w:numPr>
          <w:ilvl w:val="0"/>
          <w:numId w:val="0"/>
        </w:numPr>
        <w:ind w:left="680" w:hanging="680"/>
        <w:sectPr w:rsidR="00E629E2" w:rsidSect="005B60C2">
          <w:type w:val="oddPage"/>
          <w:pgSz w:w="11907" w:h="16840" w:code="9"/>
          <w:pgMar w:top="1588" w:right="1418" w:bottom="1418" w:left="1418" w:header="720" w:footer="851" w:gutter="0"/>
          <w:cols w:space="720"/>
          <w:docGrid w:linePitch="360"/>
        </w:sectPr>
      </w:pPr>
    </w:p>
    <w:p w:rsidR="00D561BC" w:rsidRPr="00670409" w:rsidRDefault="00DA5B5F">
      <w:pPr>
        <w:pStyle w:val="AppendixHeading1"/>
        <w:rPr>
          <w:smallCaps w:val="0"/>
        </w:rPr>
      </w:pPr>
      <w:bookmarkStart w:id="108" w:name="_Toc481489012"/>
      <w:r w:rsidRPr="00670409">
        <w:rPr>
          <w:smallCaps w:val="0"/>
        </w:rPr>
        <w:t>Questions taken on Notice</w:t>
      </w:r>
      <w:r w:rsidR="00570B4A" w:rsidRPr="00670409">
        <w:rPr>
          <w:smallCaps w:val="0"/>
        </w:rPr>
        <w:t>/Questions on Notice</w:t>
      </w:r>
      <w:bookmarkEnd w:id="108"/>
    </w:p>
    <w:tbl>
      <w:tblPr>
        <w:tblW w:w="8613" w:type="dxa"/>
        <w:tblBorders>
          <w:top w:val="single" w:sz="4" w:space="0" w:color="auto"/>
          <w:bottom w:val="single" w:sz="4" w:space="0" w:color="auto"/>
          <w:insideH w:val="single" w:sz="4" w:space="0" w:color="auto"/>
          <w:insideV w:val="single" w:sz="48" w:space="0" w:color="FFFFFF"/>
        </w:tblBorders>
        <w:tblLayout w:type="fixed"/>
        <w:tblLook w:val="01E0"/>
      </w:tblPr>
      <w:tblGrid>
        <w:gridCol w:w="675"/>
        <w:gridCol w:w="1134"/>
        <w:gridCol w:w="1418"/>
        <w:gridCol w:w="1559"/>
        <w:gridCol w:w="2693"/>
        <w:gridCol w:w="1134"/>
      </w:tblGrid>
      <w:tr w:rsidR="00647540" w:rsidTr="00A4766E">
        <w:trPr>
          <w:cantSplit/>
          <w:tblHeader/>
        </w:trPr>
        <w:tc>
          <w:tcPr>
            <w:tcW w:w="675" w:type="dxa"/>
            <w:vAlign w:val="bottom"/>
          </w:tcPr>
          <w:p w:rsidR="00647540" w:rsidRPr="00460567" w:rsidRDefault="00647540" w:rsidP="00A4766E">
            <w:pPr>
              <w:jc w:val="center"/>
            </w:pPr>
            <w:r w:rsidRPr="00460567">
              <w:t>No.</w:t>
            </w:r>
          </w:p>
        </w:tc>
        <w:tc>
          <w:tcPr>
            <w:tcW w:w="1134" w:type="dxa"/>
            <w:vAlign w:val="bottom"/>
          </w:tcPr>
          <w:p w:rsidR="00647540" w:rsidRPr="00460567" w:rsidRDefault="00647540" w:rsidP="00A4766E">
            <w:pPr>
              <w:jc w:val="center"/>
            </w:pPr>
            <w:r w:rsidRPr="00460567">
              <w:t>Hearing Date</w:t>
            </w:r>
          </w:p>
        </w:tc>
        <w:tc>
          <w:tcPr>
            <w:tcW w:w="1418" w:type="dxa"/>
            <w:vAlign w:val="bottom"/>
          </w:tcPr>
          <w:p w:rsidR="00647540" w:rsidRPr="00460567" w:rsidRDefault="00647540" w:rsidP="00A4766E">
            <w:pPr>
              <w:jc w:val="center"/>
            </w:pPr>
            <w:r w:rsidRPr="00460567">
              <w:t>Asked by</w:t>
            </w:r>
          </w:p>
        </w:tc>
        <w:tc>
          <w:tcPr>
            <w:tcW w:w="1559" w:type="dxa"/>
            <w:vAlign w:val="bottom"/>
          </w:tcPr>
          <w:p w:rsidR="00647540" w:rsidRPr="00460567" w:rsidRDefault="00647540" w:rsidP="00A4766E">
            <w:pPr>
              <w:jc w:val="center"/>
            </w:pPr>
            <w:r w:rsidRPr="00460567">
              <w:t>Directorate</w:t>
            </w:r>
            <w:r>
              <w:t>/</w:t>
            </w:r>
            <w:r w:rsidR="00A75B90">
              <w:t xml:space="preserve"> </w:t>
            </w:r>
            <w:r>
              <w:t>Portfolio</w:t>
            </w:r>
          </w:p>
        </w:tc>
        <w:tc>
          <w:tcPr>
            <w:tcW w:w="2693" w:type="dxa"/>
            <w:vAlign w:val="bottom"/>
          </w:tcPr>
          <w:p w:rsidR="00647540" w:rsidRPr="00460567" w:rsidRDefault="00647540" w:rsidP="00A4766E">
            <w:pPr>
              <w:jc w:val="center"/>
            </w:pPr>
            <w:r w:rsidRPr="00460567">
              <w:t>Subject</w:t>
            </w:r>
          </w:p>
        </w:tc>
        <w:tc>
          <w:tcPr>
            <w:tcW w:w="1134" w:type="dxa"/>
            <w:vAlign w:val="bottom"/>
          </w:tcPr>
          <w:p w:rsidR="00647540" w:rsidRDefault="00647540" w:rsidP="00A4766E">
            <w:pPr>
              <w:jc w:val="center"/>
            </w:pPr>
            <w:r w:rsidRPr="00460567">
              <w:t>Answer date</w:t>
            </w:r>
          </w:p>
        </w:tc>
      </w:tr>
      <w:tr w:rsidR="00CA780F" w:rsidTr="00C36F0E">
        <w:trPr>
          <w:cantSplit/>
        </w:trPr>
        <w:tc>
          <w:tcPr>
            <w:tcW w:w="8613" w:type="dxa"/>
            <w:gridSpan w:val="6"/>
            <w:shd w:val="clear" w:color="auto" w:fill="F3F3F3"/>
          </w:tcPr>
          <w:p w:rsidR="00CA780F" w:rsidRPr="00367DAF" w:rsidRDefault="00CA780F" w:rsidP="00CA780F">
            <w:pPr>
              <w:jc w:val="center"/>
              <w:rPr>
                <w:rFonts w:cs="Calibri"/>
                <w:bCs/>
                <w:szCs w:val="22"/>
              </w:rPr>
            </w:pPr>
            <w:r>
              <w:rPr>
                <w:rFonts w:cs="Calibri"/>
                <w:bCs/>
                <w:szCs w:val="22"/>
              </w:rPr>
              <w:t>Questions taken on Notice 27 February 2017</w:t>
            </w:r>
          </w:p>
        </w:tc>
      </w:tr>
      <w:tr w:rsidR="00CA780F" w:rsidTr="00A75B90">
        <w:trPr>
          <w:cantSplit/>
        </w:trPr>
        <w:tc>
          <w:tcPr>
            <w:tcW w:w="675" w:type="dxa"/>
          </w:tcPr>
          <w:p w:rsidR="00CA780F" w:rsidRPr="00D3246D" w:rsidRDefault="00CA780F" w:rsidP="00C36F0E">
            <w:pPr>
              <w:jc w:val="center"/>
              <w:rPr>
                <w:rFonts w:cs="Calibri"/>
                <w:bCs/>
                <w:szCs w:val="22"/>
              </w:rPr>
            </w:pPr>
            <w:r>
              <w:rPr>
                <w:rFonts w:cs="Calibri"/>
                <w:bCs/>
                <w:szCs w:val="22"/>
              </w:rPr>
              <w:t>1</w:t>
            </w:r>
          </w:p>
        </w:tc>
        <w:tc>
          <w:tcPr>
            <w:tcW w:w="1134" w:type="dxa"/>
          </w:tcPr>
          <w:p w:rsidR="00CA780F" w:rsidRPr="00D3246D" w:rsidRDefault="00CA780F" w:rsidP="00C36F0E">
            <w:pPr>
              <w:jc w:val="center"/>
              <w:rPr>
                <w:rFonts w:cs="Calibri"/>
                <w:bCs/>
                <w:szCs w:val="22"/>
              </w:rPr>
            </w:pPr>
            <w:r>
              <w:rPr>
                <w:rFonts w:cs="Calibri"/>
                <w:bCs/>
                <w:szCs w:val="22"/>
              </w:rPr>
              <w:t>27/02/17</w:t>
            </w:r>
          </w:p>
        </w:tc>
        <w:tc>
          <w:tcPr>
            <w:tcW w:w="1418" w:type="dxa"/>
          </w:tcPr>
          <w:p w:rsidR="00CA780F" w:rsidRPr="00D3246D" w:rsidRDefault="00CA780F" w:rsidP="00C36F0E">
            <w:pPr>
              <w:jc w:val="center"/>
              <w:rPr>
                <w:rFonts w:cs="Calibri"/>
                <w:bCs/>
                <w:szCs w:val="22"/>
              </w:rPr>
            </w:pPr>
            <w:r>
              <w:rPr>
                <w:rFonts w:cs="Calibri"/>
                <w:bCs/>
                <w:szCs w:val="22"/>
              </w:rPr>
              <w:t>Coe</w:t>
            </w:r>
          </w:p>
        </w:tc>
        <w:tc>
          <w:tcPr>
            <w:tcW w:w="1559" w:type="dxa"/>
          </w:tcPr>
          <w:p w:rsidR="00CA780F" w:rsidRPr="00D3246D" w:rsidRDefault="00CA780F" w:rsidP="00C36F0E">
            <w:pPr>
              <w:jc w:val="center"/>
              <w:rPr>
                <w:rFonts w:cs="Calibri"/>
                <w:bCs/>
                <w:szCs w:val="22"/>
              </w:rPr>
            </w:pPr>
            <w:r>
              <w:rPr>
                <w:rFonts w:cs="Calibri"/>
                <w:bCs/>
                <w:szCs w:val="22"/>
              </w:rPr>
              <w:t>Treasurer</w:t>
            </w:r>
          </w:p>
        </w:tc>
        <w:tc>
          <w:tcPr>
            <w:tcW w:w="2693" w:type="dxa"/>
          </w:tcPr>
          <w:p w:rsidR="00CA780F" w:rsidRPr="002B7E94" w:rsidRDefault="00CA780F" w:rsidP="00C36F0E">
            <w:pPr>
              <w:rPr>
                <w:rFonts w:cs="Calibri"/>
                <w:bCs/>
                <w:szCs w:val="22"/>
              </w:rPr>
            </w:pPr>
            <w:r>
              <w:rPr>
                <w:rFonts w:cs="Calibri"/>
                <w:bCs/>
                <w:szCs w:val="22"/>
              </w:rPr>
              <w:t>List of all sites subject to the Asset Recycling Initiative and when payments are due, whether in instalments or upon settlement.</w:t>
            </w:r>
          </w:p>
        </w:tc>
        <w:tc>
          <w:tcPr>
            <w:tcW w:w="1134" w:type="dxa"/>
          </w:tcPr>
          <w:p w:rsidR="00CA780F" w:rsidRPr="00D3246D" w:rsidRDefault="00CA780F" w:rsidP="00C36F0E">
            <w:pPr>
              <w:jc w:val="center"/>
              <w:rPr>
                <w:rFonts w:cs="Calibri"/>
                <w:bCs/>
                <w:szCs w:val="22"/>
              </w:rPr>
            </w:pPr>
            <w:r>
              <w:rPr>
                <w:rFonts w:cs="Calibri"/>
                <w:bCs/>
                <w:szCs w:val="22"/>
              </w:rPr>
              <w:t>08/03/17</w:t>
            </w:r>
          </w:p>
        </w:tc>
      </w:tr>
      <w:tr w:rsidR="00CA780F" w:rsidTr="00A75B90">
        <w:trPr>
          <w:cantSplit/>
        </w:trPr>
        <w:tc>
          <w:tcPr>
            <w:tcW w:w="675" w:type="dxa"/>
            <w:shd w:val="clear" w:color="auto" w:fill="F3F3F3"/>
          </w:tcPr>
          <w:p w:rsidR="00CA780F" w:rsidRPr="00D3246D" w:rsidRDefault="00CA780F" w:rsidP="00C36F0E">
            <w:pPr>
              <w:jc w:val="center"/>
              <w:rPr>
                <w:rFonts w:cs="Calibri"/>
                <w:bCs/>
                <w:szCs w:val="22"/>
              </w:rPr>
            </w:pPr>
            <w:r>
              <w:rPr>
                <w:rFonts w:cs="Calibri"/>
                <w:bCs/>
                <w:szCs w:val="22"/>
              </w:rPr>
              <w:t>2</w:t>
            </w:r>
          </w:p>
        </w:tc>
        <w:tc>
          <w:tcPr>
            <w:tcW w:w="1134" w:type="dxa"/>
            <w:shd w:val="clear" w:color="auto" w:fill="F3F3F3"/>
          </w:tcPr>
          <w:p w:rsidR="00CA780F" w:rsidRPr="00D3246D" w:rsidRDefault="00CA780F" w:rsidP="00C36F0E">
            <w:pPr>
              <w:jc w:val="center"/>
              <w:rPr>
                <w:rFonts w:cs="Calibri"/>
                <w:bCs/>
                <w:szCs w:val="22"/>
              </w:rPr>
            </w:pPr>
            <w:r>
              <w:rPr>
                <w:rFonts w:cs="Calibri"/>
                <w:bCs/>
                <w:szCs w:val="22"/>
              </w:rPr>
              <w:t>27/02/17</w:t>
            </w:r>
          </w:p>
        </w:tc>
        <w:tc>
          <w:tcPr>
            <w:tcW w:w="1418" w:type="dxa"/>
            <w:shd w:val="clear" w:color="auto" w:fill="F3F3F3"/>
          </w:tcPr>
          <w:p w:rsidR="00CA780F" w:rsidRPr="00D3246D" w:rsidRDefault="00CA780F" w:rsidP="00C36F0E">
            <w:pPr>
              <w:jc w:val="center"/>
              <w:rPr>
                <w:rFonts w:cs="Calibri"/>
                <w:bCs/>
                <w:szCs w:val="22"/>
              </w:rPr>
            </w:pPr>
            <w:r>
              <w:rPr>
                <w:rFonts w:cs="Calibri"/>
                <w:bCs/>
                <w:szCs w:val="22"/>
              </w:rPr>
              <w:t>Orr</w:t>
            </w:r>
          </w:p>
        </w:tc>
        <w:tc>
          <w:tcPr>
            <w:tcW w:w="1559" w:type="dxa"/>
            <w:shd w:val="clear" w:color="auto" w:fill="F3F3F3"/>
          </w:tcPr>
          <w:p w:rsidR="00CA780F" w:rsidRPr="00D3246D" w:rsidRDefault="00CA780F" w:rsidP="00C36F0E">
            <w:pPr>
              <w:jc w:val="center"/>
              <w:rPr>
                <w:rFonts w:cs="Calibri"/>
                <w:bCs/>
                <w:szCs w:val="22"/>
              </w:rPr>
            </w:pPr>
            <w:r>
              <w:rPr>
                <w:rFonts w:cs="Calibri"/>
                <w:bCs/>
                <w:szCs w:val="22"/>
              </w:rPr>
              <w:t>Treasurer</w:t>
            </w:r>
          </w:p>
        </w:tc>
        <w:tc>
          <w:tcPr>
            <w:tcW w:w="2693" w:type="dxa"/>
            <w:shd w:val="clear" w:color="auto" w:fill="F3F3F3"/>
          </w:tcPr>
          <w:p w:rsidR="00CA780F" w:rsidRPr="002B7E94" w:rsidRDefault="00CA780F" w:rsidP="00C36F0E">
            <w:pPr>
              <w:rPr>
                <w:rFonts w:cs="Calibri"/>
                <w:bCs/>
                <w:szCs w:val="22"/>
              </w:rPr>
            </w:pPr>
            <w:r>
              <w:rPr>
                <w:rFonts w:cs="Calibri"/>
                <w:bCs/>
                <w:szCs w:val="22"/>
              </w:rPr>
              <w:t>When is the Human Services Cluster Review report expected to be finalised?</w:t>
            </w:r>
          </w:p>
        </w:tc>
        <w:tc>
          <w:tcPr>
            <w:tcW w:w="1134" w:type="dxa"/>
            <w:shd w:val="clear" w:color="auto" w:fill="F3F3F3"/>
          </w:tcPr>
          <w:p w:rsidR="00CA780F" w:rsidRPr="00D3246D" w:rsidRDefault="00CA780F" w:rsidP="00C36F0E">
            <w:pPr>
              <w:jc w:val="center"/>
              <w:rPr>
                <w:rFonts w:cs="Calibri"/>
                <w:bCs/>
                <w:szCs w:val="22"/>
              </w:rPr>
            </w:pPr>
            <w:r>
              <w:rPr>
                <w:rFonts w:cs="Calibri"/>
                <w:bCs/>
                <w:szCs w:val="22"/>
              </w:rPr>
              <w:t>07/03/17</w:t>
            </w:r>
          </w:p>
        </w:tc>
      </w:tr>
      <w:tr w:rsidR="00CA780F" w:rsidTr="00A75B90">
        <w:trPr>
          <w:cantSplit/>
        </w:trPr>
        <w:tc>
          <w:tcPr>
            <w:tcW w:w="675" w:type="dxa"/>
          </w:tcPr>
          <w:p w:rsidR="00CA780F" w:rsidRDefault="00CA780F" w:rsidP="00C36F0E">
            <w:pPr>
              <w:jc w:val="center"/>
              <w:rPr>
                <w:rFonts w:cs="Calibri"/>
                <w:bCs/>
                <w:szCs w:val="22"/>
              </w:rPr>
            </w:pPr>
            <w:r>
              <w:rPr>
                <w:rFonts w:cs="Calibri"/>
                <w:bCs/>
                <w:szCs w:val="22"/>
              </w:rPr>
              <w:t>2a</w:t>
            </w:r>
          </w:p>
        </w:tc>
        <w:tc>
          <w:tcPr>
            <w:tcW w:w="1134" w:type="dxa"/>
          </w:tcPr>
          <w:p w:rsidR="00CA780F" w:rsidRDefault="00CA780F" w:rsidP="00C36F0E">
            <w:pPr>
              <w:jc w:val="center"/>
              <w:rPr>
                <w:rFonts w:cs="Calibri"/>
                <w:bCs/>
                <w:szCs w:val="22"/>
              </w:rPr>
            </w:pPr>
            <w:r>
              <w:rPr>
                <w:rFonts w:cs="Calibri"/>
                <w:bCs/>
                <w:szCs w:val="22"/>
              </w:rPr>
              <w:t>27/02/17</w:t>
            </w:r>
          </w:p>
        </w:tc>
        <w:tc>
          <w:tcPr>
            <w:tcW w:w="1418" w:type="dxa"/>
          </w:tcPr>
          <w:p w:rsidR="00CA780F" w:rsidRDefault="00CA780F" w:rsidP="00C36F0E">
            <w:pPr>
              <w:jc w:val="center"/>
              <w:rPr>
                <w:rFonts w:cs="Calibri"/>
                <w:bCs/>
                <w:szCs w:val="22"/>
              </w:rPr>
            </w:pPr>
            <w:r>
              <w:rPr>
                <w:rFonts w:cs="Calibri"/>
                <w:bCs/>
                <w:szCs w:val="22"/>
              </w:rPr>
              <w:t>Coe</w:t>
            </w:r>
          </w:p>
        </w:tc>
        <w:tc>
          <w:tcPr>
            <w:tcW w:w="1559" w:type="dxa"/>
          </w:tcPr>
          <w:p w:rsidR="00CA780F" w:rsidRDefault="00CA780F" w:rsidP="00C36F0E">
            <w:pPr>
              <w:jc w:val="center"/>
              <w:rPr>
                <w:rFonts w:cs="Calibri"/>
                <w:bCs/>
                <w:szCs w:val="22"/>
              </w:rPr>
            </w:pPr>
            <w:r>
              <w:rPr>
                <w:rFonts w:cs="Calibri"/>
                <w:bCs/>
                <w:szCs w:val="22"/>
              </w:rPr>
              <w:t>Treasurer</w:t>
            </w:r>
          </w:p>
        </w:tc>
        <w:tc>
          <w:tcPr>
            <w:tcW w:w="2693" w:type="dxa"/>
          </w:tcPr>
          <w:p w:rsidR="00CA780F" w:rsidRPr="002B7E94" w:rsidRDefault="00CA780F" w:rsidP="00C36F0E">
            <w:pPr>
              <w:rPr>
                <w:szCs w:val="22"/>
              </w:rPr>
            </w:pPr>
            <w:r>
              <w:rPr>
                <w:szCs w:val="22"/>
              </w:rPr>
              <w:t>What is the current projection for the 2016-17 operating deficit?</w:t>
            </w:r>
          </w:p>
        </w:tc>
        <w:tc>
          <w:tcPr>
            <w:tcW w:w="1134" w:type="dxa"/>
          </w:tcPr>
          <w:p w:rsidR="00CA780F" w:rsidRDefault="00CA780F" w:rsidP="00C36F0E">
            <w:pPr>
              <w:jc w:val="center"/>
              <w:rPr>
                <w:rFonts w:cs="Calibri"/>
                <w:bCs/>
                <w:szCs w:val="22"/>
              </w:rPr>
            </w:pPr>
            <w:r>
              <w:rPr>
                <w:rFonts w:cs="Calibri"/>
                <w:bCs/>
                <w:szCs w:val="22"/>
              </w:rPr>
              <w:t>10/03/17</w:t>
            </w:r>
          </w:p>
        </w:tc>
      </w:tr>
      <w:tr w:rsidR="00CA780F" w:rsidTr="00A75B90">
        <w:trPr>
          <w:cantSplit/>
        </w:trPr>
        <w:tc>
          <w:tcPr>
            <w:tcW w:w="675" w:type="dxa"/>
            <w:shd w:val="clear" w:color="auto" w:fill="F2F2F2"/>
          </w:tcPr>
          <w:p w:rsidR="00CA780F" w:rsidRPr="00D3246D" w:rsidRDefault="00CA780F" w:rsidP="00C36F0E">
            <w:pPr>
              <w:jc w:val="center"/>
              <w:rPr>
                <w:rFonts w:cs="Calibri"/>
                <w:bCs/>
                <w:szCs w:val="22"/>
              </w:rPr>
            </w:pPr>
            <w:r>
              <w:rPr>
                <w:rFonts w:cs="Calibri"/>
                <w:bCs/>
                <w:szCs w:val="22"/>
              </w:rPr>
              <w:t>3</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27/02/17</w:t>
            </w:r>
          </w:p>
        </w:tc>
        <w:tc>
          <w:tcPr>
            <w:tcW w:w="1418" w:type="dxa"/>
            <w:shd w:val="clear" w:color="auto" w:fill="F2F2F2"/>
          </w:tcPr>
          <w:p w:rsidR="00CA780F" w:rsidRPr="00D3246D" w:rsidRDefault="00CA780F" w:rsidP="00C36F0E">
            <w:pPr>
              <w:jc w:val="center"/>
              <w:rPr>
                <w:rFonts w:cs="Calibri"/>
                <w:bCs/>
                <w:szCs w:val="22"/>
              </w:rPr>
            </w:pPr>
            <w:r>
              <w:rPr>
                <w:rFonts w:cs="Calibri"/>
                <w:bCs/>
                <w:szCs w:val="22"/>
              </w:rPr>
              <w:t>Pettersson</w:t>
            </w:r>
          </w:p>
        </w:tc>
        <w:tc>
          <w:tcPr>
            <w:tcW w:w="1559" w:type="dxa"/>
            <w:shd w:val="clear" w:color="auto" w:fill="F2F2F2"/>
          </w:tcPr>
          <w:p w:rsidR="00CA780F" w:rsidRPr="00D3246D" w:rsidRDefault="00CA780F" w:rsidP="00C36F0E">
            <w:pPr>
              <w:jc w:val="center"/>
              <w:rPr>
                <w:rFonts w:cs="Calibri"/>
                <w:bCs/>
                <w:szCs w:val="22"/>
              </w:rPr>
            </w:pPr>
            <w:r>
              <w:rPr>
                <w:rFonts w:cs="Calibri"/>
                <w:bCs/>
                <w:szCs w:val="22"/>
              </w:rPr>
              <w:t>Treasurer</w:t>
            </w:r>
          </w:p>
        </w:tc>
        <w:tc>
          <w:tcPr>
            <w:tcW w:w="2693" w:type="dxa"/>
            <w:shd w:val="clear" w:color="auto" w:fill="F2F2F2"/>
          </w:tcPr>
          <w:p w:rsidR="00CA780F" w:rsidRPr="002B7E94" w:rsidRDefault="00CA780F" w:rsidP="00C36F0E">
            <w:pPr>
              <w:rPr>
                <w:szCs w:val="22"/>
              </w:rPr>
            </w:pPr>
            <w:r>
              <w:rPr>
                <w:szCs w:val="22"/>
              </w:rPr>
              <w:t>Has there been any federal government investment in the Canberra Convention Centre?</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09/03/17</w:t>
            </w:r>
          </w:p>
        </w:tc>
      </w:tr>
      <w:tr w:rsidR="00CA780F" w:rsidTr="00A75B90">
        <w:trPr>
          <w:cantSplit/>
        </w:trPr>
        <w:tc>
          <w:tcPr>
            <w:tcW w:w="675" w:type="dxa"/>
          </w:tcPr>
          <w:p w:rsidR="00CA780F" w:rsidRPr="00D3246D" w:rsidRDefault="00CA780F" w:rsidP="00C36F0E">
            <w:pPr>
              <w:jc w:val="center"/>
              <w:rPr>
                <w:rFonts w:cs="Calibri"/>
                <w:bCs/>
                <w:szCs w:val="22"/>
              </w:rPr>
            </w:pPr>
            <w:r>
              <w:rPr>
                <w:rFonts w:cs="Calibri"/>
                <w:bCs/>
                <w:szCs w:val="22"/>
              </w:rPr>
              <w:t>4</w:t>
            </w:r>
          </w:p>
        </w:tc>
        <w:tc>
          <w:tcPr>
            <w:tcW w:w="1134" w:type="dxa"/>
          </w:tcPr>
          <w:p w:rsidR="00CA780F" w:rsidRPr="00D3246D" w:rsidRDefault="00CA780F" w:rsidP="00C36F0E">
            <w:pPr>
              <w:jc w:val="center"/>
              <w:rPr>
                <w:rFonts w:cs="Calibri"/>
                <w:bCs/>
                <w:szCs w:val="22"/>
              </w:rPr>
            </w:pPr>
            <w:r>
              <w:rPr>
                <w:rFonts w:cs="Calibri"/>
                <w:bCs/>
                <w:szCs w:val="22"/>
              </w:rPr>
              <w:t>27/02/17</w:t>
            </w:r>
          </w:p>
        </w:tc>
        <w:tc>
          <w:tcPr>
            <w:tcW w:w="1418" w:type="dxa"/>
          </w:tcPr>
          <w:p w:rsidR="00CA780F" w:rsidRPr="00D3246D" w:rsidRDefault="00CA780F" w:rsidP="00C36F0E">
            <w:pPr>
              <w:jc w:val="center"/>
              <w:rPr>
                <w:rFonts w:cs="Calibri"/>
                <w:bCs/>
                <w:szCs w:val="22"/>
              </w:rPr>
            </w:pPr>
            <w:r>
              <w:rPr>
                <w:rFonts w:cs="Calibri"/>
                <w:bCs/>
                <w:szCs w:val="22"/>
              </w:rPr>
              <w:t>Pettersson</w:t>
            </w:r>
          </w:p>
        </w:tc>
        <w:tc>
          <w:tcPr>
            <w:tcW w:w="1559" w:type="dxa"/>
          </w:tcPr>
          <w:p w:rsidR="00CA780F" w:rsidRPr="00D3246D" w:rsidRDefault="00CA780F" w:rsidP="00C36F0E">
            <w:pPr>
              <w:jc w:val="center"/>
              <w:rPr>
                <w:rFonts w:cs="Calibri"/>
                <w:bCs/>
                <w:szCs w:val="22"/>
              </w:rPr>
            </w:pPr>
            <w:r>
              <w:rPr>
                <w:rFonts w:cs="Calibri"/>
                <w:bCs/>
                <w:szCs w:val="22"/>
              </w:rPr>
              <w:t>Treasurer</w:t>
            </w:r>
          </w:p>
        </w:tc>
        <w:tc>
          <w:tcPr>
            <w:tcW w:w="2693" w:type="dxa"/>
          </w:tcPr>
          <w:p w:rsidR="00CA780F" w:rsidRPr="002B7E94" w:rsidRDefault="00CA780F" w:rsidP="00C36F0E">
            <w:pPr>
              <w:rPr>
                <w:rFonts w:cs="Calibri"/>
                <w:bCs/>
                <w:szCs w:val="22"/>
              </w:rPr>
            </w:pPr>
            <w:r>
              <w:rPr>
                <w:rFonts w:cs="Calibri"/>
                <w:bCs/>
                <w:szCs w:val="22"/>
              </w:rPr>
              <w:t>Have there been any negative changes to the ACT budget due to changes in the Commonwealth Grants methodology?</w:t>
            </w:r>
          </w:p>
        </w:tc>
        <w:tc>
          <w:tcPr>
            <w:tcW w:w="1134" w:type="dxa"/>
          </w:tcPr>
          <w:p w:rsidR="00CA780F" w:rsidRPr="00D3246D" w:rsidRDefault="00CA780F" w:rsidP="00C36F0E">
            <w:pPr>
              <w:jc w:val="center"/>
              <w:rPr>
                <w:rFonts w:cs="Calibri"/>
                <w:bCs/>
                <w:szCs w:val="22"/>
              </w:rPr>
            </w:pPr>
            <w:r>
              <w:rPr>
                <w:rFonts w:cs="Calibri"/>
                <w:bCs/>
                <w:szCs w:val="22"/>
              </w:rPr>
              <w:t>10/03/17</w:t>
            </w:r>
          </w:p>
        </w:tc>
      </w:tr>
      <w:tr w:rsidR="00CA780F" w:rsidTr="00A75B90">
        <w:trPr>
          <w:cantSplit/>
        </w:trPr>
        <w:tc>
          <w:tcPr>
            <w:tcW w:w="675" w:type="dxa"/>
            <w:shd w:val="clear" w:color="auto" w:fill="F2F2F2"/>
          </w:tcPr>
          <w:p w:rsidR="00CA780F" w:rsidRPr="00D3246D" w:rsidRDefault="00CA780F" w:rsidP="00C36F0E">
            <w:pPr>
              <w:jc w:val="center"/>
              <w:rPr>
                <w:rFonts w:cs="Calibri"/>
                <w:bCs/>
                <w:szCs w:val="22"/>
              </w:rPr>
            </w:pPr>
            <w:r>
              <w:rPr>
                <w:rFonts w:cs="Calibri"/>
                <w:bCs/>
                <w:szCs w:val="22"/>
              </w:rPr>
              <w:t>5</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27/02/17</w:t>
            </w:r>
          </w:p>
        </w:tc>
        <w:tc>
          <w:tcPr>
            <w:tcW w:w="1418" w:type="dxa"/>
            <w:shd w:val="clear" w:color="auto" w:fill="F2F2F2"/>
          </w:tcPr>
          <w:p w:rsidR="00CA780F" w:rsidRPr="00D3246D" w:rsidRDefault="00CA780F" w:rsidP="00C36F0E">
            <w:pPr>
              <w:jc w:val="center"/>
              <w:rPr>
                <w:rFonts w:cs="Calibri"/>
                <w:bCs/>
                <w:szCs w:val="22"/>
              </w:rPr>
            </w:pPr>
            <w:r>
              <w:rPr>
                <w:rFonts w:cs="Calibri"/>
                <w:bCs/>
                <w:szCs w:val="22"/>
              </w:rPr>
              <w:t>Coe</w:t>
            </w:r>
          </w:p>
        </w:tc>
        <w:tc>
          <w:tcPr>
            <w:tcW w:w="1559" w:type="dxa"/>
            <w:shd w:val="clear" w:color="auto" w:fill="F2F2F2"/>
          </w:tcPr>
          <w:p w:rsidR="00CA780F" w:rsidRPr="00D3246D" w:rsidRDefault="00CA780F" w:rsidP="00C36F0E">
            <w:pPr>
              <w:jc w:val="center"/>
              <w:rPr>
                <w:rFonts w:cs="Calibri"/>
                <w:bCs/>
                <w:szCs w:val="22"/>
              </w:rPr>
            </w:pPr>
            <w:r>
              <w:rPr>
                <w:rFonts w:cs="Calibri"/>
                <w:bCs/>
                <w:szCs w:val="22"/>
              </w:rPr>
              <w:t>Treasurer</w:t>
            </w:r>
          </w:p>
        </w:tc>
        <w:tc>
          <w:tcPr>
            <w:tcW w:w="2693" w:type="dxa"/>
            <w:shd w:val="clear" w:color="auto" w:fill="F2F2F2"/>
          </w:tcPr>
          <w:p w:rsidR="00CA780F" w:rsidRPr="002B7E94" w:rsidRDefault="00CA780F" w:rsidP="00C36F0E">
            <w:pPr>
              <w:rPr>
                <w:rFonts w:cs="Calibri"/>
                <w:bCs/>
                <w:szCs w:val="22"/>
              </w:rPr>
            </w:pPr>
            <w:r>
              <w:rPr>
                <w:rFonts w:cs="Calibri"/>
                <w:bCs/>
                <w:szCs w:val="22"/>
              </w:rPr>
              <w:t>H</w:t>
            </w:r>
            <w:r w:rsidRPr="00AF5DCA">
              <w:rPr>
                <w:rFonts w:cs="Calibri"/>
                <w:bCs/>
                <w:szCs w:val="22"/>
              </w:rPr>
              <w:t>ave there been any listed companies over the last few years that have received a non-compliance notice from the Revenue Office stating that they need to pay more payroll tax due to a grouping?</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09/03/17</w:t>
            </w:r>
          </w:p>
        </w:tc>
      </w:tr>
      <w:tr w:rsidR="00CA780F" w:rsidTr="00A75B90">
        <w:trPr>
          <w:cantSplit/>
        </w:trPr>
        <w:tc>
          <w:tcPr>
            <w:tcW w:w="675" w:type="dxa"/>
          </w:tcPr>
          <w:p w:rsidR="00CA780F" w:rsidRPr="00D3246D" w:rsidRDefault="00CA780F" w:rsidP="00C36F0E">
            <w:pPr>
              <w:jc w:val="center"/>
              <w:rPr>
                <w:rFonts w:cs="Calibri"/>
                <w:bCs/>
                <w:szCs w:val="22"/>
              </w:rPr>
            </w:pPr>
            <w:r>
              <w:rPr>
                <w:rFonts w:cs="Calibri"/>
                <w:bCs/>
                <w:szCs w:val="22"/>
              </w:rPr>
              <w:t>6</w:t>
            </w:r>
          </w:p>
        </w:tc>
        <w:tc>
          <w:tcPr>
            <w:tcW w:w="1134" w:type="dxa"/>
          </w:tcPr>
          <w:p w:rsidR="00CA780F" w:rsidRPr="00D3246D" w:rsidRDefault="00CA780F" w:rsidP="00C36F0E">
            <w:pPr>
              <w:jc w:val="center"/>
              <w:rPr>
                <w:rFonts w:cs="Calibri"/>
                <w:bCs/>
                <w:szCs w:val="22"/>
              </w:rPr>
            </w:pPr>
            <w:r>
              <w:rPr>
                <w:rFonts w:cs="Calibri"/>
                <w:bCs/>
                <w:szCs w:val="22"/>
              </w:rPr>
              <w:t>27/02/17</w:t>
            </w:r>
          </w:p>
        </w:tc>
        <w:tc>
          <w:tcPr>
            <w:tcW w:w="1418" w:type="dxa"/>
          </w:tcPr>
          <w:p w:rsidR="00CA780F" w:rsidRPr="00D3246D" w:rsidRDefault="00CA780F" w:rsidP="00C36F0E">
            <w:pPr>
              <w:jc w:val="center"/>
              <w:rPr>
                <w:rFonts w:cs="Calibri"/>
                <w:bCs/>
                <w:szCs w:val="22"/>
              </w:rPr>
            </w:pPr>
            <w:r>
              <w:rPr>
                <w:rFonts w:cs="Calibri"/>
                <w:bCs/>
                <w:szCs w:val="22"/>
              </w:rPr>
              <w:t>Parton</w:t>
            </w:r>
          </w:p>
        </w:tc>
        <w:tc>
          <w:tcPr>
            <w:tcW w:w="1559" w:type="dxa"/>
          </w:tcPr>
          <w:p w:rsidR="00CA780F" w:rsidRPr="00D3246D" w:rsidRDefault="00CA780F" w:rsidP="00C36F0E">
            <w:pPr>
              <w:jc w:val="center"/>
              <w:rPr>
                <w:rFonts w:cs="Calibri"/>
                <w:bCs/>
                <w:szCs w:val="22"/>
              </w:rPr>
            </w:pPr>
            <w:r>
              <w:rPr>
                <w:rFonts w:cs="Calibri"/>
                <w:bCs/>
                <w:szCs w:val="22"/>
              </w:rPr>
              <w:t>Treasurer</w:t>
            </w:r>
          </w:p>
        </w:tc>
        <w:tc>
          <w:tcPr>
            <w:tcW w:w="2693" w:type="dxa"/>
          </w:tcPr>
          <w:p w:rsidR="00CA780F" w:rsidRPr="002B7E94" w:rsidRDefault="00CA780F" w:rsidP="00C36F0E">
            <w:pPr>
              <w:rPr>
                <w:rFonts w:cs="Calibri"/>
                <w:bCs/>
                <w:szCs w:val="22"/>
              </w:rPr>
            </w:pPr>
            <w:r>
              <w:rPr>
                <w:rFonts w:cs="Calibri"/>
                <w:bCs/>
                <w:szCs w:val="22"/>
              </w:rPr>
              <w:t>What are the differences between the New South Wales and ACT payroll taxes?</w:t>
            </w:r>
          </w:p>
        </w:tc>
        <w:tc>
          <w:tcPr>
            <w:tcW w:w="1134" w:type="dxa"/>
          </w:tcPr>
          <w:p w:rsidR="00CA780F" w:rsidRPr="00D3246D" w:rsidRDefault="00CA780F" w:rsidP="00C36F0E">
            <w:pPr>
              <w:jc w:val="center"/>
              <w:rPr>
                <w:rFonts w:cs="Calibri"/>
                <w:bCs/>
                <w:szCs w:val="22"/>
              </w:rPr>
            </w:pPr>
            <w:r>
              <w:rPr>
                <w:rFonts w:cs="Calibri"/>
                <w:bCs/>
                <w:szCs w:val="22"/>
              </w:rPr>
              <w:t>09/03/17</w:t>
            </w:r>
          </w:p>
        </w:tc>
      </w:tr>
      <w:tr w:rsidR="00CA780F" w:rsidTr="00A75B90">
        <w:trPr>
          <w:cantSplit/>
        </w:trPr>
        <w:tc>
          <w:tcPr>
            <w:tcW w:w="675" w:type="dxa"/>
            <w:shd w:val="clear" w:color="auto" w:fill="F2F2F2"/>
          </w:tcPr>
          <w:p w:rsidR="00CA780F" w:rsidRPr="00D3246D" w:rsidRDefault="00CA780F" w:rsidP="00C36F0E">
            <w:pPr>
              <w:jc w:val="center"/>
              <w:rPr>
                <w:rFonts w:cs="Calibri"/>
                <w:bCs/>
                <w:szCs w:val="22"/>
              </w:rPr>
            </w:pPr>
            <w:r>
              <w:rPr>
                <w:rFonts w:cs="Calibri"/>
                <w:bCs/>
                <w:szCs w:val="22"/>
              </w:rPr>
              <w:t>7</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27/02/17</w:t>
            </w:r>
          </w:p>
        </w:tc>
        <w:tc>
          <w:tcPr>
            <w:tcW w:w="1418" w:type="dxa"/>
            <w:shd w:val="clear" w:color="auto" w:fill="F2F2F2"/>
          </w:tcPr>
          <w:p w:rsidR="00CA780F" w:rsidRPr="00D3246D" w:rsidRDefault="00CA780F" w:rsidP="00C36F0E">
            <w:pPr>
              <w:jc w:val="center"/>
              <w:rPr>
                <w:rFonts w:cs="Calibri"/>
                <w:bCs/>
                <w:szCs w:val="22"/>
              </w:rPr>
            </w:pPr>
            <w:r>
              <w:rPr>
                <w:rFonts w:cs="Calibri"/>
                <w:bCs/>
                <w:szCs w:val="22"/>
              </w:rPr>
              <w:t>Hanson</w:t>
            </w:r>
          </w:p>
        </w:tc>
        <w:tc>
          <w:tcPr>
            <w:tcW w:w="1559" w:type="dxa"/>
            <w:shd w:val="clear" w:color="auto" w:fill="F2F2F2"/>
          </w:tcPr>
          <w:p w:rsidR="00CA780F" w:rsidRPr="00D3246D" w:rsidRDefault="00CA780F" w:rsidP="00C36F0E">
            <w:pPr>
              <w:jc w:val="center"/>
              <w:rPr>
                <w:rFonts w:cs="Calibri"/>
                <w:bCs/>
                <w:szCs w:val="22"/>
              </w:rPr>
            </w:pPr>
            <w:r>
              <w:rPr>
                <w:rFonts w:cs="Calibri"/>
                <w:bCs/>
                <w:szCs w:val="22"/>
              </w:rPr>
              <w:t>Treasurer</w:t>
            </w:r>
          </w:p>
        </w:tc>
        <w:tc>
          <w:tcPr>
            <w:tcW w:w="2693" w:type="dxa"/>
            <w:shd w:val="clear" w:color="auto" w:fill="F2F2F2"/>
          </w:tcPr>
          <w:p w:rsidR="00CA780F" w:rsidRPr="002B7E94" w:rsidRDefault="00CA780F" w:rsidP="00C36F0E">
            <w:pPr>
              <w:rPr>
                <w:rFonts w:cs="Calibri"/>
                <w:bCs/>
                <w:szCs w:val="22"/>
              </w:rPr>
            </w:pPr>
            <w:r w:rsidRPr="00AF5DCA">
              <w:rPr>
                <w:rFonts w:cs="Calibri"/>
                <w:bCs/>
                <w:szCs w:val="22"/>
              </w:rPr>
              <w:t>How many businesses in the ACT are there with over 50 employees?</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07/03/17</w:t>
            </w:r>
          </w:p>
        </w:tc>
      </w:tr>
      <w:tr w:rsidR="00CA780F" w:rsidTr="00A75B90">
        <w:trPr>
          <w:cantSplit/>
        </w:trPr>
        <w:tc>
          <w:tcPr>
            <w:tcW w:w="675" w:type="dxa"/>
          </w:tcPr>
          <w:p w:rsidR="00CA780F" w:rsidRPr="00D3246D" w:rsidRDefault="00CA780F" w:rsidP="00C36F0E">
            <w:pPr>
              <w:jc w:val="center"/>
              <w:rPr>
                <w:rFonts w:cs="Calibri"/>
                <w:bCs/>
                <w:szCs w:val="22"/>
              </w:rPr>
            </w:pPr>
            <w:r>
              <w:rPr>
                <w:rFonts w:cs="Calibri"/>
                <w:bCs/>
                <w:szCs w:val="22"/>
              </w:rPr>
              <w:t>8</w:t>
            </w:r>
          </w:p>
        </w:tc>
        <w:tc>
          <w:tcPr>
            <w:tcW w:w="1134" w:type="dxa"/>
          </w:tcPr>
          <w:p w:rsidR="00CA780F" w:rsidRPr="00D3246D" w:rsidRDefault="00CA780F" w:rsidP="00C36F0E">
            <w:pPr>
              <w:jc w:val="center"/>
              <w:rPr>
                <w:rFonts w:cs="Calibri"/>
                <w:bCs/>
                <w:szCs w:val="22"/>
              </w:rPr>
            </w:pPr>
            <w:r>
              <w:rPr>
                <w:rFonts w:cs="Calibri"/>
                <w:bCs/>
                <w:szCs w:val="22"/>
              </w:rPr>
              <w:t>27/02/17</w:t>
            </w:r>
          </w:p>
        </w:tc>
        <w:tc>
          <w:tcPr>
            <w:tcW w:w="1418" w:type="dxa"/>
          </w:tcPr>
          <w:p w:rsidR="00CA780F" w:rsidRPr="00D3246D" w:rsidRDefault="00CA780F" w:rsidP="00C36F0E">
            <w:pPr>
              <w:jc w:val="center"/>
              <w:rPr>
                <w:rFonts w:cs="Calibri"/>
                <w:bCs/>
                <w:szCs w:val="22"/>
              </w:rPr>
            </w:pPr>
            <w:r>
              <w:rPr>
                <w:rFonts w:cs="Calibri"/>
                <w:bCs/>
                <w:szCs w:val="22"/>
              </w:rPr>
              <w:t>Hanson</w:t>
            </w:r>
          </w:p>
        </w:tc>
        <w:tc>
          <w:tcPr>
            <w:tcW w:w="1559" w:type="dxa"/>
          </w:tcPr>
          <w:p w:rsidR="00CA780F" w:rsidRPr="00D3246D" w:rsidRDefault="00CA780F" w:rsidP="00C36F0E">
            <w:pPr>
              <w:jc w:val="center"/>
              <w:rPr>
                <w:rFonts w:cs="Calibri"/>
                <w:bCs/>
                <w:szCs w:val="22"/>
              </w:rPr>
            </w:pPr>
            <w:r>
              <w:rPr>
                <w:rFonts w:cs="Calibri"/>
                <w:bCs/>
                <w:szCs w:val="22"/>
              </w:rPr>
              <w:t>Treasurer</w:t>
            </w:r>
          </w:p>
        </w:tc>
        <w:tc>
          <w:tcPr>
            <w:tcW w:w="2693" w:type="dxa"/>
          </w:tcPr>
          <w:p w:rsidR="00CA780F" w:rsidRPr="002B7E94" w:rsidRDefault="00CA780F" w:rsidP="00C36F0E">
            <w:pPr>
              <w:rPr>
                <w:rFonts w:cs="Calibri"/>
                <w:bCs/>
                <w:szCs w:val="22"/>
              </w:rPr>
            </w:pPr>
            <w:r>
              <w:rPr>
                <w:rFonts w:cs="Calibri"/>
                <w:bCs/>
                <w:szCs w:val="22"/>
              </w:rPr>
              <w:t>Can you provide evidence of benefits from the reduction of stamp duty?</w:t>
            </w:r>
          </w:p>
        </w:tc>
        <w:tc>
          <w:tcPr>
            <w:tcW w:w="1134" w:type="dxa"/>
          </w:tcPr>
          <w:p w:rsidR="00CA780F" w:rsidRPr="00D3246D" w:rsidRDefault="00CA780F" w:rsidP="00C36F0E">
            <w:pPr>
              <w:jc w:val="center"/>
              <w:rPr>
                <w:rFonts w:cs="Calibri"/>
                <w:bCs/>
                <w:szCs w:val="22"/>
              </w:rPr>
            </w:pPr>
            <w:r>
              <w:rPr>
                <w:rFonts w:cs="Calibri"/>
                <w:bCs/>
                <w:szCs w:val="22"/>
              </w:rPr>
              <w:t>09/03/17</w:t>
            </w:r>
          </w:p>
        </w:tc>
      </w:tr>
      <w:tr w:rsidR="00CA780F" w:rsidTr="00A75B90">
        <w:trPr>
          <w:cantSplit/>
        </w:trPr>
        <w:tc>
          <w:tcPr>
            <w:tcW w:w="675" w:type="dxa"/>
            <w:shd w:val="clear" w:color="auto" w:fill="F2F2F2"/>
          </w:tcPr>
          <w:p w:rsidR="00CA780F" w:rsidRPr="009A5CEF" w:rsidRDefault="00CA780F" w:rsidP="00C36F0E">
            <w:pPr>
              <w:jc w:val="center"/>
              <w:rPr>
                <w:rFonts w:cs="Calibri"/>
                <w:bCs/>
                <w:szCs w:val="22"/>
              </w:rPr>
            </w:pPr>
            <w:r>
              <w:rPr>
                <w:rFonts w:cs="Calibri"/>
                <w:bCs/>
                <w:szCs w:val="22"/>
              </w:rPr>
              <w:t>9</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27/02/17</w:t>
            </w:r>
          </w:p>
        </w:tc>
        <w:tc>
          <w:tcPr>
            <w:tcW w:w="1418" w:type="dxa"/>
            <w:shd w:val="clear" w:color="auto" w:fill="F2F2F2"/>
          </w:tcPr>
          <w:p w:rsidR="00CA780F" w:rsidRPr="009A5CEF" w:rsidRDefault="00CA780F" w:rsidP="00C36F0E">
            <w:pPr>
              <w:jc w:val="center"/>
              <w:rPr>
                <w:rFonts w:cs="Calibri"/>
                <w:bCs/>
                <w:szCs w:val="22"/>
              </w:rPr>
            </w:pPr>
            <w:r>
              <w:rPr>
                <w:rFonts w:cs="Calibri"/>
                <w:bCs/>
                <w:szCs w:val="22"/>
              </w:rPr>
              <w:t>Parton</w:t>
            </w:r>
          </w:p>
        </w:tc>
        <w:tc>
          <w:tcPr>
            <w:tcW w:w="1559" w:type="dxa"/>
            <w:shd w:val="clear" w:color="auto" w:fill="F2F2F2"/>
          </w:tcPr>
          <w:p w:rsidR="00CA780F" w:rsidRPr="009A5CEF" w:rsidRDefault="00CA780F" w:rsidP="00C36F0E">
            <w:pPr>
              <w:jc w:val="center"/>
              <w:rPr>
                <w:rFonts w:cs="Calibri"/>
                <w:bCs/>
                <w:szCs w:val="22"/>
              </w:rPr>
            </w:pPr>
            <w:r>
              <w:rPr>
                <w:rFonts w:cs="Calibri"/>
                <w:bCs/>
                <w:szCs w:val="22"/>
              </w:rPr>
              <w:t>Chief Minister</w:t>
            </w:r>
          </w:p>
        </w:tc>
        <w:tc>
          <w:tcPr>
            <w:tcW w:w="2693" w:type="dxa"/>
            <w:shd w:val="clear" w:color="auto" w:fill="F2F2F2"/>
          </w:tcPr>
          <w:p w:rsidR="00CA780F" w:rsidRPr="002B7E94" w:rsidRDefault="00CA780F" w:rsidP="00C36F0E">
            <w:pPr>
              <w:rPr>
                <w:rFonts w:cs="Calibri"/>
                <w:bCs/>
                <w:szCs w:val="22"/>
              </w:rPr>
            </w:pPr>
            <w:r>
              <w:rPr>
                <w:rFonts w:cs="Calibri"/>
                <w:bCs/>
                <w:szCs w:val="22"/>
              </w:rPr>
              <w:t>W</w:t>
            </w:r>
            <w:r w:rsidRPr="00410543">
              <w:rPr>
                <w:rFonts w:cs="Calibri"/>
                <w:bCs/>
                <w:szCs w:val="22"/>
              </w:rPr>
              <w:t>hen was the directorate first advised that ACT Health was not going to meet the Productivity Commission’s deadline for emergency department figures for the annual comparison of the performance of states and territories because of those concerns about the accuracy of ACT Health’s data?</w:t>
            </w:r>
          </w:p>
        </w:tc>
        <w:tc>
          <w:tcPr>
            <w:tcW w:w="1134" w:type="dxa"/>
            <w:shd w:val="clear" w:color="auto" w:fill="F2F2F2"/>
          </w:tcPr>
          <w:p w:rsidR="00CA780F" w:rsidRPr="009A5CEF" w:rsidRDefault="00CA780F" w:rsidP="00C36F0E">
            <w:pPr>
              <w:jc w:val="center"/>
              <w:rPr>
                <w:rFonts w:cs="Calibri"/>
                <w:bCs/>
                <w:szCs w:val="22"/>
              </w:rPr>
            </w:pPr>
            <w:r>
              <w:rPr>
                <w:rFonts w:cs="Calibri"/>
                <w:bCs/>
                <w:szCs w:val="22"/>
              </w:rPr>
              <w:t>08/03/17</w:t>
            </w:r>
          </w:p>
        </w:tc>
      </w:tr>
      <w:tr w:rsidR="00CA780F" w:rsidTr="00A75B90">
        <w:trPr>
          <w:cantSplit/>
        </w:trPr>
        <w:tc>
          <w:tcPr>
            <w:tcW w:w="675" w:type="dxa"/>
          </w:tcPr>
          <w:p w:rsidR="00CA780F" w:rsidRDefault="00CA780F" w:rsidP="00C36F0E">
            <w:pPr>
              <w:jc w:val="center"/>
              <w:rPr>
                <w:rFonts w:cs="Calibri"/>
                <w:bCs/>
                <w:szCs w:val="22"/>
              </w:rPr>
            </w:pPr>
            <w:r>
              <w:rPr>
                <w:rFonts w:cs="Calibri"/>
                <w:bCs/>
                <w:szCs w:val="22"/>
              </w:rPr>
              <w:t>10</w:t>
            </w:r>
          </w:p>
        </w:tc>
        <w:tc>
          <w:tcPr>
            <w:tcW w:w="1134" w:type="dxa"/>
          </w:tcPr>
          <w:p w:rsidR="00CA780F" w:rsidRDefault="00CA780F" w:rsidP="00C36F0E">
            <w:pPr>
              <w:jc w:val="center"/>
              <w:rPr>
                <w:rFonts w:cs="Calibri"/>
                <w:bCs/>
                <w:szCs w:val="22"/>
              </w:rPr>
            </w:pPr>
            <w:r>
              <w:rPr>
                <w:rFonts w:cs="Calibri"/>
                <w:bCs/>
                <w:szCs w:val="22"/>
              </w:rPr>
              <w:t>27/02/17</w:t>
            </w:r>
          </w:p>
        </w:tc>
        <w:tc>
          <w:tcPr>
            <w:tcW w:w="1418" w:type="dxa"/>
          </w:tcPr>
          <w:p w:rsidR="00CA780F" w:rsidRDefault="00CA780F" w:rsidP="00C36F0E">
            <w:pPr>
              <w:jc w:val="center"/>
              <w:rPr>
                <w:rFonts w:cs="Calibri"/>
                <w:bCs/>
                <w:szCs w:val="22"/>
              </w:rPr>
            </w:pPr>
            <w:r>
              <w:rPr>
                <w:rFonts w:cs="Calibri"/>
                <w:bCs/>
                <w:szCs w:val="22"/>
              </w:rPr>
              <w:t>Coe</w:t>
            </w:r>
          </w:p>
        </w:tc>
        <w:tc>
          <w:tcPr>
            <w:tcW w:w="1559" w:type="dxa"/>
          </w:tcPr>
          <w:p w:rsidR="00CA780F" w:rsidRDefault="00CA780F" w:rsidP="00C36F0E">
            <w:pPr>
              <w:jc w:val="center"/>
              <w:rPr>
                <w:rFonts w:cs="Calibri"/>
                <w:bCs/>
                <w:szCs w:val="22"/>
              </w:rPr>
            </w:pPr>
            <w:r>
              <w:rPr>
                <w:rFonts w:cs="Calibri"/>
                <w:bCs/>
                <w:szCs w:val="22"/>
              </w:rPr>
              <w:t>Chief Minister</w:t>
            </w:r>
          </w:p>
        </w:tc>
        <w:tc>
          <w:tcPr>
            <w:tcW w:w="2693" w:type="dxa"/>
          </w:tcPr>
          <w:p w:rsidR="00CA780F" w:rsidRPr="002B7E94" w:rsidRDefault="00CA780F" w:rsidP="00C36F0E">
            <w:pPr>
              <w:rPr>
                <w:szCs w:val="22"/>
              </w:rPr>
            </w:pPr>
            <w:r>
              <w:rPr>
                <w:szCs w:val="22"/>
              </w:rPr>
              <w:t>What is CMTEDD’s role in the provision of figures to the Productivity Commission for interstate comparison?</w:t>
            </w:r>
          </w:p>
        </w:tc>
        <w:tc>
          <w:tcPr>
            <w:tcW w:w="1134" w:type="dxa"/>
          </w:tcPr>
          <w:p w:rsidR="00CA780F" w:rsidRDefault="00CA780F" w:rsidP="00C36F0E">
            <w:pPr>
              <w:jc w:val="center"/>
              <w:rPr>
                <w:rFonts w:cs="Calibri"/>
                <w:bCs/>
                <w:szCs w:val="22"/>
              </w:rPr>
            </w:pPr>
            <w:r>
              <w:rPr>
                <w:rFonts w:cs="Calibri"/>
                <w:bCs/>
                <w:szCs w:val="22"/>
              </w:rPr>
              <w:t>08/03/17</w:t>
            </w:r>
          </w:p>
        </w:tc>
      </w:tr>
      <w:tr w:rsidR="00CA780F" w:rsidTr="00A75B90">
        <w:trPr>
          <w:cantSplit/>
        </w:trPr>
        <w:tc>
          <w:tcPr>
            <w:tcW w:w="675" w:type="dxa"/>
            <w:shd w:val="clear" w:color="auto" w:fill="F2F2F2"/>
          </w:tcPr>
          <w:p w:rsidR="00CA780F" w:rsidRDefault="00CA780F" w:rsidP="00C36F0E">
            <w:pPr>
              <w:jc w:val="center"/>
              <w:rPr>
                <w:rFonts w:cs="Calibri"/>
                <w:bCs/>
                <w:szCs w:val="22"/>
              </w:rPr>
            </w:pPr>
            <w:r>
              <w:rPr>
                <w:rFonts w:cs="Calibri"/>
                <w:bCs/>
                <w:szCs w:val="22"/>
              </w:rPr>
              <w:t>11</w:t>
            </w:r>
          </w:p>
        </w:tc>
        <w:tc>
          <w:tcPr>
            <w:tcW w:w="1134" w:type="dxa"/>
            <w:shd w:val="clear" w:color="auto" w:fill="F2F2F2"/>
          </w:tcPr>
          <w:p w:rsidR="00CA780F" w:rsidRDefault="00CA780F" w:rsidP="00C36F0E">
            <w:pPr>
              <w:jc w:val="center"/>
              <w:rPr>
                <w:rFonts w:cs="Calibri"/>
                <w:bCs/>
                <w:szCs w:val="22"/>
              </w:rPr>
            </w:pPr>
            <w:r>
              <w:rPr>
                <w:rFonts w:cs="Calibri"/>
                <w:bCs/>
                <w:szCs w:val="22"/>
              </w:rPr>
              <w:t>27/02/17</w:t>
            </w:r>
          </w:p>
        </w:tc>
        <w:tc>
          <w:tcPr>
            <w:tcW w:w="1418" w:type="dxa"/>
            <w:shd w:val="clear" w:color="auto" w:fill="F2F2F2"/>
          </w:tcPr>
          <w:p w:rsidR="00CA780F" w:rsidRDefault="00CA780F" w:rsidP="00C36F0E">
            <w:pPr>
              <w:jc w:val="center"/>
              <w:rPr>
                <w:rFonts w:cs="Calibri"/>
                <w:bCs/>
                <w:szCs w:val="22"/>
              </w:rPr>
            </w:pPr>
            <w:r>
              <w:rPr>
                <w:rFonts w:cs="Calibri"/>
                <w:bCs/>
                <w:szCs w:val="22"/>
              </w:rPr>
              <w:t>Coe</w:t>
            </w:r>
          </w:p>
        </w:tc>
        <w:tc>
          <w:tcPr>
            <w:tcW w:w="1559" w:type="dxa"/>
            <w:shd w:val="clear" w:color="auto" w:fill="F2F2F2"/>
          </w:tcPr>
          <w:p w:rsidR="00CA780F" w:rsidRDefault="00CA780F" w:rsidP="00C36F0E">
            <w:pPr>
              <w:jc w:val="center"/>
              <w:rPr>
                <w:rFonts w:cs="Calibri"/>
                <w:bCs/>
                <w:szCs w:val="22"/>
              </w:rPr>
            </w:pPr>
            <w:r>
              <w:rPr>
                <w:rFonts w:cs="Calibri"/>
                <w:bCs/>
                <w:szCs w:val="22"/>
              </w:rPr>
              <w:t>Chief Minister</w:t>
            </w:r>
          </w:p>
        </w:tc>
        <w:tc>
          <w:tcPr>
            <w:tcW w:w="2693" w:type="dxa"/>
            <w:shd w:val="clear" w:color="auto" w:fill="F2F2F2"/>
          </w:tcPr>
          <w:p w:rsidR="00CA780F" w:rsidRPr="002B7E94" w:rsidRDefault="00CA780F" w:rsidP="00C36F0E">
            <w:pPr>
              <w:rPr>
                <w:szCs w:val="22"/>
              </w:rPr>
            </w:pPr>
            <w:r>
              <w:rPr>
                <w:szCs w:val="22"/>
              </w:rPr>
              <w:t>Why, on page 187 of the CMTEDD Annual Report Vol 1, are there no Ministerial and Director-General Directions reported?</w:t>
            </w:r>
          </w:p>
        </w:tc>
        <w:tc>
          <w:tcPr>
            <w:tcW w:w="1134" w:type="dxa"/>
            <w:shd w:val="clear" w:color="auto" w:fill="F2F2F2"/>
          </w:tcPr>
          <w:p w:rsidR="00CA780F" w:rsidRDefault="00CA780F" w:rsidP="00C36F0E">
            <w:pPr>
              <w:jc w:val="center"/>
              <w:rPr>
                <w:rFonts w:cs="Calibri"/>
                <w:bCs/>
                <w:szCs w:val="22"/>
              </w:rPr>
            </w:pPr>
            <w:r>
              <w:rPr>
                <w:rFonts w:cs="Calibri"/>
                <w:bCs/>
                <w:szCs w:val="22"/>
              </w:rPr>
              <w:t>07/03/17</w:t>
            </w:r>
          </w:p>
        </w:tc>
      </w:tr>
      <w:tr w:rsidR="00CA780F" w:rsidTr="00A75B90">
        <w:trPr>
          <w:cantSplit/>
        </w:trPr>
        <w:tc>
          <w:tcPr>
            <w:tcW w:w="675" w:type="dxa"/>
          </w:tcPr>
          <w:p w:rsidR="00CA780F" w:rsidRDefault="00CA780F" w:rsidP="00C36F0E">
            <w:pPr>
              <w:jc w:val="center"/>
              <w:rPr>
                <w:rFonts w:cs="Calibri"/>
                <w:bCs/>
                <w:szCs w:val="22"/>
              </w:rPr>
            </w:pPr>
            <w:r>
              <w:rPr>
                <w:rFonts w:cs="Calibri"/>
                <w:bCs/>
                <w:szCs w:val="22"/>
              </w:rPr>
              <w:t>12</w:t>
            </w:r>
          </w:p>
        </w:tc>
        <w:tc>
          <w:tcPr>
            <w:tcW w:w="1134" w:type="dxa"/>
          </w:tcPr>
          <w:p w:rsidR="00CA780F" w:rsidRDefault="00CA780F" w:rsidP="00C36F0E">
            <w:pPr>
              <w:jc w:val="center"/>
              <w:rPr>
                <w:rFonts w:cs="Calibri"/>
                <w:bCs/>
                <w:szCs w:val="22"/>
              </w:rPr>
            </w:pPr>
            <w:r>
              <w:rPr>
                <w:rFonts w:cs="Calibri"/>
                <w:bCs/>
                <w:szCs w:val="22"/>
              </w:rPr>
              <w:t>27/02/17</w:t>
            </w:r>
          </w:p>
        </w:tc>
        <w:tc>
          <w:tcPr>
            <w:tcW w:w="1418" w:type="dxa"/>
          </w:tcPr>
          <w:p w:rsidR="00CA780F" w:rsidRDefault="00CA780F" w:rsidP="00C36F0E">
            <w:pPr>
              <w:jc w:val="center"/>
              <w:rPr>
                <w:rFonts w:cs="Calibri"/>
                <w:bCs/>
                <w:szCs w:val="22"/>
              </w:rPr>
            </w:pPr>
            <w:r>
              <w:rPr>
                <w:rFonts w:cs="Calibri"/>
                <w:bCs/>
                <w:szCs w:val="22"/>
              </w:rPr>
              <w:t>Dunne</w:t>
            </w:r>
          </w:p>
        </w:tc>
        <w:tc>
          <w:tcPr>
            <w:tcW w:w="1559" w:type="dxa"/>
          </w:tcPr>
          <w:p w:rsidR="00CA780F" w:rsidRDefault="00CA780F" w:rsidP="00C36F0E">
            <w:pPr>
              <w:jc w:val="center"/>
              <w:rPr>
                <w:rFonts w:cs="Calibri"/>
                <w:bCs/>
                <w:szCs w:val="22"/>
              </w:rPr>
            </w:pPr>
            <w:r>
              <w:rPr>
                <w:rFonts w:cs="Calibri"/>
                <w:bCs/>
                <w:szCs w:val="22"/>
              </w:rPr>
              <w:t>Economic Development</w:t>
            </w:r>
          </w:p>
        </w:tc>
        <w:tc>
          <w:tcPr>
            <w:tcW w:w="2693" w:type="dxa"/>
          </w:tcPr>
          <w:p w:rsidR="00CA780F" w:rsidRPr="002B7E94" w:rsidRDefault="00CA780F" w:rsidP="00C36F0E">
            <w:pPr>
              <w:rPr>
                <w:szCs w:val="22"/>
              </w:rPr>
            </w:pPr>
            <w:r>
              <w:rPr>
                <w:szCs w:val="22"/>
              </w:rPr>
              <w:t xml:space="preserve">Has </w:t>
            </w:r>
            <w:r w:rsidRPr="00410543">
              <w:rPr>
                <w:szCs w:val="22"/>
              </w:rPr>
              <w:t>new procurement circular and guidance material been finalised</w:t>
            </w:r>
            <w:r>
              <w:rPr>
                <w:szCs w:val="22"/>
              </w:rPr>
              <w:t>, since an exchange of correspondence between the then Speaker and Chief Minister in March 2015,</w:t>
            </w:r>
            <w:r w:rsidRPr="00410543">
              <w:rPr>
                <w:szCs w:val="22"/>
              </w:rPr>
              <w:t xml:space="preserve"> and</w:t>
            </w:r>
            <w:r>
              <w:rPr>
                <w:szCs w:val="22"/>
              </w:rPr>
              <w:t xml:space="preserve">, if so, </w:t>
            </w:r>
            <w:r w:rsidRPr="00410543">
              <w:rPr>
                <w:szCs w:val="22"/>
              </w:rPr>
              <w:t>how does it address the issues of forced labour</w:t>
            </w:r>
            <w:r>
              <w:rPr>
                <w:szCs w:val="22"/>
              </w:rPr>
              <w:t xml:space="preserve"> and ethical supply chains?</w:t>
            </w:r>
          </w:p>
        </w:tc>
        <w:tc>
          <w:tcPr>
            <w:tcW w:w="1134" w:type="dxa"/>
          </w:tcPr>
          <w:p w:rsidR="00CA780F" w:rsidRDefault="00CA780F" w:rsidP="00C36F0E">
            <w:pPr>
              <w:jc w:val="center"/>
              <w:rPr>
                <w:rFonts w:cs="Calibri"/>
                <w:bCs/>
                <w:szCs w:val="22"/>
              </w:rPr>
            </w:pPr>
            <w:r>
              <w:rPr>
                <w:rFonts w:cs="Calibri"/>
                <w:bCs/>
                <w:szCs w:val="22"/>
              </w:rPr>
              <w:t>To be asked on notice</w:t>
            </w:r>
          </w:p>
        </w:tc>
      </w:tr>
      <w:tr w:rsidR="00CA780F" w:rsidTr="00A75B90">
        <w:trPr>
          <w:cantSplit/>
        </w:trPr>
        <w:tc>
          <w:tcPr>
            <w:tcW w:w="675" w:type="dxa"/>
            <w:shd w:val="clear" w:color="auto" w:fill="F2F2F2"/>
          </w:tcPr>
          <w:p w:rsidR="00CA780F" w:rsidRDefault="00CA780F" w:rsidP="00C36F0E">
            <w:pPr>
              <w:jc w:val="center"/>
              <w:rPr>
                <w:rFonts w:cs="Calibri"/>
                <w:bCs/>
                <w:szCs w:val="22"/>
              </w:rPr>
            </w:pPr>
            <w:r>
              <w:rPr>
                <w:rFonts w:cs="Calibri"/>
                <w:bCs/>
                <w:szCs w:val="22"/>
              </w:rPr>
              <w:t>13</w:t>
            </w:r>
          </w:p>
        </w:tc>
        <w:tc>
          <w:tcPr>
            <w:tcW w:w="1134" w:type="dxa"/>
            <w:shd w:val="clear" w:color="auto" w:fill="F2F2F2"/>
          </w:tcPr>
          <w:p w:rsidR="00CA780F" w:rsidRDefault="00CA780F" w:rsidP="00C36F0E">
            <w:pPr>
              <w:jc w:val="center"/>
              <w:rPr>
                <w:rFonts w:cs="Calibri"/>
                <w:bCs/>
                <w:szCs w:val="22"/>
              </w:rPr>
            </w:pPr>
            <w:r>
              <w:rPr>
                <w:rFonts w:cs="Calibri"/>
                <w:bCs/>
                <w:szCs w:val="22"/>
              </w:rPr>
              <w:t>27/02/17</w:t>
            </w:r>
          </w:p>
        </w:tc>
        <w:tc>
          <w:tcPr>
            <w:tcW w:w="1418" w:type="dxa"/>
            <w:shd w:val="clear" w:color="auto" w:fill="F2F2F2"/>
          </w:tcPr>
          <w:p w:rsidR="00CA780F" w:rsidRDefault="00CA780F" w:rsidP="00C36F0E">
            <w:pPr>
              <w:jc w:val="center"/>
              <w:rPr>
                <w:rFonts w:cs="Calibri"/>
                <w:bCs/>
                <w:szCs w:val="22"/>
              </w:rPr>
            </w:pPr>
            <w:r>
              <w:rPr>
                <w:rFonts w:cs="Calibri"/>
                <w:bCs/>
                <w:szCs w:val="22"/>
              </w:rPr>
              <w:t>Hanson</w:t>
            </w:r>
          </w:p>
        </w:tc>
        <w:tc>
          <w:tcPr>
            <w:tcW w:w="1559" w:type="dxa"/>
            <w:shd w:val="clear" w:color="auto" w:fill="F2F2F2"/>
          </w:tcPr>
          <w:p w:rsidR="00CA780F" w:rsidRDefault="00CA780F" w:rsidP="00C36F0E">
            <w:pPr>
              <w:jc w:val="center"/>
              <w:rPr>
                <w:rFonts w:cs="Calibri"/>
                <w:bCs/>
                <w:szCs w:val="22"/>
              </w:rPr>
            </w:pPr>
            <w:r>
              <w:rPr>
                <w:rFonts w:cs="Calibri"/>
                <w:bCs/>
                <w:szCs w:val="22"/>
              </w:rPr>
              <w:t>Chief Minister</w:t>
            </w:r>
          </w:p>
        </w:tc>
        <w:tc>
          <w:tcPr>
            <w:tcW w:w="2693" w:type="dxa"/>
            <w:shd w:val="clear" w:color="auto" w:fill="F2F2F2"/>
          </w:tcPr>
          <w:p w:rsidR="00CA780F" w:rsidRPr="002B7E94" w:rsidRDefault="00CA780F" w:rsidP="00C36F0E">
            <w:pPr>
              <w:rPr>
                <w:szCs w:val="22"/>
              </w:rPr>
            </w:pPr>
            <w:r>
              <w:rPr>
                <w:szCs w:val="22"/>
              </w:rPr>
              <w:t>Can you provide a timeline regarding the employment and subsequent resignations of Mr House and Mr Farnhill that indicates the timing of conversations related to conflict of interest procedures, possible resignations, the prospect of investigations and the release of media reports?</w:t>
            </w:r>
          </w:p>
        </w:tc>
        <w:tc>
          <w:tcPr>
            <w:tcW w:w="1134" w:type="dxa"/>
            <w:shd w:val="clear" w:color="auto" w:fill="F2F2F2"/>
          </w:tcPr>
          <w:p w:rsidR="00CA780F" w:rsidRDefault="00CA780F" w:rsidP="00C36F0E">
            <w:pPr>
              <w:jc w:val="center"/>
              <w:rPr>
                <w:rFonts w:cs="Calibri"/>
                <w:bCs/>
                <w:szCs w:val="22"/>
              </w:rPr>
            </w:pPr>
            <w:r>
              <w:rPr>
                <w:rFonts w:cs="Calibri"/>
                <w:bCs/>
                <w:szCs w:val="22"/>
              </w:rPr>
              <w:t>09/03/17</w:t>
            </w:r>
          </w:p>
        </w:tc>
      </w:tr>
      <w:tr w:rsidR="00CA780F" w:rsidTr="00A75B90">
        <w:trPr>
          <w:cantSplit/>
        </w:trPr>
        <w:tc>
          <w:tcPr>
            <w:tcW w:w="675" w:type="dxa"/>
          </w:tcPr>
          <w:p w:rsidR="00CA780F" w:rsidRDefault="00CA780F" w:rsidP="00C36F0E">
            <w:pPr>
              <w:jc w:val="center"/>
              <w:rPr>
                <w:rFonts w:cs="Calibri"/>
                <w:bCs/>
                <w:szCs w:val="22"/>
              </w:rPr>
            </w:pPr>
            <w:r>
              <w:rPr>
                <w:rFonts w:cs="Calibri"/>
                <w:bCs/>
                <w:szCs w:val="22"/>
              </w:rPr>
              <w:t>14</w:t>
            </w:r>
          </w:p>
        </w:tc>
        <w:tc>
          <w:tcPr>
            <w:tcW w:w="1134" w:type="dxa"/>
          </w:tcPr>
          <w:p w:rsidR="00CA780F" w:rsidRDefault="00CA780F" w:rsidP="00C36F0E">
            <w:pPr>
              <w:jc w:val="center"/>
              <w:rPr>
                <w:rFonts w:cs="Calibri"/>
                <w:bCs/>
                <w:szCs w:val="22"/>
              </w:rPr>
            </w:pPr>
            <w:r>
              <w:rPr>
                <w:rFonts w:cs="Calibri"/>
                <w:bCs/>
                <w:szCs w:val="22"/>
              </w:rPr>
              <w:t>27/02/17</w:t>
            </w:r>
          </w:p>
        </w:tc>
        <w:tc>
          <w:tcPr>
            <w:tcW w:w="1418" w:type="dxa"/>
          </w:tcPr>
          <w:p w:rsidR="00CA780F" w:rsidRDefault="00CA780F" w:rsidP="00C36F0E">
            <w:pPr>
              <w:jc w:val="center"/>
              <w:rPr>
                <w:rFonts w:cs="Calibri"/>
                <w:bCs/>
                <w:szCs w:val="22"/>
              </w:rPr>
            </w:pPr>
            <w:r>
              <w:rPr>
                <w:rFonts w:cs="Calibri"/>
                <w:bCs/>
                <w:szCs w:val="22"/>
              </w:rPr>
              <w:t>Coe</w:t>
            </w:r>
          </w:p>
        </w:tc>
        <w:tc>
          <w:tcPr>
            <w:tcW w:w="1559" w:type="dxa"/>
          </w:tcPr>
          <w:p w:rsidR="00CA780F" w:rsidRDefault="00CA780F" w:rsidP="00C36F0E">
            <w:pPr>
              <w:jc w:val="center"/>
              <w:rPr>
                <w:rFonts w:cs="Calibri"/>
                <w:bCs/>
                <w:szCs w:val="22"/>
              </w:rPr>
            </w:pPr>
            <w:r>
              <w:rPr>
                <w:rFonts w:cs="Calibri"/>
                <w:bCs/>
                <w:szCs w:val="22"/>
              </w:rPr>
              <w:t>Chief Minister</w:t>
            </w:r>
          </w:p>
        </w:tc>
        <w:tc>
          <w:tcPr>
            <w:tcW w:w="2693" w:type="dxa"/>
          </w:tcPr>
          <w:p w:rsidR="00CA780F" w:rsidRPr="002B7E94" w:rsidRDefault="00CA780F" w:rsidP="00C36F0E">
            <w:pPr>
              <w:rPr>
                <w:szCs w:val="22"/>
              </w:rPr>
            </w:pPr>
            <w:r>
              <w:rPr>
                <w:szCs w:val="22"/>
              </w:rPr>
              <w:t>How many ACT Public Service executives were terminated in 2015-16 and what were the total payouts required for those terminations?</w:t>
            </w:r>
          </w:p>
        </w:tc>
        <w:tc>
          <w:tcPr>
            <w:tcW w:w="1134" w:type="dxa"/>
          </w:tcPr>
          <w:p w:rsidR="00CA780F" w:rsidRDefault="00CA780F" w:rsidP="00C36F0E">
            <w:pPr>
              <w:jc w:val="center"/>
              <w:rPr>
                <w:rFonts w:cs="Calibri"/>
                <w:bCs/>
                <w:szCs w:val="22"/>
              </w:rPr>
            </w:pPr>
            <w:r>
              <w:rPr>
                <w:rFonts w:cs="Calibri"/>
                <w:bCs/>
                <w:szCs w:val="22"/>
              </w:rPr>
              <w:t>08/03/17</w:t>
            </w:r>
          </w:p>
        </w:tc>
      </w:tr>
      <w:tr w:rsidR="00CA780F" w:rsidTr="00A75B90">
        <w:trPr>
          <w:cantSplit/>
        </w:trPr>
        <w:tc>
          <w:tcPr>
            <w:tcW w:w="675" w:type="dxa"/>
            <w:shd w:val="clear" w:color="auto" w:fill="F2F2F2"/>
          </w:tcPr>
          <w:p w:rsidR="00CA780F" w:rsidRDefault="00CA780F" w:rsidP="00C36F0E">
            <w:pPr>
              <w:jc w:val="center"/>
              <w:rPr>
                <w:rFonts w:cs="Calibri"/>
                <w:bCs/>
                <w:szCs w:val="22"/>
              </w:rPr>
            </w:pPr>
            <w:r>
              <w:rPr>
                <w:rFonts w:cs="Calibri"/>
                <w:bCs/>
                <w:szCs w:val="22"/>
              </w:rPr>
              <w:t>15</w:t>
            </w:r>
          </w:p>
        </w:tc>
        <w:tc>
          <w:tcPr>
            <w:tcW w:w="1134" w:type="dxa"/>
            <w:shd w:val="clear" w:color="auto" w:fill="F2F2F2"/>
          </w:tcPr>
          <w:p w:rsidR="00CA780F" w:rsidRDefault="00CA780F" w:rsidP="00C36F0E">
            <w:pPr>
              <w:jc w:val="center"/>
              <w:rPr>
                <w:rFonts w:cs="Calibri"/>
                <w:bCs/>
                <w:szCs w:val="22"/>
              </w:rPr>
            </w:pPr>
            <w:r>
              <w:rPr>
                <w:rFonts w:cs="Calibri"/>
                <w:bCs/>
                <w:szCs w:val="22"/>
              </w:rPr>
              <w:t>27/02/17</w:t>
            </w:r>
          </w:p>
        </w:tc>
        <w:tc>
          <w:tcPr>
            <w:tcW w:w="1418" w:type="dxa"/>
            <w:shd w:val="clear" w:color="auto" w:fill="F2F2F2"/>
          </w:tcPr>
          <w:p w:rsidR="00CA780F" w:rsidRDefault="00CA780F" w:rsidP="00C36F0E">
            <w:pPr>
              <w:jc w:val="center"/>
              <w:rPr>
                <w:rFonts w:cs="Calibri"/>
                <w:bCs/>
                <w:szCs w:val="22"/>
              </w:rPr>
            </w:pPr>
            <w:r>
              <w:rPr>
                <w:rFonts w:cs="Calibri"/>
                <w:bCs/>
                <w:szCs w:val="22"/>
              </w:rPr>
              <w:t>Coe</w:t>
            </w:r>
          </w:p>
        </w:tc>
        <w:tc>
          <w:tcPr>
            <w:tcW w:w="1559" w:type="dxa"/>
            <w:shd w:val="clear" w:color="auto" w:fill="F2F2F2"/>
          </w:tcPr>
          <w:p w:rsidR="00CA780F" w:rsidRDefault="00CA780F" w:rsidP="00C36F0E">
            <w:pPr>
              <w:jc w:val="center"/>
              <w:rPr>
                <w:rFonts w:cs="Calibri"/>
                <w:bCs/>
                <w:szCs w:val="22"/>
              </w:rPr>
            </w:pPr>
            <w:r>
              <w:rPr>
                <w:rFonts w:cs="Calibri"/>
                <w:bCs/>
                <w:szCs w:val="22"/>
              </w:rPr>
              <w:t>Chief Minister</w:t>
            </w:r>
          </w:p>
        </w:tc>
        <w:tc>
          <w:tcPr>
            <w:tcW w:w="2693" w:type="dxa"/>
            <w:shd w:val="clear" w:color="auto" w:fill="F2F2F2"/>
          </w:tcPr>
          <w:p w:rsidR="00CA780F" w:rsidRPr="002B7E94" w:rsidRDefault="00CA780F" w:rsidP="00C36F0E">
            <w:pPr>
              <w:rPr>
                <w:szCs w:val="22"/>
              </w:rPr>
            </w:pPr>
            <w:r>
              <w:rPr>
                <w:szCs w:val="22"/>
              </w:rPr>
              <w:t>Are any executive allocations given to a non-executive member?</w:t>
            </w:r>
          </w:p>
        </w:tc>
        <w:tc>
          <w:tcPr>
            <w:tcW w:w="1134" w:type="dxa"/>
            <w:shd w:val="clear" w:color="auto" w:fill="F2F2F2"/>
          </w:tcPr>
          <w:p w:rsidR="00CA780F" w:rsidRDefault="00CA780F" w:rsidP="00C36F0E">
            <w:pPr>
              <w:jc w:val="center"/>
              <w:rPr>
                <w:rFonts w:cs="Calibri"/>
                <w:bCs/>
                <w:szCs w:val="22"/>
              </w:rPr>
            </w:pPr>
            <w:r>
              <w:rPr>
                <w:rFonts w:cs="Calibri"/>
                <w:bCs/>
                <w:szCs w:val="22"/>
              </w:rPr>
              <w:t>07/03/17</w:t>
            </w:r>
          </w:p>
        </w:tc>
      </w:tr>
      <w:tr w:rsidR="00CA780F" w:rsidTr="00A75B90">
        <w:trPr>
          <w:cantSplit/>
        </w:trPr>
        <w:tc>
          <w:tcPr>
            <w:tcW w:w="675" w:type="dxa"/>
          </w:tcPr>
          <w:p w:rsidR="00CA780F" w:rsidRDefault="00CA780F" w:rsidP="00C36F0E">
            <w:pPr>
              <w:jc w:val="center"/>
              <w:rPr>
                <w:rFonts w:cs="Calibri"/>
                <w:bCs/>
                <w:szCs w:val="22"/>
              </w:rPr>
            </w:pPr>
            <w:r>
              <w:rPr>
                <w:rFonts w:cs="Calibri"/>
                <w:bCs/>
                <w:szCs w:val="22"/>
              </w:rPr>
              <w:t>16</w:t>
            </w:r>
          </w:p>
        </w:tc>
        <w:tc>
          <w:tcPr>
            <w:tcW w:w="1134" w:type="dxa"/>
          </w:tcPr>
          <w:p w:rsidR="00CA780F" w:rsidRDefault="00CA780F" w:rsidP="00C36F0E">
            <w:pPr>
              <w:jc w:val="center"/>
              <w:rPr>
                <w:rFonts w:cs="Calibri"/>
                <w:bCs/>
                <w:szCs w:val="22"/>
              </w:rPr>
            </w:pPr>
            <w:r>
              <w:rPr>
                <w:rFonts w:cs="Calibri"/>
                <w:bCs/>
                <w:szCs w:val="22"/>
              </w:rPr>
              <w:t>27/02/17</w:t>
            </w:r>
          </w:p>
        </w:tc>
        <w:tc>
          <w:tcPr>
            <w:tcW w:w="1418" w:type="dxa"/>
          </w:tcPr>
          <w:p w:rsidR="00CA780F" w:rsidRDefault="00CA780F" w:rsidP="00C36F0E">
            <w:pPr>
              <w:jc w:val="center"/>
              <w:rPr>
                <w:rFonts w:cs="Calibri"/>
                <w:bCs/>
                <w:szCs w:val="22"/>
              </w:rPr>
            </w:pPr>
            <w:r>
              <w:rPr>
                <w:rFonts w:cs="Calibri"/>
                <w:bCs/>
                <w:szCs w:val="22"/>
              </w:rPr>
              <w:t>Coe</w:t>
            </w:r>
          </w:p>
        </w:tc>
        <w:tc>
          <w:tcPr>
            <w:tcW w:w="1559" w:type="dxa"/>
          </w:tcPr>
          <w:p w:rsidR="00CA780F" w:rsidRDefault="00CA780F" w:rsidP="00C36F0E">
            <w:pPr>
              <w:jc w:val="center"/>
              <w:rPr>
                <w:rFonts w:cs="Calibri"/>
                <w:bCs/>
                <w:szCs w:val="22"/>
              </w:rPr>
            </w:pPr>
            <w:r>
              <w:rPr>
                <w:rFonts w:cs="Calibri"/>
                <w:bCs/>
                <w:szCs w:val="22"/>
              </w:rPr>
              <w:t>Chief Minister</w:t>
            </w:r>
          </w:p>
        </w:tc>
        <w:tc>
          <w:tcPr>
            <w:tcW w:w="2693" w:type="dxa"/>
          </w:tcPr>
          <w:p w:rsidR="00CA780F" w:rsidRPr="002B7E94" w:rsidRDefault="00CA780F" w:rsidP="00C36F0E">
            <w:pPr>
              <w:rPr>
                <w:szCs w:val="22"/>
              </w:rPr>
            </w:pPr>
            <w:r>
              <w:rPr>
                <w:szCs w:val="22"/>
              </w:rPr>
              <w:t>Of the 14 Australian Workplace Agreements still in place in the ACT Public Service, what date were they signed and what is the length of them?</w:t>
            </w:r>
          </w:p>
        </w:tc>
        <w:tc>
          <w:tcPr>
            <w:tcW w:w="1134" w:type="dxa"/>
          </w:tcPr>
          <w:p w:rsidR="00CA780F" w:rsidRDefault="00CA780F" w:rsidP="00C36F0E">
            <w:pPr>
              <w:jc w:val="center"/>
              <w:rPr>
                <w:rFonts w:cs="Calibri"/>
                <w:bCs/>
                <w:szCs w:val="22"/>
              </w:rPr>
            </w:pPr>
            <w:r>
              <w:rPr>
                <w:rFonts w:cs="Calibri"/>
                <w:bCs/>
                <w:szCs w:val="22"/>
              </w:rPr>
              <w:t>08/03/17</w:t>
            </w:r>
          </w:p>
        </w:tc>
      </w:tr>
      <w:tr w:rsidR="00CA780F" w:rsidTr="00C36F0E">
        <w:trPr>
          <w:cantSplit/>
        </w:trPr>
        <w:tc>
          <w:tcPr>
            <w:tcW w:w="8613" w:type="dxa"/>
            <w:gridSpan w:val="6"/>
            <w:shd w:val="clear" w:color="auto" w:fill="F2F2F2"/>
          </w:tcPr>
          <w:p w:rsidR="00CA780F" w:rsidRPr="00367DAF" w:rsidRDefault="00CA780F" w:rsidP="00CA780F">
            <w:pPr>
              <w:jc w:val="center"/>
              <w:rPr>
                <w:rFonts w:cs="Calibri"/>
                <w:bCs/>
                <w:szCs w:val="22"/>
              </w:rPr>
            </w:pPr>
            <w:r>
              <w:rPr>
                <w:rFonts w:cs="Calibri"/>
                <w:bCs/>
                <w:szCs w:val="22"/>
              </w:rPr>
              <w:t>Questions taken on Notice 28 February 2017</w:t>
            </w:r>
          </w:p>
        </w:tc>
      </w:tr>
      <w:tr w:rsidR="00CA780F" w:rsidTr="00A75B90">
        <w:trPr>
          <w:cantSplit/>
        </w:trPr>
        <w:tc>
          <w:tcPr>
            <w:tcW w:w="675" w:type="dxa"/>
          </w:tcPr>
          <w:p w:rsidR="00CA780F" w:rsidRPr="00D3246D" w:rsidRDefault="00CA780F" w:rsidP="00C36F0E">
            <w:pPr>
              <w:jc w:val="center"/>
              <w:rPr>
                <w:rFonts w:cs="Calibri"/>
                <w:bCs/>
                <w:szCs w:val="22"/>
              </w:rPr>
            </w:pPr>
            <w:r>
              <w:rPr>
                <w:rFonts w:cs="Calibri"/>
                <w:bCs/>
                <w:szCs w:val="22"/>
              </w:rPr>
              <w:t>1</w:t>
            </w:r>
          </w:p>
        </w:tc>
        <w:tc>
          <w:tcPr>
            <w:tcW w:w="1134" w:type="dxa"/>
          </w:tcPr>
          <w:p w:rsidR="00CA780F" w:rsidRPr="00D3246D" w:rsidRDefault="00CA780F" w:rsidP="00C36F0E">
            <w:pPr>
              <w:jc w:val="center"/>
              <w:rPr>
                <w:rFonts w:cs="Calibri"/>
                <w:bCs/>
                <w:szCs w:val="22"/>
              </w:rPr>
            </w:pPr>
            <w:r>
              <w:rPr>
                <w:rFonts w:cs="Calibri"/>
                <w:bCs/>
                <w:szCs w:val="22"/>
              </w:rPr>
              <w:t>28/02/17</w:t>
            </w:r>
          </w:p>
        </w:tc>
        <w:tc>
          <w:tcPr>
            <w:tcW w:w="1418" w:type="dxa"/>
          </w:tcPr>
          <w:p w:rsidR="00CA780F" w:rsidRPr="00D3246D" w:rsidRDefault="00CA780F" w:rsidP="00C36F0E">
            <w:pPr>
              <w:jc w:val="center"/>
              <w:rPr>
                <w:rFonts w:cs="Calibri"/>
                <w:bCs/>
                <w:szCs w:val="22"/>
              </w:rPr>
            </w:pPr>
            <w:r>
              <w:rPr>
                <w:rFonts w:cs="Calibri"/>
                <w:bCs/>
                <w:szCs w:val="22"/>
              </w:rPr>
              <w:t>Coe</w:t>
            </w:r>
          </w:p>
        </w:tc>
        <w:tc>
          <w:tcPr>
            <w:tcW w:w="1559" w:type="dxa"/>
          </w:tcPr>
          <w:p w:rsidR="00CA780F" w:rsidRPr="00D3246D" w:rsidRDefault="00CA780F" w:rsidP="00C36F0E">
            <w:pPr>
              <w:jc w:val="center"/>
              <w:rPr>
                <w:rFonts w:cs="Calibri"/>
                <w:bCs/>
                <w:szCs w:val="22"/>
              </w:rPr>
            </w:pPr>
            <w:r>
              <w:rPr>
                <w:rFonts w:cs="Calibri"/>
                <w:bCs/>
                <w:szCs w:val="22"/>
              </w:rPr>
              <w:t>Economic Development</w:t>
            </w:r>
          </w:p>
        </w:tc>
        <w:tc>
          <w:tcPr>
            <w:tcW w:w="2693" w:type="dxa"/>
          </w:tcPr>
          <w:p w:rsidR="00CA780F" w:rsidRPr="002B7E94" w:rsidRDefault="00CA780F" w:rsidP="00C36F0E">
            <w:pPr>
              <w:rPr>
                <w:rFonts w:cs="Calibri"/>
                <w:bCs/>
                <w:szCs w:val="22"/>
              </w:rPr>
            </w:pPr>
            <w:r>
              <w:rPr>
                <w:rFonts w:cs="Calibri"/>
                <w:bCs/>
                <w:szCs w:val="22"/>
              </w:rPr>
              <w:t>When was the last Kingsway assessment of SMI done?</w:t>
            </w:r>
          </w:p>
        </w:tc>
        <w:tc>
          <w:tcPr>
            <w:tcW w:w="1134" w:type="dxa"/>
          </w:tcPr>
          <w:p w:rsidR="00CA780F" w:rsidRPr="00367DAF" w:rsidRDefault="00CA780F" w:rsidP="00367DAF">
            <w:pPr>
              <w:jc w:val="center"/>
              <w:rPr>
                <w:rFonts w:cs="Calibri"/>
                <w:bCs/>
                <w:szCs w:val="22"/>
              </w:rPr>
            </w:pPr>
          </w:p>
        </w:tc>
      </w:tr>
      <w:tr w:rsidR="00CA780F" w:rsidTr="00A75B90">
        <w:trPr>
          <w:cantSplit/>
        </w:trPr>
        <w:tc>
          <w:tcPr>
            <w:tcW w:w="675" w:type="dxa"/>
            <w:shd w:val="clear" w:color="auto" w:fill="F2F2F2"/>
          </w:tcPr>
          <w:p w:rsidR="00CA780F" w:rsidRPr="00D3246D" w:rsidRDefault="00CA780F" w:rsidP="00C36F0E">
            <w:pPr>
              <w:jc w:val="center"/>
              <w:rPr>
                <w:rFonts w:cs="Calibri"/>
                <w:bCs/>
                <w:szCs w:val="22"/>
              </w:rPr>
            </w:pPr>
            <w:r>
              <w:rPr>
                <w:rFonts w:cs="Calibri"/>
                <w:bCs/>
                <w:szCs w:val="22"/>
              </w:rPr>
              <w:t>2</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28/02/17</w:t>
            </w:r>
          </w:p>
        </w:tc>
        <w:tc>
          <w:tcPr>
            <w:tcW w:w="1418" w:type="dxa"/>
            <w:shd w:val="clear" w:color="auto" w:fill="F2F2F2"/>
          </w:tcPr>
          <w:p w:rsidR="00CA780F" w:rsidRPr="00D3246D" w:rsidRDefault="00CA780F" w:rsidP="00C36F0E">
            <w:pPr>
              <w:jc w:val="center"/>
              <w:rPr>
                <w:rFonts w:cs="Calibri"/>
                <w:bCs/>
                <w:szCs w:val="22"/>
              </w:rPr>
            </w:pPr>
            <w:r>
              <w:rPr>
                <w:rFonts w:cs="Calibri"/>
                <w:bCs/>
                <w:szCs w:val="22"/>
              </w:rPr>
              <w:t>Hanson</w:t>
            </w:r>
          </w:p>
        </w:tc>
        <w:tc>
          <w:tcPr>
            <w:tcW w:w="1559" w:type="dxa"/>
            <w:shd w:val="clear" w:color="auto" w:fill="F2F2F2"/>
          </w:tcPr>
          <w:p w:rsidR="00CA780F" w:rsidRPr="00D3246D" w:rsidRDefault="00CA780F" w:rsidP="00C36F0E">
            <w:pPr>
              <w:jc w:val="center"/>
              <w:rPr>
                <w:rFonts w:cs="Calibri"/>
                <w:bCs/>
                <w:szCs w:val="22"/>
              </w:rPr>
            </w:pPr>
            <w:r>
              <w:rPr>
                <w:rFonts w:cs="Calibri"/>
                <w:bCs/>
                <w:szCs w:val="22"/>
              </w:rPr>
              <w:t>Economic Development</w:t>
            </w:r>
          </w:p>
        </w:tc>
        <w:tc>
          <w:tcPr>
            <w:tcW w:w="2693" w:type="dxa"/>
            <w:shd w:val="clear" w:color="auto" w:fill="F2F2F2"/>
          </w:tcPr>
          <w:p w:rsidR="00CA780F" w:rsidRPr="002B7E94" w:rsidRDefault="00CA780F" w:rsidP="00C36F0E">
            <w:pPr>
              <w:rPr>
                <w:rFonts w:cs="Calibri"/>
                <w:bCs/>
                <w:szCs w:val="22"/>
              </w:rPr>
            </w:pPr>
            <w:r>
              <w:rPr>
                <w:rFonts w:cs="Calibri"/>
                <w:bCs/>
                <w:szCs w:val="22"/>
              </w:rPr>
              <w:t xml:space="preserve">Did Mr Dawes </w:t>
            </w:r>
            <w:r w:rsidRPr="00D656E1">
              <w:rPr>
                <w:rFonts w:cs="Calibri"/>
                <w:bCs/>
                <w:szCs w:val="22"/>
              </w:rPr>
              <w:t>have a conversation with that director-general which precipitated his resignation?</w:t>
            </w:r>
            <w:r>
              <w:rPr>
                <w:rFonts w:cs="Calibri"/>
                <w:bCs/>
                <w:szCs w:val="22"/>
              </w:rPr>
              <w:t>[Mr Dawes indicated that if, after seeking advice, further information was to be provided it would be done in private to the Committee]</w:t>
            </w:r>
          </w:p>
        </w:tc>
        <w:tc>
          <w:tcPr>
            <w:tcW w:w="1134" w:type="dxa"/>
            <w:shd w:val="clear" w:color="auto" w:fill="F2F2F2"/>
          </w:tcPr>
          <w:p w:rsidR="00CA780F" w:rsidRPr="00367DAF" w:rsidRDefault="00CA780F" w:rsidP="00367DAF">
            <w:pPr>
              <w:jc w:val="center"/>
              <w:rPr>
                <w:rFonts w:cs="Calibri"/>
                <w:bCs/>
                <w:szCs w:val="22"/>
              </w:rPr>
            </w:pPr>
          </w:p>
        </w:tc>
      </w:tr>
      <w:tr w:rsidR="00CA780F" w:rsidTr="00A75B90">
        <w:trPr>
          <w:cantSplit/>
        </w:trPr>
        <w:tc>
          <w:tcPr>
            <w:tcW w:w="675" w:type="dxa"/>
          </w:tcPr>
          <w:p w:rsidR="00CA780F" w:rsidRDefault="00CA780F" w:rsidP="00C36F0E">
            <w:pPr>
              <w:jc w:val="center"/>
              <w:rPr>
                <w:rFonts w:cs="Calibri"/>
                <w:bCs/>
                <w:szCs w:val="22"/>
              </w:rPr>
            </w:pPr>
            <w:r>
              <w:rPr>
                <w:rFonts w:cs="Calibri"/>
                <w:bCs/>
                <w:szCs w:val="22"/>
              </w:rPr>
              <w:t>2a</w:t>
            </w:r>
          </w:p>
        </w:tc>
        <w:tc>
          <w:tcPr>
            <w:tcW w:w="1134" w:type="dxa"/>
          </w:tcPr>
          <w:p w:rsidR="00CA780F" w:rsidRDefault="00CA780F" w:rsidP="00C36F0E">
            <w:pPr>
              <w:jc w:val="center"/>
              <w:rPr>
                <w:rFonts w:cs="Calibri"/>
                <w:bCs/>
                <w:szCs w:val="22"/>
              </w:rPr>
            </w:pPr>
            <w:r>
              <w:rPr>
                <w:rFonts w:cs="Calibri"/>
                <w:bCs/>
                <w:szCs w:val="22"/>
              </w:rPr>
              <w:t>28/02/17</w:t>
            </w:r>
          </w:p>
        </w:tc>
        <w:tc>
          <w:tcPr>
            <w:tcW w:w="1418" w:type="dxa"/>
          </w:tcPr>
          <w:p w:rsidR="00CA780F" w:rsidRDefault="00CA780F" w:rsidP="00C36F0E">
            <w:pPr>
              <w:jc w:val="center"/>
              <w:rPr>
                <w:rFonts w:cs="Calibri"/>
                <w:bCs/>
                <w:szCs w:val="22"/>
              </w:rPr>
            </w:pPr>
            <w:r>
              <w:rPr>
                <w:rFonts w:cs="Calibri"/>
                <w:bCs/>
                <w:szCs w:val="22"/>
              </w:rPr>
              <w:t>Wall</w:t>
            </w:r>
          </w:p>
        </w:tc>
        <w:tc>
          <w:tcPr>
            <w:tcW w:w="1559" w:type="dxa"/>
          </w:tcPr>
          <w:p w:rsidR="00CA780F" w:rsidRDefault="00CA780F" w:rsidP="00C36F0E">
            <w:pPr>
              <w:jc w:val="center"/>
              <w:rPr>
                <w:rFonts w:cs="Calibri"/>
                <w:bCs/>
                <w:szCs w:val="22"/>
              </w:rPr>
            </w:pPr>
            <w:r>
              <w:rPr>
                <w:rFonts w:cs="Calibri"/>
                <w:bCs/>
                <w:szCs w:val="22"/>
              </w:rPr>
              <w:t>Tourism</w:t>
            </w:r>
          </w:p>
        </w:tc>
        <w:tc>
          <w:tcPr>
            <w:tcW w:w="2693" w:type="dxa"/>
          </w:tcPr>
          <w:p w:rsidR="00CA780F" w:rsidRPr="002B7E94" w:rsidRDefault="00CA780F" w:rsidP="00C36F0E">
            <w:pPr>
              <w:rPr>
                <w:szCs w:val="22"/>
              </w:rPr>
            </w:pPr>
            <w:r>
              <w:rPr>
                <w:szCs w:val="22"/>
              </w:rPr>
              <w:t xml:space="preserve">What is the average stay or spend is </w:t>
            </w:r>
            <w:r w:rsidRPr="00290945">
              <w:rPr>
                <w:szCs w:val="22"/>
              </w:rPr>
              <w:t>tourists coming through or even business people coming through on these international flights in the ACT</w:t>
            </w:r>
            <w:r>
              <w:rPr>
                <w:szCs w:val="22"/>
              </w:rPr>
              <w:t>?</w:t>
            </w:r>
          </w:p>
        </w:tc>
        <w:tc>
          <w:tcPr>
            <w:tcW w:w="1134" w:type="dxa"/>
          </w:tcPr>
          <w:p w:rsidR="00CA780F" w:rsidRPr="00367DAF" w:rsidRDefault="00CA780F" w:rsidP="00367DAF">
            <w:pPr>
              <w:jc w:val="center"/>
              <w:rPr>
                <w:rFonts w:cs="Calibri"/>
                <w:bCs/>
                <w:szCs w:val="22"/>
              </w:rPr>
            </w:pPr>
          </w:p>
        </w:tc>
      </w:tr>
      <w:tr w:rsidR="00CA780F" w:rsidTr="00A75B90">
        <w:trPr>
          <w:cantSplit/>
        </w:trPr>
        <w:tc>
          <w:tcPr>
            <w:tcW w:w="675" w:type="dxa"/>
            <w:shd w:val="clear" w:color="auto" w:fill="F2F2F2"/>
          </w:tcPr>
          <w:p w:rsidR="00CA780F" w:rsidRPr="00D3246D" w:rsidRDefault="00CA780F" w:rsidP="00C36F0E">
            <w:pPr>
              <w:jc w:val="center"/>
              <w:rPr>
                <w:rFonts w:cs="Calibri"/>
                <w:bCs/>
                <w:szCs w:val="22"/>
              </w:rPr>
            </w:pPr>
            <w:r>
              <w:rPr>
                <w:rFonts w:cs="Calibri"/>
                <w:bCs/>
                <w:szCs w:val="22"/>
              </w:rPr>
              <w:t>3</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28/02/17</w:t>
            </w:r>
          </w:p>
        </w:tc>
        <w:tc>
          <w:tcPr>
            <w:tcW w:w="1418" w:type="dxa"/>
            <w:shd w:val="clear" w:color="auto" w:fill="F2F2F2"/>
          </w:tcPr>
          <w:p w:rsidR="00CA780F" w:rsidRPr="00D3246D" w:rsidRDefault="00CA780F" w:rsidP="00C36F0E">
            <w:pPr>
              <w:jc w:val="center"/>
              <w:rPr>
                <w:rFonts w:cs="Calibri"/>
                <w:bCs/>
                <w:szCs w:val="22"/>
              </w:rPr>
            </w:pPr>
            <w:r>
              <w:rPr>
                <w:rFonts w:cs="Calibri"/>
                <w:bCs/>
                <w:szCs w:val="22"/>
              </w:rPr>
              <w:t>Cheyne</w:t>
            </w:r>
          </w:p>
        </w:tc>
        <w:tc>
          <w:tcPr>
            <w:tcW w:w="1559" w:type="dxa"/>
            <w:shd w:val="clear" w:color="auto" w:fill="F2F2F2"/>
          </w:tcPr>
          <w:p w:rsidR="00CA780F" w:rsidRPr="00D3246D" w:rsidRDefault="00CA780F" w:rsidP="00C36F0E">
            <w:pPr>
              <w:jc w:val="center"/>
              <w:rPr>
                <w:rFonts w:cs="Calibri"/>
                <w:bCs/>
                <w:szCs w:val="22"/>
              </w:rPr>
            </w:pPr>
            <w:r>
              <w:rPr>
                <w:rFonts w:cs="Calibri"/>
                <w:bCs/>
                <w:szCs w:val="22"/>
              </w:rPr>
              <w:t>Tourism</w:t>
            </w:r>
          </w:p>
        </w:tc>
        <w:tc>
          <w:tcPr>
            <w:tcW w:w="2693" w:type="dxa"/>
            <w:shd w:val="clear" w:color="auto" w:fill="F2F2F2"/>
          </w:tcPr>
          <w:p w:rsidR="00CA780F" w:rsidRPr="002B7E94" w:rsidRDefault="00CA780F" w:rsidP="00C36F0E">
            <w:pPr>
              <w:rPr>
                <w:szCs w:val="22"/>
              </w:rPr>
            </w:pPr>
            <w:r w:rsidRPr="00290945">
              <w:rPr>
                <w:szCs w:val="22"/>
              </w:rPr>
              <w:t xml:space="preserve">How much would </w:t>
            </w:r>
            <w:r>
              <w:rPr>
                <w:szCs w:val="22"/>
              </w:rPr>
              <w:t>Visits ACT</w:t>
            </w:r>
            <w:r w:rsidRPr="00290945">
              <w:rPr>
                <w:szCs w:val="22"/>
              </w:rPr>
              <w:t xml:space="preserve"> normally spend in a financial year on Facebook advertising?</w:t>
            </w:r>
          </w:p>
        </w:tc>
        <w:tc>
          <w:tcPr>
            <w:tcW w:w="1134" w:type="dxa"/>
            <w:shd w:val="clear" w:color="auto" w:fill="F2F2F2"/>
          </w:tcPr>
          <w:p w:rsidR="00CA780F" w:rsidRPr="00367DAF" w:rsidRDefault="00CA780F" w:rsidP="00367DAF">
            <w:pPr>
              <w:jc w:val="center"/>
              <w:rPr>
                <w:rFonts w:cs="Calibri"/>
                <w:bCs/>
                <w:szCs w:val="22"/>
              </w:rPr>
            </w:pPr>
          </w:p>
        </w:tc>
      </w:tr>
      <w:tr w:rsidR="00CA780F" w:rsidTr="00A75B90">
        <w:trPr>
          <w:cantSplit/>
        </w:trPr>
        <w:tc>
          <w:tcPr>
            <w:tcW w:w="675" w:type="dxa"/>
          </w:tcPr>
          <w:p w:rsidR="00CA780F" w:rsidRPr="00D3246D" w:rsidRDefault="00CA780F" w:rsidP="00C36F0E">
            <w:pPr>
              <w:jc w:val="center"/>
              <w:rPr>
                <w:rFonts w:cs="Calibri"/>
                <w:bCs/>
                <w:szCs w:val="22"/>
              </w:rPr>
            </w:pPr>
            <w:r>
              <w:rPr>
                <w:rFonts w:cs="Calibri"/>
                <w:bCs/>
                <w:szCs w:val="22"/>
              </w:rPr>
              <w:t>4</w:t>
            </w:r>
          </w:p>
        </w:tc>
        <w:tc>
          <w:tcPr>
            <w:tcW w:w="1134" w:type="dxa"/>
          </w:tcPr>
          <w:p w:rsidR="00CA780F" w:rsidRPr="00D3246D" w:rsidRDefault="00CA780F" w:rsidP="00C36F0E">
            <w:pPr>
              <w:jc w:val="center"/>
              <w:rPr>
                <w:rFonts w:cs="Calibri"/>
                <w:bCs/>
                <w:szCs w:val="22"/>
              </w:rPr>
            </w:pPr>
            <w:r>
              <w:rPr>
                <w:rFonts w:cs="Calibri"/>
                <w:bCs/>
                <w:szCs w:val="22"/>
              </w:rPr>
              <w:t>28/02/17</w:t>
            </w:r>
          </w:p>
        </w:tc>
        <w:tc>
          <w:tcPr>
            <w:tcW w:w="1418" w:type="dxa"/>
          </w:tcPr>
          <w:p w:rsidR="00CA780F" w:rsidRPr="00D3246D" w:rsidRDefault="00CA780F" w:rsidP="00C36F0E">
            <w:pPr>
              <w:jc w:val="center"/>
              <w:rPr>
                <w:rFonts w:cs="Calibri"/>
                <w:bCs/>
                <w:szCs w:val="22"/>
              </w:rPr>
            </w:pPr>
            <w:r>
              <w:rPr>
                <w:rFonts w:cs="Calibri"/>
                <w:bCs/>
                <w:szCs w:val="22"/>
              </w:rPr>
              <w:t>Wall</w:t>
            </w:r>
          </w:p>
        </w:tc>
        <w:tc>
          <w:tcPr>
            <w:tcW w:w="1559" w:type="dxa"/>
          </w:tcPr>
          <w:p w:rsidR="00CA780F" w:rsidRPr="00D3246D" w:rsidRDefault="00CA780F" w:rsidP="00C36F0E">
            <w:pPr>
              <w:jc w:val="center"/>
              <w:rPr>
                <w:rFonts w:cs="Calibri"/>
                <w:bCs/>
                <w:szCs w:val="22"/>
              </w:rPr>
            </w:pPr>
            <w:r>
              <w:rPr>
                <w:rFonts w:cs="Calibri"/>
                <w:bCs/>
                <w:szCs w:val="22"/>
              </w:rPr>
              <w:t>Economic Development</w:t>
            </w:r>
          </w:p>
        </w:tc>
        <w:tc>
          <w:tcPr>
            <w:tcW w:w="2693" w:type="dxa"/>
          </w:tcPr>
          <w:p w:rsidR="00CA780F" w:rsidRPr="002B7E94" w:rsidRDefault="00CA780F" w:rsidP="00C36F0E">
            <w:pPr>
              <w:rPr>
                <w:rFonts w:cs="Calibri"/>
                <w:bCs/>
                <w:szCs w:val="22"/>
              </w:rPr>
            </w:pPr>
            <w:r w:rsidRPr="00290945">
              <w:rPr>
                <w:rFonts w:cs="Calibri"/>
                <w:bCs/>
                <w:szCs w:val="22"/>
              </w:rPr>
              <w:t>What is the remuneration for the</w:t>
            </w:r>
            <w:r>
              <w:rPr>
                <w:rFonts w:cs="Calibri"/>
                <w:bCs/>
                <w:szCs w:val="22"/>
              </w:rPr>
              <w:t xml:space="preserve"> Local Industry Advocate?</w:t>
            </w:r>
          </w:p>
        </w:tc>
        <w:tc>
          <w:tcPr>
            <w:tcW w:w="1134" w:type="dxa"/>
          </w:tcPr>
          <w:p w:rsidR="00CA780F" w:rsidRPr="00367DAF" w:rsidRDefault="00CA780F" w:rsidP="00367DAF">
            <w:pPr>
              <w:jc w:val="center"/>
              <w:rPr>
                <w:rFonts w:cs="Calibri"/>
                <w:bCs/>
                <w:szCs w:val="22"/>
              </w:rPr>
            </w:pPr>
          </w:p>
        </w:tc>
      </w:tr>
      <w:tr w:rsidR="00CA780F" w:rsidTr="00A75B90">
        <w:trPr>
          <w:cantSplit/>
        </w:trPr>
        <w:tc>
          <w:tcPr>
            <w:tcW w:w="675" w:type="dxa"/>
            <w:shd w:val="clear" w:color="auto" w:fill="F2F2F2"/>
          </w:tcPr>
          <w:p w:rsidR="00CA780F" w:rsidRPr="00D3246D" w:rsidRDefault="00CA780F" w:rsidP="00C36F0E">
            <w:pPr>
              <w:jc w:val="center"/>
              <w:rPr>
                <w:rFonts w:cs="Calibri"/>
                <w:bCs/>
                <w:szCs w:val="22"/>
              </w:rPr>
            </w:pPr>
            <w:r>
              <w:rPr>
                <w:rFonts w:cs="Calibri"/>
                <w:bCs/>
                <w:szCs w:val="22"/>
              </w:rPr>
              <w:t>5</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28/02/17</w:t>
            </w:r>
          </w:p>
        </w:tc>
        <w:tc>
          <w:tcPr>
            <w:tcW w:w="1418" w:type="dxa"/>
            <w:shd w:val="clear" w:color="auto" w:fill="F2F2F2"/>
          </w:tcPr>
          <w:p w:rsidR="00CA780F" w:rsidRPr="00D3246D" w:rsidRDefault="00CA780F" w:rsidP="00C36F0E">
            <w:pPr>
              <w:jc w:val="center"/>
              <w:rPr>
                <w:rFonts w:cs="Calibri"/>
                <w:bCs/>
                <w:szCs w:val="22"/>
              </w:rPr>
            </w:pPr>
            <w:r>
              <w:rPr>
                <w:rFonts w:cs="Calibri"/>
                <w:bCs/>
                <w:szCs w:val="22"/>
              </w:rPr>
              <w:t>Wall</w:t>
            </w:r>
          </w:p>
        </w:tc>
        <w:tc>
          <w:tcPr>
            <w:tcW w:w="1559" w:type="dxa"/>
            <w:shd w:val="clear" w:color="auto" w:fill="F2F2F2"/>
          </w:tcPr>
          <w:p w:rsidR="00CA780F" w:rsidRPr="00D3246D" w:rsidRDefault="00CA780F" w:rsidP="00C36F0E">
            <w:pPr>
              <w:jc w:val="center"/>
              <w:rPr>
                <w:rFonts w:cs="Calibri"/>
                <w:bCs/>
                <w:szCs w:val="22"/>
              </w:rPr>
            </w:pPr>
            <w:r>
              <w:rPr>
                <w:rFonts w:cs="Calibri"/>
                <w:bCs/>
                <w:szCs w:val="22"/>
              </w:rPr>
              <w:t>Tourism</w:t>
            </w:r>
          </w:p>
        </w:tc>
        <w:tc>
          <w:tcPr>
            <w:tcW w:w="2693" w:type="dxa"/>
            <w:shd w:val="clear" w:color="auto" w:fill="F2F2F2"/>
          </w:tcPr>
          <w:p w:rsidR="00CA780F" w:rsidRPr="002B7E94" w:rsidRDefault="00CA780F" w:rsidP="00C36F0E">
            <w:pPr>
              <w:rPr>
                <w:rFonts w:cs="Calibri"/>
                <w:bCs/>
                <w:szCs w:val="22"/>
              </w:rPr>
            </w:pPr>
            <w:r>
              <w:rPr>
                <w:rFonts w:cs="Calibri"/>
                <w:bCs/>
                <w:szCs w:val="22"/>
              </w:rPr>
              <w:t>Can you supply a breakdown of the costs of establishing the new Canberra Visitors Centre?</w:t>
            </w:r>
          </w:p>
        </w:tc>
        <w:tc>
          <w:tcPr>
            <w:tcW w:w="1134" w:type="dxa"/>
            <w:shd w:val="clear" w:color="auto" w:fill="F2F2F2"/>
          </w:tcPr>
          <w:p w:rsidR="00CA780F" w:rsidRPr="00367DAF" w:rsidRDefault="00CA780F" w:rsidP="00367DAF">
            <w:pPr>
              <w:jc w:val="center"/>
              <w:rPr>
                <w:rFonts w:cs="Calibri"/>
                <w:bCs/>
                <w:szCs w:val="22"/>
              </w:rPr>
            </w:pPr>
          </w:p>
        </w:tc>
      </w:tr>
      <w:tr w:rsidR="00CA780F" w:rsidTr="00A75B90">
        <w:trPr>
          <w:cantSplit/>
        </w:trPr>
        <w:tc>
          <w:tcPr>
            <w:tcW w:w="675" w:type="dxa"/>
          </w:tcPr>
          <w:p w:rsidR="00CA780F" w:rsidRPr="00D3246D" w:rsidRDefault="00CA780F" w:rsidP="00C36F0E">
            <w:pPr>
              <w:jc w:val="center"/>
              <w:rPr>
                <w:rFonts w:cs="Calibri"/>
                <w:bCs/>
                <w:szCs w:val="22"/>
              </w:rPr>
            </w:pPr>
            <w:r>
              <w:rPr>
                <w:rFonts w:cs="Calibri"/>
                <w:bCs/>
                <w:szCs w:val="22"/>
              </w:rPr>
              <w:t>6</w:t>
            </w:r>
          </w:p>
        </w:tc>
        <w:tc>
          <w:tcPr>
            <w:tcW w:w="1134" w:type="dxa"/>
          </w:tcPr>
          <w:p w:rsidR="00CA780F" w:rsidRPr="00D3246D" w:rsidRDefault="00CA780F" w:rsidP="00C36F0E">
            <w:pPr>
              <w:jc w:val="center"/>
              <w:rPr>
                <w:rFonts w:cs="Calibri"/>
                <w:bCs/>
                <w:szCs w:val="22"/>
              </w:rPr>
            </w:pPr>
            <w:r>
              <w:rPr>
                <w:rFonts w:cs="Calibri"/>
                <w:bCs/>
                <w:szCs w:val="22"/>
              </w:rPr>
              <w:t>28/02/17</w:t>
            </w:r>
          </w:p>
        </w:tc>
        <w:tc>
          <w:tcPr>
            <w:tcW w:w="1418" w:type="dxa"/>
          </w:tcPr>
          <w:p w:rsidR="00CA780F" w:rsidRPr="00D3246D" w:rsidRDefault="00CA780F" w:rsidP="00C36F0E">
            <w:pPr>
              <w:jc w:val="center"/>
              <w:rPr>
                <w:rFonts w:cs="Calibri"/>
                <w:bCs/>
                <w:szCs w:val="22"/>
              </w:rPr>
            </w:pPr>
            <w:r>
              <w:rPr>
                <w:rFonts w:cs="Calibri"/>
                <w:bCs/>
                <w:szCs w:val="22"/>
              </w:rPr>
              <w:t>Hanson</w:t>
            </w:r>
          </w:p>
        </w:tc>
        <w:tc>
          <w:tcPr>
            <w:tcW w:w="1559" w:type="dxa"/>
          </w:tcPr>
          <w:p w:rsidR="00CA780F" w:rsidRPr="00D3246D" w:rsidRDefault="00CA780F" w:rsidP="00C36F0E">
            <w:pPr>
              <w:jc w:val="center"/>
              <w:rPr>
                <w:rFonts w:cs="Calibri"/>
                <w:bCs/>
                <w:szCs w:val="22"/>
              </w:rPr>
            </w:pPr>
            <w:r>
              <w:rPr>
                <w:rFonts w:cs="Calibri"/>
                <w:bCs/>
                <w:szCs w:val="22"/>
              </w:rPr>
              <w:t>Events</w:t>
            </w:r>
          </w:p>
        </w:tc>
        <w:tc>
          <w:tcPr>
            <w:tcW w:w="2693" w:type="dxa"/>
          </w:tcPr>
          <w:p w:rsidR="00CA780F" w:rsidRPr="002B7E94" w:rsidRDefault="00CA780F" w:rsidP="00C36F0E">
            <w:pPr>
              <w:rPr>
                <w:rFonts w:cs="Calibri"/>
                <w:bCs/>
                <w:szCs w:val="22"/>
              </w:rPr>
            </w:pPr>
            <w:r w:rsidRPr="00B64663">
              <w:rPr>
                <w:rFonts w:cs="Calibri"/>
                <w:bCs/>
                <w:szCs w:val="22"/>
              </w:rPr>
              <w:t>How long</w:t>
            </w:r>
            <w:r>
              <w:rPr>
                <w:rFonts w:cs="Calibri"/>
                <w:bCs/>
                <w:szCs w:val="22"/>
              </w:rPr>
              <w:t xml:space="preserve"> are</w:t>
            </w:r>
            <w:r w:rsidRPr="00B64663">
              <w:rPr>
                <w:rFonts w:cs="Calibri"/>
                <w:bCs/>
                <w:szCs w:val="22"/>
              </w:rPr>
              <w:t xml:space="preserve"> the contract</w:t>
            </w:r>
            <w:r>
              <w:rPr>
                <w:rFonts w:cs="Calibri"/>
                <w:bCs/>
                <w:szCs w:val="22"/>
              </w:rPr>
              <w:t>s</w:t>
            </w:r>
            <w:r w:rsidRPr="00B64663">
              <w:rPr>
                <w:rFonts w:cs="Calibri"/>
                <w:bCs/>
                <w:szCs w:val="22"/>
              </w:rPr>
              <w:t xml:space="preserve"> with the Brumbies and the Raiders</w:t>
            </w:r>
            <w:r>
              <w:rPr>
                <w:rFonts w:cs="Calibri"/>
                <w:bCs/>
                <w:szCs w:val="22"/>
              </w:rPr>
              <w:t>?</w:t>
            </w:r>
          </w:p>
        </w:tc>
        <w:tc>
          <w:tcPr>
            <w:tcW w:w="1134" w:type="dxa"/>
          </w:tcPr>
          <w:p w:rsidR="00CA780F" w:rsidRPr="00367DAF" w:rsidRDefault="00CA780F" w:rsidP="00367DAF">
            <w:pPr>
              <w:jc w:val="center"/>
              <w:rPr>
                <w:rFonts w:cs="Calibri"/>
                <w:bCs/>
                <w:szCs w:val="22"/>
              </w:rPr>
            </w:pPr>
          </w:p>
        </w:tc>
      </w:tr>
      <w:tr w:rsidR="00CA780F" w:rsidTr="00A75B90">
        <w:trPr>
          <w:cantSplit/>
        </w:trPr>
        <w:tc>
          <w:tcPr>
            <w:tcW w:w="675" w:type="dxa"/>
            <w:shd w:val="clear" w:color="auto" w:fill="F2F2F2"/>
          </w:tcPr>
          <w:p w:rsidR="00CA780F" w:rsidRPr="00D3246D" w:rsidRDefault="00CA780F" w:rsidP="00C36F0E">
            <w:pPr>
              <w:jc w:val="center"/>
              <w:rPr>
                <w:rFonts w:cs="Calibri"/>
                <w:bCs/>
                <w:szCs w:val="22"/>
              </w:rPr>
            </w:pPr>
            <w:r>
              <w:rPr>
                <w:rFonts w:cs="Calibri"/>
                <w:bCs/>
                <w:szCs w:val="22"/>
              </w:rPr>
              <w:t>7</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28/02/17</w:t>
            </w:r>
          </w:p>
        </w:tc>
        <w:tc>
          <w:tcPr>
            <w:tcW w:w="1418" w:type="dxa"/>
            <w:shd w:val="clear" w:color="auto" w:fill="F2F2F2"/>
          </w:tcPr>
          <w:p w:rsidR="00CA780F" w:rsidRPr="00D3246D" w:rsidRDefault="00CA780F" w:rsidP="00C36F0E">
            <w:pPr>
              <w:jc w:val="center"/>
              <w:rPr>
                <w:rFonts w:cs="Calibri"/>
                <w:bCs/>
                <w:szCs w:val="22"/>
              </w:rPr>
            </w:pPr>
            <w:r>
              <w:rPr>
                <w:rFonts w:cs="Calibri"/>
                <w:bCs/>
                <w:szCs w:val="22"/>
              </w:rPr>
              <w:t>Pettersson</w:t>
            </w:r>
          </w:p>
        </w:tc>
        <w:tc>
          <w:tcPr>
            <w:tcW w:w="1559" w:type="dxa"/>
            <w:shd w:val="clear" w:color="auto" w:fill="F2F2F2"/>
          </w:tcPr>
          <w:p w:rsidR="00CA780F" w:rsidRPr="00D3246D" w:rsidRDefault="00CA780F" w:rsidP="00C36F0E">
            <w:pPr>
              <w:jc w:val="center"/>
              <w:rPr>
                <w:rFonts w:cs="Calibri"/>
                <w:bCs/>
                <w:szCs w:val="22"/>
              </w:rPr>
            </w:pPr>
            <w:r>
              <w:rPr>
                <w:rFonts w:cs="Calibri"/>
                <w:bCs/>
                <w:szCs w:val="22"/>
              </w:rPr>
              <w:t>Regulatory Services</w:t>
            </w:r>
          </w:p>
        </w:tc>
        <w:tc>
          <w:tcPr>
            <w:tcW w:w="2693" w:type="dxa"/>
            <w:shd w:val="clear" w:color="auto" w:fill="F2F2F2"/>
          </w:tcPr>
          <w:p w:rsidR="00CA780F" w:rsidRPr="002B7E94" w:rsidRDefault="00CA780F" w:rsidP="00C36F0E">
            <w:pPr>
              <w:rPr>
                <w:rFonts w:cs="Calibri"/>
                <w:bCs/>
                <w:szCs w:val="22"/>
              </w:rPr>
            </w:pPr>
            <w:r>
              <w:rPr>
                <w:rFonts w:cs="Calibri"/>
                <w:bCs/>
                <w:szCs w:val="22"/>
              </w:rPr>
              <w:t xml:space="preserve">Is </w:t>
            </w:r>
            <w:r w:rsidRPr="000E376F">
              <w:rPr>
                <w:rFonts w:cs="Calibri"/>
                <w:bCs/>
                <w:szCs w:val="22"/>
              </w:rPr>
              <w:t>the training program for building quality run through the MBA available to everyone or just MBA members</w:t>
            </w:r>
            <w:r>
              <w:rPr>
                <w:rFonts w:cs="Calibri"/>
                <w:bCs/>
                <w:szCs w:val="22"/>
              </w:rPr>
              <w:t>?</w:t>
            </w:r>
          </w:p>
        </w:tc>
        <w:tc>
          <w:tcPr>
            <w:tcW w:w="1134" w:type="dxa"/>
            <w:shd w:val="clear" w:color="auto" w:fill="F2F2F2"/>
          </w:tcPr>
          <w:p w:rsidR="00CA780F" w:rsidRPr="00367DAF" w:rsidRDefault="00CA780F" w:rsidP="00367DAF">
            <w:pPr>
              <w:jc w:val="center"/>
              <w:rPr>
                <w:rFonts w:cs="Calibri"/>
                <w:bCs/>
                <w:szCs w:val="22"/>
              </w:rPr>
            </w:pPr>
          </w:p>
        </w:tc>
      </w:tr>
      <w:tr w:rsidR="00CA780F" w:rsidTr="00A75B90">
        <w:trPr>
          <w:cantSplit/>
        </w:trPr>
        <w:tc>
          <w:tcPr>
            <w:tcW w:w="675" w:type="dxa"/>
          </w:tcPr>
          <w:p w:rsidR="00CA780F" w:rsidRPr="00D3246D" w:rsidRDefault="00CA780F" w:rsidP="00C36F0E">
            <w:pPr>
              <w:jc w:val="center"/>
              <w:rPr>
                <w:rFonts w:cs="Calibri"/>
                <w:bCs/>
                <w:szCs w:val="22"/>
              </w:rPr>
            </w:pPr>
            <w:r>
              <w:rPr>
                <w:rFonts w:cs="Calibri"/>
                <w:bCs/>
                <w:szCs w:val="22"/>
              </w:rPr>
              <w:t>8</w:t>
            </w:r>
          </w:p>
        </w:tc>
        <w:tc>
          <w:tcPr>
            <w:tcW w:w="1134" w:type="dxa"/>
          </w:tcPr>
          <w:p w:rsidR="00CA780F" w:rsidRPr="00D3246D" w:rsidRDefault="00CA780F" w:rsidP="00C36F0E">
            <w:pPr>
              <w:jc w:val="center"/>
              <w:rPr>
                <w:rFonts w:cs="Calibri"/>
                <w:bCs/>
                <w:szCs w:val="22"/>
              </w:rPr>
            </w:pPr>
            <w:r>
              <w:rPr>
                <w:rFonts w:cs="Calibri"/>
                <w:bCs/>
                <w:szCs w:val="22"/>
              </w:rPr>
              <w:t>28/02/17</w:t>
            </w:r>
          </w:p>
        </w:tc>
        <w:tc>
          <w:tcPr>
            <w:tcW w:w="1418" w:type="dxa"/>
          </w:tcPr>
          <w:p w:rsidR="00CA780F" w:rsidRPr="00D3246D" w:rsidRDefault="00CA780F" w:rsidP="00C36F0E">
            <w:pPr>
              <w:jc w:val="center"/>
              <w:rPr>
                <w:rFonts w:cs="Calibri"/>
                <w:bCs/>
                <w:szCs w:val="22"/>
              </w:rPr>
            </w:pPr>
            <w:r>
              <w:rPr>
                <w:rFonts w:cs="Calibri"/>
                <w:bCs/>
                <w:szCs w:val="22"/>
              </w:rPr>
              <w:t>Hanson</w:t>
            </w:r>
          </w:p>
        </w:tc>
        <w:tc>
          <w:tcPr>
            <w:tcW w:w="1559" w:type="dxa"/>
          </w:tcPr>
          <w:p w:rsidR="00CA780F" w:rsidRPr="00D3246D" w:rsidRDefault="00CA780F" w:rsidP="00C36F0E">
            <w:pPr>
              <w:jc w:val="center"/>
              <w:rPr>
                <w:rFonts w:cs="Calibri"/>
                <w:bCs/>
                <w:szCs w:val="22"/>
              </w:rPr>
            </w:pPr>
            <w:r>
              <w:rPr>
                <w:rFonts w:cs="Calibri"/>
                <w:bCs/>
                <w:szCs w:val="22"/>
              </w:rPr>
              <w:t>Regulatory Services</w:t>
            </w:r>
          </w:p>
        </w:tc>
        <w:tc>
          <w:tcPr>
            <w:tcW w:w="2693" w:type="dxa"/>
          </w:tcPr>
          <w:p w:rsidR="00CA780F" w:rsidRPr="002B7E94" w:rsidRDefault="00CA780F" w:rsidP="00C36F0E">
            <w:pPr>
              <w:rPr>
                <w:rFonts w:cs="Calibri"/>
                <w:bCs/>
                <w:szCs w:val="22"/>
              </w:rPr>
            </w:pPr>
            <w:r>
              <w:rPr>
                <w:rFonts w:cs="Calibri"/>
                <w:bCs/>
                <w:szCs w:val="22"/>
              </w:rPr>
              <w:t>Can you provide information on the cost and terms of the mediated settlement between the CFMEU and WorkSafe, to the extent permitted by the settlement.</w:t>
            </w:r>
          </w:p>
        </w:tc>
        <w:tc>
          <w:tcPr>
            <w:tcW w:w="1134" w:type="dxa"/>
          </w:tcPr>
          <w:p w:rsidR="00CA780F" w:rsidRPr="00367DAF" w:rsidRDefault="00CA780F" w:rsidP="00367DAF">
            <w:pPr>
              <w:jc w:val="center"/>
              <w:rPr>
                <w:rFonts w:cs="Calibri"/>
                <w:bCs/>
                <w:szCs w:val="22"/>
              </w:rPr>
            </w:pPr>
          </w:p>
        </w:tc>
      </w:tr>
      <w:tr w:rsidR="00CA780F" w:rsidTr="00A75B90">
        <w:trPr>
          <w:cantSplit/>
        </w:trPr>
        <w:tc>
          <w:tcPr>
            <w:tcW w:w="675" w:type="dxa"/>
            <w:shd w:val="clear" w:color="auto" w:fill="F2F2F2"/>
          </w:tcPr>
          <w:p w:rsidR="00CA780F" w:rsidRPr="009A5CEF" w:rsidRDefault="00CA780F" w:rsidP="00C36F0E">
            <w:pPr>
              <w:jc w:val="center"/>
              <w:rPr>
                <w:rFonts w:cs="Calibri"/>
                <w:bCs/>
                <w:szCs w:val="22"/>
              </w:rPr>
            </w:pPr>
            <w:r>
              <w:rPr>
                <w:rFonts w:cs="Calibri"/>
                <w:bCs/>
                <w:szCs w:val="22"/>
              </w:rPr>
              <w:t>9</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28/02/17</w:t>
            </w:r>
          </w:p>
        </w:tc>
        <w:tc>
          <w:tcPr>
            <w:tcW w:w="1418" w:type="dxa"/>
            <w:shd w:val="clear" w:color="auto" w:fill="F2F2F2"/>
          </w:tcPr>
          <w:p w:rsidR="00CA780F" w:rsidRPr="009A5CEF" w:rsidRDefault="00CA780F" w:rsidP="00C36F0E">
            <w:pPr>
              <w:jc w:val="center"/>
              <w:rPr>
                <w:rFonts w:cs="Calibri"/>
                <w:bCs/>
                <w:szCs w:val="22"/>
              </w:rPr>
            </w:pPr>
            <w:r>
              <w:rPr>
                <w:rFonts w:cs="Calibri"/>
                <w:bCs/>
                <w:szCs w:val="22"/>
              </w:rPr>
              <w:t>Coe</w:t>
            </w:r>
          </w:p>
        </w:tc>
        <w:tc>
          <w:tcPr>
            <w:tcW w:w="1559" w:type="dxa"/>
            <w:shd w:val="clear" w:color="auto" w:fill="F2F2F2"/>
          </w:tcPr>
          <w:p w:rsidR="00CA780F" w:rsidRPr="009A5CEF" w:rsidRDefault="00CA780F" w:rsidP="00C36F0E">
            <w:pPr>
              <w:jc w:val="center"/>
              <w:rPr>
                <w:rFonts w:cs="Calibri"/>
                <w:bCs/>
                <w:szCs w:val="22"/>
              </w:rPr>
            </w:pPr>
            <w:r>
              <w:rPr>
                <w:rFonts w:cs="Calibri"/>
                <w:bCs/>
                <w:szCs w:val="22"/>
              </w:rPr>
              <w:t>Regulatory Services</w:t>
            </w:r>
          </w:p>
        </w:tc>
        <w:tc>
          <w:tcPr>
            <w:tcW w:w="2693" w:type="dxa"/>
            <w:shd w:val="clear" w:color="auto" w:fill="F2F2F2"/>
          </w:tcPr>
          <w:p w:rsidR="00CA780F" w:rsidRPr="0080101A" w:rsidRDefault="00CA780F" w:rsidP="00C36F0E">
            <w:pPr>
              <w:rPr>
                <w:rFonts w:cs="Calibri"/>
                <w:bCs/>
                <w:szCs w:val="22"/>
              </w:rPr>
            </w:pPr>
            <w:r>
              <w:rPr>
                <w:rFonts w:cs="Calibri"/>
                <w:bCs/>
                <w:szCs w:val="22"/>
              </w:rPr>
              <w:t>How many stop work notices we</w:t>
            </w:r>
            <w:r w:rsidRPr="0080101A">
              <w:rPr>
                <w:rFonts w:cs="Calibri"/>
                <w:bCs/>
                <w:szCs w:val="22"/>
              </w:rPr>
              <w:t xml:space="preserve">re issued </w:t>
            </w:r>
            <w:r>
              <w:rPr>
                <w:rFonts w:cs="Calibri"/>
                <w:bCs/>
                <w:szCs w:val="22"/>
              </w:rPr>
              <w:t>and for what reasons were they issued?</w:t>
            </w:r>
          </w:p>
          <w:p w:rsidR="00CA780F" w:rsidRPr="002B7E94" w:rsidRDefault="00CA780F" w:rsidP="00C36F0E">
            <w:pPr>
              <w:rPr>
                <w:rFonts w:cs="Calibri"/>
                <w:bCs/>
                <w:szCs w:val="22"/>
              </w:rPr>
            </w:pPr>
          </w:p>
        </w:tc>
        <w:tc>
          <w:tcPr>
            <w:tcW w:w="1134" w:type="dxa"/>
            <w:shd w:val="clear" w:color="auto" w:fill="F2F2F2"/>
          </w:tcPr>
          <w:p w:rsidR="00CA780F" w:rsidRPr="00367DAF" w:rsidRDefault="00CA780F" w:rsidP="00367DAF">
            <w:pPr>
              <w:jc w:val="center"/>
              <w:rPr>
                <w:rFonts w:cs="Calibri"/>
                <w:bCs/>
                <w:szCs w:val="22"/>
              </w:rPr>
            </w:pPr>
          </w:p>
        </w:tc>
      </w:tr>
      <w:tr w:rsidR="00CA780F" w:rsidTr="00A75B90">
        <w:trPr>
          <w:cantSplit/>
        </w:trPr>
        <w:tc>
          <w:tcPr>
            <w:tcW w:w="675" w:type="dxa"/>
          </w:tcPr>
          <w:p w:rsidR="00CA780F" w:rsidRDefault="00CA780F" w:rsidP="00C36F0E">
            <w:pPr>
              <w:jc w:val="center"/>
              <w:rPr>
                <w:rFonts w:cs="Calibri"/>
                <w:bCs/>
                <w:szCs w:val="22"/>
              </w:rPr>
            </w:pPr>
            <w:r>
              <w:rPr>
                <w:rFonts w:cs="Calibri"/>
                <w:bCs/>
                <w:szCs w:val="22"/>
              </w:rPr>
              <w:t>10</w:t>
            </w:r>
          </w:p>
        </w:tc>
        <w:tc>
          <w:tcPr>
            <w:tcW w:w="1134" w:type="dxa"/>
          </w:tcPr>
          <w:p w:rsidR="00CA780F" w:rsidRDefault="00CA780F" w:rsidP="00C36F0E">
            <w:pPr>
              <w:jc w:val="center"/>
              <w:rPr>
                <w:rFonts w:cs="Calibri"/>
                <w:bCs/>
                <w:szCs w:val="22"/>
              </w:rPr>
            </w:pPr>
            <w:r>
              <w:rPr>
                <w:rFonts w:cs="Calibri"/>
                <w:bCs/>
                <w:szCs w:val="22"/>
              </w:rPr>
              <w:t>28/02/17</w:t>
            </w:r>
          </w:p>
        </w:tc>
        <w:tc>
          <w:tcPr>
            <w:tcW w:w="1418" w:type="dxa"/>
          </w:tcPr>
          <w:p w:rsidR="00CA780F" w:rsidRDefault="00CA780F" w:rsidP="00C36F0E">
            <w:pPr>
              <w:jc w:val="center"/>
              <w:rPr>
                <w:rFonts w:cs="Calibri"/>
                <w:bCs/>
                <w:szCs w:val="22"/>
              </w:rPr>
            </w:pPr>
            <w:r>
              <w:rPr>
                <w:rFonts w:cs="Calibri"/>
                <w:bCs/>
                <w:szCs w:val="22"/>
              </w:rPr>
              <w:t>Hanson</w:t>
            </w:r>
          </w:p>
        </w:tc>
        <w:tc>
          <w:tcPr>
            <w:tcW w:w="1559" w:type="dxa"/>
          </w:tcPr>
          <w:p w:rsidR="00CA780F" w:rsidRDefault="00CA780F" w:rsidP="00C36F0E">
            <w:pPr>
              <w:jc w:val="center"/>
              <w:rPr>
                <w:rFonts w:cs="Calibri"/>
                <w:bCs/>
                <w:szCs w:val="22"/>
              </w:rPr>
            </w:pPr>
            <w:r>
              <w:rPr>
                <w:rFonts w:cs="Calibri"/>
                <w:bCs/>
                <w:szCs w:val="22"/>
              </w:rPr>
              <w:t>Regulatory Services</w:t>
            </w:r>
          </w:p>
        </w:tc>
        <w:tc>
          <w:tcPr>
            <w:tcW w:w="2693" w:type="dxa"/>
          </w:tcPr>
          <w:p w:rsidR="00CA780F" w:rsidRPr="002B7E94" w:rsidRDefault="00CA780F" w:rsidP="00C36F0E">
            <w:pPr>
              <w:rPr>
                <w:szCs w:val="22"/>
              </w:rPr>
            </w:pPr>
            <w:r>
              <w:rPr>
                <w:szCs w:val="22"/>
              </w:rPr>
              <w:t>W</w:t>
            </w:r>
            <w:r w:rsidRPr="0080101A">
              <w:rPr>
                <w:szCs w:val="22"/>
              </w:rPr>
              <w:t>here there has been a breach of a DA or a regulation, that there then has been a follow on order to rectify, physically rectify, rather than just some sort of fine or so on</w:t>
            </w:r>
            <w:r>
              <w:rPr>
                <w:szCs w:val="22"/>
              </w:rPr>
              <w:t>?</w:t>
            </w:r>
          </w:p>
        </w:tc>
        <w:tc>
          <w:tcPr>
            <w:tcW w:w="1134" w:type="dxa"/>
          </w:tcPr>
          <w:p w:rsidR="00CA780F" w:rsidRPr="00367DAF" w:rsidRDefault="00CA780F" w:rsidP="00367DAF">
            <w:pPr>
              <w:jc w:val="center"/>
              <w:rPr>
                <w:rFonts w:cs="Calibri"/>
                <w:bCs/>
                <w:szCs w:val="22"/>
              </w:rPr>
            </w:pPr>
          </w:p>
        </w:tc>
      </w:tr>
      <w:tr w:rsidR="00CA780F" w:rsidTr="00A75B90">
        <w:trPr>
          <w:cantSplit/>
        </w:trPr>
        <w:tc>
          <w:tcPr>
            <w:tcW w:w="675" w:type="dxa"/>
            <w:shd w:val="clear" w:color="auto" w:fill="F2F2F2"/>
          </w:tcPr>
          <w:p w:rsidR="00CA780F" w:rsidRDefault="00CA780F" w:rsidP="00C36F0E">
            <w:pPr>
              <w:jc w:val="center"/>
              <w:rPr>
                <w:rFonts w:cs="Calibri"/>
                <w:bCs/>
                <w:szCs w:val="22"/>
              </w:rPr>
            </w:pPr>
            <w:r>
              <w:rPr>
                <w:rFonts w:cs="Calibri"/>
                <w:bCs/>
                <w:szCs w:val="22"/>
              </w:rPr>
              <w:t>11</w:t>
            </w:r>
          </w:p>
        </w:tc>
        <w:tc>
          <w:tcPr>
            <w:tcW w:w="1134" w:type="dxa"/>
            <w:shd w:val="clear" w:color="auto" w:fill="F2F2F2"/>
          </w:tcPr>
          <w:p w:rsidR="00CA780F" w:rsidRDefault="00CA780F" w:rsidP="00C36F0E">
            <w:pPr>
              <w:jc w:val="center"/>
              <w:rPr>
                <w:rFonts w:cs="Calibri"/>
                <w:bCs/>
                <w:szCs w:val="22"/>
              </w:rPr>
            </w:pPr>
            <w:r>
              <w:rPr>
                <w:rFonts w:cs="Calibri"/>
                <w:bCs/>
                <w:szCs w:val="22"/>
              </w:rPr>
              <w:t>28/02/17</w:t>
            </w:r>
          </w:p>
        </w:tc>
        <w:tc>
          <w:tcPr>
            <w:tcW w:w="1418" w:type="dxa"/>
            <w:shd w:val="clear" w:color="auto" w:fill="F2F2F2"/>
          </w:tcPr>
          <w:p w:rsidR="00CA780F" w:rsidRDefault="00CA780F" w:rsidP="00C36F0E">
            <w:pPr>
              <w:jc w:val="center"/>
              <w:rPr>
                <w:rFonts w:cs="Calibri"/>
                <w:bCs/>
                <w:szCs w:val="22"/>
              </w:rPr>
            </w:pPr>
            <w:r>
              <w:rPr>
                <w:rFonts w:cs="Calibri"/>
                <w:bCs/>
                <w:szCs w:val="22"/>
              </w:rPr>
              <w:t>Lawder</w:t>
            </w:r>
          </w:p>
        </w:tc>
        <w:tc>
          <w:tcPr>
            <w:tcW w:w="1559" w:type="dxa"/>
            <w:shd w:val="clear" w:color="auto" w:fill="F2F2F2"/>
          </w:tcPr>
          <w:p w:rsidR="00CA780F" w:rsidRDefault="00CA780F" w:rsidP="00C36F0E">
            <w:pPr>
              <w:jc w:val="center"/>
              <w:rPr>
                <w:rFonts w:cs="Calibri"/>
                <w:bCs/>
                <w:szCs w:val="22"/>
              </w:rPr>
            </w:pPr>
            <w:r>
              <w:rPr>
                <w:rFonts w:cs="Calibri"/>
                <w:bCs/>
                <w:szCs w:val="22"/>
              </w:rPr>
              <w:t>Regulatory Services</w:t>
            </w:r>
          </w:p>
        </w:tc>
        <w:tc>
          <w:tcPr>
            <w:tcW w:w="2693" w:type="dxa"/>
            <w:shd w:val="clear" w:color="auto" w:fill="F2F2F2"/>
          </w:tcPr>
          <w:p w:rsidR="00CA780F" w:rsidRPr="002B7E94" w:rsidRDefault="00CA780F" w:rsidP="00C36F0E">
            <w:pPr>
              <w:rPr>
                <w:szCs w:val="22"/>
              </w:rPr>
            </w:pPr>
            <w:r>
              <w:rPr>
                <w:szCs w:val="22"/>
              </w:rPr>
              <w:t>How many stop work notices have been issued for the Gordon site that excavated too close to its neighbour?</w:t>
            </w:r>
          </w:p>
        </w:tc>
        <w:tc>
          <w:tcPr>
            <w:tcW w:w="1134" w:type="dxa"/>
            <w:shd w:val="clear" w:color="auto" w:fill="F2F2F2"/>
          </w:tcPr>
          <w:p w:rsidR="00CA780F" w:rsidRPr="00367DAF" w:rsidRDefault="00CA780F" w:rsidP="00367DAF">
            <w:pPr>
              <w:jc w:val="center"/>
              <w:rPr>
                <w:rFonts w:cs="Calibri"/>
                <w:bCs/>
                <w:szCs w:val="22"/>
              </w:rPr>
            </w:pPr>
          </w:p>
        </w:tc>
      </w:tr>
      <w:tr w:rsidR="00CA780F" w:rsidTr="00A75B90">
        <w:trPr>
          <w:cantSplit/>
        </w:trPr>
        <w:tc>
          <w:tcPr>
            <w:tcW w:w="675" w:type="dxa"/>
          </w:tcPr>
          <w:p w:rsidR="00CA780F" w:rsidRDefault="00CA780F" w:rsidP="00C36F0E">
            <w:pPr>
              <w:jc w:val="center"/>
              <w:rPr>
                <w:rFonts w:cs="Calibri"/>
                <w:bCs/>
                <w:szCs w:val="22"/>
              </w:rPr>
            </w:pPr>
            <w:r>
              <w:rPr>
                <w:rFonts w:cs="Calibri"/>
                <w:bCs/>
                <w:szCs w:val="22"/>
              </w:rPr>
              <w:t>12</w:t>
            </w:r>
          </w:p>
        </w:tc>
        <w:tc>
          <w:tcPr>
            <w:tcW w:w="1134" w:type="dxa"/>
          </w:tcPr>
          <w:p w:rsidR="00CA780F" w:rsidRDefault="00CA780F" w:rsidP="00C36F0E">
            <w:pPr>
              <w:jc w:val="center"/>
              <w:rPr>
                <w:rFonts w:cs="Calibri"/>
                <w:bCs/>
                <w:szCs w:val="22"/>
              </w:rPr>
            </w:pPr>
            <w:r>
              <w:rPr>
                <w:rFonts w:cs="Calibri"/>
                <w:bCs/>
                <w:szCs w:val="22"/>
              </w:rPr>
              <w:t>28/02/17</w:t>
            </w:r>
          </w:p>
        </w:tc>
        <w:tc>
          <w:tcPr>
            <w:tcW w:w="1418" w:type="dxa"/>
          </w:tcPr>
          <w:p w:rsidR="00CA780F" w:rsidRDefault="00CA780F" w:rsidP="00C36F0E">
            <w:pPr>
              <w:jc w:val="center"/>
              <w:rPr>
                <w:rFonts w:cs="Calibri"/>
                <w:bCs/>
                <w:szCs w:val="22"/>
              </w:rPr>
            </w:pPr>
            <w:r>
              <w:rPr>
                <w:rFonts w:cs="Calibri"/>
                <w:bCs/>
                <w:szCs w:val="22"/>
              </w:rPr>
              <w:t>Hanson</w:t>
            </w:r>
          </w:p>
        </w:tc>
        <w:tc>
          <w:tcPr>
            <w:tcW w:w="1559" w:type="dxa"/>
          </w:tcPr>
          <w:p w:rsidR="00CA780F" w:rsidRDefault="00CA780F" w:rsidP="00C36F0E">
            <w:pPr>
              <w:jc w:val="center"/>
              <w:rPr>
                <w:rFonts w:cs="Calibri"/>
                <w:bCs/>
                <w:szCs w:val="22"/>
              </w:rPr>
            </w:pPr>
            <w:r>
              <w:rPr>
                <w:rFonts w:cs="Calibri"/>
                <w:bCs/>
                <w:szCs w:val="22"/>
              </w:rPr>
              <w:t>Regulatory Services</w:t>
            </w:r>
          </w:p>
        </w:tc>
        <w:tc>
          <w:tcPr>
            <w:tcW w:w="2693" w:type="dxa"/>
          </w:tcPr>
          <w:p w:rsidR="00CA780F" w:rsidRPr="002B7E94" w:rsidRDefault="00CA780F" w:rsidP="00C36F0E">
            <w:pPr>
              <w:rPr>
                <w:szCs w:val="22"/>
              </w:rPr>
            </w:pPr>
            <w:r>
              <w:rPr>
                <w:szCs w:val="22"/>
              </w:rPr>
              <w:t>What was the cost of relocating the Woden shopfront?</w:t>
            </w:r>
          </w:p>
        </w:tc>
        <w:tc>
          <w:tcPr>
            <w:tcW w:w="1134" w:type="dxa"/>
          </w:tcPr>
          <w:p w:rsidR="00CA780F" w:rsidRPr="00367DAF" w:rsidRDefault="00CA780F" w:rsidP="00367DAF">
            <w:pPr>
              <w:jc w:val="center"/>
              <w:rPr>
                <w:rFonts w:cs="Calibri"/>
                <w:bCs/>
                <w:szCs w:val="22"/>
              </w:rPr>
            </w:pPr>
          </w:p>
        </w:tc>
      </w:tr>
      <w:tr w:rsidR="00CA780F" w:rsidTr="00A75B90">
        <w:trPr>
          <w:cantSplit/>
        </w:trPr>
        <w:tc>
          <w:tcPr>
            <w:tcW w:w="675" w:type="dxa"/>
            <w:shd w:val="clear" w:color="auto" w:fill="F2F2F2"/>
          </w:tcPr>
          <w:p w:rsidR="00CA780F" w:rsidRDefault="00CA780F" w:rsidP="00C36F0E">
            <w:pPr>
              <w:jc w:val="center"/>
              <w:rPr>
                <w:rFonts w:cs="Calibri"/>
                <w:bCs/>
                <w:szCs w:val="22"/>
              </w:rPr>
            </w:pPr>
            <w:r>
              <w:rPr>
                <w:rFonts w:cs="Calibri"/>
                <w:bCs/>
                <w:szCs w:val="22"/>
              </w:rPr>
              <w:t>13</w:t>
            </w:r>
          </w:p>
        </w:tc>
        <w:tc>
          <w:tcPr>
            <w:tcW w:w="1134" w:type="dxa"/>
            <w:shd w:val="clear" w:color="auto" w:fill="F2F2F2"/>
          </w:tcPr>
          <w:p w:rsidR="00CA780F" w:rsidRDefault="00CA780F" w:rsidP="00C36F0E">
            <w:pPr>
              <w:jc w:val="center"/>
              <w:rPr>
                <w:rFonts w:cs="Calibri"/>
                <w:bCs/>
                <w:szCs w:val="22"/>
              </w:rPr>
            </w:pPr>
            <w:r>
              <w:rPr>
                <w:rFonts w:cs="Calibri"/>
                <w:bCs/>
                <w:szCs w:val="22"/>
              </w:rPr>
              <w:t>28/02/17</w:t>
            </w:r>
          </w:p>
        </w:tc>
        <w:tc>
          <w:tcPr>
            <w:tcW w:w="1418" w:type="dxa"/>
            <w:shd w:val="clear" w:color="auto" w:fill="F2F2F2"/>
          </w:tcPr>
          <w:p w:rsidR="00CA780F" w:rsidRDefault="00CA780F" w:rsidP="00C36F0E">
            <w:pPr>
              <w:jc w:val="center"/>
              <w:rPr>
                <w:rFonts w:cs="Calibri"/>
                <w:bCs/>
                <w:szCs w:val="22"/>
              </w:rPr>
            </w:pPr>
            <w:r>
              <w:rPr>
                <w:rFonts w:cs="Calibri"/>
                <w:bCs/>
                <w:szCs w:val="22"/>
              </w:rPr>
              <w:t>Hanson</w:t>
            </w:r>
          </w:p>
        </w:tc>
        <w:tc>
          <w:tcPr>
            <w:tcW w:w="1559" w:type="dxa"/>
            <w:shd w:val="clear" w:color="auto" w:fill="F2F2F2"/>
          </w:tcPr>
          <w:p w:rsidR="00CA780F" w:rsidRDefault="00CA780F" w:rsidP="00C36F0E">
            <w:pPr>
              <w:jc w:val="center"/>
              <w:rPr>
                <w:rFonts w:cs="Calibri"/>
                <w:bCs/>
                <w:szCs w:val="22"/>
              </w:rPr>
            </w:pPr>
            <w:r>
              <w:rPr>
                <w:rFonts w:cs="Calibri"/>
                <w:bCs/>
                <w:szCs w:val="22"/>
              </w:rPr>
              <w:t>Arts</w:t>
            </w:r>
          </w:p>
        </w:tc>
        <w:tc>
          <w:tcPr>
            <w:tcW w:w="2693" w:type="dxa"/>
            <w:shd w:val="clear" w:color="auto" w:fill="F2F2F2"/>
          </w:tcPr>
          <w:p w:rsidR="00CA780F" w:rsidRPr="002B7E94" w:rsidRDefault="00CA780F" w:rsidP="00C36F0E">
            <w:pPr>
              <w:rPr>
                <w:szCs w:val="22"/>
              </w:rPr>
            </w:pPr>
            <w:r>
              <w:rPr>
                <w:szCs w:val="22"/>
              </w:rPr>
              <w:t>Regarding the Kingston Arts Precinct how many car parking spaces are now available and how many will be available at the completion of the development?</w:t>
            </w:r>
          </w:p>
        </w:tc>
        <w:tc>
          <w:tcPr>
            <w:tcW w:w="1134" w:type="dxa"/>
            <w:shd w:val="clear" w:color="auto" w:fill="F2F2F2"/>
          </w:tcPr>
          <w:p w:rsidR="00CA780F" w:rsidRPr="00367DAF" w:rsidRDefault="00CA780F" w:rsidP="00367DAF">
            <w:pPr>
              <w:jc w:val="center"/>
              <w:rPr>
                <w:rFonts w:cs="Calibri"/>
                <w:bCs/>
                <w:szCs w:val="22"/>
              </w:rPr>
            </w:pPr>
          </w:p>
        </w:tc>
      </w:tr>
      <w:tr w:rsidR="00CA780F" w:rsidTr="00A75B90">
        <w:trPr>
          <w:cantSplit/>
        </w:trPr>
        <w:tc>
          <w:tcPr>
            <w:tcW w:w="675" w:type="dxa"/>
          </w:tcPr>
          <w:p w:rsidR="00CA780F" w:rsidRDefault="00CA780F" w:rsidP="00C36F0E">
            <w:pPr>
              <w:jc w:val="center"/>
              <w:rPr>
                <w:rFonts w:cs="Calibri"/>
                <w:bCs/>
                <w:szCs w:val="22"/>
              </w:rPr>
            </w:pPr>
            <w:r>
              <w:rPr>
                <w:rFonts w:cs="Calibri"/>
                <w:bCs/>
                <w:szCs w:val="22"/>
              </w:rPr>
              <w:t>14</w:t>
            </w:r>
          </w:p>
        </w:tc>
        <w:tc>
          <w:tcPr>
            <w:tcW w:w="1134" w:type="dxa"/>
          </w:tcPr>
          <w:p w:rsidR="00CA780F" w:rsidRDefault="00CA780F" w:rsidP="00C36F0E">
            <w:pPr>
              <w:jc w:val="center"/>
              <w:rPr>
                <w:rFonts w:cs="Calibri"/>
                <w:bCs/>
                <w:szCs w:val="22"/>
              </w:rPr>
            </w:pPr>
            <w:r>
              <w:rPr>
                <w:rFonts w:cs="Calibri"/>
                <w:bCs/>
                <w:szCs w:val="22"/>
              </w:rPr>
              <w:t>28/02/17</w:t>
            </w:r>
          </w:p>
        </w:tc>
        <w:tc>
          <w:tcPr>
            <w:tcW w:w="1418" w:type="dxa"/>
          </w:tcPr>
          <w:p w:rsidR="00CA780F" w:rsidRDefault="00CA780F" w:rsidP="00C36F0E">
            <w:pPr>
              <w:jc w:val="center"/>
              <w:rPr>
                <w:rFonts w:cs="Calibri"/>
                <w:bCs/>
                <w:szCs w:val="22"/>
              </w:rPr>
            </w:pPr>
            <w:r>
              <w:rPr>
                <w:rFonts w:cs="Calibri"/>
                <w:bCs/>
                <w:szCs w:val="22"/>
              </w:rPr>
              <w:t>Dunne</w:t>
            </w:r>
          </w:p>
        </w:tc>
        <w:tc>
          <w:tcPr>
            <w:tcW w:w="1559" w:type="dxa"/>
          </w:tcPr>
          <w:p w:rsidR="00CA780F" w:rsidRDefault="00CA780F" w:rsidP="00C36F0E">
            <w:pPr>
              <w:jc w:val="center"/>
              <w:rPr>
                <w:rFonts w:cs="Calibri"/>
                <w:bCs/>
                <w:szCs w:val="22"/>
              </w:rPr>
            </w:pPr>
            <w:r>
              <w:rPr>
                <w:rFonts w:cs="Calibri"/>
                <w:bCs/>
                <w:szCs w:val="22"/>
              </w:rPr>
              <w:t>Arts</w:t>
            </w:r>
          </w:p>
        </w:tc>
        <w:tc>
          <w:tcPr>
            <w:tcW w:w="2693" w:type="dxa"/>
          </w:tcPr>
          <w:p w:rsidR="00CA780F" w:rsidRPr="002B7E94" w:rsidRDefault="00CA780F" w:rsidP="00C36F0E">
            <w:pPr>
              <w:rPr>
                <w:szCs w:val="22"/>
              </w:rPr>
            </w:pPr>
            <w:r>
              <w:rPr>
                <w:szCs w:val="22"/>
              </w:rPr>
              <w:t>Can you provide a list of the buildings in the Arts Portfolio and is there work planned on them?</w:t>
            </w:r>
          </w:p>
        </w:tc>
        <w:tc>
          <w:tcPr>
            <w:tcW w:w="1134" w:type="dxa"/>
          </w:tcPr>
          <w:p w:rsidR="00CA780F" w:rsidRPr="00367DAF" w:rsidRDefault="00CA780F" w:rsidP="00367DAF">
            <w:pPr>
              <w:jc w:val="center"/>
              <w:rPr>
                <w:rFonts w:cs="Calibri"/>
                <w:bCs/>
                <w:szCs w:val="22"/>
              </w:rPr>
            </w:pPr>
          </w:p>
        </w:tc>
      </w:tr>
      <w:tr w:rsidR="00CA780F" w:rsidTr="00A75B90">
        <w:trPr>
          <w:cantSplit/>
        </w:trPr>
        <w:tc>
          <w:tcPr>
            <w:tcW w:w="675" w:type="dxa"/>
            <w:shd w:val="clear" w:color="auto" w:fill="F2F2F2"/>
          </w:tcPr>
          <w:p w:rsidR="00CA780F" w:rsidRDefault="00CA780F" w:rsidP="00C36F0E">
            <w:pPr>
              <w:jc w:val="center"/>
              <w:rPr>
                <w:rFonts w:cs="Calibri"/>
                <w:bCs/>
                <w:szCs w:val="22"/>
              </w:rPr>
            </w:pPr>
            <w:r>
              <w:rPr>
                <w:rFonts w:cs="Calibri"/>
                <w:bCs/>
                <w:szCs w:val="22"/>
              </w:rPr>
              <w:t>15</w:t>
            </w:r>
          </w:p>
        </w:tc>
        <w:tc>
          <w:tcPr>
            <w:tcW w:w="1134" w:type="dxa"/>
            <w:shd w:val="clear" w:color="auto" w:fill="F2F2F2"/>
          </w:tcPr>
          <w:p w:rsidR="00CA780F" w:rsidRDefault="00CA780F" w:rsidP="00C36F0E">
            <w:pPr>
              <w:jc w:val="center"/>
              <w:rPr>
                <w:rFonts w:cs="Calibri"/>
                <w:bCs/>
                <w:szCs w:val="22"/>
              </w:rPr>
            </w:pPr>
            <w:r>
              <w:rPr>
                <w:rFonts w:cs="Calibri"/>
                <w:bCs/>
                <w:szCs w:val="22"/>
              </w:rPr>
              <w:t>28/02/17</w:t>
            </w:r>
          </w:p>
        </w:tc>
        <w:tc>
          <w:tcPr>
            <w:tcW w:w="1418" w:type="dxa"/>
            <w:shd w:val="clear" w:color="auto" w:fill="F2F2F2"/>
          </w:tcPr>
          <w:p w:rsidR="00CA780F" w:rsidRDefault="00CA780F" w:rsidP="00C36F0E">
            <w:pPr>
              <w:jc w:val="center"/>
              <w:rPr>
                <w:rFonts w:cs="Calibri"/>
                <w:bCs/>
                <w:szCs w:val="22"/>
              </w:rPr>
            </w:pPr>
            <w:r>
              <w:rPr>
                <w:rFonts w:cs="Calibri"/>
                <w:bCs/>
                <w:szCs w:val="22"/>
              </w:rPr>
              <w:t>Dunne</w:t>
            </w:r>
          </w:p>
        </w:tc>
        <w:tc>
          <w:tcPr>
            <w:tcW w:w="1559" w:type="dxa"/>
            <w:shd w:val="clear" w:color="auto" w:fill="F2F2F2"/>
          </w:tcPr>
          <w:p w:rsidR="00CA780F" w:rsidRDefault="00CA780F" w:rsidP="00C36F0E">
            <w:pPr>
              <w:jc w:val="center"/>
              <w:rPr>
                <w:rFonts w:cs="Calibri"/>
                <w:bCs/>
                <w:szCs w:val="22"/>
              </w:rPr>
            </w:pPr>
            <w:r>
              <w:rPr>
                <w:rFonts w:cs="Calibri"/>
                <w:bCs/>
                <w:szCs w:val="22"/>
              </w:rPr>
              <w:t>Arts</w:t>
            </w:r>
          </w:p>
        </w:tc>
        <w:tc>
          <w:tcPr>
            <w:tcW w:w="2693" w:type="dxa"/>
            <w:shd w:val="clear" w:color="auto" w:fill="F2F2F2"/>
          </w:tcPr>
          <w:p w:rsidR="00CA780F" w:rsidRPr="002B7E94" w:rsidRDefault="00CA780F" w:rsidP="00C36F0E">
            <w:pPr>
              <w:rPr>
                <w:szCs w:val="22"/>
              </w:rPr>
            </w:pPr>
            <w:r>
              <w:rPr>
                <w:szCs w:val="22"/>
              </w:rPr>
              <w:t>Can you provide a list of the public art that ArtsACT is responsible for and the budget for repairs and maintenance??</w:t>
            </w:r>
          </w:p>
        </w:tc>
        <w:tc>
          <w:tcPr>
            <w:tcW w:w="1134" w:type="dxa"/>
            <w:shd w:val="clear" w:color="auto" w:fill="F2F2F2"/>
          </w:tcPr>
          <w:p w:rsidR="00CA780F" w:rsidRPr="00367DAF" w:rsidRDefault="00CA780F" w:rsidP="00367DAF">
            <w:pPr>
              <w:jc w:val="center"/>
              <w:rPr>
                <w:rFonts w:cs="Calibri"/>
                <w:bCs/>
                <w:szCs w:val="22"/>
              </w:rPr>
            </w:pPr>
          </w:p>
        </w:tc>
      </w:tr>
      <w:tr w:rsidR="00CA780F" w:rsidTr="00C36F0E">
        <w:trPr>
          <w:cantSplit/>
        </w:trPr>
        <w:tc>
          <w:tcPr>
            <w:tcW w:w="8613" w:type="dxa"/>
            <w:gridSpan w:val="6"/>
          </w:tcPr>
          <w:p w:rsidR="00CA780F" w:rsidRPr="00367DAF" w:rsidRDefault="00CA780F" w:rsidP="00367DAF">
            <w:pPr>
              <w:jc w:val="center"/>
              <w:rPr>
                <w:rFonts w:cs="Calibri"/>
                <w:bCs/>
                <w:szCs w:val="22"/>
              </w:rPr>
            </w:pPr>
            <w:r>
              <w:rPr>
                <w:rFonts w:cs="Calibri"/>
                <w:bCs/>
                <w:szCs w:val="22"/>
              </w:rPr>
              <w:t>Question on Notice 27 February 2017</w:t>
            </w:r>
          </w:p>
        </w:tc>
      </w:tr>
      <w:tr w:rsidR="00CA780F" w:rsidTr="00A75B90">
        <w:trPr>
          <w:cantSplit/>
        </w:trPr>
        <w:tc>
          <w:tcPr>
            <w:tcW w:w="675" w:type="dxa"/>
            <w:shd w:val="clear" w:color="auto" w:fill="F2F2F2"/>
          </w:tcPr>
          <w:p w:rsidR="00CA780F" w:rsidRPr="00D3246D" w:rsidRDefault="00CA780F" w:rsidP="00C36F0E">
            <w:pPr>
              <w:jc w:val="center"/>
              <w:rPr>
                <w:rFonts w:cs="Calibri"/>
                <w:bCs/>
                <w:szCs w:val="22"/>
              </w:rPr>
            </w:pPr>
            <w:r>
              <w:rPr>
                <w:rFonts w:cs="Calibri"/>
                <w:bCs/>
                <w:szCs w:val="22"/>
              </w:rPr>
              <w:t>1</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27/02/17</w:t>
            </w:r>
          </w:p>
        </w:tc>
        <w:tc>
          <w:tcPr>
            <w:tcW w:w="1418" w:type="dxa"/>
            <w:shd w:val="clear" w:color="auto" w:fill="F2F2F2"/>
          </w:tcPr>
          <w:p w:rsidR="00CA780F" w:rsidRPr="00D3246D" w:rsidRDefault="00CA780F" w:rsidP="00C36F0E">
            <w:pPr>
              <w:jc w:val="center"/>
              <w:rPr>
                <w:rFonts w:cs="Calibri"/>
                <w:bCs/>
                <w:szCs w:val="22"/>
              </w:rPr>
            </w:pPr>
            <w:r>
              <w:rPr>
                <w:rFonts w:cs="Calibri"/>
                <w:bCs/>
                <w:szCs w:val="22"/>
              </w:rPr>
              <w:t>Coe</w:t>
            </w:r>
          </w:p>
        </w:tc>
        <w:tc>
          <w:tcPr>
            <w:tcW w:w="1559" w:type="dxa"/>
            <w:shd w:val="clear" w:color="auto" w:fill="F2F2F2"/>
          </w:tcPr>
          <w:p w:rsidR="00CA780F" w:rsidRPr="00D3246D" w:rsidRDefault="00CA780F" w:rsidP="00C36F0E">
            <w:pPr>
              <w:jc w:val="center"/>
              <w:rPr>
                <w:rFonts w:cs="Calibri"/>
                <w:bCs/>
                <w:szCs w:val="22"/>
              </w:rPr>
            </w:pPr>
            <w:r>
              <w:rPr>
                <w:rFonts w:cs="Calibri"/>
                <w:bCs/>
                <w:szCs w:val="22"/>
              </w:rPr>
              <w:t>CMTEDD</w:t>
            </w:r>
          </w:p>
        </w:tc>
        <w:tc>
          <w:tcPr>
            <w:tcW w:w="2693" w:type="dxa"/>
            <w:shd w:val="clear" w:color="auto" w:fill="F2F2F2"/>
          </w:tcPr>
          <w:p w:rsidR="00CA780F" w:rsidRPr="002B7E94" w:rsidRDefault="00CA780F" w:rsidP="00C36F0E">
            <w:pPr>
              <w:rPr>
                <w:rFonts w:cs="Calibri"/>
                <w:bCs/>
                <w:szCs w:val="22"/>
              </w:rPr>
            </w:pPr>
            <w:r>
              <w:rPr>
                <w:rFonts w:cs="Calibri"/>
                <w:bCs/>
                <w:szCs w:val="22"/>
              </w:rPr>
              <w:t>Loose Fill Asbestos Insulation Eradication Scheme</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16/03/17</w:t>
            </w:r>
          </w:p>
        </w:tc>
      </w:tr>
      <w:tr w:rsidR="00CA780F" w:rsidTr="00A75B90">
        <w:trPr>
          <w:cantSplit/>
        </w:trPr>
        <w:tc>
          <w:tcPr>
            <w:tcW w:w="675" w:type="dxa"/>
          </w:tcPr>
          <w:p w:rsidR="00CA780F" w:rsidRPr="00D3246D" w:rsidRDefault="00CA780F" w:rsidP="00C36F0E">
            <w:pPr>
              <w:jc w:val="center"/>
              <w:rPr>
                <w:rFonts w:cs="Calibri"/>
                <w:bCs/>
                <w:szCs w:val="22"/>
              </w:rPr>
            </w:pPr>
            <w:r>
              <w:rPr>
                <w:rFonts w:cs="Calibri"/>
                <w:bCs/>
                <w:szCs w:val="22"/>
              </w:rPr>
              <w:t>2</w:t>
            </w:r>
          </w:p>
        </w:tc>
        <w:tc>
          <w:tcPr>
            <w:tcW w:w="1134" w:type="dxa"/>
          </w:tcPr>
          <w:p w:rsidR="00CA780F" w:rsidRPr="00D3246D" w:rsidRDefault="00CA780F" w:rsidP="00C36F0E">
            <w:pPr>
              <w:jc w:val="center"/>
              <w:rPr>
                <w:rFonts w:cs="Calibri"/>
                <w:bCs/>
                <w:szCs w:val="22"/>
              </w:rPr>
            </w:pPr>
            <w:r>
              <w:rPr>
                <w:rFonts w:cs="Calibri"/>
                <w:bCs/>
                <w:szCs w:val="22"/>
              </w:rPr>
              <w:t>27/02/17</w:t>
            </w:r>
          </w:p>
        </w:tc>
        <w:tc>
          <w:tcPr>
            <w:tcW w:w="1418" w:type="dxa"/>
          </w:tcPr>
          <w:p w:rsidR="00CA780F" w:rsidRPr="00D3246D" w:rsidRDefault="00CA780F" w:rsidP="00C36F0E">
            <w:pPr>
              <w:jc w:val="center"/>
              <w:rPr>
                <w:rFonts w:cs="Calibri"/>
                <w:bCs/>
                <w:szCs w:val="22"/>
              </w:rPr>
            </w:pPr>
            <w:r>
              <w:rPr>
                <w:rFonts w:cs="Calibri"/>
                <w:bCs/>
                <w:szCs w:val="22"/>
              </w:rPr>
              <w:t>Coe</w:t>
            </w:r>
          </w:p>
        </w:tc>
        <w:tc>
          <w:tcPr>
            <w:tcW w:w="1559" w:type="dxa"/>
          </w:tcPr>
          <w:p w:rsidR="00CA780F" w:rsidRPr="00D3246D" w:rsidRDefault="00CA780F" w:rsidP="00C36F0E">
            <w:pPr>
              <w:jc w:val="center"/>
              <w:rPr>
                <w:rFonts w:cs="Calibri"/>
                <w:bCs/>
                <w:szCs w:val="22"/>
              </w:rPr>
            </w:pPr>
            <w:r>
              <w:rPr>
                <w:rFonts w:cs="Calibri"/>
                <w:bCs/>
                <w:szCs w:val="22"/>
              </w:rPr>
              <w:t>Public Admin</w:t>
            </w:r>
          </w:p>
        </w:tc>
        <w:tc>
          <w:tcPr>
            <w:tcW w:w="2693" w:type="dxa"/>
          </w:tcPr>
          <w:p w:rsidR="00CA780F" w:rsidRPr="002B7E94" w:rsidRDefault="00CA780F" w:rsidP="00C36F0E">
            <w:pPr>
              <w:rPr>
                <w:rFonts w:cs="Calibri"/>
                <w:bCs/>
                <w:szCs w:val="22"/>
              </w:rPr>
            </w:pPr>
            <w:r>
              <w:rPr>
                <w:rFonts w:cs="Calibri"/>
                <w:bCs/>
                <w:szCs w:val="22"/>
              </w:rPr>
              <w:t>Australian Workplace Agreements</w:t>
            </w:r>
          </w:p>
        </w:tc>
        <w:tc>
          <w:tcPr>
            <w:tcW w:w="1134" w:type="dxa"/>
          </w:tcPr>
          <w:p w:rsidR="00CA780F" w:rsidRPr="00D3246D" w:rsidRDefault="00CA780F" w:rsidP="00C36F0E">
            <w:pPr>
              <w:jc w:val="center"/>
              <w:rPr>
                <w:rFonts w:cs="Calibri"/>
                <w:bCs/>
                <w:szCs w:val="22"/>
              </w:rPr>
            </w:pPr>
            <w:r>
              <w:rPr>
                <w:rFonts w:cs="Calibri"/>
                <w:bCs/>
                <w:szCs w:val="22"/>
              </w:rPr>
              <w:t>17/03/17</w:t>
            </w:r>
          </w:p>
        </w:tc>
      </w:tr>
      <w:tr w:rsidR="00CA780F" w:rsidTr="00A75B90">
        <w:trPr>
          <w:cantSplit/>
        </w:trPr>
        <w:tc>
          <w:tcPr>
            <w:tcW w:w="675" w:type="dxa"/>
            <w:shd w:val="clear" w:color="auto" w:fill="F2F2F2"/>
          </w:tcPr>
          <w:p w:rsidR="00CA780F" w:rsidRDefault="00CA780F" w:rsidP="00C36F0E">
            <w:pPr>
              <w:jc w:val="center"/>
              <w:rPr>
                <w:rFonts w:cs="Calibri"/>
                <w:bCs/>
                <w:szCs w:val="22"/>
              </w:rPr>
            </w:pPr>
            <w:r>
              <w:rPr>
                <w:rFonts w:cs="Calibri"/>
                <w:bCs/>
                <w:szCs w:val="22"/>
              </w:rPr>
              <w:t>3</w:t>
            </w:r>
          </w:p>
        </w:tc>
        <w:tc>
          <w:tcPr>
            <w:tcW w:w="1134" w:type="dxa"/>
            <w:shd w:val="clear" w:color="auto" w:fill="F2F2F2"/>
          </w:tcPr>
          <w:p w:rsidR="00CA780F" w:rsidRDefault="00CA780F" w:rsidP="00C36F0E">
            <w:pPr>
              <w:jc w:val="center"/>
              <w:rPr>
                <w:rFonts w:cs="Calibri"/>
                <w:bCs/>
                <w:szCs w:val="22"/>
              </w:rPr>
            </w:pPr>
            <w:r>
              <w:rPr>
                <w:rFonts w:cs="Calibri"/>
                <w:bCs/>
                <w:szCs w:val="22"/>
              </w:rPr>
              <w:t>27/02/17</w:t>
            </w:r>
          </w:p>
        </w:tc>
        <w:tc>
          <w:tcPr>
            <w:tcW w:w="1418" w:type="dxa"/>
            <w:shd w:val="clear" w:color="auto" w:fill="F2F2F2"/>
          </w:tcPr>
          <w:p w:rsidR="00CA780F" w:rsidRDefault="00CA780F" w:rsidP="00C36F0E">
            <w:pPr>
              <w:jc w:val="center"/>
              <w:rPr>
                <w:rFonts w:cs="Calibri"/>
                <w:bCs/>
                <w:szCs w:val="22"/>
              </w:rPr>
            </w:pPr>
            <w:r>
              <w:rPr>
                <w:rFonts w:cs="Calibri"/>
                <w:bCs/>
                <w:szCs w:val="22"/>
              </w:rPr>
              <w:t>Coe</w:t>
            </w:r>
          </w:p>
        </w:tc>
        <w:tc>
          <w:tcPr>
            <w:tcW w:w="1559" w:type="dxa"/>
            <w:shd w:val="clear" w:color="auto" w:fill="F2F2F2"/>
          </w:tcPr>
          <w:p w:rsidR="00CA780F" w:rsidRDefault="00CA780F" w:rsidP="00C36F0E">
            <w:pPr>
              <w:jc w:val="center"/>
              <w:rPr>
                <w:rFonts w:cs="Calibri"/>
                <w:bCs/>
                <w:szCs w:val="22"/>
              </w:rPr>
            </w:pPr>
            <w:r>
              <w:rPr>
                <w:rFonts w:cs="Calibri"/>
                <w:bCs/>
                <w:szCs w:val="22"/>
              </w:rPr>
              <w:t>CMTEDD</w:t>
            </w:r>
          </w:p>
        </w:tc>
        <w:tc>
          <w:tcPr>
            <w:tcW w:w="2693" w:type="dxa"/>
            <w:shd w:val="clear" w:color="auto" w:fill="F2F2F2"/>
          </w:tcPr>
          <w:p w:rsidR="00CA780F" w:rsidRPr="002B7E94" w:rsidRDefault="00CA780F" w:rsidP="00C36F0E">
            <w:pPr>
              <w:rPr>
                <w:szCs w:val="22"/>
              </w:rPr>
            </w:pPr>
            <w:r>
              <w:rPr>
                <w:szCs w:val="22"/>
              </w:rPr>
              <w:t>Incidents of Fraud</w:t>
            </w:r>
          </w:p>
        </w:tc>
        <w:tc>
          <w:tcPr>
            <w:tcW w:w="1134" w:type="dxa"/>
            <w:shd w:val="clear" w:color="auto" w:fill="F2F2F2"/>
          </w:tcPr>
          <w:p w:rsidR="00CA780F" w:rsidRDefault="00CA780F" w:rsidP="00C36F0E">
            <w:pPr>
              <w:jc w:val="center"/>
              <w:rPr>
                <w:rFonts w:cs="Calibri"/>
                <w:bCs/>
                <w:szCs w:val="22"/>
              </w:rPr>
            </w:pPr>
            <w:r>
              <w:rPr>
                <w:rFonts w:cs="Calibri"/>
                <w:bCs/>
                <w:szCs w:val="22"/>
              </w:rPr>
              <w:t>14/03/17</w:t>
            </w:r>
          </w:p>
        </w:tc>
      </w:tr>
      <w:tr w:rsidR="00CA780F" w:rsidTr="00A75B90">
        <w:trPr>
          <w:cantSplit/>
        </w:trPr>
        <w:tc>
          <w:tcPr>
            <w:tcW w:w="675" w:type="dxa"/>
          </w:tcPr>
          <w:p w:rsidR="00CA780F" w:rsidRPr="00D3246D" w:rsidRDefault="00CA780F" w:rsidP="00C36F0E">
            <w:pPr>
              <w:jc w:val="center"/>
              <w:rPr>
                <w:rFonts w:cs="Calibri"/>
                <w:bCs/>
                <w:szCs w:val="22"/>
              </w:rPr>
            </w:pPr>
            <w:r>
              <w:rPr>
                <w:rFonts w:cs="Calibri"/>
                <w:bCs/>
                <w:szCs w:val="22"/>
              </w:rPr>
              <w:t>4</w:t>
            </w:r>
          </w:p>
        </w:tc>
        <w:tc>
          <w:tcPr>
            <w:tcW w:w="1134" w:type="dxa"/>
          </w:tcPr>
          <w:p w:rsidR="00CA780F" w:rsidRPr="00D3246D" w:rsidRDefault="00CA780F" w:rsidP="00C36F0E">
            <w:pPr>
              <w:jc w:val="center"/>
              <w:rPr>
                <w:rFonts w:cs="Calibri"/>
                <w:bCs/>
                <w:szCs w:val="22"/>
              </w:rPr>
            </w:pPr>
            <w:r>
              <w:rPr>
                <w:rFonts w:cs="Calibri"/>
                <w:bCs/>
                <w:szCs w:val="22"/>
              </w:rPr>
              <w:t>27/02/17</w:t>
            </w:r>
          </w:p>
        </w:tc>
        <w:tc>
          <w:tcPr>
            <w:tcW w:w="1418" w:type="dxa"/>
          </w:tcPr>
          <w:p w:rsidR="00CA780F" w:rsidRPr="00D3246D" w:rsidRDefault="00CA780F" w:rsidP="00C36F0E">
            <w:pPr>
              <w:jc w:val="center"/>
              <w:rPr>
                <w:rFonts w:cs="Calibri"/>
                <w:bCs/>
                <w:szCs w:val="22"/>
              </w:rPr>
            </w:pPr>
            <w:r>
              <w:rPr>
                <w:rFonts w:cs="Calibri"/>
                <w:bCs/>
                <w:szCs w:val="22"/>
              </w:rPr>
              <w:t>Coe</w:t>
            </w:r>
          </w:p>
        </w:tc>
        <w:tc>
          <w:tcPr>
            <w:tcW w:w="1559" w:type="dxa"/>
          </w:tcPr>
          <w:p w:rsidR="00CA780F" w:rsidRPr="00D3246D" w:rsidRDefault="00CA780F" w:rsidP="00C36F0E">
            <w:pPr>
              <w:jc w:val="center"/>
              <w:rPr>
                <w:rFonts w:cs="Calibri"/>
                <w:bCs/>
                <w:szCs w:val="22"/>
              </w:rPr>
            </w:pPr>
            <w:r>
              <w:rPr>
                <w:rFonts w:cs="Calibri"/>
                <w:bCs/>
                <w:szCs w:val="22"/>
              </w:rPr>
              <w:t>CMTEDD</w:t>
            </w:r>
          </w:p>
        </w:tc>
        <w:tc>
          <w:tcPr>
            <w:tcW w:w="2693" w:type="dxa"/>
          </w:tcPr>
          <w:p w:rsidR="00CA780F" w:rsidRPr="002B7E94" w:rsidRDefault="00CA780F" w:rsidP="00C36F0E">
            <w:pPr>
              <w:rPr>
                <w:szCs w:val="22"/>
              </w:rPr>
            </w:pPr>
            <w:r>
              <w:rPr>
                <w:szCs w:val="22"/>
              </w:rPr>
              <w:t>ACT Executive</w:t>
            </w:r>
          </w:p>
        </w:tc>
        <w:tc>
          <w:tcPr>
            <w:tcW w:w="1134" w:type="dxa"/>
          </w:tcPr>
          <w:p w:rsidR="00CA780F" w:rsidRPr="00D3246D" w:rsidRDefault="00CA780F" w:rsidP="00C36F0E">
            <w:pPr>
              <w:jc w:val="center"/>
              <w:rPr>
                <w:rFonts w:cs="Calibri"/>
                <w:bCs/>
                <w:szCs w:val="22"/>
              </w:rPr>
            </w:pPr>
            <w:r>
              <w:rPr>
                <w:rFonts w:cs="Calibri"/>
                <w:bCs/>
                <w:szCs w:val="22"/>
              </w:rPr>
              <w:t>20/03/17</w:t>
            </w:r>
          </w:p>
        </w:tc>
      </w:tr>
      <w:tr w:rsidR="00CA780F" w:rsidTr="00A75B90">
        <w:trPr>
          <w:cantSplit/>
        </w:trPr>
        <w:tc>
          <w:tcPr>
            <w:tcW w:w="675" w:type="dxa"/>
            <w:shd w:val="clear" w:color="auto" w:fill="F2F2F2"/>
          </w:tcPr>
          <w:p w:rsidR="00CA780F" w:rsidRPr="00D3246D" w:rsidRDefault="00CA780F" w:rsidP="00C36F0E">
            <w:pPr>
              <w:jc w:val="center"/>
              <w:rPr>
                <w:rFonts w:cs="Calibri"/>
                <w:bCs/>
                <w:szCs w:val="22"/>
              </w:rPr>
            </w:pPr>
            <w:r>
              <w:rPr>
                <w:rFonts w:cs="Calibri"/>
                <w:bCs/>
                <w:szCs w:val="22"/>
              </w:rPr>
              <w:t>5</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27/02/17</w:t>
            </w:r>
          </w:p>
        </w:tc>
        <w:tc>
          <w:tcPr>
            <w:tcW w:w="1418" w:type="dxa"/>
            <w:shd w:val="clear" w:color="auto" w:fill="F2F2F2"/>
          </w:tcPr>
          <w:p w:rsidR="00CA780F" w:rsidRPr="00D3246D" w:rsidRDefault="00CA780F" w:rsidP="00C36F0E">
            <w:pPr>
              <w:jc w:val="center"/>
              <w:rPr>
                <w:rFonts w:cs="Calibri"/>
                <w:bCs/>
                <w:szCs w:val="22"/>
              </w:rPr>
            </w:pPr>
            <w:r>
              <w:rPr>
                <w:rFonts w:cs="Calibri"/>
                <w:bCs/>
                <w:szCs w:val="22"/>
              </w:rPr>
              <w:t>Coe</w:t>
            </w:r>
          </w:p>
        </w:tc>
        <w:tc>
          <w:tcPr>
            <w:tcW w:w="1559" w:type="dxa"/>
            <w:shd w:val="clear" w:color="auto" w:fill="F2F2F2"/>
          </w:tcPr>
          <w:p w:rsidR="00CA780F" w:rsidRPr="00D3246D" w:rsidRDefault="00CA780F" w:rsidP="00C36F0E">
            <w:pPr>
              <w:jc w:val="center"/>
              <w:rPr>
                <w:rFonts w:cs="Calibri"/>
                <w:bCs/>
                <w:szCs w:val="22"/>
              </w:rPr>
            </w:pPr>
            <w:r>
              <w:rPr>
                <w:rFonts w:cs="Calibri"/>
                <w:bCs/>
                <w:szCs w:val="22"/>
              </w:rPr>
              <w:t>CMTEDD</w:t>
            </w:r>
          </w:p>
        </w:tc>
        <w:tc>
          <w:tcPr>
            <w:tcW w:w="2693" w:type="dxa"/>
            <w:shd w:val="clear" w:color="auto" w:fill="F2F2F2"/>
          </w:tcPr>
          <w:p w:rsidR="00CA780F" w:rsidRPr="002B7E94" w:rsidRDefault="00CA780F" w:rsidP="00C36F0E">
            <w:pPr>
              <w:rPr>
                <w:rFonts w:cs="Calibri"/>
                <w:bCs/>
                <w:szCs w:val="22"/>
              </w:rPr>
            </w:pPr>
            <w:r>
              <w:rPr>
                <w:rFonts w:cs="Calibri"/>
                <w:bCs/>
                <w:szCs w:val="22"/>
              </w:rPr>
              <w:t>Administrative restructuring</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29/03/17</w:t>
            </w:r>
          </w:p>
        </w:tc>
      </w:tr>
      <w:tr w:rsidR="00CA780F" w:rsidTr="00A75B90">
        <w:trPr>
          <w:cantSplit/>
        </w:trPr>
        <w:tc>
          <w:tcPr>
            <w:tcW w:w="675" w:type="dxa"/>
          </w:tcPr>
          <w:p w:rsidR="00CA780F" w:rsidRPr="00D3246D" w:rsidRDefault="00CA780F" w:rsidP="00C36F0E">
            <w:pPr>
              <w:jc w:val="center"/>
              <w:rPr>
                <w:rFonts w:cs="Calibri"/>
                <w:bCs/>
                <w:szCs w:val="22"/>
              </w:rPr>
            </w:pPr>
            <w:r>
              <w:rPr>
                <w:rFonts w:cs="Calibri"/>
                <w:bCs/>
                <w:szCs w:val="22"/>
              </w:rPr>
              <w:t>6</w:t>
            </w:r>
          </w:p>
        </w:tc>
        <w:tc>
          <w:tcPr>
            <w:tcW w:w="1134" w:type="dxa"/>
          </w:tcPr>
          <w:p w:rsidR="00CA780F" w:rsidRPr="00D3246D" w:rsidRDefault="00CA780F" w:rsidP="00C36F0E">
            <w:pPr>
              <w:jc w:val="center"/>
              <w:rPr>
                <w:rFonts w:cs="Calibri"/>
                <w:bCs/>
                <w:szCs w:val="22"/>
              </w:rPr>
            </w:pPr>
            <w:r>
              <w:rPr>
                <w:rFonts w:cs="Calibri"/>
                <w:bCs/>
                <w:szCs w:val="22"/>
              </w:rPr>
              <w:t>27/02/17</w:t>
            </w:r>
          </w:p>
        </w:tc>
        <w:tc>
          <w:tcPr>
            <w:tcW w:w="1418" w:type="dxa"/>
          </w:tcPr>
          <w:p w:rsidR="00CA780F" w:rsidRPr="00D3246D" w:rsidRDefault="00CA780F" w:rsidP="00C36F0E">
            <w:pPr>
              <w:jc w:val="center"/>
              <w:rPr>
                <w:rFonts w:cs="Calibri"/>
                <w:bCs/>
                <w:szCs w:val="22"/>
              </w:rPr>
            </w:pPr>
            <w:r>
              <w:rPr>
                <w:rFonts w:cs="Calibri"/>
                <w:bCs/>
                <w:szCs w:val="22"/>
              </w:rPr>
              <w:t>Coe</w:t>
            </w:r>
          </w:p>
        </w:tc>
        <w:tc>
          <w:tcPr>
            <w:tcW w:w="1559" w:type="dxa"/>
          </w:tcPr>
          <w:p w:rsidR="00CA780F" w:rsidRPr="00D3246D" w:rsidRDefault="00CA780F" w:rsidP="00C36F0E">
            <w:pPr>
              <w:jc w:val="center"/>
              <w:rPr>
                <w:rFonts w:cs="Calibri"/>
                <w:bCs/>
                <w:szCs w:val="22"/>
              </w:rPr>
            </w:pPr>
            <w:r>
              <w:rPr>
                <w:rFonts w:cs="Calibri"/>
                <w:bCs/>
                <w:szCs w:val="22"/>
              </w:rPr>
              <w:t>CMTEDD</w:t>
            </w:r>
          </w:p>
        </w:tc>
        <w:tc>
          <w:tcPr>
            <w:tcW w:w="2693" w:type="dxa"/>
          </w:tcPr>
          <w:p w:rsidR="00CA780F" w:rsidRPr="002B7E94" w:rsidRDefault="00CA780F" w:rsidP="00C36F0E">
            <w:pPr>
              <w:rPr>
                <w:rFonts w:cs="Calibri"/>
                <w:bCs/>
                <w:szCs w:val="22"/>
              </w:rPr>
            </w:pPr>
            <w:r>
              <w:rPr>
                <w:rFonts w:cs="Calibri"/>
                <w:bCs/>
                <w:szCs w:val="22"/>
              </w:rPr>
              <w:t>Annual Reports</w:t>
            </w:r>
          </w:p>
        </w:tc>
        <w:tc>
          <w:tcPr>
            <w:tcW w:w="1134" w:type="dxa"/>
          </w:tcPr>
          <w:p w:rsidR="00CA780F" w:rsidRPr="00D3246D" w:rsidRDefault="00CA780F" w:rsidP="00C36F0E">
            <w:pPr>
              <w:jc w:val="center"/>
              <w:rPr>
                <w:rFonts w:cs="Calibri"/>
                <w:bCs/>
                <w:szCs w:val="22"/>
              </w:rPr>
            </w:pPr>
            <w:r>
              <w:rPr>
                <w:rFonts w:cs="Calibri"/>
                <w:bCs/>
                <w:szCs w:val="22"/>
              </w:rPr>
              <w:t>17/03/17</w:t>
            </w:r>
          </w:p>
        </w:tc>
      </w:tr>
      <w:tr w:rsidR="00CA780F" w:rsidTr="00A75B90">
        <w:trPr>
          <w:cantSplit/>
        </w:trPr>
        <w:tc>
          <w:tcPr>
            <w:tcW w:w="675" w:type="dxa"/>
            <w:shd w:val="clear" w:color="auto" w:fill="F2F2F2"/>
          </w:tcPr>
          <w:p w:rsidR="00CA780F" w:rsidRPr="00D3246D" w:rsidRDefault="00CA780F" w:rsidP="00C36F0E">
            <w:pPr>
              <w:jc w:val="center"/>
              <w:rPr>
                <w:rFonts w:cs="Calibri"/>
                <w:bCs/>
                <w:szCs w:val="22"/>
              </w:rPr>
            </w:pPr>
            <w:r>
              <w:rPr>
                <w:rFonts w:cs="Calibri"/>
                <w:bCs/>
                <w:szCs w:val="22"/>
              </w:rPr>
              <w:t>7</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27/02/17</w:t>
            </w:r>
          </w:p>
        </w:tc>
        <w:tc>
          <w:tcPr>
            <w:tcW w:w="1418" w:type="dxa"/>
            <w:shd w:val="clear" w:color="auto" w:fill="F2F2F2"/>
          </w:tcPr>
          <w:p w:rsidR="00CA780F" w:rsidRPr="00D3246D" w:rsidRDefault="00CA780F" w:rsidP="00C36F0E">
            <w:pPr>
              <w:jc w:val="center"/>
              <w:rPr>
                <w:rFonts w:cs="Calibri"/>
                <w:bCs/>
                <w:szCs w:val="22"/>
              </w:rPr>
            </w:pPr>
            <w:r>
              <w:rPr>
                <w:rFonts w:cs="Calibri"/>
                <w:bCs/>
                <w:szCs w:val="22"/>
              </w:rPr>
              <w:t>Coe</w:t>
            </w:r>
          </w:p>
        </w:tc>
        <w:tc>
          <w:tcPr>
            <w:tcW w:w="1559" w:type="dxa"/>
            <w:shd w:val="clear" w:color="auto" w:fill="F2F2F2"/>
          </w:tcPr>
          <w:p w:rsidR="00CA780F" w:rsidRPr="00D3246D" w:rsidRDefault="00CA780F" w:rsidP="00C36F0E">
            <w:pPr>
              <w:jc w:val="center"/>
              <w:rPr>
                <w:rFonts w:cs="Calibri"/>
                <w:bCs/>
                <w:szCs w:val="22"/>
              </w:rPr>
            </w:pPr>
            <w:r>
              <w:rPr>
                <w:rFonts w:cs="Calibri"/>
                <w:bCs/>
                <w:szCs w:val="22"/>
              </w:rPr>
              <w:t>CMTEDD</w:t>
            </w:r>
          </w:p>
        </w:tc>
        <w:tc>
          <w:tcPr>
            <w:tcW w:w="2693" w:type="dxa"/>
            <w:shd w:val="clear" w:color="auto" w:fill="F2F2F2"/>
          </w:tcPr>
          <w:p w:rsidR="00CA780F" w:rsidRPr="002B7E94" w:rsidRDefault="00CA780F" w:rsidP="00C36F0E">
            <w:pPr>
              <w:rPr>
                <w:rFonts w:cs="Calibri"/>
                <w:bCs/>
                <w:szCs w:val="22"/>
              </w:rPr>
            </w:pPr>
            <w:r>
              <w:rPr>
                <w:rFonts w:cs="Calibri"/>
                <w:bCs/>
                <w:szCs w:val="22"/>
              </w:rPr>
              <w:t>Coordinated Communications</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20/03/17</w:t>
            </w:r>
          </w:p>
        </w:tc>
      </w:tr>
      <w:tr w:rsidR="00CA780F" w:rsidTr="00A75B90">
        <w:trPr>
          <w:cantSplit/>
        </w:trPr>
        <w:tc>
          <w:tcPr>
            <w:tcW w:w="675" w:type="dxa"/>
          </w:tcPr>
          <w:p w:rsidR="00CA780F" w:rsidRPr="00D3246D" w:rsidRDefault="00CA780F" w:rsidP="00C36F0E">
            <w:pPr>
              <w:jc w:val="center"/>
              <w:rPr>
                <w:rFonts w:cs="Calibri"/>
                <w:bCs/>
                <w:szCs w:val="22"/>
              </w:rPr>
            </w:pPr>
            <w:r>
              <w:rPr>
                <w:rFonts w:cs="Calibri"/>
                <w:bCs/>
                <w:szCs w:val="22"/>
              </w:rPr>
              <w:t>8</w:t>
            </w:r>
          </w:p>
        </w:tc>
        <w:tc>
          <w:tcPr>
            <w:tcW w:w="1134" w:type="dxa"/>
          </w:tcPr>
          <w:p w:rsidR="00CA780F" w:rsidRPr="00D3246D" w:rsidRDefault="00CA780F" w:rsidP="00C36F0E">
            <w:pPr>
              <w:jc w:val="center"/>
              <w:rPr>
                <w:rFonts w:cs="Calibri"/>
                <w:bCs/>
                <w:szCs w:val="22"/>
              </w:rPr>
            </w:pPr>
            <w:r>
              <w:rPr>
                <w:rFonts w:cs="Calibri"/>
                <w:bCs/>
                <w:szCs w:val="22"/>
              </w:rPr>
              <w:t>27/02/17</w:t>
            </w:r>
          </w:p>
        </w:tc>
        <w:tc>
          <w:tcPr>
            <w:tcW w:w="1418" w:type="dxa"/>
          </w:tcPr>
          <w:p w:rsidR="00CA780F" w:rsidRPr="00D3246D" w:rsidRDefault="00CA780F" w:rsidP="00C36F0E">
            <w:pPr>
              <w:jc w:val="center"/>
              <w:rPr>
                <w:rFonts w:cs="Calibri"/>
                <w:bCs/>
                <w:szCs w:val="22"/>
              </w:rPr>
            </w:pPr>
            <w:r>
              <w:rPr>
                <w:rFonts w:cs="Calibri"/>
                <w:bCs/>
                <w:szCs w:val="22"/>
              </w:rPr>
              <w:t>Coe</w:t>
            </w:r>
          </w:p>
        </w:tc>
        <w:tc>
          <w:tcPr>
            <w:tcW w:w="1559" w:type="dxa"/>
          </w:tcPr>
          <w:p w:rsidR="00CA780F" w:rsidRPr="00D3246D" w:rsidRDefault="00CA780F" w:rsidP="00C36F0E">
            <w:pPr>
              <w:jc w:val="center"/>
              <w:rPr>
                <w:rFonts w:cs="Calibri"/>
                <w:bCs/>
                <w:szCs w:val="22"/>
              </w:rPr>
            </w:pPr>
            <w:r>
              <w:rPr>
                <w:rFonts w:cs="Calibri"/>
                <w:bCs/>
                <w:szCs w:val="22"/>
              </w:rPr>
              <w:t>CMTEDD</w:t>
            </w:r>
          </w:p>
        </w:tc>
        <w:tc>
          <w:tcPr>
            <w:tcW w:w="2693" w:type="dxa"/>
          </w:tcPr>
          <w:p w:rsidR="00CA780F" w:rsidRPr="002B7E94" w:rsidRDefault="00CA780F" w:rsidP="00C36F0E">
            <w:pPr>
              <w:rPr>
                <w:rFonts w:cs="Calibri"/>
                <w:bCs/>
                <w:szCs w:val="22"/>
              </w:rPr>
            </w:pPr>
            <w:r>
              <w:rPr>
                <w:rFonts w:cs="Calibri"/>
                <w:bCs/>
                <w:szCs w:val="22"/>
              </w:rPr>
              <w:t>Communications funding and media monitoring</w:t>
            </w:r>
          </w:p>
        </w:tc>
        <w:tc>
          <w:tcPr>
            <w:tcW w:w="1134" w:type="dxa"/>
          </w:tcPr>
          <w:p w:rsidR="00CA780F" w:rsidRPr="00D3246D" w:rsidRDefault="00CA780F" w:rsidP="00C36F0E">
            <w:pPr>
              <w:jc w:val="center"/>
              <w:rPr>
                <w:rFonts w:cs="Calibri"/>
                <w:bCs/>
                <w:szCs w:val="22"/>
              </w:rPr>
            </w:pPr>
            <w:r>
              <w:rPr>
                <w:rFonts w:cs="Calibri"/>
                <w:bCs/>
                <w:szCs w:val="22"/>
              </w:rPr>
              <w:t>20/03/17</w:t>
            </w:r>
          </w:p>
        </w:tc>
      </w:tr>
      <w:tr w:rsidR="00CA780F" w:rsidTr="00A75B90">
        <w:trPr>
          <w:cantSplit/>
        </w:trPr>
        <w:tc>
          <w:tcPr>
            <w:tcW w:w="675" w:type="dxa"/>
            <w:shd w:val="clear" w:color="auto" w:fill="F2F2F2"/>
          </w:tcPr>
          <w:p w:rsidR="00CA780F" w:rsidRPr="00D3246D" w:rsidRDefault="00CA780F" w:rsidP="00C36F0E">
            <w:pPr>
              <w:jc w:val="center"/>
              <w:rPr>
                <w:rFonts w:cs="Calibri"/>
                <w:bCs/>
                <w:szCs w:val="22"/>
              </w:rPr>
            </w:pPr>
            <w:r>
              <w:rPr>
                <w:rFonts w:cs="Calibri"/>
                <w:bCs/>
                <w:szCs w:val="22"/>
              </w:rPr>
              <w:t>9</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27/02/17</w:t>
            </w:r>
          </w:p>
        </w:tc>
        <w:tc>
          <w:tcPr>
            <w:tcW w:w="1418" w:type="dxa"/>
            <w:shd w:val="clear" w:color="auto" w:fill="F2F2F2"/>
          </w:tcPr>
          <w:p w:rsidR="00CA780F" w:rsidRPr="00D3246D" w:rsidRDefault="00CA780F" w:rsidP="00C36F0E">
            <w:pPr>
              <w:jc w:val="center"/>
              <w:rPr>
                <w:rFonts w:cs="Calibri"/>
                <w:bCs/>
                <w:szCs w:val="22"/>
              </w:rPr>
            </w:pPr>
            <w:r>
              <w:rPr>
                <w:rFonts w:cs="Calibri"/>
                <w:bCs/>
                <w:szCs w:val="22"/>
              </w:rPr>
              <w:t>Coe</w:t>
            </w:r>
          </w:p>
        </w:tc>
        <w:tc>
          <w:tcPr>
            <w:tcW w:w="1559" w:type="dxa"/>
            <w:shd w:val="clear" w:color="auto" w:fill="F2F2F2"/>
          </w:tcPr>
          <w:p w:rsidR="00CA780F" w:rsidRPr="00D3246D" w:rsidRDefault="00CA780F" w:rsidP="00C36F0E">
            <w:pPr>
              <w:jc w:val="center"/>
              <w:rPr>
                <w:rFonts w:cs="Calibri"/>
                <w:bCs/>
                <w:szCs w:val="22"/>
              </w:rPr>
            </w:pPr>
            <w:r>
              <w:rPr>
                <w:rFonts w:cs="Calibri"/>
                <w:bCs/>
                <w:szCs w:val="22"/>
              </w:rPr>
              <w:t>CMTEDD</w:t>
            </w:r>
          </w:p>
        </w:tc>
        <w:tc>
          <w:tcPr>
            <w:tcW w:w="2693" w:type="dxa"/>
            <w:shd w:val="clear" w:color="auto" w:fill="F2F2F2"/>
          </w:tcPr>
          <w:p w:rsidR="00CA780F" w:rsidRPr="002B7E94" w:rsidRDefault="00CA780F" w:rsidP="00C36F0E">
            <w:pPr>
              <w:rPr>
                <w:rFonts w:cs="Calibri"/>
                <w:bCs/>
                <w:szCs w:val="22"/>
              </w:rPr>
            </w:pPr>
            <w:r>
              <w:rPr>
                <w:rFonts w:cs="Calibri"/>
                <w:bCs/>
                <w:szCs w:val="22"/>
              </w:rPr>
              <w:t>Chief Minister’s Governance Lecture</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20/03/17</w:t>
            </w:r>
          </w:p>
        </w:tc>
      </w:tr>
      <w:tr w:rsidR="00CA780F" w:rsidTr="00A75B90">
        <w:trPr>
          <w:cantSplit/>
        </w:trPr>
        <w:tc>
          <w:tcPr>
            <w:tcW w:w="675" w:type="dxa"/>
          </w:tcPr>
          <w:p w:rsidR="00CA780F" w:rsidRPr="009A5CEF" w:rsidRDefault="00CA780F" w:rsidP="00C36F0E">
            <w:pPr>
              <w:jc w:val="center"/>
              <w:rPr>
                <w:rFonts w:cs="Calibri"/>
                <w:bCs/>
                <w:szCs w:val="22"/>
              </w:rPr>
            </w:pPr>
            <w:r>
              <w:rPr>
                <w:rFonts w:cs="Calibri"/>
                <w:bCs/>
                <w:szCs w:val="22"/>
              </w:rPr>
              <w:t>10</w:t>
            </w:r>
          </w:p>
        </w:tc>
        <w:tc>
          <w:tcPr>
            <w:tcW w:w="1134" w:type="dxa"/>
          </w:tcPr>
          <w:p w:rsidR="00CA780F" w:rsidRPr="00D3246D" w:rsidRDefault="00CA780F" w:rsidP="00C36F0E">
            <w:pPr>
              <w:jc w:val="center"/>
              <w:rPr>
                <w:rFonts w:cs="Calibri"/>
                <w:bCs/>
                <w:szCs w:val="22"/>
              </w:rPr>
            </w:pPr>
            <w:r>
              <w:rPr>
                <w:rFonts w:cs="Calibri"/>
                <w:bCs/>
                <w:szCs w:val="22"/>
              </w:rPr>
              <w:t>27/02/17</w:t>
            </w:r>
          </w:p>
        </w:tc>
        <w:tc>
          <w:tcPr>
            <w:tcW w:w="1418" w:type="dxa"/>
          </w:tcPr>
          <w:p w:rsidR="00CA780F" w:rsidRPr="009A5CEF" w:rsidRDefault="00CA780F" w:rsidP="00C36F0E">
            <w:pPr>
              <w:jc w:val="center"/>
              <w:rPr>
                <w:rFonts w:cs="Calibri"/>
                <w:bCs/>
                <w:szCs w:val="22"/>
              </w:rPr>
            </w:pPr>
            <w:r>
              <w:rPr>
                <w:rFonts w:cs="Calibri"/>
                <w:bCs/>
                <w:szCs w:val="22"/>
              </w:rPr>
              <w:t>Coe</w:t>
            </w:r>
          </w:p>
        </w:tc>
        <w:tc>
          <w:tcPr>
            <w:tcW w:w="1559" w:type="dxa"/>
          </w:tcPr>
          <w:p w:rsidR="00CA780F" w:rsidRPr="009A5CEF" w:rsidRDefault="00CA780F" w:rsidP="00C36F0E">
            <w:pPr>
              <w:jc w:val="center"/>
              <w:rPr>
                <w:rFonts w:cs="Calibri"/>
                <w:bCs/>
                <w:szCs w:val="22"/>
              </w:rPr>
            </w:pPr>
            <w:r>
              <w:rPr>
                <w:rFonts w:cs="Calibri"/>
                <w:bCs/>
                <w:szCs w:val="22"/>
              </w:rPr>
              <w:t>Territory Records</w:t>
            </w:r>
          </w:p>
        </w:tc>
        <w:tc>
          <w:tcPr>
            <w:tcW w:w="2693" w:type="dxa"/>
          </w:tcPr>
          <w:p w:rsidR="00CA780F" w:rsidRPr="002B7E94" w:rsidRDefault="00CA780F" w:rsidP="00C36F0E">
            <w:pPr>
              <w:rPr>
                <w:rFonts w:cs="Calibri"/>
                <w:bCs/>
                <w:szCs w:val="22"/>
              </w:rPr>
            </w:pPr>
            <w:r>
              <w:rPr>
                <w:rFonts w:cs="Calibri"/>
                <w:bCs/>
                <w:szCs w:val="22"/>
              </w:rPr>
              <w:t>Record Management</w:t>
            </w:r>
          </w:p>
        </w:tc>
        <w:tc>
          <w:tcPr>
            <w:tcW w:w="1134" w:type="dxa"/>
          </w:tcPr>
          <w:p w:rsidR="00CA780F" w:rsidRPr="009A5CEF" w:rsidRDefault="00CA780F" w:rsidP="00C36F0E">
            <w:pPr>
              <w:jc w:val="center"/>
              <w:rPr>
                <w:rFonts w:cs="Calibri"/>
                <w:bCs/>
                <w:szCs w:val="22"/>
              </w:rPr>
            </w:pPr>
            <w:r>
              <w:rPr>
                <w:rFonts w:cs="Calibri"/>
                <w:bCs/>
                <w:szCs w:val="22"/>
              </w:rPr>
              <w:t>20/03/17</w:t>
            </w:r>
          </w:p>
        </w:tc>
      </w:tr>
      <w:tr w:rsidR="00CA780F" w:rsidTr="00A75B90">
        <w:trPr>
          <w:cantSplit/>
        </w:trPr>
        <w:tc>
          <w:tcPr>
            <w:tcW w:w="675" w:type="dxa"/>
            <w:shd w:val="clear" w:color="auto" w:fill="F2F2F2"/>
          </w:tcPr>
          <w:p w:rsidR="00CA780F" w:rsidRDefault="00CA780F" w:rsidP="00C36F0E">
            <w:pPr>
              <w:jc w:val="center"/>
              <w:rPr>
                <w:rFonts w:cs="Calibri"/>
                <w:bCs/>
                <w:szCs w:val="22"/>
              </w:rPr>
            </w:pPr>
            <w:r>
              <w:rPr>
                <w:rFonts w:cs="Calibri"/>
                <w:bCs/>
                <w:szCs w:val="22"/>
              </w:rPr>
              <w:t>11</w:t>
            </w:r>
          </w:p>
        </w:tc>
        <w:tc>
          <w:tcPr>
            <w:tcW w:w="1134" w:type="dxa"/>
            <w:shd w:val="clear" w:color="auto" w:fill="F2F2F2"/>
          </w:tcPr>
          <w:p w:rsidR="00CA780F" w:rsidRDefault="00CA780F" w:rsidP="00C36F0E">
            <w:pPr>
              <w:jc w:val="center"/>
              <w:rPr>
                <w:rFonts w:cs="Calibri"/>
                <w:bCs/>
                <w:szCs w:val="22"/>
              </w:rPr>
            </w:pPr>
            <w:r>
              <w:rPr>
                <w:rFonts w:cs="Calibri"/>
                <w:bCs/>
                <w:szCs w:val="22"/>
              </w:rPr>
              <w:t>27/02/17</w:t>
            </w:r>
          </w:p>
        </w:tc>
        <w:tc>
          <w:tcPr>
            <w:tcW w:w="1418" w:type="dxa"/>
            <w:shd w:val="clear" w:color="auto" w:fill="F2F2F2"/>
          </w:tcPr>
          <w:p w:rsidR="00CA780F" w:rsidRDefault="00CA780F" w:rsidP="00C36F0E">
            <w:pPr>
              <w:jc w:val="center"/>
              <w:rPr>
                <w:rFonts w:cs="Calibri"/>
                <w:bCs/>
                <w:szCs w:val="22"/>
              </w:rPr>
            </w:pPr>
            <w:r>
              <w:rPr>
                <w:rFonts w:cs="Calibri"/>
                <w:bCs/>
                <w:szCs w:val="22"/>
              </w:rPr>
              <w:t>Coe</w:t>
            </w:r>
          </w:p>
        </w:tc>
        <w:tc>
          <w:tcPr>
            <w:tcW w:w="1559" w:type="dxa"/>
            <w:shd w:val="clear" w:color="auto" w:fill="F2F2F2"/>
          </w:tcPr>
          <w:p w:rsidR="00CA780F" w:rsidRDefault="00CA780F" w:rsidP="00C36F0E">
            <w:pPr>
              <w:jc w:val="center"/>
              <w:rPr>
                <w:rFonts w:cs="Calibri"/>
                <w:bCs/>
                <w:szCs w:val="22"/>
              </w:rPr>
            </w:pPr>
            <w:r>
              <w:rPr>
                <w:rFonts w:cs="Calibri"/>
                <w:bCs/>
                <w:szCs w:val="22"/>
              </w:rPr>
              <w:t>Treasury</w:t>
            </w:r>
          </w:p>
        </w:tc>
        <w:tc>
          <w:tcPr>
            <w:tcW w:w="2693" w:type="dxa"/>
            <w:shd w:val="clear" w:color="auto" w:fill="F2F2F2"/>
          </w:tcPr>
          <w:p w:rsidR="00CA780F" w:rsidRPr="002B7E94" w:rsidRDefault="00CA780F" w:rsidP="00C36F0E">
            <w:pPr>
              <w:rPr>
                <w:szCs w:val="22"/>
              </w:rPr>
            </w:pPr>
            <w:r>
              <w:rPr>
                <w:szCs w:val="22"/>
              </w:rPr>
              <w:t>Meeting obligations</w:t>
            </w:r>
          </w:p>
        </w:tc>
        <w:tc>
          <w:tcPr>
            <w:tcW w:w="1134" w:type="dxa"/>
            <w:shd w:val="clear" w:color="auto" w:fill="F2F2F2"/>
          </w:tcPr>
          <w:p w:rsidR="00CA780F" w:rsidRDefault="00CA780F" w:rsidP="00C36F0E">
            <w:pPr>
              <w:jc w:val="center"/>
              <w:rPr>
                <w:rFonts w:cs="Calibri"/>
                <w:bCs/>
                <w:szCs w:val="22"/>
              </w:rPr>
            </w:pPr>
            <w:r>
              <w:rPr>
                <w:rFonts w:cs="Calibri"/>
                <w:bCs/>
                <w:szCs w:val="22"/>
              </w:rPr>
              <w:t>15/03/17</w:t>
            </w:r>
          </w:p>
        </w:tc>
      </w:tr>
      <w:tr w:rsidR="00CA780F" w:rsidTr="00A75B90">
        <w:trPr>
          <w:cantSplit/>
        </w:trPr>
        <w:tc>
          <w:tcPr>
            <w:tcW w:w="675" w:type="dxa"/>
          </w:tcPr>
          <w:p w:rsidR="00CA780F" w:rsidRDefault="00CA780F" w:rsidP="00C36F0E">
            <w:pPr>
              <w:jc w:val="center"/>
              <w:rPr>
                <w:rFonts w:cs="Calibri"/>
                <w:bCs/>
                <w:szCs w:val="22"/>
              </w:rPr>
            </w:pPr>
            <w:r>
              <w:rPr>
                <w:rFonts w:cs="Calibri"/>
                <w:bCs/>
                <w:szCs w:val="22"/>
              </w:rPr>
              <w:t>12</w:t>
            </w:r>
          </w:p>
        </w:tc>
        <w:tc>
          <w:tcPr>
            <w:tcW w:w="1134" w:type="dxa"/>
          </w:tcPr>
          <w:p w:rsidR="00CA780F" w:rsidRDefault="00CA780F" w:rsidP="00C36F0E">
            <w:pPr>
              <w:jc w:val="center"/>
              <w:rPr>
                <w:rFonts w:cs="Calibri"/>
                <w:bCs/>
                <w:szCs w:val="22"/>
              </w:rPr>
            </w:pPr>
            <w:r>
              <w:rPr>
                <w:rFonts w:cs="Calibri"/>
                <w:bCs/>
                <w:szCs w:val="22"/>
              </w:rPr>
              <w:t>27/02/17</w:t>
            </w:r>
          </w:p>
        </w:tc>
        <w:tc>
          <w:tcPr>
            <w:tcW w:w="1418" w:type="dxa"/>
          </w:tcPr>
          <w:p w:rsidR="00CA780F" w:rsidRDefault="00CA780F" w:rsidP="00C36F0E">
            <w:pPr>
              <w:jc w:val="center"/>
              <w:rPr>
                <w:rFonts w:cs="Calibri"/>
                <w:bCs/>
                <w:szCs w:val="22"/>
              </w:rPr>
            </w:pPr>
            <w:r>
              <w:rPr>
                <w:rFonts w:cs="Calibri"/>
                <w:bCs/>
                <w:szCs w:val="22"/>
              </w:rPr>
              <w:t>Coe</w:t>
            </w:r>
          </w:p>
        </w:tc>
        <w:tc>
          <w:tcPr>
            <w:tcW w:w="1559" w:type="dxa"/>
          </w:tcPr>
          <w:p w:rsidR="00CA780F" w:rsidRDefault="00CA780F" w:rsidP="00C36F0E">
            <w:pPr>
              <w:jc w:val="center"/>
              <w:rPr>
                <w:rFonts w:cs="Calibri"/>
                <w:bCs/>
                <w:szCs w:val="22"/>
              </w:rPr>
            </w:pPr>
            <w:r>
              <w:rPr>
                <w:rFonts w:cs="Calibri"/>
                <w:bCs/>
                <w:szCs w:val="22"/>
              </w:rPr>
              <w:t>Treasury</w:t>
            </w:r>
          </w:p>
        </w:tc>
        <w:tc>
          <w:tcPr>
            <w:tcW w:w="2693" w:type="dxa"/>
          </w:tcPr>
          <w:p w:rsidR="00CA780F" w:rsidRPr="002B7E94" w:rsidRDefault="00CA780F" w:rsidP="00C36F0E">
            <w:pPr>
              <w:rPr>
                <w:szCs w:val="22"/>
              </w:rPr>
            </w:pPr>
            <w:r>
              <w:rPr>
                <w:szCs w:val="22"/>
              </w:rPr>
              <w:t>Project investment/convention centre</w:t>
            </w:r>
          </w:p>
        </w:tc>
        <w:tc>
          <w:tcPr>
            <w:tcW w:w="1134" w:type="dxa"/>
          </w:tcPr>
          <w:p w:rsidR="00CA780F" w:rsidRDefault="00CA780F" w:rsidP="00C36F0E">
            <w:pPr>
              <w:jc w:val="center"/>
              <w:rPr>
                <w:rFonts w:cs="Calibri"/>
                <w:bCs/>
                <w:szCs w:val="22"/>
              </w:rPr>
            </w:pPr>
            <w:r>
              <w:rPr>
                <w:rFonts w:cs="Calibri"/>
                <w:bCs/>
                <w:szCs w:val="22"/>
              </w:rPr>
              <w:t>22/08/16</w:t>
            </w:r>
          </w:p>
        </w:tc>
      </w:tr>
      <w:tr w:rsidR="00CA780F" w:rsidTr="00A75B90">
        <w:trPr>
          <w:cantSplit/>
        </w:trPr>
        <w:tc>
          <w:tcPr>
            <w:tcW w:w="675" w:type="dxa"/>
            <w:shd w:val="clear" w:color="auto" w:fill="F2F2F2"/>
          </w:tcPr>
          <w:p w:rsidR="00CA780F" w:rsidRDefault="00CA780F" w:rsidP="00C36F0E">
            <w:pPr>
              <w:jc w:val="center"/>
              <w:rPr>
                <w:rFonts w:cs="Calibri"/>
                <w:bCs/>
                <w:szCs w:val="22"/>
              </w:rPr>
            </w:pPr>
            <w:r>
              <w:rPr>
                <w:rFonts w:cs="Calibri"/>
                <w:bCs/>
                <w:szCs w:val="22"/>
              </w:rPr>
              <w:t>13</w:t>
            </w:r>
          </w:p>
        </w:tc>
        <w:tc>
          <w:tcPr>
            <w:tcW w:w="1134" w:type="dxa"/>
            <w:shd w:val="clear" w:color="auto" w:fill="F2F2F2"/>
          </w:tcPr>
          <w:p w:rsidR="00CA780F" w:rsidRDefault="00CA780F" w:rsidP="00C36F0E">
            <w:pPr>
              <w:jc w:val="center"/>
              <w:rPr>
                <w:rFonts w:cs="Calibri"/>
                <w:bCs/>
                <w:szCs w:val="22"/>
              </w:rPr>
            </w:pPr>
            <w:r>
              <w:rPr>
                <w:rFonts w:cs="Calibri"/>
                <w:bCs/>
                <w:szCs w:val="22"/>
              </w:rPr>
              <w:t>27/02/17</w:t>
            </w:r>
          </w:p>
        </w:tc>
        <w:tc>
          <w:tcPr>
            <w:tcW w:w="1418" w:type="dxa"/>
            <w:shd w:val="clear" w:color="auto" w:fill="F2F2F2"/>
          </w:tcPr>
          <w:p w:rsidR="00CA780F" w:rsidRDefault="00CA780F" w:rsidP="00C36F0E">
            <w:pPr>
              <w:jc w:val="center"/>
              <w:rPr>
                <w:rFonts w:cs="Calibri"/>
                <w:bCs/>
                <w:szCs w:val="22"/>
              </w:rPr>
            </w:pPr>
            <w:r>
              <w:rPr>
                <w:rFonts w:cs="Calibri"/>
                <w:bCs/>
                <w:szCs w:val="22"/>
              </w:rPr>
              <w:t>Coe</w:t>
            </w:r>
          </w:p>
        </w:tc>
        <w:tc>
          <w:tcPr>
            <w:tcW w:w="1559" w:type="dxa"/>
            <w:shd w:val="clear" w:color="auto" w:fill="F2F2F2"/>
          </w:tcPr>
          <w:p w:rsidR="00CA780F" w:rsidRDefault="00CA780F" w:rsidP="00C36F0E">
            <w:pPr>
              <w:jc w:val="center"/>
              <w:rPr>
                <w:rFonts w:cs="Calibri"/>
                <w:bCs/>
                <w:szCs w:val="22"/>
              </w:rPr>
            </w:pPr>
            <w:r>
              <w:rPr>
                <w:rFonts w:cs="Calibri"/>
                <w:bCs/>
                <w:szCs w:val="22"/>
              </w:rPr>
              <w:t>Treasury</w:t>
            </w:r>
          </w:p>
        </w:tc>
        <w:tc>
          <w:tcPr>
            <w:tcW w:w="2693" w:type="dxa"/>
            <w:shd w:val="clear" w:color="auto" w:fill="F2F2F2"/>
          </w:tcPr>
          <w:p w:rsidR="00CA780F" w:rsidRPr="002B7E94" w:rsidRDefault="00CA780F" w:rsidP="00C36F0E">
            <w:pPr>
              <w:rPr>
                <w:szCs w:val="22"/>
              </w:rPr>
            </w:pPr>
            <w:r>
              <w:rPr>
                <w:szCs w:val="22"/>
              </w:rPr>
              <w:t>Credit rating agencies</w:t>
            </w:r>
          </w:p>
        </w:tc>
        <w:tc>
          <w:tcPr>
            <w:tcW w:w="1134" w:type="dxa"/>
            <w:shd w:val="clear" w:color="auto" w:fill="F2F2F2"/>
          </w:tcPr>
          <w:p w:rsidR="00CA780F" w:rsidRDefault="00CA780F" w:rsidP="00C36F0E">
            <w:pPr>
              <w:jc w:val="center"/>
              <w:rPr>
                <w:rFonts w:cs="Calibri"/>
                <w:bCs/>
                <w:szCs w:val="22"/>
              </w:rPr>
            </w:pPr>
            <w:r>
              <w:rPr>
                <w:rFonts w:cs="Calibri"/>
                <w:bCs/>
                <w:szCs w:val="22"/>
              </w:rPr>
              <w:t>16/03/17</w:t>
            </w:r>
          </w:p>
        </w:tc>
      </w:tr>
      <w:tr w:rsidR="00CA780F" w:rsidTr="00A75B90">
        <w:trPr>
          <w:cantSplit/>
        </w:trPr>
        <w:tc>
          <w:tcPr>
            <w:tcW w:w="675" w:type="dxa"/>
          </w:tcPr>
          <w:p w:rsidR="00CA780F" w:rsidRDefault="00CA780F" w:rsidP="00C36F0E">
            <w:pPr>
              <w:jc w:val="center"/>
              <w:rPr>
                <w:rFonts w:cs="Calibri"/>
                <w:bCs/>
                <w:szCs w:val="22"/>
              </w:rPr>
            </w:pPr>
            <w:r>
              <w:rPr>
                <w:rFonts w:cs="Calibri"/>
                <w:bCs/>
                <w:szCs w:val="22"/>
              </w:rPr>
              <w:t>14</w:t>
            </w:r>
          </w:p>
        </w:tc>
        <w:tc>
          <w:tcPr>
            <w:tcW w:w="1134" w:type="dxa"/>
          </w:tcPr>
          <w:p w:rsidR="00CA780F" w:rsidRDefault="00CA780F" w:rsidP="00C36F0E">
            <w:pPr>
              <w:jc w:val="center"/>
              <w:rPr>
                <w:rFonts w:cs="Calibri"/>
                <w:bCs/>
                <w:szCs w:val="22"/>
              </w:rPr>
            </w:pPr>
            <w:r>
              <w:rPr>
                <w:rFonts w:cs="Calibri"/>
                <w:bCs/>
                <w:szCs w:val="22"/>
              </w:rPr>
              <w:t>27/02/17</w:t>
            </w:r>
          </w:p>
        </w:tc>
        <w:tc>
          <w:tcPr>
            <w:tcW w:w="1418" w:type="dxa"/>
          </w:tcPr>
          <w:p w:rsidR="00CA780F" w:rsidRDefault="00CA780F" w:rsidP="00C36F0E">
            <w:pPr>
              <w:jc w:val="center"/>
              <w:rPr>
                <w:rFonts w:cs="Calibri"/>
                <w:bCs/>
                <w:szCs w:val="22"/>
              </w:rPr>
            </w:pPr>
            <w:r>
              <w:rPr>
                <w:rFonts w:cs="Calibri"/>
                <w:bCs/>
                <w:szCs w:val="22"/>
              </w:rPr>
              <w:t>Coe</w:t>
            </w:r>
          </w:p>
        </w:tc>
        <w:tc>
          <w:tcPr>
            <w:tcW w:w="1559" w:type="dxa"/>
          </w:tcPr>
          <w:p w:rsidR="00CA780F" w:rsidRDefault="00CA780F" w:rsidP="00C36F0E">
            <w:pPr>
              <w:jc w:val="center"/>
              <w:rPr>
                <w:rFonts w:cs="Calibri"/>
                <w:bCs/>
                <w:szCs w:val="22"/>
              </w:rPr>
            </w:pPr>
            <w:r>
              <w:rPr>
                <w:rFonts w:cs="Calibri"/>
                <w:bCs/>
                <w:szCs w:val="22"/>
              </w:rPr>
              <w:t>Treasury</w:t>
            </w:r>
          </w:p>
        </w:tc>
        <w:tc>
          <w:tcPr>
            <w:tcW w:w="2693" w:type="dxa"/>
          </w:tcPr>
          <w:p w:rsidR="00CA780F" w:rsidRPr="002B7E94" w:rsidRDefault="00CA780F" w:rsidP="00C36F0E">
            <w:pPr>
              <w:rPr>
                <w:szCs w:val="22"/>
              </w:rPr>
            </w:pPr>
            <w:r>
              <w:rPr>
                <w:szCs w:val="22"/>
              </w:rPr>
              <w:t>Outsourcing streetlight network</w:t>
            </w:r>
          </w:p>
        </w:tc>
        <w:tc>
          <w:tcPr>
            <w:tcW w:w="1134" w:type="dxa"/>
          </w:tcPr>
          <w:p w:rsidR="00CA780F" w:rsidRDefault="00CA780F" w:rsidP="00C36F0E">
            <w:pPr>
              <w:jc w:val="center"/>
              <w:rPr>
                <w:rFonts w:cs="Calibri"/>
                <w:bCs/>
                <w:szCs w:val="22"/>
              </w:rPr>
            </w:pPr>
            <w:r>
              <w:rPr>
                <w:rFonts w:cs="Calibri"/>
                <w:bCs/>
                <w:szCs w:val="22"/>
              </w:rPr>
              <w:t>22/03/17</w:t>
            </w:r>
          </w:p>
        </w:tc>
      </w:tr>
      <w:tr w:rsidR="00CA780F" w:rsidTr="00A75B90">
        <w:trPr>
          <w:cantSplit/>
        </w:trPr>
        <w:tc>
          <w:tcPr>
            <w:tcW w:w="675" w:type="dxa"/>
            <w:shd w:val="clear" w:color="auto" w:fill="F2F2F2"/>
          </w:tcPr>
          <w:p w:rsidR="00CA780F" w:rsidRDefault="00CA780F" w:rsidP="00C36F0E">
            <w:pPr>
              <w:jc w:val="center"/>
              <w:rPr>
                <w:rFonts w:cs="Calibri"/>
                <w:bCs/>
                <w:szCs w:val="22"/>
              </w:rPr>
            </w:pPr>
            <w:r>
              <w:rPr>
                <w:rFonts w:cs="Calibri"/>
                <w:bCs/>
                <w:szCs w:val="22"/>
              </w:rPr>
              <w:t>15</w:t>
            </w:r>
          </w:p>
        </w:tc>
        <w:tc>
          <w:tcPr>
            <w:tcW w:w="1134" w:type="dxa"/>
            <w:shd w:val="clear" w:color="auto" w:fill="F2F2F2"/>
          </w:tcPr>
          <w:p w:rsidR="00CA780F" w:rsidRDefault="00CA780F" w:rsidP="00C36F0E">
            <w:pPr>
              <w:jc w:val="center"/>
              <w:rPr>
                <w:rFonts w:cs="Calibri"/>
                <w:bCs/>
                <w:szCs w:val="22"/>
              </w:rPr>
            </w:pPr>
            <w:r>
              <w:rPr>
                <w:rFonts w:cs="Calibri"/>
                <w:bCs/>
                <w:szCs w:val="22"/>
              </w:rPr>
              <w:t>27/02/17</w:t>
            </w:r>
          </w:p>
        </w:tc>
        <w:tc>
          <w:tcPr>
            <w:tcW w:w="1418" w:type="dxa"/>
            <w:shd w:val="clear" w:color="auto" w:fill="F2F2F2"/>
          </w:tcPr>
          <w:p w:rsidR="00CA780F" w:rsidRDefault="00CA780F" w:rsidP="00C36F0E">
            <w:pPr>
              <w:jc w:val="center"/>
              <w:rPr>
                <w:rFonts w:cs="Calibri"/>
                <w:bCs/>
                <w:szCs w:val="22"/>
              </w:rPr>
            </w:pPr>
            <w:r>
              <w:rPr>
                <w:rFonts w:cs="Calibri"/>
                <w:bCs/>
                <w:szCs w:val="22"/>
              </w:rPr>
              <w:t>Coe</w:t>
            </w:r>
          </w:p>
        </w:tc>
        <w:tc>
          <w:tcPr>
            <w:tcW w:w="1559" w:type="dxa"/>
            <w:shd w:val="clear" w:color="auto" w:fill="F2F2F2"/>
          </w:tcPr>
          <w:p w:rsidR="00CA780F" w:rsidRDefault="00CA780F" w:rsidP="00C36F0E">
            <w:pPr>
              <w:jc w:val="center"/>
              <w:rPr>
                <w:rFonts w:cs="Calibri"/>
                <w:bCs/>
                <w:szCs w:val="22"/>
              </w:rPr>
            </w:pPr>
            <w:r>
              <w:rPr>
                <w:rFonts w:cs="Calibri"/>
                <w:bCs/>
                <w:szCs w:val="22"/>
              </w:rPr>
              <w:t>CMTEDD</w:t>
            </w:r>
          </w:p>
        </w:tc>
        <w:tc>
          <w:tcPr>
            <w:tcW w:w="2693" w:type="dxa"/>
            <w:shd w:val="clear" w:color="auto" w:fill="F2F2F2"/>
          </w:tcPr>
          <w:p w:rsidR="00CA780F" w:rsidRPr="002B7E94" w:rsidRDefault="00CA780F" w:rsidP="00C36F0E">
            <w:pPr>
              <w:rPr>
                <w:szCs w:val="22"/>
              </w:rPr>
            </w:pPr>
            <w:r>
              <w:rPr>
                <w:szCs w:val="22"/>
              </w:rPr>
              <w:t>Employee assistance scheme</w:t>
            </w:r>
          </w:p>
        </w:tc>
        <w:tc>
          <w:tcPr>
            <w:tcW w:w="1134" w:type="dxa"/>
            <w:shd w:val="clear" w:color="auto" w:fill="F2F2F2"/>
          </w:tcPr>
          <w:p w:rsidR="00CA780F" w:rsidRDefault="00CA780F" w:rsidP="00C36F0E">
            <w:pPr>
              <w:jc w:val="center"/>
              <w:rPr>
                <w:rFonts w:cs="Calibri"/>
                <w:bCs/>
                <w:szCs w:val="22"/>
              </w:rPr>
            </w:pPr>
            <w:r>
              <w:rPr>
                <w:rFonts w:cs="Calibri"/>
                <w:bCs/>
                <w:szCs w:val="22"/>
              </w:rPr>
              <w:t>17/03/17</w:t>
            </w:r>
          </w:p>
        </w:tc>
      </w:tr>
      <w:tr w:rsidR="00CA780F" w:rsidTr="00A75B90">
        <w:trPr>
          <w:cantSplit/>
        </w:trPr>
        <w:tc>
          <w:tcPr>
            <w:tcW w:w="675" w:type="dxa"/>
          </w:tcPr>
          <w:p w:rsidR="00CA780F" w:rsidRDefault="00CA780F" w:rsidP="00C36F0E">
            <w:pPr>
              <w:jc w:val="center"/>
              <w:rPr>
                <w:rFonts w:cs="Calibri"/>
                <w:bCs/>
                <w:szCs w:val="22"/>
              </w:rPr>
            </w:pPr>
            <w:r>
              <w:rPr>
                <w:rFonts w:cs="Calibri"/>
                <w:bCs/>
                <w:szCs w:val="22"/>
              </w:rPr>
              <w:t>16</w:t>
            </w:r>
          </w:p>
        </w:tc>
        <w:tc>
          <w:tcPr>
            <w:tcW w:w="1134" w:type="dxa"/>
          </w:tcPr>
          <w:p w:rsidR="00CA780F" w:rsidRDefault="00CA780F" w:rsidP="00C36F0E">
            <w:pPr>
              <w:jc w:val="center"/>
              <w:rPr>
                <w:rFonts w:cs="Calibri"/>
                <w:bCs/>
                <w:szCs w:val="22"/>
              </w:rPr>
            </w:pPr>
            <w:r>
              <w:rPr>
                <w:rFonts w:cs="Calibri"/>
                <w:bCs/>
                <w:szCs w:val="22"/>
              </w:rPr>
              <w:t>27/02/17</w:t>
            </w:r>
          </w:p>
        </w:tc>
        <w:tc>
          <w:tcPr>
            <w:tcW w:w="1418" w:type="dxa"/>
          </w:tcPr>
          <w:p w:rsidR="00CA780F" w:rsidRDefault="00CA780F" w:rsidP="00C36F0E">
            <w:pPr>
              <w:jc w:val="center"/>
              <w:rPr>
                <w:rFonts w:cs="Calibri"/>
                <w:bCs/>
                <w:szCs w:val="22"/>
              </w:rPr>
            </w:pPr>
            <w:r>
              <w:rPr>
                <w:rFonts w:cs="Calibri"/>
                <w:bCs/>
                <w:szCs w:val="22"/>
              </w:rPr>
              <w:t>Coe</w:t>
            </w:r>
          </w:p>
        </w:tc>
        <w:tc>
          <w:tcPr>
            <w:tcW w:w="1559" w:type="dxa"/>
          </w:tcPr>
          <w:p w:rsidR="00CA780F" w:rsidRDefault="00CA780F" w:rsidP="00C36F0E">
            <w:pPr>
              <w:jc w:val="center"/>
              <w:rPr>
                <w:rFonts w:cs="Calibri"/>
                <w:bCs/>
                <w:szCs w:val="22"/>
              </w:rPr>
            </w:pPr>
            <w:r>
              <w:rPr>
                <w:rFonts w:cs="Calibri"/>
                <w:bCs/>
                <w:szCs w:val="22"/>
              </w:rPr>
              <w:t>CMTEDD</w:t>
            </w:r>
          </w:p>
        </w:tc>
        <w:tc>
          <w:tcPr>
            <w:tcW w:w="2693" w:type="dxa"/>
          </w:tcPr>
          <w:p w:rsidR="00CA780F" w:rsidRPr="002B7E94" w:rsidRDefault="00CA780F" w:rsidP="00C36F0E">
            <w:pPr>
              <w:rPr>
                <w:szCs w:val="22"/>
              </w:rPr>
            </w:pPr>
            <w:r>
              <w:rPr>
                <w:szCs w:val="22"/>
              </w:rPr>
              <w:t>Executive staff</w:t>
            </w:r>
          </w:p>
        </w:tc>
        <w:tc>
          <w:tcPr>
            <w:tcW w:w="1134" w:type="dxa"/>
          </w:tcPr>
          <w:p w:rsidR="00CA780F" w:rsidRDefault="00CA780F" w:rsidP="00C36F0E">
            <w:pPr>
              <w:jc w:val="center"/>
              <w:rPr>
                <w:rFonts w:cs="Calibri"/>
                <w:bCs/>
                <w:szCs w:val="22"/>
              </w:rPr>
            </w:pPr>
            <w:r>
              <w:rPr>
                <w:rFonts w:cs="Calibri"/>
                <w:bCs/>
                <w:szCs w:val="22"/>
              </w:rPr>
              <w:t>20/03/17</w:t>
            </w:r>
          </w:p>
        </w:tc>
      </w:tr>
      <w:tr w:rsidR="00CA780F" w:rsidTr="00A75B90">
        <w:trPr>
          <w:cantSplit/>
        </w:trPr>
        <w:tc>
          <w:tcPr>
            <w:tcW w:w="675" w:type="dxa"/>
            <w:shd w:val="clear" w:color="auto" w:fill="F2F2F2"/>
          </w:tcPr>
          <w:p w:rsidR="00CA780F" w:rsidRDefault="00CA780F" w:rsidP="00C36F0E">
            <w:pPr>
              <w:jc w:val="center"/>
              <w:rPr>
                <w:rFonts w:cs="Calibri"/>
                <w:bCs/>
                <w:szCs w:val="22"/>
              </w:rPr>
            </w:pPr>
            <w:r>
              <w:rPr>
                <w:rFonts w:cs="Calibri"/>
                <w:bCs/>
                <w:szCs w:val="22"/>
              </w:rPr>
              <w:t>17</w:t>
            </w:r>
          </w:p>
        </w:tc>
        <w:tc>
          <w:tcPr>
            <w:tcW w:w="1134" w:type="dxa"/>
            <w:shd w:val="clear" w:color="auto" w:fill="F2F2F2"/>
          </w:tcPr>
          <w:p w:rsidR="00CA780F" w:rsidRDefault="00CA780F" w:rsidP="00C36F0E">
            <w:pPr>
              <w:jc w:val="center"/>
              <w:rPr>
                <w:rFonts w:cs="Calibri"/>
                <w:bCs/>
                <w:szCs w:val="22"/>
              </w:rPr>
            </w:pPr>
            <w:r>
              <w:rPr>
                <w:rFonts w:cs="Calibri"/>
                <w:bCs/>
                <w:szCs w:val="22"/>
              </w:rPr>
              <w:t>27/02/17</w:t>
            </w:r>
          </w:p>
        </w:tc>
        <w:tc>
          <w:tcPr>
            <w:tcW w:w="1418" w:type="dxa"/>
            <w:shd w:val="clear" w:color="auto" w:fill="F2F2F2"/>
          </w:tcPr>
          <w:p w:rsidR="00CA780F" w:rsidRDefault="00CA780F" w:rsidP="00C36F0E">
            <w:pPr>
              <w:jc w:val="center"/>
              <w:rPr>
                <w:rFonts w:cs="Calibri"/>
                <w:bCs/>
                <w:szCs w:val="22"/>
              </w:rPr>
            </w:pPr>
            <w:r>
              <w:rPr>
                <w:rFonts w:cs="Calibri"/>
                <w:bCs/>
                <w:szCs w:val="22"/>
              </w:rPr>
              <w:t>Coe</w:t>
            </w:r>
          </w:p>
        </w:tc>
        <w:tc>
          <w:tcPr>
            <w:tcW w:w="1559" w:type="dxa"/>
            <w:shd w:val="clear" w:color="auto" w:fill="F2F2F2"/>
          </w:tcPr>
          <w:p w:rsidR="00CA780F" w:rsidRDefault="00CA780F" w:rsidP="00C36F0E">
            <w:pPr>
              <w:jc w:val="center"/>
              <w:rPr>
                <w:rFonts w:cs="Calibri"/>
                <w:bCs/>
                <w:szCs w:val="22"/>
              </w:rPr>
            </w:pPr>
            <w:r>
              <w:rPr>
                <w:rFonts w:cs="Calibri"/>
                <w:bCs/>
                <w:szCs w:val="22"/>
              </w:rPr>
              <w:t>CMTEDD</w:t>
            </w:r>
          </w:p>
        </w:tc>
        <w:tc>
          <w:tcPr>
            <w:tcW w:w="2693" w:type="dxa"/>
            <w:shd w:val="clear" w:color="auto" w:fill="F2F2F2"/>
          </w:tcPr>
          <w:p w:rsidR="00CA780F" w:rsidRPr="002B7E94" w:rsidRDefault="00CA780F" w:rsidP="00C36F0E">
            <w:pPr>
              <w:rPr>
                <w:szCs w:val="22"/>
              </w:rPr>
            </w:pPr>
            <w:r>
              <w:rPr>
                <w:szCs w:val="22"/>
              </w:rPr>
              <w:t>Engagement of external consultants</w:t>
            </w:r>
          </w:p>
        </w:tc>
        <w:tc>
          <w:tcPr>
            <w:tcW w:w="1134" w:type="dxa"/>
            <w:shd w:val="clear" w:color="auto" w:fill="F2F2F2"/>
          </w:tcPr>
          <w:p w:rsidR="00CA780F" w:rsidRDefault="00CA780F" w:rsidP="00C36F0E">
            <w:pPr>
              <w:jc w:val="center"/>
              <w:rPr>
                <w:rFonts w:cs="Calibri"/>
                <w:bCs/>
                <w:szCs w:val="22"/>
              </w:rPr>
            </w:pPr>
            <w:r>
              <w:rPr>
                <w:rFonts w:cs="Calibri"/>
                <w:bCs/>
                <w:szCs w:val="22"/>
              </w:rPr>
              <w:t>20/03/17</w:t>
            </w:r>
          </w:p>
        </w:tc>
      </w:tr>
      <w:tr w:rsidR="00CA780F" w:rsidTr="00A75B90">
        <w:trPr>
          <w:cantSplit/>
        </w:trPr>
        <w:tc>
          <w:tcPr>
            <w:tcW w:w="675" w:type="dxa"/>
          </w:tcPr>
          <w:p w:rsidR="00CA780F" w:rsidRDefault="00CA780F" w:rsidP="00C36F0E">
            <w:pPr>
              <w:jc w:val="center"/>
              <w:rPr>
                <w:rFonts w:cs="Calibri"/>
                <w:bCs/>
                <w:szCs w:val="22"/>
              </w:rPr>
            </w:pPr>
            <w:r>
              <w:rPr>
                <w:rFonts w:cs="Calibri"/>
                <w:bCs/>
                <w:szCs w:val="22"/>
              </w:rPr>
              <w:t>18</w:t>
            </w:r>
          </w:p>
        </w:tc>
        <w:tc>
          <w:tcPr>
            <w:tcW w:w="1134" w:type="dxa"/>
          </w:tcPr>
          <w:p w:rsidR="00CA780F" w:rsidRDefault="00CA780F" w:rsidP="00C36F0E">
            <w:pPr>
              <w:jc w:val="center"/>
              <w:rPr>
                <w:rFonts w:cs="Calibri"/>
                <w:bCs/>
                <w:szCs w:val="22"/>
              </w:rPr>
            </w:pPr>
            <w:r>
              <w:rPr>
                <w:rFonts w:cs="Calibri"/>
                <w:bCs/>
                <w:szCs w:val="22"/>
              </w:rPr>
              <w:t>27/02/17</w:t>
            </w:r>
          </w:p>
        </w:tc>
        <w:tc>
          <w:tcPr>
            <w:tcW w:w="1418" w:type="dxa"/>
          </w:tcPr>
          <w:p w:rsidR="00CA780F" w:rsidRDefault="00CA780F" w:rsidP="00C36F0E">
            <w:pPr>
              <w:jc w:val="center"/>
              <w:rPr>
                <w:rFonts w:cs="Calibri"/>
                <w:bCs/>
                <w:szCs w:val="22"/>
              </w:rPr>
            </w:pPr>
            <w:r>
              <w:rPr>
                <w:rFonts w:cs="Calibri"/>
                <w:bCs/>
                <w:szCs w:val="22"/>
              </w:rPr>
              <w:t>Coe</w:t>
            </w:r>
          </w:p>
        </w:tc>
        <w:tc>
          <w:tcPr>
            <w:tcW w:w="1559" w:type="dxa"/>
          </w:tcPr>
          <w:p w:rsidR="00CA780F" w:rsidRDefault="00CA780F" w:rsidP="00C36F0E">
            <w:pPr>
              <w:jc w:val="center"/>
              <w:rPr>
                <w:rFonts w:cs="Calibri"/>
                <w:bCs/>
                <w:szCs w:val="22"/>
              </w:rPr>
            </w:pPr>
            <w:r>
              <w:rPr>
                <w:rFonts w:cs="Calibri"/>
                <w:bCs/>
                <w:szCs w:val="22"/>
              </w:rPr>
              <w:t>Treasurer</w:t>
            </w:r>
          </w:p>
        </w:tc>
        <w:tc>
          <w:tcPr>
            <w:tcW w:w="2693" w:type="dxa"/>
          </w:tcPr>
          <w:p w:rsidR="00CA780F" w:rsidRPr="002B7E94" w:rsidRDefault="00CA780F" w:rsidP="00C36F0E">
            <w:pPr>
              <w:rPr>
                <w:szCs w:val="22"/>
              </w:rPr>
            </w:pPr>
            <w:r>
              <w:rPr>
                <w:szCs w:val="22"/>
              </w:rPr>
              <w:t>2017-18 Budget</w:t>
            </w:r>
          </w:p>
        </w:tc>
        <w:tc>
          <w:tcPr>
            <w:tcW w:w="1134" w:type="dxa"/>
          </w:tcPr>
          <w:p w:rsidR="00CA780F" w:rsidRDefault="00CA780F" w:rsidP="00C36F0E">
            <w:pPr>
              <w:jc w:val="center"/>
              <w:rPr>
                <w:rFonts w:cs="Calibri"/>
                <w:bCs/>
                <w:szCs w:val="22"/>
              </w:rPr>
            </w:pPr>
            <w:r>
              <w:rPr>
                <w:rFonts w:cs="Calibri"/>
                <w:bCs/>
                <w:szCs w:val="22"/>
              </w:rPr>
              <w:t>15/03/17</w:t>
            </w:r>
          </w:p>
        </w:tc>
      </w:tr>
      <w:tr w:rsidR="00CA780F" w:rsidTr="00A75B90">
        <w:trPr>
          <w:cantSplit/>
        </w:trPr>
        <w:tc>
          <w:tcPr>
            <w:tcW w:w="675" w:type="dxa"/>
            <w:shd w:val="clear" w:color="auto" w:fill="F2F2F2"/>
          </w:tcPr>
          <w:p w:rsidR="00CA780F" w:rsidRDefault="00CA780F" w:rsidP="00C36F0E">
            <w:pPr>
              <w:jc w:val="center"/>
              <w:rPr>
                <w:rFonts w:cs="Calibri"/>
                <w:bCs/>
                <w:szCs w:val="22"/>
              </w:rPr>
            </w:pPr>
            <w:r>
              <w:rPr>
                <w:rFonts w:cs="Calibri"/>
                <w:bCs/>
                <w:szCs w:val="22"/>
              </w:rPr>
              <w:t>19</w:t>
            </w:r>
          </w:p>
        </w:tc>
        <w:tc>
          <w:tcPr>
            <w:tcW w:w="1134" w:type="dxa"/>
            <w:shd w:val="clear" w:color="auto" w:fill="F2F2F2"/>
          </w:tcPr>
          <w:p w:rsidR="00CA780F" w:rsidRDefault="00CA780F" w:rsidP="00C36F0E">
            <w:pPr>
              <w:jc w:val="center"/>
              <w:rPr>
                <w:rFonts w:cs="Calibri"/>
                <w:bCs/>
                <w:szCs w:val="22"/>
              </w:rPr>
            </w:pPr>
            <w:r>
              <w:rPr>
                <w:rFonts w:cs="Calibri"/>
                <w:bCs/>
                <w:szCs w:val="22"/>
              </w:rPr>
              <w:t>27/02/17</w:t>
            </w:r>
          </w:p>
        </w:tc>
        <w:tc>
          <w:tcPr>
            <w:tcW w:w="1418" w:type="dxa"/>
            <w:shd w:val="clear" w:color="auto" w:fill="F2F2F2"/>
          </w:tcPr>
          <w:p w:rsidR="00CA780F" w:rsidRDefault="00CA780F" w:rsidP="00C36F0E">
            <w:pPr>
              <w:jc w:val="center"/>
              <w:rPr>
                <w:rFonts w:cs="Calibri"/>
                <w:bCs/>
                <w:szCs w:val="22"/>
              </w:rPr>
            </w:pPr>
            <w:r>
              <w:rPr>
                <w:rFonts w:cs="Calibri"/>
                <w:bCs/>
                <w:szCs w:val="22"/>
              </w:rPr>
              <w:t>Coe</w:t>
            </w:r>
          </w:p>
        </w:tc>
        <w:tc>
          <w:tcPr>
            <w:tcW w:w="1559" w:type="dxa"/>
            <w:shd w:val="clear" w:color="auto" w:fill="F2F2F2"/>
          </w:tcPr>
          <w:p w:rsidR="00CA780F" w:rsidRDefault="00CA780F" w:rsidP="00C36F0E">
            <w:pPr>
              <w:jc w:val="center"/>
              <w:rPr>
                <w:rFonts w:cs="Calibri"/>
                <w:bCs/>
                <w:szCs w:val="22"/>
              </w:rPr>
            </w:pPr>
            <w:r>
              <w:rPr>
                <w:rFonts w:cs="Calibri"/>
                <w:bCs/>
                <w:szCs w:val="22"/>
              </w:rPr>
              <w:t>Treasurer</w:t>
            </w:r>
          </w:p>
        </w:tc>
        <w:tc>
          <w:tcPr>
            <w:tcW w:w="2693" w:type="dxa"/>
            <w:shd w:val="clear" w:color="auto" w:fill="F2F2F2"/>
          </w:tcPr>
          <w:p w:rsidR="00CA780F" w:rsidRPr="002B7E94" w:rsidRDefault="00CA780F" w:rsidP="00C36F0E">
            <w:pPr>
              <w:rPr>
                <w:szCs w:val="22"/>
              </w:rPr>
            </w:pPr>
            <w:r>
              <w:rPr>
                <w:szCs w:val="22"/>
              </w:rPr>
              <w:t>Economic growth and fiscal policy</w:t>
            </w:r>
          </w:p>
        </w:tc>
        <w:tc>
          <w:tcPr>
            <w:tcW w:w="1134" w:type="dxa"/>
            <w:shd w:val="clear" w:color="auto" w:fill="F2F2F2"/>
          </w:tcPr>
          <w:p w:rsidR="00CA780F" w:rsidRDefault="00CA780F" w:rsidP="00C36F0E">
            <w:pPr>
              <w:jc w:val="center"/>
              <w:rPr>
                <w:rFonts w:cs="Calibri"/>
                <w:bCs/>
                <w:szCs w:val="22"/>
              </w:rPr>
            </w:pPr>
            <w:r>
              <w:rPr>
                <w:rFonts w:cs="Calibri"/>
                <w:bCs/>
                <w:szCs w:val="22"/>
              </w:rPr>
              <w:t>24/03/17</w:t>
            </w:r>
          </w:p>
        </w:tc>
      </w:tr>
      <w:tr w:rsidR="00CA780F" w:rsidTr="00A75B90">
        <w:trPr>
          <w:cantSplit/>
        </w:trPr>
        <w:tc>
          <w:tcPr>
            <w:tcW w:w="675" w:type="dxa"/>
          </w:tcPr>
          <w:p w:rsidR="00CA780F" w:rsidRPr="00D3246D" w:rsidRDefault="00CA780F" w:rsidP="00C36F0E">
            <w:pPr>
              <w:jc w:val="center"/>
              <w:rPr>
                <w:rFonts w:cs="Calibri"/>
                <w:bCs/>
                <w:szCs w:val="22"/>
              </w:rPr>
            </w:pPr>
            <w:r>
              <w:rPr>
                <w:rFonts w:cs="Calibri"/>
                <w:bCs/>
                <w:szCs w:val="22"/>
              </w:rPr>
              <w:t>20</w:t>
            </w:r>
          </w:p>
        </w:tc>
        <w:tc>
          <w:tcPr>
            <w:tcW w:w="1134" w:type="dxa"/>
          </w:tcPr>
          <w:p w:rsidR="00CA780F" w:rsidRPr="00D3246D" w:rsidRDefault="00CA780F" w:rsidP="00C36F0E">
            <w:pPr>
              <w:jc w:val="center"/>
              <w:rPr>
                <w:rFonts w:cs="Calibri"/>
                <w:bCs/>
                <w:szCs w:val="22"/>
              </w:rPr>
            </w:pPr>
            <w:r>
              <w:rPr>
                <w:rFonts w:cs="Calibri"/>
                <w:bCs/>
                <w:szCs w:val="22"/>
              </w:rPr>
              <w:t>27/02/17</w:t>
            </w:r>
          </w:p>
        </w:tc>
        <w:tc>
          <w:tcPr>
            <w:tcW w:w="1418" w:type="dxa"/>
          </w:tcPr>
          <w:p w:rsidR="00CA780F" w:rsidRPr="00D3246D" w:rsidRDefault="00CA780F" w:rsidP="00C36F0E">
            <w:pPr>
              <w:jc w:val="center"/>
              <w:rPr>
                <w:rFonts w:cs="Calibri"/>
                <w:bCs/>
                <w:szCs w:val="22"/>
              </w:rPr>
            </w:pPr>
            <w:r>
              <w:rPr>
                <w:rFonts w:cs="Calibri"/>
                <w:bCs/>
                <w:szCs w:val="22"/>
              </w:rPr>
              <w:t>Coe</w:t>
            </w:r>
          </w:p>
        </w:tc>
        <w:tc>
          <w:tcPr>
            <w:tcW w:w="1559" w:type="dxa"/>
          </w:tcPr>
          <w:p w:rsidR="00CA780F" w:rsidRPr="00D3246D" w:rsidRDefault="00CA780F" w:rsidP="00C36F0E">
            <w:pPr>
              <w:jc w:val="center"/>
              <w:rPr>
                <w:rFonts w:cs="Calibri"/>
                <w:bCs/>
                <w:szCs w:val="22"/>
              </w:rPr>
            </w:pPr>
            <w:r>
              <w:rPr>
                <w:rFonts w:cs="Calibri"/>
                <w:bCs/>
                <w:szCs w:val="22"/>
              </w:rPr>
              <w:t>Treasury</w:t>
            </w:r>
          </w:p>
        </w:tc>
        <w:tc>
          <w:tcPr>
            <w:tcW w:w="2693" w:type="dxa"/>
          </w:tcPr>
          <w:p w:rsidR="00CA780F" w:rsidRPr="002B7E94" w:rsidRDefault="00CA780F" w:rsidP="00C36F0E">
            <w:pPr>
              <w:rPr>
                <w:rFonts w:cs="Calibri"/>
                <w:bCs/>
                <w:szCs w:val="22"/>
              </w:rPr>
            </w:pPr>
            <w:r>
              <w:rPr>
                <w:rFonts w:cs="Calibri"/>
                <w:bCs/>
                <w:szCs w:val="22"/>
              </w:rPr>
              <w:t>Superannuation return adjustment for 2015-16</w:t>
            </w:r>
          </w:p>
        </w:tc>
        <w:tc>
          <w:tcPr>
            <w:tcW w:w="1134" w:type="dxa"/>
          </w:tcPr>
          <w:p w:rsidR="00CA780F" w:rsidRDefault="00CA780F" w:rsidP="00C36F0E">
            <w:pPr>
              <w:jc w:val="center"/>
              <w:rPr>
                <w:rFonts w:cs="Calibri"/>
                <w:bCs/>
                <w:szCs w:val="22"/>
              </w:rPr>
            </w:pPr>
            <w:r>
              <w:rPr>
                <w:rFonts w:cs="Calibri"/>
                <w:bCs/>
                <w:szCs w:val="22"/>
              </w:rPr>
              <w:t>16/03/17</w:t>
            </w:r>
          </w:p>
          <w:p w:rsidR="00CA780F" w:rsidRPr="00D3246D" w:rsidRDefault="00CA780F" w:rsidP="00C36F0E">
            <w:pPr>
              <w:jc w:val="center"/>
              <w:rPr>
                <w:rFonts w:cs="Calibri"/>
                <w:bCs/>
                <w:szCs w:val="22"/>
              </w:rPr>
            </w:pPr>
          </w:p>
        </w:tc>
      </w:tr>
      <w:tr w:rsidR="00CA780F" w:rsidRPr="00F32AD5" w:rsidTr="00A75B90">
        <w:trPr>
          <w:cantSplit/>
        </w:trPr>
        <w:tc>
          <w:tcPr>
            <w:tcW w:w="675" w:type="dxa"/>
            <w:shd w:val="clear" w:color="auto" w:fill="F2F2F2"/>
          </w:tcPr>
          <w:p w:rsidR="00CA780F" w:rsidRPr="00D3246D" w:rsidRDefault="00CA780F" w:rsidP="00C36F0E">
            <w:pPr>
              <w:jc w:val="center"/>
              <w:rPr>
                <w:rFonts w:cs="Calibri"/>
                <w:bCs/>
                <w:szCs w:val="22"/>
              </w:rPr>
            </w:pPr>
            <w:r>
              <w:rPr>
                <w:rFonts w:cs="Calibri"/>
                <w:bCs/>
                <w:szCs w:val="22"/>
              </w:rPr>
              <w:t>21</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27/02/17</w:t>
            </w:r>
          </w:p>
        </w:tc>
        <w:tc>
          <w:tcPr>
            <w:tcW w:w="1418" w:type="dxa"/>
            <w:shd w:val="clear" w:color="auto" w:fill="F2F2F2"/>
          </w:tcPr>
          <w:p w:rsidR="00CA780F" w:rsidRPr="00D3246D" w:rsidRDefault="00CA780F" w:rsidP="00C36F0E">
            <w:pPr>
              <w:jc w:val="center"/>
              <w:rPr>
                <w:rFonts w:cs="Calibri"/>
                <w:bCs/>
                <w:szCs w:val="22"/>
              </w:rPr>
            </w:pPr>
            <w:r>
              <w:rPr>
                <w:rFonts w:cs="Calibri"/>
                <w:bCs/>
                <w:szCs w:val="22"/>
              </w:rPr>
              <w:t>Coe</w:t>
            </w:r>
          </w:p>
        </w:tc>
        <w:tc>
          <w:tcPr>
            <w:tcW w:w="1559" w:type="dxa"/>
            <w:shd w:val="clear" w:color="auto" w:fill="F2F2F2"/>
          </w:tcPr>
          <w:p w:rsidR="00CA780F" w:rsidRPr="00D3246D" w:rsidRDefault="00CA780F" w:rsidP="00C36F0E">
            <w:pPr>
              <w:jc w:val="center"/>
              <w:rPr>
                <w:rFonts w:cs="Calibri"/>
                <w:bCs/>
                <w:szCs w:val="22"/>
              </w:rPr>
            </w:pPr>
            <w:r>
              <w:rPr>
                <w:rFonts w:cs="Calibri"/>
                <w:bCs/>
                <w:szCs w:val="22"/>
              </w:rPr>
              <w:t>CMTEDD</w:t>
            </w:r>
          </w:p>
        </w:tc>
        <w:tc>
          <w:tcPr>
            <w:tcW w:w="2693" w:type="dxa"/>
            <w:shd w:val="clear" w:color="auto" w:fill="F2F2F2"/>
          </w:tcPr>
          <w:p w:rsidR="00CA780F" w:rsidRPr="002B7E94" w:rsidRDefault="00CA780F" w:rsidP="00C36F0E">
            <w:pPr>
              <w:rPr>
                <w:rFonts w:cs="Calibri"/>
                <w:bCs/>
                <w:szCs w:val="22"/>
              </w:rPr>
            </w:pPr>
            <w:r>
              <w:rPr>
                <w:rFonts w:cs="Calibri"/>
                <w:bCs/>
                <w:szCs w:val="22"/>
              </w:rPr>
              <w:t>Government bill and payment portal</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16/03/17</w:t>
            </w:r>
          </w:p>
        </w:tc>
      </w:tr>
      <w:tr w:rsidR="00CA780F" w:rsidRPr="00F32AD5" w:rsidTr="00A75B90">
        <w:trPr>
          <w:cantSplit/>
        </w:trPr>
        <w:tc>
          <w:tcPr>
            <w:tcW w:w="675" w:type="dxa"/>
          </w:tcPr>
          <w:p w:rsidR="00CA780F" w:rsidRPr="00D3246D" w:rsidRDefault="00CA780F" w:rsidP="00C36F0E">
            <w:pPr>
              <w:jc w:val="center"/>
              <w:rPr>
                <w:rFonts w:cs="Calibri"/>
                <w:bCs/>
                <w:szCs w:val="22"/>
              </w:rPr>
            </w:pPr>
            <w:r>
              <w:rPr>
                <w:rFonts w:cs="Calibri"/>
                <w:bCs/>
                <w:szCs w:val="22"/>
              </w:rPr>
              <w:t>22</w:t>
            </w:r>
          </w:p>
        </w:tc>
        <w:tc>
          <w:tcPr>
            <w:tcW w:w="1134" w:type="dxa"/>
          </w:tcPr>
          <w:p w:rsidR="00CA780F" w:rsidRPr="00D3246D" w:rsidRDefault="00CA780F" w:rsidP="00C36F0E">
            <w:pPr>
              <w:jc w:val="center"/>
              <w:rPr>
                <w:rFonts w:cs="Calibri"/>
                <w:bCs/>
                <w:szCs w:val="22"/>
              </w:rPr>
            </w:pPr>
            <w:r>
              <w:rPr>
                <w:rFonts w:cs="Calibri"/>
                <w:bCs/>
                <w:szCs w:val="22"/>
              </w:rPr>
              <w:t>27/02/17</w:t>
            </w:r>
          </w:p>
        </w:tc>
        <w:tc>
          <w:tcPr>
            <w:tcW w:w="1418" w:type="dxa"/>
          </w:tcPr>
          <w:p w:rsidR="00CA780F" w:rsidRPr="00D3246D" w:rsidRDefault="00CA780F" w:rsidP="00C36F0E">
            <w:pPr>
              <w:jc w:val="center"/>
              <w:rPr>
                <w:rFonts w:cs="Calibri"/>
                <w:bCs/>
                <w:szCs w:val="22"/>
              </w:rPr>
            </w:pPr>
            <w:r>
              <w:rPr>
                <w:rFonts w:cs="Calibri"/>
                <w:bCs/>
                <w:szCs w:val="22"/>
              </w:rPr>
              <w:t>Coe</w:t>
            </w:r>
          </w:p>
        </w:tc>
        <w:tc>
          <w:tcPr>
            <w:tcW w:w="1559" w:type="dxa"/>
          </w:tcPr>
          <w:p w:rsidR="00CA780F" w:rsidRPr="00D3246D" w:rsidRDefault="00CA780F" w:rsidP="00C36F0E">
            <w:pPr>
              <w:jc w:val="center"/>
              <w:rPr>
                <w:rFonts w:cs="Calibri"/>
                <w:bCs/>
                <w:szCs w:val="22"/>
              </w:rPr>
            </w:pPr>
            <w:r>
              <w:rPr>
                <w:rFonts w:cs="Calibri"/>
                <w:bCs/>
                <w:szCs w:val="22"/>
              </w:rPr>
              <w:t>CMTEDD</w:t>
            </w:r>
          </w:p>
        </w:tc>
        <w:tc>
          <w:tcPr>
            <w:tcW w:w="2693" w:type="dxa"/>
          </w:tcPr>
          <w:p w:rsidR="00CA780F" w:rsidRPr="002B7E94" w:rsidRDefault="00CA780F" w:rsidP="00C36F0E">
            <w:pPr>
              <w:rPr>
                <w:rFonts w:cs="Calibri"/>
                <w:bCs/>
                <w:szCs w:val="22"/>
              </w:rPr>
            </w:pPr>
            <w:r>
              <w:rPr>
                <w:rFonts w:cs="Calibri"/>
                <w:bCs/>
                <w:szCs w:val="22"/>
              </w:rPr>
              <w:t>iConnect</w:t>
            </w:r>
          </w:p>
        </w:tc>
        <w:tc>
          <w:tcPr>
            <w:tcW w:w="1134" w:type="dxa"/>
          </w:tcPr>
          <w:p w:rsidR="00CA780F" w:rsidRPr="00D3246D" w:rsidRDefault="00CA780F" w:rsidP="00C36F0E">
            <w:pPr>
              <w:jc w:val="center"/>
              <w:rPr>
                <w:rFonts w:cs="Calibri"/>
                <w:bCs/>
                <w:szCs w:val="22"/>
              </w:rPr>
            </w:pPr>
            <w:r>
              <w:rPr>
                <w:rFonts w:cs="Calibri"/>
                <w:bCs/>
                <w:szCs w:val="22"/>
              </w:rPr>
              <w:t>17/03/17</w:t>
            </w:r>
          </w:p>
        </w:tc>
      </w:tr>
      <w:tr w:rsidR="00CA780F" w:rsidRPr="00F32AD5" w:rsidTr="00A75B90">
        <w:trPr>
          <w:cantSplit/>
        </w:trPr>
        <w:tc>
          <w:tcPr>
            <w:tcW w:w="675" w:type="dxa"/>
            <w:shd w:val="clear" w:color="auto" w:fill="F2F2F2"/>
          </w:tcPr>
          <w:p w:rsidR="00CA780F" w:rsidRPr="00D3246D" w:rsidRDefault="00CA780F" w:rsidP="00C36F0E">
            <w:pPr>
              <w:jc w:val="center"/>
              <w:rPr>
                <w:rFonts w:cs="Calibri"/>
                <w:bCs/>
                <w:szCs w:val="22"/>
              </w:rPr>
            </w:pPr>
            <w:r>
              <w:rPr>
                <w:rFonts w:cs="Calibri"/>
                <w:bCs/>
                <w:szCs w:val="22"/>
              </w:rPr>
              <w:t>23</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27/02/17</w:t>
            </w:r>
          </w:p>
        </w:tc>
        <w:tc>
          <w:tcPr>
            <w:tcW w:w="1418" w:type="dxa"/>
            <w:shd w:val="clear" w:color="auto" w:fill="F2F2F2"/>
          </w:tcPr>
          <w:p w:rsidR="00CA780F" w:rsidRPr="00D3246D" w:rsidRDefault="00CA780F" w:rsidP="00C36F0E">
            <w:pPr>
              <w:jc w:val="center"/>
              <w:rPr>
                <w:rFonts w:cs="Calibri"/>
                <w:bCs/>
                <w:szCs w:val="22"/>
              </w:rPr>
            </w:pPr>
            <w:r>
              <w:rPr>
                <w:rFonts w:cs="Calibri"/>
                <w:bCs/>
                <w:szCs w:val="22"/>
              </w:rPr>
              <w:t>Coe</w:t>
            </w:r>
          </w:p>
        </w:tc>
        <w:tc>
          <w:tcPr>
            <w:tcW w:w="1559" w:type="dxa"/>
            <w:shd w:val="clear" w:color="auto" w:fill="F2F2F2"/>
          </w:tcPr>
          <w:p w:rsidR="00CA780F" w:rsidRPr="00D3246D" w:rsidRDefault="00CA780F" w:rsidP="00C36F0E">
            <w:pPr>
              <w:jc w:val="center"/>
              <w:rPr>
                <w:rFonts w:cs="Calibri"/>
                <w:bCs/>
                <w:szCs w:val="22"/>
              </w:rPr>
            </w:pPr>
            <w:r>
              <w:rPr>
                <w:rFonts w:cs="Calibri"/>
                <w:bCs/>
                <w:szCs w:val="22"/>
              </w:rPr>
              <w:t>CMTEDD</w:t>
            </w:r>
          </w:p>
        </w:tc>
        <w:tc>
          <w:tcPr>
            <w:tcW w:w="2693" w:type="dxa"/>
            <w:shd w:val="clear" w:color="auto" w:fill="F2F2F2"/>
          </w:tcPr>
          <w:p w:rsidR="00CA780F" w:rsidRPr="002B7E94" w:rsidRDefault="00CA780F" w:rsidP="00C36F0E">
            <w:pPr>
              <w:rPr>
                <w:rFonts w:cs="Calibri"/>
                <w:bCs/>
                <w:szCs w:val="22"/>
              </w:rPr>
            </w:pPr>
            <w:r>
              <w:rPr>
                <w:rFonts w:cs="Calibri"/>
                <w:bCs/>
                <w:szCs w:val="22"/>
              </w:rPr>
              <w:t>Parliamentary Agreement</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17/03/17</w:t>
            </w:r>
          </w:p>
        </w:tc>
      </w:tr>
      <w:tr w:rsidR="00CA780F" w:rsidRPr="00F32AD5" w:rsidTr="00A75B90">
        <w:trPr>
          <w:cantSplit/>
        </w:trPr>
        <w:tc>
          <w:tcPr>
            <w:tcW w:w="675" w:type="dxa"/>
          </w:tcPr>
          <w:p w:rsidR="00CA780F" w:rsidRPr="00D3246D" w:rsidRDefault="00CA780F" w:rsidP="00C36F0E">
            <w:pPr>
              <w:jc w:val="center"/>
              <w:rPr>
                <w:rFonts w:cs="Calibri"/>
                <w:bCs/>
                <w:szCs w:val="22"/>
              </w:rPr>
            </w:pPr>
            <w:r>
              <w:rPr>
                <w:rFonts w:cs="Calibri"/>
                <w:bCs/>
                <w:szCs w:val="22"/>
              </w:rPr>
              <w:t>24</w:t>
            </w:r>
          </w:p>
        </w:tc>
        <w:tc>
          <w:tcPr>
            <w:tcW w:w="1134" w:type="dxa"/>
          </w:tcPr>
          <w:p w:rsidR="00CA780F" w:rsidRPr="00D3246D" w:rsidRDefault="00CA780F" w:rsidP="00C36F0E">
            <w:pPr>
              <w:jc w:val="center"/>
              <w:rPr>
                <w:rFonts w:cs="Calibri"/>
                <w:bCs/>
                <w:szCs w:val="22"/>
              </w:rPr>
            </w:pPr>
            <w:r>
              <w:rPr>
                <w:rFonts w:cs="Calibri"/>
                <w:bCs/>
                <w:szCs w:val="22"/>
              </w:rPr>
              <w:t>27/02/17</w:t>
            </w:r>
          </w:p>
        </w:tc>
        <w:tc>
          <w:tcPr>
            <w:tcW w:w="1418" w:type="dxa"/>
          </w:tcPr>
          <w:p w:rsidR="00CA780F" w:rsidRPr="00D3246D" w:rsidRDefault="00CA780F" w:rsidP="00C36F0E">
            <w:pPr>
              <w:jc w:val="center"/>
              <w:rPr>
                <w:rFonts w:cs="Calibri"/>
                <w:bCs/>
                <w:szCs w:val="22"/>
              </w:rPr>
            </w:pPr>
            <w:r>
              <w:rPr>
                <w:rFonts w:cs="Calibri"/>
                <w:bCs/>
                <w:szCs w:val="22"/>
              </w:rPr>
              <w:t>Coe</w:t>
            </w:r>
          </w:p>
        </w:tc>
        <w:tc>
          <w:tcPr>
            <w:tcW w:w="1559" w:type="dxa"/>
          </w:tcPr>
          <w:p w:rsidR="00CA780F" w:rsidRPr="00D3246D" w:rsidRDefault="00CA780F" w:rsidP="00C36F0E">
            <w:pPr>
              <w:jc w:val="center"/>
              <w:rPr>
                <w:rFonts w:cs="Calibri"/>
                <w:bCs/>
                <w:szCs w:val="22"/>
              </w:rPr>
            </w:pPr>
            <w:r>
              <w:rPr>
                <w:rFonts w:cs="Calibri"/>
                <w:bCs/>
                <w:szCs w:val="22"/>
              </w:rPr>
              <w:t>CMTEDD</w:t>
            </w:r>
          </w:p>
        </w:tc>
        <w:tc>
          <w:tcPr>
            <w:tcW w:w="2693" w:type="dxa"/>
          </w:tcPr>
          <w:p w:rsidR="00CA780F" w:rsidRPr="002B7E94" w:rsidRDefault="00CA780F" w:rsidP="00C36F0E">
            <w:pPr>
              <w:rPr>
                <w:rFonts w:cs="Calibri"/>
                <w:bCs/>
                <w:szCs w:val="22"/>
              </w:rPr>
            </w:pPr>
            <w:r>
              <w:rPr>
                <w:rFonts w:cs="Calibri"/>
                <w:bCs/>
                <w:szCs w:val="22"/>
              </w:rPr>
              <w:t>Relocation of directorates</w:t>
            </w:r>
          </w:p>
        </w:tc>
        <w:tc>
          <w:tcPr>
            <w:tcW w:w="1134" w:type="dxa"/>
          </w:tcPr>
          <w:p w:rsidR="00CA780F" w:rsidRPr="00D3246D" w:rsidRDefault="00CA780F" w:rsidP="00C36F0E">
            <w:pPr>
              <w:jc w:val="center"/>
              <w:rPr>
                <w:rFonts w:cs="Calibri"/>
                <w:bCs/>
                <w:szCs w:val="22"/>
              </w:rPr>
            </w:pPr>
            <w:r>
              <w:rPr>
                <w:rFonts w:cs="Calibri"/>
                <w:bCs/>
                <w:szCs w:val="22"/>
              </w:rPr>
              <w:t>17/03/17</w:t>
            </w:r>
          </w:p>
        </w:tc>
      </w:tr>
      <w:tr w:rsidR="00CA780F" w:rsidRPr="00F32AD5" w:rsidTr="00A75B90">
        <w:trPr>
          <w:cantSplit/>
        </w:trPr>
        <w:tc>
          <w:tcPr>
            <w:tcW w:w="675" w:type="dxa"/>
            <w:shd w:val="clear" w:color="auto" w:fill="F2F2F2"/>
          </w:tcPr>
          <w:p w:rsidR="00CA780F" w:rsidRPr="009A5CEF" w:rsidRDefault="00CA780F" w:rsidP="00C36F0E">
            <w:pPr>
              <w:jc w:val="center"/>
              <w:rPr>
                <w:rFonts w:cs="Calibri"/>
                <w:bCs/>
                <w:szCs w:val="22"/>
              </w:rPr>
            </w:pPr>
            <w:r>
              <w:rPr>
                <w:rFonts w:cs="Calibri"/>
                <w:bCs/>
                <w:szCs w:val="22"/>
              </w:rPr>
              <w:t>25</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27/02/17</w:t>
            </w:r>
          </w:p>
        </w:tc>
        <w:tc>
          <w:tcPr>
            <w:tcW w:w="1418" w:type="dxa"/>
            <w:shd w:val="clear" w:color="auto" w:fill="F2F2F2"/>
          </w:tcPr>
          <w:p w:rsidR="00CA780F" w:rsidRPr="009A5CEF" w:rsidRDefault="00CA780F" w:rsidP="00C36F0E">
            <w:pPr>
              <w:jc w:val="center"/>
              <w:rPr>
                <w:rFonts w:cs="Calibri"/>
                <w:bCs/>
                <w:szCs w:val="22"/>
              </w:rPr>
            </w:pPr>
            <w:r>
              <w:rPr>
                <w:rFonts w:cs="Calibri"/>
                <w:bCs/>
                <w:szCs w:val="22"/>
              </w:rPr>
              <w:t>Coe</w:t>
            </w:r>
          </w:p>
        </w:tc>
        <w:tc>
          <w:tcPr>
            <w:tcW w:w="1559" w:type="dxa"/>
            <w:shd w:val="clear" w:color="auto" w:fill="F2F2F2"/>
          </w:tcPr>
          <w:p w:rsidR="00CA780F" w:rsidRPr="009A5CEF" w:rsidRDefault="00CA780F" w:rsidP="00C36F0E">
            <w:pPr>
              <w:jc w:val="center"/>
              <w:rPr>
                <w:rFonts w:cs="Calibri"/>
                <w:bCs/>
                <w:szCs w:val="22"/>
              </w:rPr>
            </w:pPr>
            <w:r>
              <w:rPr>
                <w:rFonts w:cs="Calibri"/>
                <w:bCs/>
                <w:szCs w:val="22"/>
              </w:rPr>
              <w:t>CMTEDD</w:t>
            </w:r>
          </w:p>
        </w:tc>
        <w:tc>
          <w:tcPr>
            <w:tcW w:w="2693" w:type="dxa"/>
            <w:shd w:val="clear" w:color="auto" w:fill="F2F2F2"/>
          </w:tcPr>
          <w:p w:rsidR="00CA780F" w:rsidRPr="002B7E94" w:rsidRDefault="00CA780F" w:rsidP="00C36F0E">
            <w:pPr>
              <w:rPr>
                <w:rFonts w:cs="Calibri"/>
                <w:bCs/>
                <w:szCs w:val="22"/>
              </w:rPr>
            </w:pPr>
            <w:r>
              <w:rPr>
                <w:rFonts w:cs="Calibri"/>
                <w:bCs/>
                <w:szCs w:val="22"/>
              </w:rPr>
              <w:t>Enterprise agreements</w:t>
            </w:r>
          </w:p>
        </w:tc>
        <w:tc>
          <w:tcPr>
            <w:tcW w:w="1134" w:type="dxa"/>
            <w:shd w:val="clear" w:color="auto" w:fill="F2F2F2"/>
          </w:tcPr>
          <w:p w:rsidR="00CA780F" w:rsidRPr="009A5CEF" w:rsidRDefault="00CA780F" w:rsidP="00C36F0E">
            <w:pPr>
              <w:jc w:val="center"/>
              <w:rPr>
                <w:rFonts w:cs="Calibri"/>
                <w:bCs/>
                <w:szCs w:val="22"/>
              </w:rPr>
            </w:pPr>
            <w:r>
              <w:rPr>
                <w:rFonts w:cs="Calibri"/>
                <w:bCs/>
                <w:szCs w:val="22"/>
              </w:rPr>
              <w:t>17/03/17</w:t>
            </w:r>
          </w:p>
        </w:tc>
      </w:tr>
      <w:tr w:rsidR="00CA780F" w:rsidRPr="00F32AD5" w:rsidTr="00A75B90">
        <w:trPr>
          <w:cantSplit/>
        </w:trPr>
        <w:tc>
          <w:tcPr>
            <w:tcW w:w="675" w:type="dxa"/>
          </w:tcPr>
          <w:p w:rsidR="00CA780F" w:rsidRDefault="00CA780F" w:rsidP="00C36F0E">
            <w:pPr>
              <w:jc w:val="center"/>
              <w:rPr>
                <w:rFonts w:cs="Calibri"/>
                <w:bCs/>
                <w:szCs w:val="22"/>
              </w:rPr>
            </w:pPr>
            <w:r>
              <w:rPr>
                <w:rFonts w:cs="Calibri"/>
                <w:bCs/>
                <w:szCs w:val="22"/>
              </w:rPr>
              <w:t>26</w:t>
            </w:r>
          </w:p>
        </w:tc>
        <w:tc>
          <w:tcPr>
            <w:tcW w:w="1134" w:type="dxa"/>
          </w:tcPr>
          <w:p w:rsidR="00CA780F" w:rsidRDefault="00CA780F" w:rsidP="00C36F0E">
            <w:pPr>
              <w:jc w:val="center"/>
              <w:rPr>
                <w:rFonts w:cs="Calibri"/>
                <w:bCs/>
                <w:szCs w:val="22"/>
              </w:rPr>
            </w:pPr>
            <w:r>
              <w:rPr>
                <w:rFonts w:cs="Calibri"/>
                <w:bCs/>
                <w:szCs w:val="22"/>
              </w:rPr>
              <w:t>27/02/17</w:t>
            </w:r>
          </w:p>
        </w:tc>
        <w:tc>
          <w:tcPr>
            <w:tcW w:w="1418" w:type="dxa"/>
          </w:tcPr>
          <w:p w:rsidR="00CA780F" w:rsidRDefault="00CA780F" w:rsidP="00C36F0E">
            <w:pPr>
              <w:jc w:val="center"/>
              <w:rPr>
                <w:rFonts w:cs="Calibri"/>
                <w:bCs/>
                <w:szCs w:val="22"/>
              </w:rPr>
            </w:pPr>
            <w:r>
              <w:rPr>
                <w:rFonts w:cs="Calibri"/>
                <w:bCs/>
                <w:szCs w:val="22"/>
              </w:rPr>
              <w:t>Coe</w:t>
            </w:r>
          </w:p>
        </w:tc>
        <w:tc>
          <w:tcPr>
            <w:tcW w:w="1559" w:type="dxa"/>
          </w:tcPr>
          <w:p w:rsidR="00CA780F" w:rsidRDefault="00CA780F" w:rsidP="00C36F0E">
            <w:pPr>
              <w:jc w:val="center"/>
              <w:rPr>
                <w:rFonts w:cs="Calibri"/>
                <w:bCs/>
                <w:szCs w:val="22"/>
              </w:rPr>
            </w:pPr>
            <w:r>
              <w:rPr>
                <w:rFonts w:cs="Calibri"/>
                <w:bCs/>
                <w:szCs w:val="22"/>
              </w:rPr>
              <w:t>Treasurer</w:t>
            </w:r>
          </w:p>
        </w:tc>
        <w:tc>
          <w:tcPr>
            <w:tcW w:w="2693" w:type="dxa"/>
          </w:tcPr>
          <w:p w:rsidR="00CA780F" w:rsidRPr="002B7E94" w:rsidRDefault="00CA780F" w:rsidP="00C36F0E">
            <w:pPr>
              <w:rPr>
                <w:szCs w:val="22"/>
              </w:rPr>
            </w:pPr>
            <w:r>
              <w:rPr>
                <w:szCs w:val="22"/>
              </w:rPr>
              <w:t>Inspectors and land taxes</w:t>
            </w:r>
          </w:p>
        </w:tc>
        <w:tc>
          <w:tcPr>
            <w:tcW w:w="1134" w:type="dxa"/>
          </w:tcPr>
          <w:p w:rsidR="00CA780F" w:rsidRDefault="00CA780F" w:rsidP="00C36F0E">
            <w:pPr>
              <w:jc w:val="center"/>
              <w:rPr>
                <w:rFonts w:cs="Calibri"/>
                <w:bCs/>
                <w:szCs w:val="22"/>
              </w:rPr>
            </w:pPr>
            <w:r>
              <w:rPr>
                <w:rFonts w:cs="Calibri"/>
                <w:bCs/>
                <w:szCs w:val="22"/>
              </w:rPr>
              <w:t>16/03/17</w:t>
            </w:r>
          </w:p>
        </w:tc>
      </w:tr>
      <w:tr w:rsidR="00CA780F" w:rsidRPr="00F32AD5" w:rsidTr="00A75B90">
        <w:trPr>
          <w:cantSplit/>
        </w:trPr>
        <w:tc>
          <w:tcPr>
            <w:tcW w:w="675" w:type="dxa"/>
            <w:shd w:val="clear" w:color="auto" w:fill="F2F2F2"/>
          </w:tcPr>
          <w:p w:rsidR="00CA780F" w:rsidRDefault="00CA780F" w:rsidP="00C36F0E">
            <w:pPr>
              <w:jc w:val="center"/>
              <w:rPr>
                <w:rFonts w:cs="Calibri"/>
                <w:bCs/>
                <w:szCs w:val="22"/>
              </w:rPr>
            </w:pPr>
            <w:r>
              <w:rPr>
                <w:rFonts w:cs="Calibri"/>
                <w:bCs/>
                <w:szCs w:val="22"/>
              </w:rPr>
              <w:t>27</w:t>
            </w:r>
          </w:p>
        </w:tc>
        <w:tc>
          <w:tcPr>
            <w:tcW w:w="1134" w:type="dxa"/>
            <w:shd w:val="clear" w:color="auto" w:fill="F2F2F2"/>
          </w:tcPr>
          <w:p w:rsidR="00CA780F" w:rsidRDefault="00CA780F" w:rsidP="00C36F0E">
            <w:pPr>
              <w:jc w:val="center"/>
              <w:rPr>
                <w:rFonts w:cs="Calibri"/>
                <w:bCs/>
                <w:szCs w:val="22"/>
              </w:rPr>
            </w:pPr>
            <w:r>
              <w:rPr>
                <w:rFonts w:cs="Calibri"/>
                <w:bCs/>
                <w:szCs w:val="22"/>
              </w:rPr>
              <w:t>27/02/17</w:t>
            </w:r>
          </w:p>
        </w:tc>
        <w:tc>
          <w:tcPr>
            <w:tcW w:w="1418" w:type="dxa"/>
            <w:shd w:val="clear" w:color="auto" w:fill="F2F2F2"/>
          </w:tcPr>
          <w:p w:rsidR="00CA780F" w:rsidRDefault="00CA780F" w:rsidP="00C36F0E">
            <w:pPr>
              <w:jc w:val="center"/>
              <w:rPr>
                <w:rFonts w:cs="Calibri"/>
                <w:bCs/>
                <w:szCs w:val="22"/>
              </w:rPr>
            </w:pPr>
            <w:r>
              <w:rPr>
                <w:rFonts w:cs="Calibri"/>
                <w:bCs/>
                <w:szCs w:val="22"/>
              </w:rPr>
              <w:t>Coe</w:t>
            </w:r>
          </w:p>
        </w:tc>
        <w:tc>
          <w:tcPr>
            <w:tcW w:w="1559" w:type="dxa"/>
            <w:shd w:val="clear" w:color="auto" w:fill="F2F2F2"/>
          </w:tcPr>
          <w:p w:rsidR="00CA780F" w:rsidRDefault="00CA780F" w:rsidP="00C36F0E">
            <w:pPr>
              <w:jc w:val="center"/>
              <w:rPr>
                <w:rFonts w:cs="Calibri"/>
                <w:bCs/>
                <w:szCs w:val="22"/>
              </w:rPr>
            </w:pPr>
            <w:r>
              <w:rPr>
                <w:rFonts w:cs="Calibri"/>
                <w:bCs/>
                <w:szCs w:val="22"/>
              </w:rPr>
              <w:t>Treasurer</w:t>
            </w:r>
          </w:p>
        </w:tc>
        <w:tc>
          <w:tcPr>
            <w:tcW w:w="2693" w:type="dxa"/>
            <w:shd w:val="clear" w:color="auto" w:fill="F2F2F2"/>
          </w:tcPr>
          <w:p w:rsidR="00CA780F" w:rsidRPr="002B7E94" w:rsidRDefault="00CA780F" w:rsidP="00C36F0E">
            <w:pPr>
              <w:rPr>
                <w:szCs w:val="22"/>
              </w:rPr>
            </w:pPr>
            <w:r>
              <w:rPr>
                <w:szCs w:val="22"/>
              </w:rPr>
              <w:t>Land rent contracts</w:t>
            </w:r>
          </w:p>
        </w:tc>
        <w:tc>
          <w:tcPr>
            <w:tcW w:w="1134" w:type="dxa"/>
            <w:shd w:val="clear" w:color="auto" w:fill="F2F2F2"/>
          </w:tcPr>
          <w:p w:rsidR="00CA780F" w:rsidRDefault="00CA780F" w:rsidP="00C36F0E">
            <w:pPr>
              <w:jc w:val="center"/>
              <w:rPr>
                <w:rFonts w:cs="Calibri"/>
                <w:bCs/>
                <w:szCs w:val="22"/>
              </w:rPr>
            </w:pPr>
            <w:r>
              <w:rPr>
                <w:rFonts w:cs="Calibri"/>
                <w:bCs/>
                <w:szCs w:val="22"/>
              </w:rPr>
              <w:t>17/03/17</w:t>
            </w:r>
          </w:p>
        </w:tc>
      </w:tr>
      <w:tr w:rsidR="00CA780F" w:rsidRPr="00F32AD5" w:rsidTr="00A75B90">
        <w:trPr>
          <w:cantSplit/>
        </w:trPr>
        <w:tc>
          <w:tcPr>
            <w:tcW w:w="675" w:type="dxa"/>
          </w:tcPr>
          <w:p w:rsidR="00CA780F" w:rsidRDefault="00CA780F" w:rsidP="00C36F0E">
            <w:pPr>
              <w:jc w:val="center"/>
              <w:rPr>
                <w:rFonts w:cs="Calibri"/>
                <w:bCs/>
                <w:szCs w:val="22"/>
              </w:rPr>
            </w:pPr>
            <w:r>
              <w:rPr>
                <w:rFonts w:cs="Calibri"/>
                <w:bCs/>
                <w:szCs w:val="22"/>
              </w:rPr>
              <w:t>28</w:t>
            </w:r>
          </w:p>
        </w:tc>
        <w:tc>
          <w:tcPr>
            <w:tcW w:w="1134" w:type="dxa"/>
          </w:tcPr>
          <w:p w:rsidR="00CA780F" w:rsidRDefault="00CA780F" w:rsidP="00C36F0E">
            <w:pPr>
              <w:jc w:val="center"/>
              <w:rPr>
                <w:rFonts w:cs="Calibri"/>
                <w:bCs/>
                <w:szCs w:val="22"/>
              </w:rPr>
            </w:pPr>
            <w:r>
              <w:rPr>
                <w:rFonts w:cs="Calibri"/>
                <w:bCs/>
                <w:szCs w:val="22"/>
              </w:rPr>
              <w:t>27/02/17</w:t>
            </w:r>
          </w:p>
        </w:tc>
        <w:tc>
          <w:tcPr>
            <w:tcW w:w="1418" w:type="dxa"/>
          </w:tcPr>
          <w:p w:rsidR="00CA780F" w:rsidRDefault="00CA780F" w:rsidP="00C36F0E">
            <w:pPr>
              <w:jc w:val="center"/>
              <w:rPr>
                <w:rFonts w:cs="Calibri"/>
                <w:bCs/>
                <w:szCs w:val="22"/>
              </w:rPr>
            </w:pPr>
            <w:r>
              <w:rPr>
                <w:rFonts w:cs="Calibri"/>
                <w:bCs/>
                <w:szCs w:val="22"/>
              </w:rPr>
              <w:t>Coe</w:t>
            </w:r>
          </w:p>
        </w:tc>
        <w:tc>
          <w:tcPr>
            <w:tcW w:w="1559" w:type="dxa"/>
          </w:tcPr>
          <w:p w:rsidR="00CA780F" w:rsidRDefault="00CA780F" w:rsidP="00C36F0E">
            <w:pPr>
              <w:jc w:val="center"/>
              <w:rPr>
                <w:rFonts w:cs="Calibri"/>
                <w:bCs/>
                <w:szCs w:val="22"/>
              </w:rPr>
            </w:pPr>
            <w:r>
              <w:rPr>
                <w:rFonts w:cs="Calibri"/>
                <w:bCs/>
                <w:szCs w:val="22"/>
              </w:rPr>
              <w:t>Treasurer</w:t>
            </w:r>
          </w:p>
        </w:tc>
        <w:tc>
          <w:tcPr>
            <w:tcW w:w="2693" w:type="dxa"/>
          </w:tcPr>
          <w:p w:rsidR="00CA780F" w:rsidRPr="002B7E94" w:rsidRDefault="00CA780F" w:rsidP="00C36F0E">
            <w:pPr>
              <w:rPr>
                <w:szCs w:val="22"/>
              </w:rPr>
            </w:pPr>
            <w:r>
              <w:rPr>
                <w:szCs w:val="22"/>
              </w:rPr>
              <w:t>Mr Fluffy properties</w:t>
            </w:r>
          </w:p>
        </w:tc>
        <w:tc>
          <w:tcPr>
            <w:tcW w:w="1134" w:type="dxa"/>
          </w:tcPr>
          <w:p w:rsidR="00CA780F" w:rsidRDefault="00CA780F" w:rsidP="00C36F0E">
            <w:pPr>
              <w:jc w:val="center"/>
              <w:rPr>
                <w:rFonts w:cs="Calibri"/>
                <w:bCs/>
                <w:szCs w:val="22"/>
              </w:rPr>
            </w:pPr>
          </w:p>
        </w:tc>
      </w:tr>
      <w:tr w:rsidR="00CA780F" w:rsidRPr="00F32AD5" w:rsidTr="00A75B90">
        <w:trPr>
          <w:cantSplit/>
        </w:trPr>
        <w:tc>
          <w:tcPr>
            <w:tcW w:w="675" w:type="dxa"/>
            <w:shd w:val="clear" w:color="auto" w:fill="F2F2F2"/>
          </w:tcPr>
          <w:p w:rsidR="00CA780F" w:rsidRDefault="00CA780F" w:rsidP="00C36F0E">
            <w:pPr>
              <w:jc w:val="center"/>
              <w:rPr>
                <w:rFonts w:cs="Calibri"/>
                <w:bCs/>
                <w:szCs w:val="22"/>
              </w:rPr>
            </w:pPr>
            <w:r>
              <w:rPr>
                <w:rFonts w:cs="Calibri"/>
                <w:bCs/>
                <w:szCs w:val="22"/>
              </w:rPr>
              <w:t>29</w:t>
            </w:r>
          </w:p>
        </w:tc>
        <w:tc>
          <w:tcPr>
            <w:tcW w:w="1134" w:type="dxa"/>
            <w:shd w:val="clear" w:color="auto" w:fill="F2F2F2"/>
          </w:tcPr>
          <w:p w:rsidR="00CA780F" w:rsidRDefault="00CA780F" w:rsidP="00C36F0E">
            <w:pPr>
              <w:jc w:val="center"/>
              <w:rPr>
                <w:rFonts w:cs="Calibri"/>
                <w:bCs/>
                <w:szCs w:val="22"/>
              </w:rPr>
            </w:pPr>
            <w:r>
              <w:rPr>
                <w:rFonts w:cs="Calibri"/>
                <w:bCs/>
                <w:szCs w:val="22"/>
              </w:rPr>
              <w:t>27/02/17</w:t>
            </w:r>
          </w:p>
        </w:tc>
        <w:tc>
          <w:tcPr>
            <w:tcW w:w="1418" w:type="dxa"/>
            <w:shd w:val="clear" w:color="auto" w:fill="F2F2F2"/>
          </w:tcPr>
          <w:p w:rsidR="00CA780F" w:rsidRDefault="00CA780F" w:rsidP="00C36F0E">
            <w:pPr>
              <w:jc w:val="center"/>
              <w:rPr>
                <w:rFonts w:cs="Calibri"/>
                <w:bCs/>
                <w:szCs w:val="22"/>
              </w:rPr>
            </w:pPr>
            <w:r>
              <w:rPr>
                <w:rFonts w:cs="Calibri"/>
                <w:bCs/>
                <w:szCs w:val="22"/>
              </w:rPr>
              <w:t>Coe</w:t>
            </w:r>
          </w:p>
        </w:tc>
        <w:tc>
          <w:tcPr>
            <w:tcW w:w="1559" w:type="dxa"/>
            <w:shd w:val="clear" w:color="auto" w:fill="F2F2F2"/>
          </w:tcPr>
          <w:p w:rsidR="00CA780F" w:rsidRDefault="00CA780F" w:rsidP="00C36F0E">
            <w:pPr>
              <w:jc w:val="center"/>
              <w:rPr>
                <w:rFonts w:cs="Calibri"/>
                <w:bCs/>
                <w:szCs w:val="22"/>
              </w:rPr>
            </w:pPr>
            <w:r>
              <w:rPr>
                <w:rFonts w:cs="Calibri"/>
                <w:bCs/>
                <w:szCs w:val="22"/>
              </w:rPr>
              <w:t>Treasurer</w:t>
            </w:r>
          </w:p>
        </w:tc>
        <w:tc>
          <w:tcPr>
            <w:tcW w:w="2693" w:type="dxa"/>
            <w:shd w:val="clear" w:color="auto" w:fill="F2F2F2"/>
          </w:tcPr>
          <w:p w:rsidR="00CA780F" w:rsidRPr="002B7E94" w:rsidRDefault="00CA780F" w:rsidP="00C36F0E">
            <w:pPr>
              <w:rPr>
                <w:szCs w:val="22"/>
              </w:rPr>
            </w:pPr>
            <w:r>
              <w:rPr>
                <w:szCs w:val="22"/>
              </w:rPr>
              <w:t>New properties</w:t>
            </w:r>
          </w:p>
        </w:tc>
        <w:tc>
          <w:tcPr>
            <w:tcW w:w="1134" w:type="dxa"/>
            <w:shd w:val="clear" w:color="auto" w:fill="F2F2F2"/>
          </w:tcPr>
          <w:p w:rsidR="00CA780F" w:rsidRDefault="00CA780F" w:rsidP="00C36F0E">
            <w:pPr>
              <w:jc w:val="center"/>
              <w:rPr>
                <w:rFonts w:cs="Calibri"/>
                <w:bCs/>
                <w:szCs w:val="22"/>
              </w:rPr>
            </w:pPr>
            <w:r>
              <w:rPr>
                <w:rFonts w:cs="Calibri"/>
                <w:bCs/>
                <w:szCs w:val="22"/>
              </w:rPr>
              <w:t>16/03/17</w:t>
            </w:r>
          </w:p>
        </w:tc>
      </w:tr>
      <w:tr w:rsidR="00CA780F" w:rsidRPr="00F32AD5" w:rsidTr="00A75B90">
        <w:trPr>
          <w:cantSplit/>
        </w:trPr>
        <w:tc>
          <w:tcPr>
            <w:tcW w:w="675" w:type="dxa"/>
          </w:tcPr>
          <w:p w:rsidR="00CA780F" w:rsidRDefault="00CA780F" w:rsidP="00C36F0E">
            <w:pPr>
              <w:jc w:val="center"/>
              <w:rPr>
                <w:rFonts w:cs="Calibri"/>
                <w:bCs/>
                <w:szCs w:val="22"/>
              </w:rPr>
            </w:pPr>
            <w:r>
              <w:rPr>
                <w:rFonts w:cs="Calibri"/>
                <w:bCs/>
                <w:szCs w:val="22"/>
              </w:rPr>
              <w:t>30</w:t>
            </w:r>
          </w:p>
        </w:tc>
        <w:tc>
          <w:tcPr>
            <w:tcW w:w="1134" w:type="dxa"/>
          </w:tcPr>
          <w:p w:rsidR="00CA780F" w:rsidRDefault="00CA780F" w:rsidP="00C36F0E">
            <w:pPr>
              <w:jc w:val="center"/>
              <w:rPr>
                <w:rFonts w:cs="Calibri"/>
                <w:bCs/>
                <w:szCs w:val="22"/>
              </w:rPr>
            </w:pPr>
            <w:r>
              <w:rPr>
                <w:rFonts w:cs="Calibri"/>
                <w:bCs/>
                <w:szCs w:val="22"/>
              </w:rPr>
              <w:t>27/02/17</w:t>
            </w:r>
          </w:p>
        </w:tc>
        <w:tc>
          <w:tcPr>
            <w:tcW w:w="1418" w:type="dxa"/>
          </w:tcPr>
          <w:p w:rsidR="00CA780F" w:rsidRDefault="00CA780F" w:rsidP="00C36F0E">
            <w:pPr>
              <w:jc w:val="center"/>
              <w:rPr>
                <w:rFonts w:cs="Calibri"/>
                <w:bCs/>
                <w:szCs w:val="22"/>
              </w:rPr>
            </w:pPr>
            <w:r>
              <w:rPr>
                <w:rFonts w:cs="Calibri"/>
                <w:bCs/>
                <w:szCs w:val="22"/>
              </w:rPr>
              <w:t>Coe</w:t>
            </w:r>
          </w:p>
        </w:tc>
        <w:tc>
          <w:tcPr>
            <w:tcW w:w="1559" w:type="dxa"/>
          </w:tcPr>
          <w:p w:rsidR="00CA780F" w:rsidRDefault="00CA780F" w:rsidP="00C36F0E">
            <w:pPr>
              <w:jc w:val="center"/>
              <w:rPr>
                <w:rFonts w:cs="Calibri"/>
                <w:bCs/>
                <w:szCs w:val="22"/>
              </w:rPr>
            </w:pPr>
            <w:r>
              <w:rPr>
                <w:rFonts w:cs="Calibri"/>
                <w:bCs/>
                <w:szCs w:val="22"/>
              </w:rPr>
              <w:t>Treasurer</w:t>
            </w:r>
          </w:p>
        </w:tc>
        <w:tc>
          <w:tcPr>
            <w:tcW w:w="2693" w:type="dxa"/>
          </w:tcPr>
          <w:p w:rsidR="00CA780F" w:rsidRPr="002B7E94" w:rsidRDefault="00CA780F" w:rsidP="00C36F0E">
            <w:pPr>
              <w:rPr>
                <w:szCs w:val="22"/>
              </w:rPr>
            </w:pPr>
            <w:r>
              <w:rPr>
                <w:szCs w:val="22"/>
              </w:rPr>
              <w:t>Payroll tax</w:t>
            </w:r>
          </w:p>
        </w:tc>
        <w:tc>
          <w:tcPr>
            <w:tcW w:w="1134" w:type="dxa"/>
          </w:tcPr>
          <w:p w:rsidR="00CA780F" w:rsidRDefault="00CA780F" w:rsidP="00C36F0E">
            <w:pPr>
              <w:jc w:val="center"/>
              <w:rPr>
                <w:rFonts w:cs="Calibri"/>
                <w:bCs/>
                <w:szCs w:val="22"/>
              </w:rPr>
            </w:pPr>
            <w:r>
              <w:rPr>
                <w:rFonts w:cs="Calibri"/>
                <w:bCs/>
                <w:szCs w:val="22"/>
              </w:rPr>
              <w:t>21/03/17</w:t>
            </w:r>
          </w:p>
        </w:tc>
      </w:tr>
      <w:tr w:rsidR="00CA780F" w:rsidRPr="00F32AD5" w:rsidTr="00A75B90">
        <w:trPr>
          <w:cantSplit/>
        </w:trPr>
        <w:tc>
          <w:tcPr>
            <w:tcW w:w="675" w:type="dxa"/>
            <w:shd w:val="clear" w:color="auto" w:fill="F2F2F2"/>
          </w:tcPr>
          <w:p w:rsidR="00CA780F" w:rsidRDefault="00CA780F" w:rsidP="00C36F0E">
            <w:pPr>
              <w:jc w:val="center"/>
              <w:rPr>
                <w:rFonts w:cs="Calibri"/>
                <w:bCs/>
                <w:szCs w:val="22"/>
              </w:rPr>
            </w:pPr>
            <w:r>
              <w:rPr>
                <w:rFonts w:cs="Calibri"/>
                <w:bCs/>
                <w:szCs w:val="22"/>
              </w:rPr>
              <w:t>31</w:t>
            </w:r>
          </w:p>
        </w:tc>
        <w:tc>
          <w:tcPr>
            <w:tcW w:w="1134" w:type="dxa"/>
            <w:shd w:val="clear" w:color="auto" w:fill="F2F2F2"/>
          </w:tcPr>
          <w:p w:rsidR="00CA780F" w:rsidRDefault="00CA780F" w:rsidP="00C36F0E">
            <w:pPr>
              <w:jc w:val="center"/>
              <w:rPr>
                <w:rFonts w:cs="Calibri"/>
                <w:bCs/>
                <w:szCs w:val="22"/>
              </w:rPr>
            </w:pPr>
            <w:r>
              <w:rPr>
                <w:rFonts w:cs="Calibri"/>
                <w:bCs/>
                <w:szCs w:val="22"/>
              </w:rPr>
              <w:t>27/02/17</w:t>
            </w:r>
          </w:p>
        </w:tc>
        <w:tc>
          <w:tcPr>
            <w:tcW w:w="1418" w:type="dxa"/>
            <w:shd w:val="clear" w:color="auto" w:fill="F2F2F2"/>
          </w:tcPr>
          <w:p w:rsidR="00CA780F" w:rsidRDefault="00CA780F" w:rsidP="00C36F0E">
            <w:pPr>
              <w:jc w:val="center"/>
              <w:rPr>
                <w:rFonts w:cs="Calibri"/>
                <w:bCs/>
                <w:szCs w:val="22"/>
              </w:rPr>
            </w:pPr>
            <w:r>
              <w:rPr>
                <w:rFonts w:cs="Calibri"/>
                <w:bCs/>
                <w:szCs w:val="22"/>
              </w:rPr>
              <w:t>Coe</w:t>
            </w:r>
          </w:p>
        </w:tc>
        <w:tc>
          <w:tcPr>
            <w:tcW w:w="1559" w:type="dxa"/>
            <w:shd w:val="clear" w:color="auto" w:fill="F2F2F2"/>
          </w:tcPr>
          <w:p w:rsidR="00CA780F" w:rsidRDefault="00CA780F" w:rsidP="00C36F0E">
            <w:pPr>
              <w:jc w:val="center"/>
              <w:rPr>
                <w:rFonts w:cs="Calibri"/>
                <w:bCs/>
                <w:szCs w:val="22"/>
              </w:rPr>
            </w:pPr>
            <w:r>
              <w:rPr>
                <w:rFonts w:cs="Calibri"/>
                <w:bCs/>
                <w:szCs w:val="22"/>
              </w:rPr>
              <w:t>Treasurer</w:t>
            </w:r>
          </w:p>
        </w:tc>
        <w:tc>
          <w:tcPr>
            <w:tcW w:w="2693" w:type="dxa"/>
            <w:shd w:val="clear" w:color="auto" w:fill="F2F2F2"/>
          </w:tcPr>
          <w:p w:rsidR="00CA780F" w:rsidRPr="002B7E94" w:rsidRDefault="00CA780F" w:rsidP="00C36F0E">
            <w:pPr>
              <w:rPr>
                <w:szCs w:val="22"/>
              </w:rPr>
            </w:pPr>
            <w:r>
              <w:rPr>
                <w:szCs w:val="22"/>
              </w:rPr>
              <w:t>Property sales</w:t>
            </w:r>
          </w:p>
        </w:tc>
        <w:tc>
          <w:tcPr>
            <w:tcW w:w="1134" w:type="dxa"/>
            <w:shd w:val="clear" w:color="auto" w:fill="F2F2F2"/>
          </w:tcPr>
          <w:p w:rsidR="00CA780F" w:rsidRDefault="00CA780F" w:rsidP="00C36F0E">
            <w:pPr>
              <w:jc w:val="center"/>
              <w:rPr>
                <w:rFonts w:cs="Calibri"/>
                <w:bCs/>
                <w:szCs w:val="22"/>
              </w:rPr>
            </w:pPr>
            <w:r>
              <w:rPr>
                <w:rFonts w:cs="Calibri"/>
                <w:bCs/>
                <w:szCs w:val="22"/>
              </w:rPr>
              <w:t>16/03/17</w:t>
            </w:r>
          </w:p>
        </w:tc>
      </w:tr>
      <w:tr w:rsidR="00CA780F" w:rsidRPr="00F32AD5" w:rsidTr="00A75B90">
        <w:trPr>
          <w:cantSplit/>
        </w:trPr>
        <w:tc>
          <w:tcPr>
            <w:tcW w:w="675" w:type="dxa"/>
          </w:tcPr>
          <w:p w:rsidR="00CA780F" w:rsidRDefault="00CA780F" w:rsidP="00C36F0E">
            <w:pPr>
              <w:jc w:val="center"/>
              <w:rPr>
                <w:rFonts w:cs="Calibri"/>
                <w:bCs/>
                <w:szCs w:val="22"/>
              </w:rPr>
            </w:pPr>
            <w:r>
              <w:rPr>
                <w:rFonts w:cs="Calibri"/>
                <w:bCs/>
                <w:szCs w:val="22"/>
              </w:rPr>
              <w:t>32</w:t>
            </w:r>
          </w:p>
        </w:tc>
        <w:tc>
          <w:tcPr>
            <w:tcW w:w="1134" w:type="dxa"/>
          </w:tcPr>
          <w:p w:rsidR="00CA780F" w:rsidRDefault="00CA780F" w:rsidP="00C36F0E">
            <w:pPr>
              <w:jc w:val="center"/>
              <w:rPr>
                <w:rFonts w:cs="Calibri"/>
                <w:bCs/>
                <w:szCs w:val="22"/>
              </w:rPr>
            </w:pPr>
            <w:r>
              <w:rPr>
                <w:rFonts w:cs="Calibri"/>
                <w:bCs/>
                <w:szCs w:val="22"/>
              </w:rPr>
              <w:t>27/02/17</w:t>
            </w:r>
          </w:p>
        </w:tc>
        <w:tc>
          <w:tcPr>
            <w:tcW w:w="1418" w:type="dxa"/>
          </w:tcPr>
          <w:p w:rsidR="00CA780F" w:rsidRDefault="00CA780F" w:rsidP="00C36F0E">
            <w:pPr>
              <w:jc w:val="center"/>
              <w:rPr>
                <w:rFonts w:cs="Calibri"/>
                <w:bCs/>
                <w:szCs w:val="22"/>
              </w:rPr>
            </w:pPr>
            <w:r>
              <w:rPr>
                <w:rFonts w:cs="Calibri"/>
                <w:bCs/>
                <w:szCs w:val="22"/>
              </w:rPr>
              <w:t>Coe</w:t>
            </w:r>
          </w:p>
        </w:tc>
        <w:tc>
          <w:tcPr>
            <w:tcW w:w="1559" w:type="dxa"/>
          </w:tcPr>
          <w:p w:rsidR="00CA780F" w:rsidRDefault="00CA780F" w:rsidP="00C36F0E">
            <w:pPr>
              <w:jc w:val="center"/>
              <w:rPr>
                <w:rFonts w:cs="Calibri"/>
                <w:bCs/>
                <w:szCs w:val="22"/>
              </w:rPr>
            </w:pPr>
            <w:r>
              <w:rPr>
                <w:rFonts w:cs="Calibri"/>
                <w:bCs/>
                <w:szCs w:val="22"/>
              </w:rPr>
              <w:t>Treasurer</w:t>
            </w:r>
          </w:p>
        </w:tc>
        <w:tc>
          <w:tcPr>
            <w:tcW w:w="2693" w:type="dxa"/>
          </w:tcPr>
          <w:p w:rsidR="00CA780F" w:rsidRPr="002B7E94" w:rsidRDefault="00CA780F" w:rsidP="00C36F0E">
            <w:pPr>
              <w:rPr>
                <w:szCs w:val="22"/>
              </w:rPr>
            </w:pPr>
            <w:r>
              <w:rPr>
                <w:szCs w:val="22"/>
              </w:rPr>
              <w:t>Revenue Management System</w:t>
            </w:r>
          </w:p>
        </w:tc>
        <w:tc>
          <w:tcPr>
            <w:tcW w:w="1134" w:type="dxa"/>
          </w:tcPr>
          <w:p w:rsidR="00CA780F" w:rsidRDefault="00CA780F" w:rsidP="00C36F0E">
            <w:pPr>
              <w:jc w:val="center"/>
              <w:rPr>
                <w:rFonts w:cs="Calibri"/>
                <w:bCs/>
                <w:szCs w:val="22"/>
              </w:rPr>
            </w:pPr>
            <w:r>
              <w:rPr>
                <w:rFonts w:cs="Calibri"/>
                <w:bCs/>
                <w:szCs w:val="22"/>
              </w:rPr>
              <w:t>16/03/17</w:t>
            </w:r>
          </w:p>
        </w:tc>
      </w:tr>
      <w:tr w:rsidR="00CA780F" w:rsidRPr="00F32AD5" w:rsidTr="00A75B90">
        <w:trPr>
          <w:cantSplit/>
        </w:trPr>
        <w:tc>
          <w:tcPr>
            <w:tcW w:w="675" w:type="dxa"/>
            <w:shd w:val="clear" w:color="auto" w:fill="F2F2F2"/>
          </w:tcPr>
          <w:p w:rsidR="00CA780F" w:rsidRDefault="00CA780F" w:rsidP="00C36F0E">
            <w:pPr>
              <w:jc w:val="center"/>
              <w:rPr>
                <w:rFonts w:cs="Calibri"/>
                <w:bCs/>
                <w:szCs w:val="22"/>
              </w:rPr>
            </w:pPr>
            <w:r>
              <w:rPr>
                <w:rFonts w:cs="Calibri"/>
                <w:bCs/>
                <w:szCs w:val="22"/>
              </w:rPr>
              <w:t>33</w:t>
            </w:r>
          </w:p>
        </w:tc>
        <w:tc>
          <w:tcPr>
            <w:tcW w:w="1134" w:type="dxa"/>
            <w:shd w:val="clear" w:color="auto" w:fill="F2F2F2"/>
          </w:tcPr>
          <w:p w:rsidR="00CA780F" w:rsidRDefault="00CA780F" w:rsidP="00C36F0E">
            <w:pPr>
              <w:jc w:val="center"/>
              <w:rPr>
                <w:rFonts w:cs="Calibri"/>
                <w:bCs/>
                <w:szCs w:val="22"/>
              </w:rPr>
            </w:pPr>
            <w:r>
              <w:rPr>
                <w:rFonts w:cs="Calibri"/>
                <w:bCs/>
                <w:szCs w:val="22"/>
              </w:rPr>
              <w:t>27/02/17</w:t>
            </w:r>
          </w:p>
        </w:tc>
        <w:tc>
          <w:tcPr>
            <w:tcW w:w="1418" w:type="dxa"/>
            <w:shd w:val="clear" w:color="auto" w:fill="F2F2F2"/>
          </w:tcPr>
          <w:p w:rsidR="00CA780F" w:rsidRDefault="00CA780F" w:rsidP="00C36F0E">
            <w:pPr>
              <w:jc w:val="center"/>
              <w:rPr>
                <w:rFonts w:cs="Calibri"/>
                <w:bCs/>
                <w:szCs w:val="22"/>
              </w:rPr>
            </w:pPr>
            <w:r>
              <w:rPr>
                <w:rFonts w:cs="Calibri"/>
                <w:bCs/>
                <w:szCs w:val="22"/>
              </w:rPr>
              <w:t>Coe</w:t>
            </w:r>
          </w:p>
        </w:tc>
        <w:tc>
          <w:tcPr>
            <w:tcW w:w="1559" w:type="dxa"/>
            <w:shd w:val="clear" w:color="auto" w:fill="F2F2F2"/>
          </w:tcPr>
          <w:p w:rsidR="00CA780F" w:rsidRDefault="00CA780F" w:rsidP="00C36F0E">
            <w:pPr>
              <w:jc w:val="center"/>
              <w:rPr>
                <w:rFonts w:cs="Calibri"/>
                <w:bCs/>
                <w:szCs w:val="22"/>
              </w:rPr>
            </w:pPr>
            <w:r>
              <w:rPr>
                <w:rFonts w:cs="Calibri"/>
                <w:bCs/>
                <w:szCs w:val="22"/>
              </w:rPr>
              <w:t>Treasurer</w:t>
            </w:r>
          </w:p>
        </w:tc>
        <w:tc>
          <w:tcPr>
            <w:tcW w:w="2693" w:type="dxa"/>
            <w:shd w:val="clear" w:color="auto" w:fill="F2F2F2"/>
          </w:tcPr>
          <w:p w:rsidR="00CA780F" w:rsidRPr="002B7E94" w:rsidRDefault="00CA780F" w:rsidP="00C36F0E">
            <w:pPr>
              <w:rPr>
                <w:szCs w:val="22"/>
              </w:rPr>
            </w:pPr>
            <w:r>
              <w:rPr>
                <w:szCs w:val="22"/>
              </w:rPr>
              <w:t>Stamp duty and housing affordability</w:t>
            </w:r>
          </w:p>
        </w:tc>
        <w:tc>
          <w:tcPr>
            <w:tcW w:w="1134" w:type="dxa"/>
            <w:shd w:val="clear" w:color="auto" w:fill="F2F2F2"/>
          </w:tcPr>
          <w:p w:rsidR="00CA780F" w:rsidRDefault="00CA780F" w:rsidP="00C36F0E">
            <w:pPr>
              <w:jc w:val="center"/>
              <w:rPr>
                <w:rFonts w:cs="Calibri"/>
                <w:bCs/>
                <w:szCs w:val="22"/>
              </w:rPr>
            </w:pPr>
            <w:r>
              <w:rPr>
                <w:rFonts w:cs="Calibri"/>
                <w:bCs/>
                <w:szCs w:val="22"/>
              </w:rPr>
              <w:t>22/03/17</w:t>
            </w:r>
          </w:p>
        </w:tc>
      </w:tr>
      <w:tr w:rsidR="00CA780F" w:rsidRPr="00F32AD5" w:rsidTr="00A75B90">
        <w:trPr>
          <w:cantSplit/>
        </w:trPr>
        <w:tc>
          <w:tcPr>
            <w:tcW w:w="675" w:type="dxa"/>
          </w:tcPr>
          <w:p w:rsidR="00CA780F" w:rsidRDefault="00CA780F" w:rsidP="00C36F0E">
            <w:pPr>
              <w:jc w:val="center"/>
              <w:rPr>
                <w:rFonts w:cs="Calibri"/>
                <w:bCs/>
                <w:szCs w:val="22"/>
              </w:rPr>
            </w:pPr>
            <w:r>
              <w:rPr>
                <w:rFonts w:cs="Calibri"/>
                <w:bCs/>
                <w:szCs w:val="22"/>
              </w:rPr>
              <w:t>34</w:t>
            </w:r>
          </w:p>
        </w:tc>
        <w:tc>
          <w:tcPr>
            <w:tcW w:w="1134" w:type="dxa"/>
          </w:tcPr>
          <w:p w:rsidR="00CA780F" w:rsidRDefault="00CA780F" w:rsidP="00C36F0E">
            <w:pPr>
              <w:jc w:val="center"/>
              <w:rPr>
                <w:rFonts w:cs="Calibri"/>
                <w:bCs/>
                <w:szCs w:val="22"/>
              </w:rPr>
            </w:pPr>
            <w:r>
              <w:rPr>
                <w:rFonts w:cs="Calibri"/>
                <w:bCs/>
                <w:szCs w:val="22"/>
              </w:rPr>
              <w:t>27/02/17</w:t>
            </w:r>
          </w:p>
        </w:tc>
        <w:tc>
          <w:tcPr>
            <w:tcW w:w="1418" w:type="dxa"/>
          </w:tcPr>
          <w:p w:rsidR="00CA780F" w:rsidRDefault="00CA780F" w:rsidP="00C36F0E">
            <w:pPr>
              <w:jc w:val="center"/>
              <w:rPr>
                <w:rFonts w:cs="Calibri"/>
                <w:bCs/>
                <w:szCs w:val="22"/>
              </w:rPr>
            </w:pPr>
            <w:r>
              <w:rPr>
                <w:rFonts w:cs="Calibri"/>
                <w:bCs/>
                <w:szCs w:val="22"/>
              </w:rPr>
              <w:t>Coe</w:t>
            </w:r>
          </w:p>
        </w:tc>
        <w:tc>
          <w:tcPr>
            <w:tcW w:w="1559" w:type="dxa"/>
          </w:tcPr>
          <w:p w:rsidR="00CA780F" w:rsidRDefault="00CA780F" w:rsidP="00C36F0E">
            <w:pPr>
              <w:jc w:val="center"/>
              <w:rPr>
                <w:rFonts w:cs="Calibri"/>
                <w:bCs/>
                <w:szCs w:val="22"/>
              </w:rPr>
            </w:pPr>
            <w:r>
              <w:rPr>
                <w:rFonts w:cs="Calibri"/>
                <w:bCs/>
                <w:szCs w:val="22"/>
              </w:rPr>
              <w:t>Public admin</w:t>
            </w:r>
          </w:p>
        </w:tc>
        <w:tc>
          <w:tcPr>
            <w:tcW w:w="2693" w:type="dxa"/>
          </w:tcPr>
          <w:p w:rsidR="00CA780F" w:rsidRPr="002B7E94" w:rsidRDefault="00CA780F" w:rsidP="00C36F0E">
            <w:pPr>
              <w:rPr>
                <w:szCs w:val="22"/>
              </w:rPr>
            </w:pPr>
            <w:r>
              <w:rPr>
                <w:szCs w:val="22"/>
              </w:rPr>
              <w:t>Complaints and bullying</w:t>
            </w:r>
          </w:p>
        </w:tc>
        <w:tc>
          <w:tcPr>
            <w:tcW w:w="1134" w:type="dxa"/>
          </w:tcPr>
          <w:p w:rsidR="00CA780F" w:rsidRDefault="00CA780F" w:rsidP="00C36F0E">
            <w:pPr>
              <w:jc w:val="center"/>
              <w:rPr>
                <w:rFonts w:cs="Calibri"/>
                <w:bCs/>
                <w:szCs w:val="22"/>
              </w:rPr>
            </w:pPr>
            <w:r>
              <w:rPr>
                <w:rFonts w:cs="Calibri"/>
                <w:bCs/>
                <w:szCs w:val="22"/>
              </w:rPr>
              <w:t>20/03/17</w:t>
            </w:r>
          </w:p>
        </w:tc>
      </w:tr>
      <w:tr w:rsidR="00CA780F" w:rsidRPr="00F32AD5" w:rsidTr="00A75B90">
        <w:trPr>
          <w:cantSplit/>
        </w:trPr>
        <w:tc>
          <w:tcPr>
            <w:tcW w:w="675" w:type="dxa"/>
            <w:shd w:val="clear" w:color="auto" w:fill="F2F2F2"/>
          </w:tcPr>
          <w:p w:rsidR="00CA780F" w:rsidRDefault="00CA780F" w:rsidP="00C36F0E">
            <w:pPr>
              <w:jc w:val="center"/>
              <w:rPr>
                <w:rFonts w:cs="Calibri"/>
                <w:bCs/>
                <w:szCs w:val="22"/>
              </w:rPr>
            </w:pPr>
            <w:r>
              <w:rPr>
                <w:rFonts w:cs="Calibri"/>
                <w:bCs/>
                <w:szCs w:val="22"/>
              </w:rPr>
              <w:t>35</w:t>
            </w:r>
          </w:p>
        </w:tc>
        <w:tc>
          <w:tcPr>
            <w:tcW w:w="1134" w:type="dxa"/>
            <w:shd w:val="clear" w:color="auto" w:fill="F2F2F2"/>
          </w:tcPr>
          <w:p w:rsidR="00CA780F" w:rsidRDefault="00CA780F" w:rsidP="00C36F0E">
            <w:pPr>
              <w:jc w:val="center"/>
              <w:rPr>
                <w:rFonts w:cs="Calibri"/>
                <w:bCs/>
                <w:szCs w:val="22"/>
              </w:rPr>
            </w:pPr>
            <w:r>
              <w:rPr>
                <w:rFonts w:cs="Calibri"/>
                <w:bCs/>
                <w:szCs w:val="22"/>
              </w:rPr>
              <w:t>27/02/17</w:t>
            </w:r>
          </w:p>
        </w:tc>
        <w:tc>
          <w:tcPr>
            <w:tcW w:w="1418" w:type="dxa"/>
            <w:shd w:val="clear" w:color="auto" w:fill="F2F2F2"/>
          </w:tcPr>
          <w:p w:rsidR="00CA780F" w:rsidRDefault="00CA780F" w:rsidP="00C36F0E">
            <w:pPr>
              <w:jc w:val="center"/>
              <w:rPr>
                <w:rFonts w:cs="Calibri"/>
                <w:bCs/>
                <w:szCs w:val="22"/>
              </w:rPr>
            </w:pPr>
            <w:r>
              <w:rPr>
                <w:rFonts w:cs="Calibri"/>
                <w:bCs/>
                <w:szCs w:val="22"/>
              </w:rPr>
              <w:t>Coe</w:t>
            </w:r>
          </w:p>
        </w:tc>
        <w:tc>
          <w:tcPr>
            <w:tcW w:w="1559" w:type="dxa"/>
            <w:shd w:val="clear" w:color="auto" w:fill="F2F2F2"/>
          </w:tcPr>
          <w:p w:rsidR="00CA780F" w:rsidRDefault="00CA780F" w:rsidP="00C36F0E">
            <w:pPr>
              <w:jc w:val="center"/>
              <w:rPr>
                <w:rFonts w:cs="Calibri"/>
                <w:bCs/>
                <w:szCs w:val="22"/>
              </w:rPr>
            </w:pPr>
            <w:r>
              <w:rPr>
                <w:rFonts w:cs="Calibri"/>
                <w:bCs/>
                <w:szCs w:val="22"/>
              </w:rPr>
              <w:t>Public admin</w:t>
            </w:r>
          </w:p>
        </w:tc>
        <w:tc>
          <w:tcPr>
            <w:tcW w:w="2693" w:type="dxa"/>
            <w:shd w:val="clear" w:color="auto" w:fill="F2F2F2"/>
          </w:tcPr>
          <w:p w:rsidR="00CA780F" w:rsidRPr="002B7E94" w:rsidRDefault="00CA780F" w:rsidP="00C36F0E">
            <w:pPr>
              <w:rPr>
                <w:szCs w:val="22"/>
              </w:rPr>
            </w:pPr>
            <w:r>
              <w:rPr>
                <w:szCs w:val="22"/>
              </w:rPr>
              <w:t>Public interest disclosures</w:t>
            </w:r>
          </w:p>
        </w:tc>
        <w:tc>
          <w:tcPr>
            <w:tcW w:w="1134" w:type="dxa"/>
            <w:shd w:val="clear" w:color="auto" w:fill="F2F2F2"/>
          </w:tcPr>
          <w:p w:rsidR="00CA780F" w:rsidRDefault="00CA780F" w:rsidP="00C36F0E">
            <w:pPr>
              <w:jc w:val="center"/>
              <w:rPr>
                <w:rFonts w:cs="Calibri"/>
                <w:bCs/>
                <w:szCs w:val="22"/>
              </w:rPr>
            </w:pPr>
            <w:r>
              <w:rPr>
                <w:rFonts w:cs="Calibri"/>
                <w:bCs/>
                <w:szCs w:val="22"/>
              </w:rPr>
              <w:t>14/03/17</w:t>
            </w:r>
          </w:p>
        </w:tc>
      </w:tr>
      <w:tr w:rsidR="00CA780F" w:rsidRPr="00F32AD5" w:rsidTr="00C36F0E">
        <w:trPr>
          <w:cantSplit/>
        </w:trPr>
        <w:tc>
          <w:tcPr>
            <w:tcW w:w="8613" w:type="dxa"/>
            <w:gridSpan w:val="6"/>
          </w:tcPr>
          <w:p w:rsidR="00CA780F" w:rsidRPr="00D3246D" w:rsidRDefault="00CA780F" w:rsidP="00C36F0E">
            <w:pPr>
              <w:jc w:val="center"/>
              <w:rPr>
                <w:rFonts w:cs="Calibri"/>
                <w:bCs/>
                <w:szCs w:val="22"/>
              </w:rPr>
            </w:pPr>
            <w:r>
              <w:rPr>
                <w:rFonts w:cs="Calibri"/>
                <w:bCs/>
                <w:szCs w:val="22"/>
              </w:rPr>
              <w:t>Questions on Notice 28 February 2017</w:t>
            </w:r>
          </w:p>
        </w:tc>
      </w:tr>
      <w:tr w:rsidR="00CA780F" w:rsidTr="00A75B90">
        <w:trPr>
          <w:cantSplit/>
        </w:trPr>
        <w:tc>
          <w:tcPr>
            <w:tcW w:w="675" w:type="dxa"/>
            <w:shd w:val="clear" w:color="auto" w:fill="F2F2F2"/>
          </w:tcPr>
          <w:p w:rsidR="00CA780F" w:rsidRPr="00D3246D" w:rsidRDefault="00CA780F" w:rsidP="00C36F0E">
            <w:pPr>
              <w:jc w:val="center"/>
              <w:rPr>
                <w:rFonts w:cs="Calibri"/>
                <w:bCs/>
                <w:szCs w:val="22"/>
              </w:rPr>
            </w:pPr>
            <w:r>
              <w:rPr>
                <w:rFonts w:cs="Calibri"/>
                <w:bCs/>
                <w:szCs w:val="22"/>
              </w:rPr>
              <w:t>1</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28/02/17</w:t>
            </w:r>
          </w:p>
        </w:tc>
        <w:tc>
          <w:tcPr>
            <w:tcW w:w="1418" w:type="dxa"/>
            <w:shd w:val="clear" w:color="auto" w:fill="F2F2F2"/>
          </w:tcPr>
          <w:p w:rsidR="00CA780F" w:rsidRPr="00D3246D" w:rsidRDefault="00CA780F" w:rsidP="00C36F0E">
            <w:pPr>
              <w:jc w:val="center"/>
              <w:rPr>
                <w:rFonts w:cs="Calibri"/>
                <w:bCs/>
                <w:szCs w:val="22"/>
              </w:rPr>
            </w:pPr>
            <w:r>
              <w:rPr>
                <w:rFonts w:cs="Calibri"/>
                <w:bCs/>
                <w:szCs w:val="22"/>
              </w:rPr>
              <w:t>Le Couteur</w:t>
            </w:r>
          </w:p>
        </w:tc>
        <w:tc>
          <w:tcPr>
            <w:tcW w:w="1559" w:type="dxa"/>
            <w:shd w:val="clear" w:color="auto" w:fill="F2F2F2"/>
          </w:tcPr>
          <w:p w:rsidR="00CA780F" w:rsidRPr="00D3246D" w:rsidRDefault="00CA780F" w:rsidP="00C36F0E">
            <w:pPr>
              <w:jc w:val="center"/>
              <w:rPr>
                <w:rFonts w:cs="Calibri"/>
                <w:bCs/>
                <w:szCs w:val="22"/>
              </w:rPr>
            </w:pPr>
            <w:r>
              <w:rPr>
                <w:rFonts w:cs="Calibri"/>
                <w:bCs/>
                <w:szCs w:val="22"/>
              </w:rPr>
              <w:t>Access</w:t>
            </w:r>
          </w:p>
        </w:tc>
        <w:tc>
          <w:tcPr>
            <w:tcW w:w="2693" w:type="dxa"/>
            <w:shd w:val="clear" w:color="auto" w:fill="F2F2F2"/>
          </w:tcPr>
          <w:p w:rsidR="00CA780F" w:rsidRPr="002B7E94" w:rsidRDefault="00CA780F" w:rsidP="00C36F0E">
            <w:pPr>
              <w:rPr>
                <w:rFonts w:cs="Calibri"/>
                <w:bCs/>
                <w:szCs w:val="22"/>
              </w:rPr>
            </w:pPr>
            <w:r>
              <w:rPr>
                <w:rFonts w:cs="Calibri"/>
                <w:bCs/>
                <w:szCs w:val="22"/>
              </w:rPr>
              <w:t>Complaints and action on construction, building and planning matters</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17/03/17</w:t>
            </w:r>
          </w:p>
        </w:tc>
      </w:tr>
      <w:tr w:rsidR="00CA780F" w:rsidTr="00A75B90">
        <w:trPr>
          <w:cantSplit/>
        </w:trPr>
        <w:tc>
          <w:tcPr>
            <w:tcW w:w="675" w:type="dxa"/>
            <w:shd w:val="clear" w:color="auto" w:fill="F2F2F2"/>
          </w:tcPr>
          <w:p w:rsidR="00CA780F" w:rsidRPr="00D3246D" w:rsidRDefault="00CA780F" w:rsidP="00C36F0E">
            <w:pPr>
              <w:jc w:val="center"/>
              <w:rPr>
                <w:rFonts w:cs="Calibri"/>
                <w:bCs/>
                <w:szCs w:val="22"/>
              </w:rPr>
            </w:pPr>
            <w:r>
              <w:rPr>
                <w:rFonts w:cs="Calibri"/>
                <w:bCs/>
                <w:szCs w:val="22"/>
              </w:rPr>
              <w:t>2</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28/02/17</w:t>
            </w:r>
          </w:p>
        </w:tc>
        <w:tc>
          <w:tcPr>
            <w:tcW w:w="1418" w:type="dxa"/>
            <w:shd w:val="clear" w:color="auto" w:fill="F2F2F2"/>
          </w:tcPr>
          <w:p w:rsidR="00CA780F" w:rsidRPr="00D3246D" w:rsidRDefault="00CA780F" w:rsidP="00C36F0E">
            <w:pPr>
              <w:jc w:val="center"/>
              <w:rPr>
                <w:rFonts w:cs="Calibri"/>
                <w:bCs/>
                <w:szCs w:val="22"/>
              </w:rPr>
            </w:pPr>
            <w:r>
              <w:rPr>
                <w:rFonts w:cs="Calibri"/>
                <w:bCs/>
                <w:szCs w:val="22"/>
              </w:rPr>
              <w:t>Le Couteur</w:t>
            </w:r>
          </w:p>
        </w:tc>
        <w:tc>
          <w:tcPr>
            <w:tcW w:w="1559" w:type="dxa"/>
            <w:shd w:val="clear" w:color="auto" w:fill="F2F2F2"/>
          </w:tcPr>
          <w:p w:rsidR="00CA780F" w:rsidRPr="00D3246D" w:rsidRDefault="00CA780F" w:rsidP="00C36F0E">
            <w:pPr>
              <w:jc w:val="center"/>
              <w:rPr>
                <w:rFonts w:cs="Calibri"/>
                <w:bCs/>
                <w:szCs w:val="22"/>
              </w:rPr>
            </w:pPr>
            <w:r>
              <w:rPr>
                <w:rFonts w:cs="Calibri"/>
                <w:bCs/>
                <w:szCs w:val="22"/>
              </w:rPr>
              <w:t>Access</w:t>
            </w:r>
          </w:p>
        </w:tc>
        <w:tc>
          <w:tcPr>
            <w:tcW w:w="2693" w:type="dxa"/>
            <w:shd w:val="clear" w:color="auto" w:fill="F2F2F2"/>
          </w:tcPr>
          <w:p w:rsidR="00CA780F" w:rsidRPr="002B7E94" w:rsidRDefault="00CA780F" w:rsidP="00C36F0E">
            <w:pPr>
              <w:rPr>
                <w:rFonts w:cs="Calibri"/>
                <w:bCs/>
                <w:szCs w:val="22"/>
              </w:rPr>
            </w:pPr>
            <w:r>
              <w:rPr>
                <w:rFonts w:cs="Calibri"/>
                <w:bCs/>
                <w:szCs w:val="22"/>
              </w:rPr>
              <w:t>Impact of illegal parking on trees</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17/03/17</w:t>
            </w:r>
          </w:p>
        </w:tc>
      </w:tr>
      <w:tr w:rsidR="00CA780F" w:rsidTr="00A75B90">
        <w:trPr>
          <w:cantSplit/>
        </w:trPr>
        <w:tc>
          <w:tcPr>
            <w:tcW w:w="675" w:type="dxa"/>
            <w:shd w:val="clear" w:color="auto" w:fill="F2F2F2"/>
          </w:tcPr>
          <w:p w:rsidR="00CA780F" w:rsidRDefault="00CA780F" w:rsidP="00C36F0E">
            <w:pPr>
              <w:jc w:val="center"/>
              <w:rPr>
                <w:rFonts w:cs="Calibri"/>
                <w:bCs/>
                <w:szCs w:val="22"/>
              </w:rPr>
            </w:pPr>
            <w:r>
              <w:rPr>
                <w:rFonts w:cs="Calibri"/>
                <w:bCs/>
                <w:szCs w:val="22"/>
              </w:rPr>
              <w:t>3</w:t>
            </w:r>
          </w:p>
        </w:tc>
        <w:tc>
          <w:tcPr>
            <w:tcW w:w="1134" w:type="dxa"/>
            <w:shd w:val="clear" w:color="auto" w:fill="F2F2F2"/>
          </w:tcPr>
          <w:p w:rsidR="00CA780F" w:rsidRDefault="00CA780F" w:rsidP="00C36F0E">
            <w:pPr>
              <w:jc w:val="center"/>
              <w:rPr>
                <w:rFonts w:cs="Calibri"/>
                <w:bCs/>
                <w:szCs w:val="22"/>
              </w:rPr>
            </w:pPr>
            <w:r>
              <w:rPr>
                <w:rFonts w:cs="Calibri"/>
                <w:bCs/>
                <w:szCs w:val="22"/>
              </w:rPr>
              <w:t>28/02/17</w:t>
            </w:r>
          </w:p>
        </w:tc>
        <w:tc>
          <w:tcPr>
            <w:tcW w:w="1418" w:type="dxa"/>
            <w:shd w:val="clear" w:color="auto" w:fill="F2F2F2"/>
          </w:tcPr>
          <w:p w:rsidR="00CA780F" w:rsidRDefault="00CA780F" w:rsidP="00C36F0E">
            <w:pPr>
              <w:jc w:val="center"/>
              <w:rPr>
                <w:rFonts w:cs="Calibri"/>
                <w:bCs/>
                <w:szCs w:val="22"/>
              </w:rPr>
            </w:pPr>
            <w:r>
              <w:rPr>
                <w:rFonts w:cs="Calibri"/>
                <w:bCs/>
                <w:szCs w:val="22"/>
              </w:rPr>
              <w:t>Le Couteur</w:t>
            </w:r>
          </w:p>
        </w:tc>
        <w:tc>
          <w:tcPr>
            <w:tcW w:w="1559" w:type="dxa"/>
            <w:shd w:val="clear" w:color="auto" w:fill="F2F2F2"/>
          </w:tcPr>
          <w:p w:rsidR="00CA780F" w:rsidRDefault="00CA780F" w:rsidP="00C36F0E">
            <w:pPr>
              <w:jc w:val="center"/>
              <w:rPr>
                <w:rFonts w:cs="Calibri"/>
                <w:bCs/>
                <w:szCs w:val="22"/>
              </w:rPr>
            </w:pPr>
            <w:r>
              <w:rPr>
                <w:rFonts w:cs="Calibri"/>
                <w:bCs/>
                <w:szCs w:val="22"/>
              </w:rPr>
              <w:t>Access</w:t>
            </w:r>
          </w:p>
        </w:tc>
        <w:tc>
          <w:tcPr>
            <w:tcW w:w="2693" w:type="dxa"/>
            <w:shd w:val="clear" w:color="auto" w:fill="F2F2F2"/>
          </w:tcPr>
          <w:p w:rsidR="00CA780F" w:rsidRPr="002B7E94" w:rsidRDefault="00CA780F" w:rsidP="00C36F0E">
            <w:pPr>
              <w:rPr>
                <w:szCs w:val="22"/>
              </w:rPr>
            </w:pPr>
            <w:r>
              <w:rPr>
                <w:szCs w:val="22"/>
              </w:rPr>
              <w:t>Parking enforcement number plate recognition and disability permits.</w:t>
            </w:r>
          </w:p>
        </w:tc>
        <w:tc>
          <w:tcPr>
            <w:tcW w:w="1134" w:type="dxa"/>
            <w:shd w:val="clear" w:color="auto" w:fill="F2F2F2"/>
          </w:tcPr>
          <w:p w:rsidR="00CA780F" w:rsidRDefault="00CA780F" w:rsidP="00C36F0E">
            <w:pPr>
              <w:jc w:val="center"/>
              <w:rPr>
                <w:rFonts w:cs="Calibri"/>
                <w:bCs/>
                <w:szCs w:val="22"/>
              </w:rPr>
            </w:pPr>
            <w:r>
              <w:rPr>
                <w:rFonts w:cs="Calibri"/>
                <w:bCs/>
                <w:szCs w:val="22"/>
              </w:rPr>
              <w:t>17/03/17</w:t>
            </w:r>
          </w:p>
        </w:tc>
      </w:tr>
      <w:tr w:rsidR="00CA780F" w:rsidTr="00A75B90">
        <w:trPr>
          <w:cantSplit/>
        </w:trPr>
        <w:tc>
          <w:tcPr>
            <w:tcW w:w="675" w:type="dxa"/>
            <w:shd w:val="clear" w:color="auto" w:fill="F2F2F2"/>
          </w:tcPr>
          <w:p w:rsidR="00CA780F" w:rsidRPr="00D3246D" w:rsidRDefault="00CA780F" w:rsidP="00C36F0E">
            <w:pPr>
              <w:jc w:val="center"/>
              <w:rPr>
                <w:rFonts w:cs="Calibri"/>
                <w:bCs/>
                <w:szCs w:val="22"/>
              </w:rPr>
            </w:pPr>
            <w:r>
              <w:rPr>
                <w:rFonts w:cs="Calibri"/>
                <w:bCs/>
                <w:szCs w:val="22"/>
              </w:rPr>
              <w:t>4</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28/02/17</w:t>
            </w:r>
          </w:p>
        </w:tc>
        <w:tc>
          <w:tcPr>
            <w:tcW w:w="1418" w:type="dxa"/>
            <w:shd w:val="clear" w:color="auto" w:fill="F2F2F2"/>
          </w:tcPr>
          <w:p w:rsidR="00CA780F" w:rsidRPr="00D3246D" w:rsidRDefault="00CA780F" w:rsidP="00C36F0E">
            <w:pPr>
              <w:jc w:val="center"/>
              <w:rPr>
                <w:rFonts w:cs="Calibri"/>
                <w:bCs/>
                <w:szCs w:val="22"/>
              </w:rPr>
            </w:pPr>
            <w:r>
              <w:rPr>
                <w:rFonts w:cs="Calibri"/>
                <w:bCs/>
                <w:szCs w:val="22"/>
              </w:rPr>
              <w:t>Dunne</w:t>
            </w:r>
          </w:p>
        </w:tc>
        <w:tc>
          <w:tcPr>
            <w:tcW w:w="1559" w:type="dxa"/>
            <w:shd w:val="clear" w:color="auto" w:fill="F2F2F2"/>
          </w:tcPr>
          <w:p w:rsidR="00CA780F" w:rsidRPr="00D3246D" w:rsidRDefault="00CA780F" w:rsidP="00C36F0E">
            <w:pPr>
              <w:jc w:val="center"/>
              <w:rPr>
                <w:rFonts w:cs="Calibri"/>
                <w:bCs/>
                <w:szCs w:val="22"/>
              </w:rPr>
            </w:pPr>
            <w:r>
              <w:rPr>
                <w:rFonts w:cs="Calibri"/>
                <w:bCs/>
                <w:szCs w:val="22"/>
              </w:rPr>
              <w:t>Arts</w:t>
            </w:r>
          </w:p>
        </w:tc>
        <w:tc>
          <w:tcPr>
            <w:tcW w:w="2693" w:type="dxa"/>
            <w:shd w:val="clear" w:color="auto" w:fill="F2F2F2"/>
          </w:tcPr>
          <w:p w:rsidR="00CA780F" w:rsidRPr="002B7E94" w:rsidRDefault="00CA780F" w:rsidP="00C36F0E">
            <w:pPr>
              <w:rPr>
                <w:szCs w:val="22"/>
              </w:rPr>
            </w:pPr>
            <w:r>
              <w:rPr>
                <w:szCs w:val="22"/>
              </w:rPr>
              <w:t>Former Nolan Gallery at Lanyon</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17/03/17</w:t>
            </w:r>
          </w:p>
        </w:tc>
      </w:tr>
      <w:tr w:rsidR="00CA780F" w:rsidTr="00A75B90">
        <w:trPr>
          <w:cantSplit/>
        </w:trPr>
        <w:tc>
          <w:tcPr>
            <w:tcW w:w="675" w:type="dxa"/>
            <w:shd w:val="clear" w:color="auto" w:fill="F2F2F2"/>
          </w:tcPr>
          <w:p w:rsidR="00CA780F" w:rsidRPr="00D3246D" w:rsidRDefault="00CA780F" w:rsidP="00C36F0E">
            <w:pPr>
              <w:jc w:val="center"/>
              <w:rPr>
                <w:rFonts w:cs="Calibri"/>
                <w:bCs/>
                <w:szCs w:val="22"/>
              </w:rPr>
            </w:pPr>
            <w:r>
              <w:rPr>
                <w:rFonts w:cs="Calibri"/>
                <w:bCs/>
                <w:szCs w:val="22"/>
              </w:rPr>
              <w:t>5</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28/02/17</w:t>
            </w:r>
          </w:p>
        </w:tc>
        <w:tc>
          <w:tcPr>
            <w:tcW w:w="1418" w:type="dxa"/>
            <w:shd w:val="clear" w:color="auto" w:fill="F2F2F2"/>
          </w:tcPr>
          <w:p w:rsidR="00CA780F" w:rsidRPr="00D3246D" w:rsidRDefault="00CA780F" w:rsidP="00C36F0E">
            <w:pPr>
              <w:jc w:val="center"/>
              <w:rPr>
                <w:rFonts w:cs="Calibri"/>
                <w:bCs/>
                <w:szCs w:val="22"/>
              </w:rPr>
            </w:pPr>
            <w:r>
              <w:rPr>
                <w:rFonts w:cs="Calibri"/>
                <w:bCs/>
                <w:szCs w:val="22"/>
              </w:rPr>
              <w:t>Dunne</w:t>
            </w:r>
          </w:p>
        </w:tc>
        <w:tc>
          <w:tcPr>
            <w:tcW w:w="1559" w:type="dxa"/>
            <w:shd w:val="clear" w:color="auto" w:fill="F2F2F2"/>
          </w:tcPr>
          <w:p w:rsidR="00CA780F" w:rsidRPr="00D3246D" w:rsidRDefault="00CA780F" w:rsidP="00C36F0E">
            <w:pPr>
              <w:jc w:val="center"/>
              <w:rPr>
                <w:rFonts w:cs="Calibri"/>
                <w:bCs/>
                <w:szCs w:val="22"/>
              </w:rPr>
            </w:pPr>
            <w:r>
              <w:rPr>
                <w:rFonts w:cs="Calibri"/>
                <w:bCs/>
                <w:szCs w:val="22"/>
              </w:rPr>
              <w:t>Arts</w:t>
            </w:r>
          </w:p>
        </w:tc>
        <w:tc>
          <w:tcPr>
            <w:tcW w:w="2693" w:type="dxa"/>
            <w:shd w:val="clear" w:color="auto" w:fill="F2F2F2"/>
          </w:tcPr>
          <w:p w:rsidR="00CA780F" w:rsidRPr="002B7E94" w:rsidRDefault="00CA780F" w:rsidP="00C36F0E">
            <w:pPr>
              <w:rPr>
                <w:rFonts w:cs="Calibri"/>
                <w:bCs/>
                <w:szCs w:val="22"/>
              </w:rPr>
            </w:pPr>
            <w:r>
              <w:rPr>
                <w:rFonts w:cs="Calibri"/>
                <w:bCs/>
                <w:szCs w:val="22"/>
              </w:rPr>
              <w:t>Arts Engagement</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21/03/17</w:t>
            </w:r>
          </w:p>
        </w:tc>
      </w:tr>
      <w:tr w:rsidR="00CA780F" w:rsidTr="00A75B90">
        <w:trPr>
          <w:cantSplit/>
        </w:trPr>
        <w:tc>
          <w:tcPr>
            <w:tcW w:w="675" w:type="dxa"/>
            <w:shd w:val="clear" w:color="auto" w:fill="F2F2F2"/>
          </w:tcPr>
          <w:p w:rsidR="00CA780F" w:rsidRPr="00D3246D" w:rsidRDefault="00CA780F" w:rsidP="00C36F0E">
            <w:pPr>
              <w:jc w:val="center"/>
              <w:rPr>
                <w:rFonts w:cs="Calibri"/>
                <w:bCs/>
                <w:szCs w:val="22"/>
              </w:rPr>
            </w:pPr>
            <w:r>
              <w:rPr>
                <w:rFonts w:cs="Calibri"/>
                <w:bCs/>
                <w:szCs w:val="22"/>
              </w:rPr>
              <w:t>6</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28/02/17</w:t>
            </w:r>
          </w:p>
        </w:tc>
        <w:tc>
          <w:tcPr>
            <w:tcW w:w="1418" w:type="dxa"/>
            <w:shd w:val="clear" w:color="auto" w:fill="F2F2F2"/>
          </w:tcPr>
          <w:p w:rsidR="00CA780F" w:rsidRPr="00D3246D" w:rsidRDefault="00CA780F" w:rsidP="00C36F0E">
            <w:pPr>
              <w:jc w:val="center"/>
              <w:rPr>
                <w:rFonts w:cs="Calibri"/>
                <w:bCs/>
                <w:szCs w:val="22"/>
              </w:rPr>
            </w:pPr>
            <w:r>
              <w:rPr>
                <w:rFonts w:cs="Calibri"/>
                <w:bCs/>
                <w:szCs w:val="22"/>
              </w:rPr>
              <w:t>Pettersson</w:t>
            </w:r>
          </w:p>
        </w:tc>
        <w:tc>
          <w:tcPr>
            <w:tcW w:w="1559" w:type="dxa"/>
            <w:shd w:val="clear" w:color="auto" w:fill="F2F2F2"/>
          </w:tcPr>
          <w:p w:rsidR="00CA780F" w:rsidRPr="00D3246D" w:rsidRDefault="00CA780F" w:rsidP="00C36F0E">
            <w:pPr>
              <w:jc w:val="center"/>
              <w:rPr>
                <w:rFonts w:cs="Calibri"/>
                <w:bCs/>
                <w:szCs w:val="22"/>
              </w:rPr>
            </w:pPr>
            <w:r>
              <w:rPr>
                <w:rFonts w:cs="Calibri"/>
                <w:bCs/>
                <w:szCs w:val="22"/>
              </w:rPr>
              <w:t>EDD</w:t>
            </w:r>
          </w:p>
        </w:tc>
        <w:tc>
          <w:tcPr>
            <w:tcW w:w="2693" w:type="dxa"/>
            <w:shd w:val="clear" w:color="auto" w:fill="F2F2F2"/>
          </w:tcPr>
          <w:p w:rsidR="00CA780F" w:rsidRPr="002B7E94" w:rsidRDefault="00CA780F" w:rsidP="00C36F0E">
            <w:pPr>
              <w:rPr>
                <w:rFonts w:cs="Calibri"/>
                <w:bCs/>
                <w:szCs w:val="22"/>
              </w:rPr>
            </w:pPr>
            <w:r>
              <w:rPr>
                <w:rFonts w:cs="Calibri"/>
                <w:bCs/>
                <w:szCs w:val="22"/>
              </w:rPr>
              <w:t>Stakeholder engagement</w:t>
            </w:r>
          </w:p>
        </w:tc>
        <w:tc>
          <w:tcPr>
            <w:tcW w:w="1134" w:type="dxa"/>
            <w:shd w:val="clear" w:color="auto" w:fill="F2F2F2"/>
          </w:tcPr>
          <w:p w:rsidR="00CA780F" w:rsidRPr="00D3246D" w:rsidRDefault="00CA780F" w:rsidP="00C36F0E">
            <w:pPr>
              <w:jc w:val="center"/>
              <w:rPr>
                <w:rFonts w:cs="Calibri"/>
                <w:bCs/>
                <w:szCs w:val="22"/>
              </w:rPr>
            </w:pPr>
          </w:p>
        </w:tc>
      </w:tr>
      <w:tr w:rsidR="00CA780F" w:rsidTr="00A75B90">
        <w:trPr>
          <w:cantSplit/>
        </w:trPr>
        <w:tc>
          <w:tcPr>
            <w:tcW w:w="675" w:type="dxa"/>
            <w:shd w:val="clear" w:color="auto" w:fill="F2F2F2"/>
          </w:tcPr>
          <w:p w:rsidR="00CA780F" w:rsidRPr="00D3246D" w:rsidRDefault="00CA780F" w:rsidP="00C36F0E">
            <w:pPr>
              <w:jc w:val="center"/>
              <w:rPr>
                <w:rFonts w:cs="Calibri"/>
                <w:bCs/>
                <w:szCs w:val="22"/>
              </w:rPr>
            </w:pPr>
            <w:r>
              <w:rPr>
                <w:rFonts w:cs="Calibri"/>
                <w:bCs/>
                <w:szCs w:val="22"/>
              </w:rPr>
              <w:t>7</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28/02/17</w:t>
            </w:r>
          </w:p>
        </w:tc>
        <w:tc>
          <w:tcPr>
            <w:tcW w:w="1418" w:type="dxa"/>
            <w:shd w:val="clear" w:color="auto" w:fill="F2F2F2"/>
          </w:tcPr>
          <w:p w:rsidR="00CA780F" w:rsidRPr="00D3246D" w:rsidRDefault="00CA780F" w:rsidP="00C36F0E">
            <w:pPr>
              <w:jc w:val="center"/>
              <w:rPr>
                <w:rFonts w:cs="Calibri"/>
                <w:bCs/>
                <w:szCs w:val="22"/>
              </w:rPr>
            </w:pPr>
            <w:r>
              <w:rPr>
                <w:rFonts w:cs="Calibri"/>
                <w:bCs/>
                <w:szCs w:val="22"/>
              </w:rPr>
              <w:t>Pettersson</w:t>
            </w:r>
          </w:p>
        </w:tc>
        <w:tc>
          <w:tcPr>
            <w:tcW w:w="1559" w:type="dxa"/>
            <w:shd w:val="clear" w:color="auto" w:fill="F2F2F2"/>
          </w:tcPr>
          <w:p w:rsidR="00CA780F" w:rsidRPr="00D3246D" w:rsidRDefault="00CA780F" w:rsidP="00C36F0E">
            <w:pPr>
              <w:jc w:val="center"/>
              <w:rPr>
                <w:rFonts w:cs="Calibri"/>
                <w:bCs/>
                <w:szCs w:val="22"/>
              </w:rPr>
            </w:pPr>
            <w:r>
              <w:rPr>
                <w:rFonts w:cs="Calibri"/>
                <w:bCs/>
                <w:szCs w:val="22"/>
              </w:rPr>
              <w:t>EDD</w:t>
            </w:r>
          </w:p>
        </w:tc>
        <w:tc>
          <w:tcPr>
            <w:tcW w:w="2693" w:type="dxa"/>
            <w:shd w:val="clear" w:color="auto" w:fill="F2F2F2"/>
          </w:tcPr>
          <w:p w:rsidR="00CA780F" w:rsidRPr="002B7E94" w:rsidRDefault="00CA780F" w:rsidP="00C36F0E">
            <w:pPr>
              <w:rPr>
                <w:rFonts w:cs="Calibri"/>
                <w:bCs/>
                <w:szCs w:val="22"/>
              </w:rPr>
            </w:pPr>
            <w:r>
              <w:rPr>
                <w:rFonts w:cs="Calibri"/>
                <w:bCs/>
                <w:szCs w:val="22"/>
              </w:rPr>
              <w:t>Prequalification for tendering for Government work</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24/03/17</w:t>
            </w:r>
          </w:p>
        </w:tc>
      </w:tr>
      <w:tr w:rsidR="00CA780F" w:rsidTr="00A75B90">
        <w:trPr>
          <w:cantSplit/>
        </w:trPr>
        <w:tc>
          <w:tcPr>
            <w:tcW w:w="675" w:type="dxa"/>
            <w:shd w:val="clear" w:color="auto" w:fill="F2F2F2"/>
          </w:tcPr>
          <w:p w:rsidR="00CA780F" w:rsidRPr="00D3246D" w:rsidRDefault="00CA780F" w:rsidP="00C36F0E">
            <w:pPr>
              <w:jc w:val="center"/>
              <w:rPr>
                <w:rFonts w:cs="Calibri"/>
                <w:bCs/>
                <w:szCs w:val="22"/>
              </w:rPr>
            </w:pPr>
            <w:r>
              <w:rPr>
                <w:rFonts w:cs="Calibri"/>
                <w:bCs/>
                <w:szCs w:val="22"/>
              </w:rPr>
              <w:t>8</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28/02/17</w:t>
            </w:r>
          </w:p>
        </w:tc>
        <w:tc>
          <w:tcPr>
            <w:tcW w:w="1418" w:type="dxa"/>
            <w:shd w:val="clear" w:color="auto" w:fill="F2F2F2"/>
          </w:tcPr>
          <w:p w:rsidR="00CA780F" w:rsidRPr="00D3246D" w:rsidRDefault="00CA780F" w:rsidP="00C36F0E">
            <w:pPr>
              <w:jc w:val="center"/>
              <w:rPr>
                <w:rFonts w:cs="Calibri"/>
                <w:bCs/>
                <w:szCs w:val="22"/>
              </w:rPr>
            </w:pPr>
            <w:r>
              <w:rPr>
                <w:rFonts w:cs="Calibri"/>
                <w:bCs/>
                <w:szCs w:val="22"/>
              </w:rPr>
              <w:t>Dunne</w:t>
            </w:r>
          </w:p>
        </w:tc>
        <w:tc>
          <w:tcPr>
            <w:tcW w:w="1559" w:type="dxa"/>
            <w:shd w:val="clear" w:color="auto" w:fill="F2F2F2"/>
          </w:tcPr>
          <w:p w:rsidR="00CA780F" w:rsidRPr="00D3246D" w:rsidRDefault="00CA780F" w:rsidP="00C36F0E">
            <w:pPr>
              <w:jc w:val="center"/>
              <w:rPr>
                <w:rFonts w:cs="Calibri"/>
                <w:bCs/>
                <w:szCs w:val="22"/>
              </w:rPr>
            </w:pPr>
            <w:r>
              <w:rPr>
                <w:rFonts w:cs="Calibri"/>
                <w:bCs/>
                <w:szCs w:val="22"/>
              </w:rPr>
              <w:t>Arts</w:t>
            </w:r>
          </w:p>
        </w:tc>
        <w:tc>
          <w:tcPr>
            <w:tcW w:w="2693" w:type="dxa"/>
            <w:shd w:val="clear" w:color="auto" w:fill="F2F2F2"/>
          </w:tcPr>
          <w:p w:rsidR="00CA780F" w:rsidRPr="002B7E94" w:rsidRDefault="00CA780F" w:rsidP="00C36F0E">
            <w:pPr>
              <w:rPr>
                <w:rFonts w:cs="Calibri"/>
                <w:bCs/>
                <w:szCs w:val="22"/>
              </w:rPr>
            </w:pPr>
            <w:r>
              <w:rPr>
                <w:rFonts w:cs="Calibri"/>
                <w:bCs/>
                <w:szCs w:val="22"/>
              </w:rPr>
              <w:t>Public Art</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17/03/17</w:t>
            </w:r>
          </w:p>
        </w:tc>
      </w:tr>
      <w:tr w:rsidR="00CA780F" w:rsidTr="00A75B90">
        <w:trPr>
          <w:cantSplit/>
        </w:trPr>
        <w:tc>
          <w:tcPr>
            <w:tcW w:w="675" w:type="dxa"/>
            <w:shd w:val="clear" w:color="auto" w:fill="F2F2F2"/>
          </w:tcPr>
          <w:p w:rsidR="00CA780F" w:rsidRPr="00D3246D" w:rsidRDefault="00CA780F" w:rsidP="00C36F0E">
            <w:pPr>
              <w:jc w:val="center"/>
              <w:rPr>
                <w:rFonts w:cs="Calibri"/>
                <w:bCs/>
                <w:szCs w:val="22"/>
              </w:rPr>
            </w:pPr>
            <w:r>
              <w:rPr>
                <w:rFonts w:cs="Calibri"/>
                <w:bCs/>
                <w:szCs w:val="22"/>
              </w:rPr>
              <w:t>9</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28/02/17</w:t>
            </w:r>
          </w:p>
        </w:tc>
        <w:tc>
          <w:tcPr>
            <w:tcW w:w="1418" w:type="dxa"/>
            <w:shd w:val="clear" w:color="auto" w:fill="F2F2F2"/>
          </w:tcPr>
          <w:p w:rsidR="00CA780F" w:rsidRPr="00D3246D" w:rsidRDefault="00CA780F" w:rsidP="00C36F0E">
            <w:pPr>
              <w:jc w:val="center"/>
              <w:rPr>
                <w:rFonts w:cs="Calibri"/>
                <w:bCs/>
                <w:szCs w:val="22"/>
              </w:rPr>
            </w:pPr>
            <w:r>
              <w:rPr>
                <w:rFonts w:cs="Calibri"/>
                <w:bCs/>
                <w:szCs w:val="22"/>
              </w:rPr>
              <w:t>Dunne</w:t>
            </w:r>
          </w:p>
        </w:tc>
        <w:tc>
          <w:tcPr>
            <w:tcW w:w="1559" w:type="dxa"/>
            <w:shd w:val="clear" w:color="auto" w:fill="F2F2F2"/>
          </w:tcPr>
          <w:p w:rsidR="00CA780F" w:rsidRPr="00D3246D" w:rsidRDefault="00CA780F" w:rsidP="00C36F0E">
            <w:pPr>
              <w:jc w:val="center"/>
              <w:rPr>
                <w:rFonts w:cs="Calibri"/>
                <w:bCs/>
                <w:szCs w:val="22"/>
              </w:rPr>
            </w:pPr>
            <w:r>
              <w:rPr>
                <w:rFonts w:cs="Calibri"/>
                <w:bCs/>
                <w:szCs w:val="22"/>
              </w:rPr>
              <w:t>Property services</w:t>
            </w:r>
          </w:p>
        </w:tc>
        <w:tc>
          <w:tcPr>
            <w:tcW w:w="2693" w:type="dxa"/>
            <w:shd w:val="clear" w:color="auto" w:fill="F2F2F2"/>
          </w:tcPr>
          <w:p w:rsidR="00CA780F" w:rsidRPr="002B7E94" w:rsidRDefault="00CA780F" w:rsidP="00C36F0E">
            <w:pPr>
              <w:rPr>
                <w:rFonts w:cs="Calibri"/>
                <w:bCs/>
                <w:szCs w:val="22"/>
              </w:rPr>
            </w:pPr>
            <w:r>
              <w:rPr>
                <w:rFonts w:cs="Calibri"/>
                <w:bCs/>
                <w:szCs w:val="22"/>
              </w:rPr>
              <w:t>Properties leased to the ACT Government</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27/03/17</w:t>
            </w:r>
          </w:p>
        </w:tc>
      </w:tr>
      <w:tr w:rsidR="00CA780F" w:rsidTr="00A75B90">
        <w:trPr>
          <w:cantSplit/>
        </w:trPr>
        <w:tc>
          <w:tcPr>
            <w:tcW w:w="675" w:type="dxa"/>
            <w:shd w:val="clear" w:color="auto" w:fill="F2F2F2"/>
          </w:tcPr>
          <w:p w:rsidR="00CA780F" w:rsidRPr="009A5CEF" w:rsidRDefault="00CA780F" w:rsidP="00C36F0E">
            <w:pPr>
              <w:jc w:val="center"/>
              <w:rPr>
                <w:rFonts w:cs="Calibri"/>
                <w:bCs/>
                <w:szCs w:val="22"/>
              </w:rPr>
            </w:pPr>
            <w:r>
              <w:rPr>
                <w:rFonts w:cs="Calibri"/>
                <w:bCs/>
                <w:szCs w:val="22"/>
              </w:rPr>
              <w:t>10</w:t>
            </w:r>
          </w:p>
        </w:tc>
        <w:tc>
          <w:tcPr>
            <w:tcW w:w="1134" w:type="dxa"/>
            <w:shd w:val="clear" w:color="auto" w:fill="F2F2F2"/>
          </w:tcPr>
          <w:p w:rsidR="00CA780F" w:rsidRPr="00D3246D" w:rsidRDefault="00CA780F" w:rsidP="00C36F0E">
            <w:pPr>
              <w:jc w:val="center"/>
              <w:rPr>
                <w:rFonts w:cs="Calibri"/>
                <w:bCs/>
                <w:szCs w:val="22"/>
              </w:rPr>
            </w:pPr>
            <w:r>
              <w:rPr>
                <w:rFonts w:cs="Calibri"/>
                <w:bCs/>
                <w:szCs w:val="22"/>
              </w:rPr>
              <w:t>28/02/17</w:t>
            </w:r>
          </w:p>
        </w:tc>
        <w:tc>
          <w:tcPr>
            <w:tcW w:w="1418" w:type="dxa"/>
            <w:shd w:val="clear" w:color="auto" w:fill="F2F2F2"/>
          </w:tcPr>
          <w:p w:rsidR="00CA780F" w:rsidRPr="009A5CEF" w:rsidRDefault="00CA780F" w:rsidP="00C36F0E">
            <w:pPr>
              <w:jc w:val="center"/>
              <w:rPr>
                <w:rFonts w:cs="Calibri"/>
                <w:bCs/>
                <w:szCs w:val="22"/>
              </w:rPr>
            </w:pPr>
            <w:r>
              <w:rPr>
                <w:rFonts w:cs="Calibri"/>
                <w:bCs/>
                <w:szCs w:val="22"/>
              </w:rPr>
              <w:t>Coe</w:t>
            </w:r>
          </w:p>
        </w:tc>
        <w:tc>
          <w:tcPr>
            <w:tcW w:w="1559" w:type="dxa"/>
            <w:shd w:val="clear" w:color="auto" w:fill="F2F2F2"/>
          </w:tcPr>
          <w:p w:rsidR="00CA780F" w:rsidRPr="009A5CEF" w:rsidRDefault="00CA780F" w:rsidP="00C36F0E">
            <w:pPr>
              <w:jc w:val="center"/>
              <w:rPr>
                <w:rFonts w:cs="Calibri"/>
                <w:bCs/>
                <w:szCs w:val="22"/>
              </w:rPr>
            </w:pPr>
            <w:r>
              <w:rPr>
                <w:rFonts w:cs="Calibri"/>
                <w:bCs/>
                <w:szCs w:val="22"/>
              </w:rPr>
              <w:t>EDD (redirect from ACTION)</w:t>
            </w:r>
          </w:p>
        </w:tc>
        <w:tc>
          <w:tcPr>
            <w:tcW w:w="2693" w:type="dxa"/>
            <w:shd w:val="clear" w:color="auto" w:fill="F2F2F2"/>
          </w:tcPr>
          <w:p w:rsidR="00CA780F" w:rsidRPr="002B7E94" w:rsidRDefault="00CA780F" w:rsidP="00C36F0E">
            <w:pPr>
              <w:rPr>
                <w:rFonts w:cs="Calibri"/>
                <w:bCs/>
                <w:szCs w:val="22"/>
              </w:rPr>
            </w:pPr>
            <w:r>
              <w:rPr>
                <w:rFonts w:cs="Calibri"/>
                <w:bCs/>
                <w:szCs w:val="22"/>
              </w:rPr>
              <w:t xml:space="preserve">Free Wifi on buses </w:t>
            </w:r>
          </w:p>
        </w:tc>
        <w:tc>
          <w:tcPr>
            <w:tcW w:w="1134" w:type="dxa"/>
            <w:shd w:val="clear" w:color="auto" w:fill="F2F2F2"/>
          </w:tcPr>
          <w:p w:rsidR="00CA780F" w:rsidRPr="009A5CEF" w:rsidRDefault="00CA780F" w:rsidP="00C36F0E">
            <w:pPr>
              <w:jc w:val="center"/>
              <w:rPr>
                <w:rFonts w:cs="Calibri"/>
                <w:bCs/>
                <w:szCs w:val="22"/>
              </w:rPr>
            </w:pPr>
            <w:r>
              <w:rPr>
                <w:rFonts w:cs="Calibri"/>
                <w:bCs/>
                <w:szCs w:val="22"/>
              </w:rPr>
              <w:t>03/04/17</w:t>
            </w:r>
          </w:p>
        </w:tc>
      </w:tr>
    </w:tbl>
    <w:p w:rsidR="005B60C2" w:rsidRDefault="005B60C2">
      <w:pPr>
        <w:pStyle w:val="Bodytextnonumbering"/>
        <w:keepNext w:val="0"/>
        <w:sectPr w:rsidR="005B60C2" w:rsidSect="00E629E2">
          <w:headerReference w:type="default" r:id="rId35"/>
          <w:headerReference w:type="first" r:id="rId36"/>
          <w:type w:val="oddPage"/>
          <w:pgSz w:w="11907" w:h="16840" w:code="9"/>
          <w:pgMar w:top="1588" w:right="1418" w:bottom="1418" w:left="1418" w:header="720" w:footer="851" w:gutter="0"/>
          <w:cols w:space="720"/>
          <w:docGrid w:linePitch="360"/>
        </w:sectPr>
      </w:pPr>
    </w:p>
    <w:p w:rsidR="005B60C2" w:rsidRPr="00670409" w:rsidRDefault="00DA5B5F" w:rsidP="005B60C2">
      <w:pPr>
        <w:pStyle w:val="AppendixHeading1"/>
        <w:rPr>
          <w:smallCaps w:val="0"/>
        </w:rPr>
      </w:pPr>
      <w:bookmarkStart w:id="109" w:name="_Toc481489013"/>
      <w:r w:rsidRPr="00670409">
        <w:rPr>
          <w:smallCaps w:val="0"/>
        </w:rPr>
        <w:t>Witnesses</w:t>
      </w:r>
      <w:bookmarkEnd w:id="109"/>
    </w:p>
    <w:p w:rsidR="00DA5B5F" w:rsidRDefault="00DD5F6B" w:rsidP="00670409">
      <w:pPr>
        <w:pStyle w:val="Headinglevel2"/>
        <w:numPr>
          <w:ilvl w:val="0"/>
          <w:numId w:val="0"/>
        </w:numPr>
      </w:pPr>
      <w:bookmarkStart w:id="110" w:name="_Toc481489014"/>
      <w:r>
        <w:t>Mon</w:t>
      </w:r>
      <w:r w:rsidR="00010A4C">
        <w:t xml:space="preserve">day </w:t>
      </w:r>
      <w:r>
        <w:t>27 February 2017</w:t>
      </w:r>
      <w:bookmarkEnd w:id="110"/>
    </w:p>
    <w:p w:rsidR="00DA5B5F" w:rsidRDefault="00DD5F6B" w:rsidP="003260BE">
      <w:pPr>
        <w:pStyle w:val="Headinglevel3"/>
      </w:pPr>
      <w:r>
        <w:t>Chief Minister, Treasury and Economic Development Directorate</w:t>
      </w:r>
    </w:p>
    <w:p w:rsidR="00010A4C" w:rsidRDefault="00010A4C" w:rsidP="00DD5F6B">
      <w:pPr>
        <w:pStyle w:val="ListBullet"/>
      </w:pPr>
      <w:r>
        <w:t xml:space="preserve">Mr Andrew Barr MLA, Chief Minister, </w:t>
      </w:r>
      <w:r w:rsidR="00DD5F6B">
        <w:t xml:space="preserve">Treasurer, </w:t>
      </w:r>
      <w:r>
        <w:t xml:space="preserve">Minister for </w:t>
      </w:r>
      <w:r w:rsidR="00DD5F6B">
        <w:t>Economic Development and</w:t>
      </w:r>
      <w:r>
        <w:t xml:space="preserve"> Minister for Tourism and Events</w:t>
      </w:r>
    </w:p>
    <w:p w:rsidR="00DD5F6B" w:rsidRDefault="00DD5F6B" w:rsidP="00DD5F6B">
      <w:pPr>
        <w:pStyle w:val="ListBullet"/>
      </w:pPr>
      <w:r w:rsidRPr="00DD5F6B">
        <w:t>Ms Kathy</w:t>
      </w:r>
      <w:r>
        <w:t xml:space="preserve"> </w:t>
      </w:r>
      <w:r w:rsidRPr="00DD5F6B">
        <w:t>Leigh, Head of Service and Director-General</w:t>
      </w:r>
      <w:r>
        <w:t>, CMTEDD</w:t>
      </w:r>
    </w:p>
    <w:p w:rsidR="00DD5F6B" w:rsidRDefault="00DD5F6B" w:rsidP="00DD5F6B">
      <w:pPr>
        <w:pStyle w:val="ListBullet"/>
      </w:pPr>
      <w:r w:rsidRPr="00DD5F6B">
        <w:t>Ms Bronwen</w:t>
      </w:r>
      <w:r>
        <w:t xml:space="preserve"> </w:t>
      </w:r>
      <w:r w:rsidRPr="00DD5F6B">
        <w:t>Overton-Clarke, Deputy Director General, Workforce Capability and</w:t>
      </w:r>
      <w:r>
        <w:t xml:space="preserve"> </w:t>
      </w:r>
      <w:r w:rsidRPr="00DD5F6B">
        <w:t>Governance, and Commissioner for Public Administration</w:t>
      </w:r>
      <w:r>
        <w:t>, CMTEDD</w:t>
      </w:r>
    </w:p>
    <w:p w:rsidR="00DD5F6B" w:rsidRDefault="00DD5F6B" w:rsidP="00DD5F6B">
      <w:pPr>
        <w:pStyle w:val="ListBullet"/>
      </w:pPr>
      <w:r w:rsidRPr="00DD5F6B">
        <w:t>Mr David Nicol, Under Treasurer</w:t>
      </w:r>
      <w:r w:rsidR="00702C69">
        <w:t>, CMTEDD</w:t>
      </w:r>
    </w:p>
    <w:p w:rsidR="00DD5F6B" w:rsidRDefault="00DD5F6B" w:rsidP="00DD5F6B">
      <w:pPr>
        <w:pStyle w:val="ListBullet"/>
      </w:pPr>
      <w:r w:rsidRPr="00DD5F6B">
        <w:t>Mr Patrick</w:t>
      </w:r>
      <w:r>
        <w:t xml:space="preserve"> </w:t>
      </w:r>
      <w:r w:rsidRPr="00DD5F6B">
        <w:t>McAuliffe, Director, Asset Liability Management Branch</w:t>
      </w:r>
      <w:r w:rsidR="00702C69">
        <w:t>, CMTEDD</w:t>
      </w:r>
    </w:p>
    <w:p w:rsidR="00DD5F6B" w:rsidRDefault="00DD5F6B" w:rsidP="00DD5F6B">
      <w:pPr>
        <w:pStyle w:val="ListBullet"/>
      </w:pPr>
      <w:r w:rsidRPr="00DD5F6B">
        <w:t>Mr Kim</w:t>
      </w:r>
      <w:r>
        <w:t xml:space="preserve"> </w:t>
      </w:r>
      <w:r w:rsidRPr="00DD5F6B">
        <w:t>Salisbury, Acting Executive Director, Economic and Financial Group,</w:t>
      </w:r>
      <w:r>
        <w:t xml:space="preserve"> </w:t>
      </w:r>
      <w:r w:rsidRPr="00DD5F6B">
        <w:t>and Commissioner for ACT Revenue</w:t>
      </w:r>
      <w:r w:rsidR="00702C69">
        <w:t>, CMTEDD</w:t>
      </w:r>
    </w:p>
    <w:p w:rsidR="00DD5F6B" w:rsidRDefault="00DD5F6B" w:rsidP="00DD5F6B">
      <w:pPr>
        <w:pStyle w:val="ListBullet"/>
      </w:pPr>
      <w:r w:rsidRPr="00DD5F6B">
        <w:t>Mr Paul</w:t>
      </w:r>
      <w:r>
        <w:t xml:space="preserve"> </w:t>
      </w:r>
      <w:r w:rsidRPr="00DD5F6B">
        <w:t>Ogden, Chief Finance Officer, Strategic Finance</w:t>
      </w:r>
      <w:r w:rsidR="00702C69">
        <w:t>, CMTEDD</w:t>
      </w:r>
    </w:p>
    <w:p w:rsidR="00DD5F6B" w:rsidRDefault="00DD5F6B" w:rsidP="00DD5F6B">
      <w:pPr>
        <w:pStyle w:val="ListBullet"/>
      </w:pPr>
      <w:r w:rsidRPr="00DD5F6B">
        <w:t>Mr Stephen</w:t>
      </w:r>
      <w:r>
        <w:t xml:space="preserve"> </w:t>
      </w:r>
      <w:r w:rsidRPr="00DD5F6B">
        <w:t>Miners, Executive Director, Finance and Budget Division</w:t>
      </w:r>
      <w:r w:rsidR="00702C69">
        <w:t>, CMTEDD</w:t>
      </w:r>
    </w:p>
    <w:p w:rsidR="00DD5F6B" w:rsidRDefault="00DD5F6B" w:rsidP="00DD5F6B">
      <w:pPr>
        <w:pStyle w:val="ListBullet"/>
      </w:pPr>
      <w:r w:rsidRPr="00DD5F6B">
        <w:t>Mr Jon</w:t>
      </w:r>
      <w:r>
        <w:t xml:space="preserve"> </w:t>
      </w:r>
      <w:r w:rsidRPr="00DD5F6B">
        <w:t>Cumming, Chief Digital Officer</w:t>
      </w:r>
      <w:r w:rsidR="00702C69">
        <w:t>, CMTEDD</w:t>
      </w:r>
    </w:p>
    <w:p w:rsidR="00DD5F6B" w:rsidRDefault="00DD5F6B" w:rsidP="00DD5F6B">
      <w:pPr>
        <w:pStyle w:val="ListBullet"/>
      </w:pPr>
      <w:r w:rsidRPr="00DD5F6B">
        <w:t>Ms Sue</w:t>
      </w:r>
      <w:r>
        <w:t xml:space="preserve"> </w:t>
      </w:r>
      <w:r w:rsidRPr="00DD5F6B">
        <w:t>Hall, Executive Director, Corporate</w:t>
      </w:r>
      <w:r w:rsidR="00702C69">
        <w:t>, CMTEDD</w:t>
      </w:r>
    </w:p>
    <w:p w:rsidR="00DD5F6B" w:rsidRDefault="00DD5F6B" w:rsidP="00DD5F6B">
      <w:pPr>
        <w:pStyle w:val="ListBullet"/>
      </w:pPr>
      <w:r w:rsidRPr="00DD5F6B">
        <w:t>Mr Brook</w:t>
      </w:r>
      <w:r>
        <w:t xml:space="preserve"> </w:t>
      </w:r>
      <w:r w:rsidRPr="00DD5F6B">
        <w:t>Dixon, Director, Regulatory Reform</w:t>
      </w:r>
      <w:r w:rsidR="00702C69">
        <w:t>, CMTEDD</w:t>
      </w:r>
    </w:p>
    <w:p w:rsidR="00702C69" w:rsidRDefault="00DD5F6B" w:rsidP="00DD5F6B">
      <w:pPr>
        <w:pStyle w:val="ListBullet"/>
      </w:pPr>
      <w:r w:rsidRPr="00DD5F6B">
        <w:t>Mr Russell</w:t>
      </w:r>
      <w:r w:rsidR="00702C69">
        <w:t xml:space="preserve"> </w:t>
      </w:r>
      <w:r w:rsidR="00702C69" w:rsidRPr="00702C69">
        <w:t>Noud,</w:t>
      </w:r>
      <w:r w:rsidRPr="00DD5F6B">
        <w:t xml:space="preserve"> Director, Public Sector Workplace Relations</w:t>
      </w:r>
      <w:r w:rsidR="00702C69">
        <w:t>, CMTEDD</w:t>
      </w:r>
    </w:p>
    <w:p w:rsidR="00702C69" w:rsidRDefault="00DD5F6B" w:rsidP="00DD5F6B">
      <w:pPr>
        <w:pStyle w:val="ListBullet"/>
      </w:pPr>
      <w:r w:rsidRPr="00702C69">
        <w:t>Ms Anita</w:t>
      </w:r>
      <w:r w:rsidR="00702C69" w:rsidRPr="00702C69">
        <w:t xml:space="preserve"> Perkins,</w:t>
      </w:r>
      <w:r w:rsidR="00702C69">
        <w:t xml:space="preserve"> Director, Communications, CMTEDD</w:t>
      </w:r>
    </w:p>
    <w:p w:rsidR="00DA5B5F" w:rsidRDefault="00DA5B5F" w:rsidP="00702C69">
      <w:pPr>
        <w:pStyle w:val="Headinglevel2"/>
        <w:numPr>
          <w:ilvl w:val="0"/>
          <w:numId w:val="0"/>
        </w:numPr>
      </w:pPr>
      <w:bookmarkStart w:id="111" w:name="_Toc481489015"/>
      <w:r>
        <w:t xml:space="preserve">Wednesday </w:t>
      </w:r>
      <w:r w:rsidR="00010A4C">
        <w:t>11</w:t>
      </w:r>
      <w:r>
        <w:t xml:space="preserve"> November 201</w:t>
      </w:r>
      <w:r w:rsidR="00010A4C">
        <w:t>5</w:t>
      </w:r>
      <w:bookmarkEnd w:id="111"/>
      <w:r>
        <w:t xml:space="preserve"> </w:t>
      </w:r>
    </w:p>
    <w:p w:rsidR="00702C69" w:rsidRDefault="00702C69" w:rsidP="00702C69">
      <w:pPr>
        <w:pStyle w:val="Headinglevel3"/>
      </w:pPr>
      <w:r>
        <w:t>Chief Minister, Treasury and Economic Development Directorate</w:t>
      </w:r>
    </w:p>
    <w:p w:rsidR="00702C69" w:rsidRDefault="00702C69" w:rsidP="00702C69">
      <w:pPr>
        <w:pStyle w:val="ListBullet"/>
      </w:pPr>
      <w:r>
        <w:t>Mr Andrew Barr MLA, Chief Minister, Treasurer, Minister for Economic Development and Minister for Tourism and Events</w:t>
      </w:r>
    </w:p>
    <w:p w:rsidR="00702C69" w:rsidRDefault="00702C69" w:rsidP="00DD5F6B">
      <w:pPr>
        <w:pStyle w:val="ListBullet"/>
      </w:pPr>
      <w:r>
        <w:t>Mr David Dawes, Director-General, Economic Development, CMTEDD</w:t>
      </w:r>
    </w:p>
    <w:p w:rsidR="00702C69" w:rsidRDefault="00702C69" w:rsidP="00DD5F6B">
      <w:pPr>
        <w:pStyle w:val="ListBullet"/>
      </w:pPr>
      <w:r>
        <w:t>Mr George</w:t>
      </w:r>
      <w:r w:rsidRPr="00702C69">
        <w:t xml:space="preserve"> </w:t>
      </w:r>
      <w:r>
        <w:t>Tomlins, Executive Director, Procurement and Capital Works, CMTEDD</w:t>
      </w:r>
    </w:p>
    <w:p w:rsidR="00702C69" w:rsidRDefault="00702C69" w:rsidP="00DD5F6B">
      <w:pPr>
        <w:pStyle w:val="ListBullet"/>
      </w:pPr>
      <w:r>
        <w:t>Mr Ian Cox, Executive Director, Innovate Canberra, CMTEDD</w:t>
      </w:r>
    </w:p>
    <w:p w:rsidR="00702C69" w:rsidRDefault="00702C69" w:rsidP="00DD5F6B">
      <w:pPr>
        <w:pStyle w:val="ListBullet"/>
      </w:pPr>
      <w:r>
        <w:t>Mr Glen Hassett, Director, Programs, Innovate Canberra, CMTEDD</w:t>
      </w:r>
    </w:p>
    <w:p w:rsidR="00702C69" w:rsidRDefault="00702C69" w:rsidP="00DD5F6B">
      <w:pPr>
        <w:pStyle w:val="ListBullet"/>
      </w:pPr>
      <w:r>
        <w:t>Mr Ian Hill, Executive Director, VisitCanberra, CMTEDD</w:t>
      </w:r>
    </w:p>
    <w:p w:rsidR="00DA5B5F" w:rsidRDefault="00702C69" w:rsidP="00DD5F6B">
      <w:pPr>
        <w:pStyle w:val="ListBullet"/>
      </w:pPr>
      <w:r>
        <w:t>Ms Liz Clarke, Director, Venues Canberra, CMTEDD</w:t>
      </w:r>
    </w:p>
    <w:p w:rsidR="00702C69" w:rsidRDefault="00702C69" w:rsidP="00702C69">
      <w:pPr>
        <w:pStyle w:val="Headinglevel3"/>
      </w:pPr>
      <w:r>
        <w:t>Chief Minister, Treasury and Economic Development Directorate</w:t>
      </w:r>
    </w:p>
    <w:p w:rsidR="00702C69" w:rsidRDefault="00702C69" w:rsidP="00702C69">
      <w:pPr>
        <w:pStyle w:val="ListBullet"/>
      </w:pPr>
      <w:r>
        <w:t>Mr Gordon Ramsay MLA, Attorney-General, Minister for Regulatory Services, Minister for the Arts and Community Events and Minister for Veterans and Seniors</w:t>
      </w:r>
    </w:p>
    <w:p w:rsidR="00702C69" w:rsidRDefault="00702C69" w:rsidP="00702C69">
      <w:pPr>
        <w:pStyle w:val="ListBullet"/>
      </w:pPr>
      <w:r>
        <w:t>Mr David Dawes, Director-General, Economic Development</w:t>
      </w:r>
      <w:r w:rsidR="00136794">
        <w:t>, CMTEDD</w:t>
      </w:r>
    </w:p>
    <w:p w:rsidR="00702C69" w:rsidRDefault="00702C69" w:rsidP="00702C69">
      <w:pPr>
        <w:pStyle w:val="ListBullet"/>
      </w:pPr>
      <w:r>
        <w:t>Mr Dave Peffer, Deputy Director-General, Access Canberra</w:t>
      </w:r>
      <w:r w:rsidR="00136794">
        <w:t>, CMTEDD</w:t>
      </w:r>
    </w:p>
    <w:p w:rsidR="00702C69" w:rsidRDefault="00702C69" w:rsidP="00702C69">
      <w:pPr>
        <w:pStyle w:val="ListBullet"/>
      </w:pPr>
      <w:r>
        <w:t>Mr Greg Jones, Director, Construction, Environment and Workplace Protection, Access Canberra</w:t>
      </w:r>
      <w:r w:rsidR="00136794">
        <w:t>, CMTEDD</w:t>
      </w:r>
    </w:p>
    <w:p w:rsidR="00702C69" w:rsidRDefault="00702C69" w:rsidP="00702C69">
      <w:pPr>
        <w:pStyle w:val="ListBullet"/>
      </w:pPr>
      <w:r>
        <w:t>Mr Josh Rynehart, Director, Customer Coordination, Access Canberra</w:t>
      </w:r>
      <w:r w:rsidR="00136794">
        <w:t>, CMTEDD</w:t>
      </w:r>
    </w:p>
    <w:p w:rsidR="00702C69" w:rsidRDefault="00702C69" w:rsidP="00702C69">
      <w:pPr>
        <w:pStyle w:val="ListBullet"/>
      </w:pPr>
      <w:r>
        <w:t>Mr Craig Simmons, Director, Community, Business and Transport Regulation, Access Canberra</w:t>
      </w:r>
      <w:r w:rsidR="00136794">
        <w:t>, CMTEDD</w:t>
      </w:r>
    </w:p>
    <w:p w:rsidR="00702C69" w:rsidRDefault="00702C69" w:rsidP="00702C69">
      <w:pPr>
        <w:pStyle w:val="ListBullet"/>
      </w:pPr>
      <w:r>
        <w:t>Mr Adam Stankeviciu</w:t>
      </w:r>
      <w:r w:rsidR="00136794">
        <w:t>s, Director, Cultural Canberra, CMTEDD</w:t>
      </w:r>
    </w:p>
    <w:p w:rsidR="00702C69" w:rsidRDefault="00136794" w:rsidP="00702C69">
      <w:pPr>
        <w:pStyle w:val="ListBullet"/>
      </w:pPr>
      <w:r>
        <w:t>Mr Ian Hill, Executive Director, VisitCanberra, CMTEDD</w:t>
      </w:r>
    </w:p>
    <w:p w:rsidR="00136794" w:rsidRDefault="00136794" w:rsidP="00136794">
      <w:pPr>
        <w:pStyle w:val="Headinglevel3"/>
      </w:pPr>
      <w:r>
        <w:t>Cultural Facilities Corporation</w:t>
      </w:r>
    </w:p>
    <w:p w:rsidR="00136794" w:rsidRDefault="00702C69" w:rsidP="00136794">
      <w:pPr>
        <w:pStyle w:val="ListBullet"/>
      </w:pPr>
      <w:r>
        <w:t>Ms Harriet</w:t>
      </w:r>
      <w:r w:rsidR="00136794">
        <w:t xml:space="preserve"> Elvin</w:t>
      </w:r>
      <w:r>
        <w:t>, Chief Executive Officer</w:t>
      </w:r>
      <w:r w:rsidR="00136794">
        <w:t>, Cultural Facilities Corporation</w:t>
      </w:r>
    </w:p>
    <w:p w:rsidR="00702C69" w:rsidRDefault="00702C69" w:rsidP="00702C69">
      <w:pPr>
        <w:pStyle w:val="ListBullet"/>
        <w:numPr>
          <w:ilvl w:val="0"/>
          <w:numId w:val="0"/>
        </w:numPr>
        <w:ind w:left="680"/>
      </w:pPr>
    </w:p>
    <w:sectPr w:rsidR="00702C69" w:rsidSect="00E629E2">
      <w:headerReference w:type="even" r:id="rId37"/>
      <w:headerReference w:type="default" r:id="rId38"/>
      <w:footerReference w:type="default" r:id="rId39"/>
      <w:headerReference w:type="first" r:id="rId40"/>
      <w:type w:val="oddPage"/>
      <w:pgSz w:w="11907" w:h="16840" w:code="9"/>
      <w:pgMar w:top="1588" w:right="1418" w:bottom="1418" w:left="1418"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026" w:rsidRDefault="00102026">
      <w:r>
        <w:separator/>
      </w:r>
    </w:p>
    <w:p w:rsidR="00102026" w:rsidRDefault="00102026"/>
    <w:p w:rsidR="00102026" w:rsidRDefault="00102026"/>
    <w:p w:rsidR="00102026" w:rsidRDefault="00102026"/>
  </w:endnote>
  <w:endnote w:type="continuationSeparator" w:id="0">
    <w:p w:rsidR="00102026" w:rsidRDefault="00102026">
      <w:r>
        <w:continuationSeparator/>
      </w:r>
    </w:p>
    <w:p w:rsidR="00102026" w:rsidRDefault="00102026"/>
    <w:p w:rsidR="00102026" w:rsidRDefault="00102026"/>
    <w:p w:rsidR="00102026" w:rsidRDefault="0010202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LT Std 45 Light">
    <w:panose1 w:val="00000000000000000000"/>
    <w:charset w:val="00"/>
    <w:family w:val="swiss"/>
    <w:notTrueType/>
    <w:pitch w:val="variable"/>
    <w:sig w:usb0="00000003" w:usb1="00000000" w:usb2="00000000" w:usb3="00000000" w:csb0="00000001" w:csb1="00000000"/>
  </w:font>
  <w:font w:name="Univers LT Std 55">
    <w:altName w:val="Trebuchet MS"/>
    <w:panose1 w:val="020B06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A6A" w:rsidRDefault="000B4A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26" w:rsidRDefault="00A23913" w:rsidP="007F2DDA">
    <w:pPr>
      <w:pStyle w:val="Footer"/>
      <w:framePr w:wrap="around" w:vAnchor="text" w:hAnchor="margin" w:xAlign="outside" w:y="1"/>
      <w:rPr>
        <w:rStyle w:val="PageNumber"/>
      </w:rPr>
    </w:pPr>
    <w:r>
      <w:rPr>
        <w:rStyle w:val="PageNumber"/>
      </w:rPr>
      <w:fldChar w:fldCharType="begin"/>
    </w:r>
    <w:r w:rsidR="00102026">
      <w:rPr>
        <w:rStyle w:val="PageNumber"/>
      </w:rPr>
      <w:instrText xml:space="preserve">PAGE  </w:instrText>
    </w:r>
    <w:r>
      <w:rPr>
        <w:rStyle w:val="PageNumber"/>
      </w:rPr>
      <w:fldChar w:fldCharType="separate"/>
    </w:r>
    <w:r w:rsidR="00102026">
      <w:rPr>
        <w:rStyle w:val="PageNumber"/>
        <w:noProof/>
      </w:rPr>
      <w:t>iii</w:t>
    </w:r>
    <w:r>
      <w:rPr>
        <w:rStyle w:val="PageNumber"/>
      </w:rPr>
      <w:fldChar w:fldCharType="end"/>
    </w:r>
  </w:p>
  <w:p w:rsidR="00102026" w:rsidRDefault="00102026" w:rsidP="005E670D">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A6A" w:rsidRDefault="000B4A6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26" w:rsidRDefault="00A23913">
    <w:pPr>
      <w:pStyle w:val="Footer"/>
    </w:pPr>
    <w:fldSimple w:instr=" PAGE   \* MERGEFORMAT ">
      <w:r w:rsidR="000B4A6A">
        <w:rPr>
          <w:noProof/>
        </w:rPr>
        <w:t>x</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26" w:rsidRDefault="00A23913" w:rsidP="007F2DDA">
    <w:pPr>
      <w:pStyle w:val="Footer"/>
      <w:framePr w:wrap="around" w:vAnchor="text" w:hAnchor="margin" w:xAlign="outside" w:y="1"/>
      <w:rPr>
        <w:rStyle w:val="PageNumber"/>
      </w:rPr>
    </w:pPr>
    <w:r>
      <w:rPr>
        <w:rStyle w:val="PageNumber"/>
      </w:rPr>
      <w:fldChar w:fldCharType="begin"/>
    </w:r>
    <w:r w:rsidR="00102026">
      <w:rPr>
        <w:rStyle w:val="PageNumber"/>
      </w:rPr>
      <w:instrText xml:space="preserve">PAGE  </w:instrText>
    </w:r>
    <w:r>
      <w:rPr>
        <w:rStyle w:val="PageNumber"/>
      </w:rPr>
      <w:fldChar w:fldCharType="separate"/>
    </w:r>
    <w:r w:rsidR="000B4A6A">
      <w:rPr>
        <w:rStyle w:val="PageNumber"/>
        <w:noProof/>
      </w:rPr>
      <w:t>i</w:t>
    </w:r>
    <w:r>
      <w:rPr>
        <w:rStyle w:val="PageNumber"/>
      </w:rPr>
      <w:fldChar w:fldCharType="end"/>
    </w:r>
  </w:p>
  <w:p w:rsidR="00102026" w:rsidRDefault="00102026" w:rsidP="005E670D">
    <w:pPr>
      <w:pStyle w:val="Footer"/>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26" w:rsidRDefault="00A23913" w:rsidP="0038734F">
    <w:pPr>
      <w:pStyle w:val="Footer"/>
      <w:jc w:val="right"/>
    </w:pPr>
    <w:fldSimple w:instr=" PAGE   \* MERGEFORMAT ">
      <w:r w:rsidR="000B4A6A">
        <w:rPr>
          <w:noProof/>
        </w:rPr>
        <w:t>ix</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26" w:rsidRDefault="00102026" w:rsidP="005E670D">
    <w:pPr>
      <w:pStyle w:val="Footer"/>
      <w:ind w:right="360"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26" w:rsidRPr="00787DF5" w:rsidRDefault="00102026" w:rsidP="00787DF5">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26" w:rsidRDefault="00102026" w:rsidP="005E670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026" w:rsidRDefault="00102026">
      <w:r>
        <w:separator/>
      </w:r>
    </w:p>
    <w:p w:rsidR="00102026" w:rsidRDefault="00102026"/>
    <w:p w:rsidR="00102026" w:rsidRDefault="00102026"/>
    <w:p w:rsidR="00102026" w:rsidRDefault="00102026"/>
  </w:footnote>
  <w:footnote w:type="continuationSeparator" w:id="0">
    <w:p w:rsidR="00102026" w:rsidRDefault="00102026">
      <w:r>
        <w:continuationSeparator/>
      </w:r>
    </w:p>
    <w:p w:rsidR="00102026" w:rsidRDefault="00102026"/>
    <w:p w:rsidR="00102026" w:rsidRDefault="00102026"/>
    <w:p w:rsidR="00102026" w:rsidRDefault="00102026"/>
  </w:footnote>
  <w:footnote w:id="1">
    <w:p w:rsidR="00102026" w:rsidRDefault="00102026" w:rsidP="00106AF3">
      <w:pPr>
        <w:pStyle w:val="FootnoteText"/>
        <w:spacing w:before="0" w:after="0" w:line="240" w:lineRule="auto"/>
      </w:pPr>
      <w:r>
        <w:rPr>
          <w:rStyle w:val="FootnoteReference"/>
        </w:rPr>
        <w:footnoteRef/>
      </w:r>
      <w:r>
        <w:t xml:space="preserve"> </w:t>
      </w:r>
      <w:r w:rsidRPr="008A6934">
        <w:rPr>
          <w:rStyle w:val="FooterChar"/>
        </w:rPr>
        <w:t xml:space="preserve">Legislative Assembly for the ACT, Minutes of Proceedings No. 2, </w:t>
      </w:r>
      <w:r>
        <w:rPr>
          <w:rStyle w:val="FooterChar"/>
        </w:rPr>
        <w:t>13 December 2016, pp. 13-16</w:t>
      </w:r>
      <w:r w:rsidRPr="008A6934">
        <w:rPr>
          <w:rStyle w:val="FooterChar"/>
        </w:rPr>
        <w:t xml:space="preserve">, accessible at </w:t>
      </w:r>
      <w:hyperlink r:id="rId1" w:history="1">
        <w:r w:rsidRPr="00C83C66">
          <w:rPr>
            <w:rStyle w:val="Hyperlink"/>
          </w:rPr>
          <w:t>http://www.parliament.act.gov.au/in-the-assembly/minutes_of_proceedings</w:t>
        </w:r>
      </w:hyperlink>
      <w:r>
        <w:t xml:space="preserve">. </w:t>
      </w:r>
    </w:p>
  </w:footnote>
  <w:footnote w:id="2">
    <w:p w:rsidR="00102026" w:rsidRDefault="00102026" w:rsidP="00106AF3">
      <w:pPr>
        <w:pStyle w:val="FootnoteText"/>
        <w:spacing w:before="0" w:after="0" w:line="240" w:lineRule="auto"/>
      </w:pPr>
      <w:r>
        <w:rPr>
          <w:rStyle w:val="FootnoteReference"/>
        </w:rPr>
        <w:footnoteRef/>
      </w:r>
      <w:r>
        <w:t xml:space="preserve"> </w:t>
      </w:r>
      <w:r w:rsidRPr="008A6934">
        <w:rPr>
          <w:rStyle w:val="FooterChar"/>
        </w:rPr>
        <w:t xml:space="preserve">Legislative Assembly for the ACT, Minutes of Proceedings No. </w:t>
      </w:r>
      <w:r>
        <w:rPr>
          <w:rStyle w:val="FooterChar"/>
        </w:rPr>
        <w:t>7</w:t>
      </w:r>
      <w:r w:rsidRPr="008A6934">
        <w:rPr>
          <w:rStyle w:val="FooterChar"/>
        </w:rPr>
        <w:t xml:space="preserve">, </w:t>
      </w:r>
      <w:r>
        <w:rPr>
          <w:rStyle w:val="FooterChar"/>
        </w:rPr>
        <w:t>16 February 2017</w:t>
      </w:r>
      <w:r w:rsidRPr="008A6934">
        <w:rPr>
          <w:rStyle w:val="FooterChar"/>
        </w:rPr>
        <w:t xml:space="preserve">, pp. </w:t>
      </w:r>
      <w:r>
        <w:rPr>
          <w:rStyle w:val="FooterChar"/>
        </w:rPr>
        <w:t>80-88</w:t>
      </w:r>
      <w:r w:rsidRPr="008A6934">
        <w:rPr>
          <w:rStyle w:val="FooterChar"/>
        </w:rPr>
        <w:t xml:space="preserve">, accessible at </w:t>
      </w:r>
      <w:hyperlink r:id="rId2" w:history="1">
        <w:r w:rsidRPr="00F52072">
          <w:rPr>
            <w:rStyle w:val="Hyperlink"/>
          </w:rPr>
          <w:t>http://www.parliament.act.gov.au/in-the-assembly/minutes_of_proceedings</w:t>
        </w:r>
      </w:hyperlink>
      <w:r>
        <w:t>.</w:t>
      </w:r>
    </w:p>
    <w:p w:rsidR="00102026" w:rsidRDefault="00102026" w:rsidP="00106AF3">
      <w:pPr>
        <w:pStyle w:val="FootnoteText"/>
      </w:pPr>
    </w:p>
  </w:footnote>
  <w:footnote w:id="3">
    <w:p w:rsidR="00102026" w:rsidRDefault="00102026" w:rsidP="00106AF3">
      <w:pPr>
        <w:pStyle w:val="FootnoteText"/>
      </w:pPr>
      <w:r>
        <w:rPr>
          <w:rStyle w:val="FootnoteReference"/>
        </w:rPr>
        <w:footnoteRef/>
      </w:r>
      <w:r>
        <w:t xml:space="preserve"> </w:t>
      </w:r>
      <w:r w:rsidRPr="00C43F79">
        <w:rPr>
          <w:i/>
        </w:rPr>
        <w:t>Annual Reports (Government Agencies) Notice 201</w:t>
      </w:r>
      <w:r>
        <w:rPr>
          <w:i/>
        </w:rPr>
        <w:t>5</w:t>
      </w:r>
      <w:r>
        <w:t xml:space="preserve"> Notifiable Instrument NI2015—207, p. 6.</w:t>
      </w:r>
    </w:p>
    <w:p w:rsidR="00102026" w:rsidRDefault="00102026" w:rsidP="00106AF3">
      <w:pPr>
        <w:pStyle w:val="FootnoteText"/>
      </w:pPr>
    </w:p>
  </w:footnote>
  <w:footnote w:id="4">
    <w:p w:rsidR="00102026" w:rsidRDefault="00102026">
      <w:pPr>
        <w:pStyle w:val="FootnoteText"/>
      </w:pPr>
      <w:r>
        <w:rPr>
          <w:rStyle w:val="FootnoteReference"/>
        </w:rPr>
        <w:footnoteRef/>
      </w:r>
      <w:r>
        <w:t xml:space="preserve"> </w:t>
      </w:r>
      <w:r w:rsidRPr="00C43F79">
        <w:rPr>
          <w:i/>
        </w:rPr>
        <w:t>Annual Reports (Government Agencies) Notice 201</w:t>
      </w:r>
      <w:r>
        <w:rPr>
          <w:i/>
        </w:rPr>
        <w:t>5</w:t>
      </w:r>
      <w:r>
        <w:t xml:space="preserve"> Notifiable Instrument NI2015—207, pp. 8-9.</w:t>
      </w:r>
    </w:p>
  </w:footnote>
  <w:footnote w:id="5">
    <w:p w:rsidR="00102026" w:rsidRDefault="00102026">
      <w:pPr>
        <w:pStyle w:val="FootnoteText"/>
      </w:pPr>
      <w:r>
        <w:rPr>
          <w:rStyle w:val="FootnoteReference"/>
        </w:rPr>
        <w:footnoteRef/>
      </w:r>
      <w:r>
        <w:t xml:space="preserve"> This letter was sent by the Chair on 7 February 2017.</w:t>
      </w:r>
    </w:p>
  </w:footnote>
  <w:footnote w:id="6">
    <w:p w:rsidR="00102026" w:rsidRDefault="00102026">
      <w:pPr>
        <w:pStyle w:val="FootnoteText"/>
      </w:pPr>
      <w:r>
        <w:rPr>
          <w:rStyle w:val="FootnoteReference"/>
        </w:rPr>
        <w:footnoteRef/>
      </w:r>
      <w:r>
        <w:t xml:space="preserve"> </w:t>
      </w:r>
      <w:r>
        <w:rPr>
          <w:i/>
        </w:rPr>
        <w:t>Chief Minister, Treasury and Economic Development Annual Report 2015-16</w:t>
      </w:r>
      <w:r>
        <w:t>, vol. 1, p. 13.</w:t>
      </w:r>
    </w:p>
  </w:footnote>
  <w:footnote w:id="7">
    <w:p w:rsidR="00102026" w:rsidRPr="0064182F" w:rsidRDefault="00102026">
      <w:pPr>
        <w:pStyle w:val="FootnoteText"/>
        <w:rPr>
          <w:lang w:val="en-GB"/>
        </w:rPr>
      </w:pPr>
      <w:r>
        <w:rPr>
          <w:rStyle w:val="FootnoteReference"/>
        </w:rPr>
        <w:footnoteRef/>
      </w:r>
      <w:r>
        <w:t xml:space="preserve"> </w:t>
      </w:r>
      <w:r>
        <w:rPr>
          <w:i/>
          <w:lang w:val="en-GB"/>
        </w:rPr>
        <w:t>Proof Transcript of Evidence</w:t>
      </w:r>
      <w:r>
        <w:rPr>
          <w:lang w:val="en-GB"/>
        </w:rPr>
        <w:t>, 27 February 2017, pp. 2-3.</w:t>
      </w:r>
    </w:p>
  </w:footnote>
  <w:footnote w:id="8">
    <w:p w:rsidR="00102026" w:rsidRPr="0064182F" w:rsidRDefault="00102026">
      <w:pPr>
        <w:pStyle w:val="FootnoteText"/>
        <w:rPr>
          <w:lang w:val="en-GB"/>
        </w:rPr>
      </w:pPr>
      <w:r>
        <w:rPr>
          <w:rStyle w:val="FootnoteReference"/>
        </w:rPr>
        <w:footnoteRef/>
      </w:r>
      <w:r>
        <w:t xml:space="preserve"> </w:t>
      </w:r>
      <w:r>
        <w:rPr>
          <w:i/>
          <w:lang w:val="en-GB"/>
        </w:rPr>
        <w:t>Proof Transcript of Evidence</w:t>
      </w:r>
      <w:r>
        <w:rPr>
          <w:lang w:val="en-GB"/>
        </w:rPr>
        <w:t>, 27 February 2017, pp. 3-6.</w:t>
      </w:r>
    </w:p>
  </w:footnote>
  <w:footnote w:id="9">
    <w:p w:rsidR="00102026" w:rsidRPr="0064182F" w:rsidRDefault="00102026">
      <w:pPr>
        <w:pStyle w:val="FootnoteText"/>
        <w:rPr>
          <w:lang w:val="en-GB"/>
        </w:rPr>
      </w:pPr>
      <w:r>
        <w:rPr>
          <w:rStyle w:val="FootnoteReference"/>
        </w:rPr>
        <w:footnoteRef/>
      </w:r>
      <w:r>
        <w:t xml:space="preserve"> </w:t>
      </w:r>
      <w:r>
        <w:rPr>
          <w:i/>
          <w:lang w:val="en-GB"/>
        </w:rPr>
        <w:t>Proof Transcript of Evidence</w:t>
      </w:r>
      <w:r>
        <w:rPr>
          <w:lang w:val="en-GB"/>
        </w:rPr>
        <w:t>, 27 February 2017, p. 6.</w:t>
      </w:r>
    </w:p>
  </w:footnote>
  <w:footnote w:id="10">
    <w:p w:rsidR="00102026" w:rsidRPr="0064182F" w:rsidRDefault="00102026">
      <w:pPr>
        <w:pStyle w:val="FootnoteText"/>
        <w:rPr>
          <w:lang w:val="en-GB"/>
        </w:rPr>
      </w:pPr>
      <w:r>
        <w:rPr>
          <w:rStyle w:val="FootnoteReference"/>
        </w:rPr>
        <w:footnoteRef/>
      </w:r>
      <w:r>
        <w:t xml:space="preserve"> </w:t>
      </w:r>
      <w:r>
        <w:rPr>
          <w:i/>
          <w:lang w:val="en-GB"/>
        </w:rPr>
        <w:t>Proof Transcript of Evidence</w:t>
      </w:r>
      <w:r>
        <w:rPr>
          <w:lang w:val="en-GB"/>
        </w:rPr>
        <w:t>, 27 February 2017, pp. 6-9.</w:t>
      </w:r>
    </w:p>
  </w:footnote>
  <w:footnote w:id="11">
    <w:p w:rsidR="00102026" w:rsidRPr="00037EB4" w:rsidRDefault="00102026">
      <w:pPr>
        <w:pStyle w:val="FootnoteText"/>
        <w:rPr>
          <w:lang w:val="en-GB"/>
        </w:rPr>
      </w:pPr>
      <w:r>
        <w:rPr>
          <w:rStyle w:val="FootnoteReference"/>
        </w:rPr>
        <w:footnoteRef/>
      </w:r>
      <w:r>
        <w:t xml:space="preserve"> </w:t>
      </w:r>
      <w:r>
        <w:rPr>
          <w:i/>
          <w:lang w:val="en-GB"/>
        </w:rPr>
        <w:t>Proof Transcript of Evidence</w:t>
      </w:r>
      <w:r>
        <w:rPr>
          <w:lang w:val="en-GB"/>
        </w:rPr>
        <w:t>, 27 February 2017, p. 9.</w:t>
      </w:r>
    </w:p>
  </w:footnote>
  <w:footnote w:id="12">
    <w:p w:rsidR="00102026" w:rsidRPr="00037EB4" w:rsidRDefault="00102026">
      <w:pPr>
        <w:pStyle w:val="FootnoteText"/>
        <w:rPr>
          <w:lang w:val="en-GB"/>
        </w:rPr>
      </w:pPr>
      <w:r>
        <w:rPr>
          <w:rStyle w:val="FootnoteReference"/>
        </w:rPr>
        <w:footnoteRef/>
      </w:r>
      <w:r>
        <w:t xml:space="preserve"> </w:t>
      </w:r>
      <w:r>
        <w:rPr>
          <w:i/>
          <w:lang w:val="en-GB"/>
        </w:rPr>
        <w:t>Proof Transcript of Evidence</w:t>
      </w:r>
      <w:r>
        <w:rPr>
          <w:lang w:val="en-GB"/>
        </w:rPr>
        <w:t>, 27 February 2017, p. 10.</w:t>
      </w:r>
    </w:p>
  </w:footnote>
  <w:footnote w:id="13">
    <w:p w:rsidR="00102026" w:rsidRPr="00037EB4" w:rsidRDefault="00102026">
      <w:pPr>
        <w:pStyle w:val="FootnoteText"/>
        <w:rPr>
          <w:lang w:val="en-GB"/>
        </w:rPr>
      </w:pPr>
      <w:r>
        <w:rPr>
          <w:rStyle w:val="FootnoteReference"/>
        </w:rPr>
        <w:footnoteRef/>
      </w:r>
      <w:r>
        <w:t xml:space="preserve"> </w:t>
      </w:r>
      <w:r>
        <w:rPr>
          <w:i/>
          <w:lang w:val="en-GB"/>
        </w:rPr>
        <w:t>Proof Transcript of Evidence</w:t>
      </w:r>
      <w:r>
        <w:rPr>
          <w:lang w:val="en-GB"/>
        </w:rPr>
        <w:t>, 27 February 2017, pp 10-15.</w:t>
      </w:r>
    </w:p>
  </w:footnote>
  <w:footnote w:id="14">
    <w:p w:rsidR="00102026" w:rsidRPr="00F65316" w:rsidRDefault="00102026">
      <w:pPr>
        <w:pStyle w:val="FootnoteText"/>
        <w:rPr>
          <w:lang w:val="en-GB"/>
        </w:rPr>
      </w:pPr>
      <w:r>
        <w:rPr>
          <w:rStyle w:val="FootnoteReference"/>
        </w:rPr>
        <w:footnoteRef/>
      </w:r>
      <w:r>
        <w:t xml:space="preserve"> </w:t>
      </w:r>
      <w:r>
        <w:rPr>
          <w:i/>
          <w:lang w:val="en-GB"/>
        </w:rPr>
        <w:t>Proof Transcript of Evidence</w:t>
      </w:r>
      <w:r>
        <w:rPr>
          <w:lang w:val="en-GB"/>
        </w:rPr>
        <w:t>, 27 February 2017, p. 15.</w:t>
      </w:r>
    </w:p>
  </w:footnote>
  <w:footnote w:id="15">
    <w:p w:rsidR="00102026" w:rsidRPr="00F65316" w:rsidRDefault="00102026">
      <w:pPr>
        <w:pStyle w:val="FootnoteText"/>
        <w:rPr>
          <w:lang w:val="en-GB"/>
        </w:rPr>
      </w:pPr>
      <w:r>
        <w:rPr>
          <w:rStyle w:val="FootnoteReference"/>
        </w:rPr>
        <w:footnoteRef/>
      </w:r>
      <w:r>
        <w:t xml:space="preserve"> </w:t>
      </w:r>
      <w:r>
        <w:rPr>
          <w:i/>
          <w:lang w:val="en-GB"/>
        </w:rPr>
        <w:t>Proof Transcript of Evidence</w:t>
      </w:r>
      <w:r>
        <w:rPr>
          <w:lang w:val="en-GB"/>
        </w:rPr>
        <w:t>, 27 February 2017, pp. 26-28.</w:t>
      </w:r>
    </w:p>
  </w:footnote>
  <w:footnote w:id="16">
    <w:p w:rsidR="00102026" w:rsidRDefault="00102026">
      <w:pPr>
        <w:pStyle w:val="FootnoteText"/>
      </w:pPr>
      <w:r>
        <w:rPr>
          <w:rStyle w:val="FootnoteReference"/>
        </w:rPr>
        <w:footnoteRef/>
      </w:r>
      <w:r>
        <w:t xml:space="preserve"> </w:t>
      </w:r>
      <w:r>
        <w:rPr>
          <w:i/>
          <w:lang w:val="en-GB"/>
        </w:rPr>
        <w:t>Proof Transcript of Evidence</w:t>
      </w:r>
      <w:r>
        <w:rPr>
          <w:lang w:val="en-GB"/>
        </w:rPr>
        <w:t>, 27 February 2017, pp. 6-7.</w:t>
      </w:r>
    </w:p>
  </w:footnote>
  <w:footnote w:id="17">
    <w:p w:rsidR="00102026" w:rsidRPr="00EE75DD" w:rsidRDefault="00102026">
      <w:pPr>
        <w:pStyle w:val="FootnoteText"/>
      </w:pPr>
      <w:r>
        <w:rPr>
          <w:rStyle w:val="FootnoteReference"/>
        </w:rPr>
        <w:footnoteRef/>
      </w:r>
      <w:r>
        <w:t xml:space="preserve"> </w:t>
      </w:r>
      <w:r>
        <w:rPr>
          <w:i/>
        </w:rPr>
        <w:t>2016-17 Budget Review</w:t>
      </w:r>
      <w:r>
        <w:t>, released 7 February 2017, p. 27.</w:t>
      </w:r>
    </w:p>
  </w:footnote>
  <w:footnote w:id="18">
    <w:p w:rsidR="00102026" w:rsidRDefault="00102026">
      <w:pPr>
        <w:pStyle w:val="FootnoteText"/>
      </w:pPr>
      <w:r>
        <w:rPr>
          <w:rStyle w:val="FootnoteReference"/>
        </w:rPr>
        <w:footnoteRef/>
      </w:r>
      <w:r>
        <w:t xml:space="preserve"> </w:t>
      </w:r>
      <w:r>
        <w:rPr>
          <w:i/>
          <w:lang w:val="en-GB"/>
        </w:rPr>
        <w:t>Proof Transcript of Evidence</w:t>
      </w:r>
      <w:r>
        <w:rPr>
          <w:lang w:val="en-GB"/>
        </w:rPr>
        <w:t>, 27 February 2017, p. 11.</w:t>
      </w:r>
    </w:p>
  </w:footnote>
  <w:footnote w:id="19">
    <w:p w:rsidR="00102026" w:rsidRDefault="00102026">
      <w:pPr>
        <w:pStyle w:val="FootnoteText"/>
      </w:pPr>
      <w:r>
        <w:rPr>
          <w:rStyle w:val="FootnoteReference"/>
        </w:rPr>
        <w:footnoteRef/>
      </w:r>
      <w:r>
        <w:t xml:space="preserve"> </w:t>
      </w:r>
      <w:r>
        <w:rPr>
          <w:i/>
          <w:lang w:val="en-GB"/>
        </w:rPr>
        <w:t>Proof Transcript of Evidence</w:t>
      </w:r>
      <w:r>
        <w:rPr>
          <w:lang w:val="en-GB"/>
        </w:rPr>
        <w:t>, 27 February 2017, p. 12.</w:t>
      </w:r>
    </w:p>
  </w:footnote>
  <w:footnote w:id="20">
    <w:p w:rsidR="00102026" w:rsidRPr="00BC4DA2" w:rsidRDefault="00102026">
      <w:pPr>
        <w:pStyle w:val="FootnoteText"/>
      </w:pPr>
      <w:r>
        <w:rPr>
          <w:rStyle w:val="FootnoteReference"/>
        </w:rPr>
        <w:footnoteRef/>
      </w:r>
      <w:r>
        <w:t xml:space="preserve"> </w:t>
      </w:r>
      <w:r w:rsidRPr="00BC4DA2">
        <w:rPr>
          <w:lang w:val="en-GB"/>
        </w:rPr>
        <w:t>Information on</w:t>
      </w:r>
      <w:r>
        <w:rPr>
          <w:i/>
          <w:lang w:val="en-GB"/>
        </w:rPr>
        <w:t xml:space="preserve"> </w:t>
      </w:r>
      <w:r>
        <w:rPr>
          <w:lang w:val="en-GB"/>
        </w:rPr>
        <w:t xml:space="preserve">the City Deals is available at </w:t>
      </w:r>
      <w:hyperlink r:id="rId3" w:history="1">
        <w:r w:rsidRPr="004A7852">
          <w:rPr>
            <w:rStyle w:val="Hyperlink"/>
            <w:lang w:val="en-GB"/>
          </w:rPr>
          <w:t>https://cities.dpmc.gov.au/city-deals</w:t>
        </w:r>
      </w:hyperlink>
      <w:r>
        <w:rPr>
          <w:lang w:val="en-GB"/>
        </w:rPr>
        <w:t xml:space="preserve">. </w:t>
      </w:r>
    </w:p>
  </w:footnote>
  <w:footnote w:id="21">
    <w:p w:rsidR="00102026" w:rsidRPr="00F65316" w:rsidRDefault="00102026">
      <w:pPr>
        <w:pStyle w:val="FootnoteText"/>
        <w:rPr>
          <w:lang w:val="en-GB"/>
        </w:rPr>
      </w:pPr>
      <w:r>
        <w:rPr>
          <w:rStyle w:val="FootnoteReference"/>
        </w:rPr>
        <w:footnoteRef/>
      </w:r>
      <w:r>
        <w:t xml:space="preserve"> </w:t>
      </w:r>
      <w:r>
        <w:rPr>
          <w:i/>
          <w:lang w:val="en-GB"/>
        </w:rPr>
        <w:t>Proof Transcript of Evidence</w:t>
      </w:r>
      <w:r>
        <w:rPr>
          <w:lang w:val="en-GB"/>
        </w:rPr>
        <w:t>, 27 February 2017, pp. 15-16.</w:t>
      </w:r>
    </w:p>
  </w:footnote>
  <w:footnote w:id="22">
    <w:p w:rsidR="00102026" w:rsidRPr="00F65316" w:rsidRDefault="00102026">
      <w:pPr>
        <w:pStyle w:val="FootnoteText"/>
        <w:rPr>
          <w:lang w:val="en-GB"/>
        </w:rPr>
      </w:pPr>
      <w:r>
        <w:rPr>
          <w:rStyle w:val="FootnoteReference"/>
        </w:rPr>
        <w:footnoteRef/>
      </w:r>
      <w:r>
        <w:t xml:space="preserve"> </w:t>
      </w:r>
      <w:r>
        <w:rPr>
          <w:i/>
          <w:lang w:val="en-GB"/>
        </w:rPr>
        <w:t>Proof Transcript of Evidence</w:t>
      </w:r>
      <w:r>
        <w:rPr>
          <w:lang w:val="en-GB"/>
        </w:rPr>
        <w:t>, 27 February 2017, pp. 16-21.</w:t>
      </w:r>
    </w:p>
  </w:footnote>
  <w:footnote w:id="23">
    <w:p w:rsidR="00102026" w:rsidRPr="00F65316" w:rsidRDefault="00102026">
      <w:pPr>
        <w:pStyle w:val="FootnoteText"/>
        <w:rPr>
          <w:lang w:val="en-GB"/>
        </w:rPr>
      </w:pPr>
      <w:r>
        <w:rPr>
          <w:rStyle w:val="FootnoteReference"/>
        </w:rPr>
        <w:footnoteRef/>
      </w:r>
      <w:r>
        <w:t xml:space="preserve"> </w:t>
      </w:r>
      <w:r>
        <w:rPr>
          <w:i/>
          <w:lang w:val="en-GB"/>
        </w:rPr>
        <w:t>Proof Transcript of Evidence</w:t>
      </w:r>
      <w:r>
        <w:rPr>
          <w:lang w:val="en-GB"/>
        </w:rPr>
        <w:t>, 27 February 2017, pp. 21-24.</w:t>
      </w:r>
    </w:p>
  </w:footnote>
  <w:footnote w:id="24">
    <w:p w:rsidR="00102026" w:rsidRPr="005811C8" w:rsidRDefault="00102026">
      <w:pPr>
        <w:pStyle w:val="FootnoteText"/>
        <w:rPr>
          <w:lang w:val="en-GB"/>
        </w:rPr>
      </w:pPr>
      <w:r>
        <w:rPr>
          <w:rStyle w:val="FootnoteReference"/>
        </w:rPr>
        <w:footnoteRef/>
      </w:r>
      <w:r>
        <w:t xml:space="preserve"> </w:t>
      </w:r>
      <w:r>
        <w:rPr>
          <w:i/>
          <w:lang w:val="en-GB"/>
        </w:rPr>
        <w:t>Proof Transcript of Evidence</w:t>
      </w:r>
      <w:r>
        <w:rPr>
          <w:lang w:val="en-GB"/>
        </w:rPr>
        <w:t>, 27 February 2017, pp. 28-30.</w:t>
      </w:r>
    </w:p>
  </w:footnote>
  <w:footnote w:id="25">
    <w:p w:rsidR="00102026" w:rsidRPr="006702FF" w:rsidRDefault="00102026">
      <w:pPr>
        <w:pStyle w:val="FootnoteText"/>
        <w:rPr>
          <w:lang w:val="en-GB"/>
        </w:rPr>
      </w:pPr>
      <w:r>
        <w:rPr>
          <w:rStyle w:val="FootnoteReference"/>
        </w:rPr>
        <w:footnoteRef/>
      </w:r>
      <w:r>
        <w:t xml:space="preserve"> </w:t>
      </w:r>
      <w:r>
        <w:rPr>
          <w:i/>
          <w:lang w:val="en-GB"/>
        </w:rPr>
        <w:t>Proof Transcript of Evidence</w:t>
      </w:r>
      <w:r>
        <w:rPr>
          <w:lang w:val="en-GB"/>
        </w:rPr>
        <w:t>, 27 February 2017, pp. 30-31.</w:t>
      </w:r>
    </w:p>
  </w:footnote>
  <w:footnote w:id="26">
    <w:p w:rsidR="00102026" w:rsidRPr="006702FF" w:rsidRDefault="00102026">
      <w:pPr>
        <w:pStyle w:val="FootnoteText"/>
        <w:rPr>
          <w:lang w:val="en-GB"/>
        </w:rPr>
      </w:pPr>
      <w:r>
        <w:rPr>
          <w:rStyle w:val="FootnoteReference"/>
        </w:rPr>
        <w:footnoteRef/>
      </w:r>
      <w:r>
        <w:t xml:space="preserve"> </w:t>
      </w:r>
      <w:r>
        <w:rPr>
          <w:i/>
          <w:lang w:val="en-GB"/>
        </w:rPr>
        <w:t>Proof Transcript of Evidence</w:t>
      </w:r>
      <w:r>
        <w:rPr>
          <w:lang w:val="en-GB"/>
        </w:rPr>
        <w:t>, 27 February 2017, pp. 31-32.</w:t>
      </w:r>
    </w:p>
  </w:footnote>
  <w:footnote w:id="27">
    <w:p w:rsidR="00102026" w:rsidRPr="006702FF" w:rsidRDefault="00102026">
      <w:pPr>
        <w:pStyle w:val="FootnoteText"/>
        <w:rPr>
          <w:lang w:val="en-GB"/>
        </w:rPr>
      </w:pPr>
      <w:r>
        <w:rPr>
          <w:rStyle w:val="FootnoteReference"/>
        </w:rPr>
        <w:footnoteRef/>
      </w:r>
      <w:r>
        <w:t xml:space="preserve"> </w:t>
      </w:r>
      <w:r>
        <w:rPr>
          <w:i/>
          <w:lang w:val="en-GB"/>
        </w:rPr>
        <w:t>Proof Transcript of Evidence</w:t>
      </w:r>
      <w:r>
        <w:rPr>
          <w:lang w:val="en-GB"/>
        </w:rPr>
        <w:t>, 27 February 2017, pp. 32-35.</w:t>
      </w:r>
    </w:p>
  </w:footnote>
  <w:footnote w:id="28">
    <w:p w:rsidR="00102026" w:rsidRPr="00E7009C" w:rsidRDefault="00102026">
      <w:pPr>
        <w:pStyle w:val="FootnoteText"/>
        <w:rPr>
          <w:lang w:val="en-GB"/>
        </w:rPr>
      </w:pPr>
      <w:r>
        <w:rPr>
          <w:rStyle w:val="FootnoteReference"/>
        </w:rPr>
        <w:footnoteRef/>
      </w:r>
      <w:r>
        <w:t xml:space="preserve"> </w:t>
      </w:r>
      <w:r>
        <w:rPr>
          <w:i/>
          <w:lang w:val="en-GB"/>
        </w:rPr>
        <w:t>Proof Transcript of Evidence</w:t>
      </w:r>
      <w:r>
        <w:rPr>
          <w:lang w:val="en-GB"/>
        </w:rPr>
        <w:t>, 27 February 2017, p. 35.</w:t>
      </w:r>
    </w:p>
  </w:footnote>
  <w:footnote w:id="29">
    <w:p w:rsidR="00102026" w:rsidRPr="00E7009C" w:rsidRDefault="00102026">
      <w:pPr>
        <w:pStyle w:val="FootnoteText"/>
        <w:rPr>
          <w:lang w:val="en-GB"/>
        </w:rPr>
      </w:pPr>
      <w:r>
        <w:rPr>
          <w:rStyle w:val="FootnoteReference"/>
        </w:rPr>
        <w:footnoteRef/>
      </w:r>
      <w:r>
        <w:t xml:space="preserve"> </w:t>
      </w:r>
      <w:r>
        <w:rPr>
          <w:i/>
          <w:lang w:val="en-GB"/>
        </w:rPr>
        <w:t>Proof Transcript of Evidence</w:t>
      </w:r>
      <w:r>
        <w:rPr>
          <w:lang w:val="en-GB"/>
        </w:rPr>
        <w:t>, 27 February 2017, pp. 36.</w:t>
      </w:r>
    </w:p>
  </w:footnote>
  <w:footnote w:id="30">
    <w:p w:rsidR="00102026" w:rsidRDefault="00102026">
      <w:pPr>
        <w:pStyle w:val="FootnoteText"/>
      </w:pPr>
      <w:r>
        <w:rPr>
          <w:rStyle w:val="FootnoteReference"/>
        </w:rPr>
        <w:footnoteRef/>
      </w:r>
      <w:r>
        <w:t xml:space="preserve"> </w:t>
      </w:r>
      <w:r>
        <w:rPr>
          <w:i/>
          <w:lang w:val="en-GB"/>
        </w:rPr>
        <w:t>Proof Transcript of Evidence</w:t>
      </w:r>
      <w:r>
        <w:rPr>
          <w:lang w:val="en-GB"/>
        </w:rPr>
        <w:t>, 27 February 2017, pp. 47-48.</w:t>
      </w:r>
    </w:p>
  </w:footnote>
  <w:footnote w:id="31">
    <w:p w:rsidR="00102026" w:rsidRDefault="00102026">
      <w:pPr>
        <w:pStyle w:val="FootnoteText"/>
      </w:pPr>
      <w:r>
        <w:rPr>
          <w:rStyle w:val="FootnoteReference"/>
        </w:rPr>
        <w:footnoteRef/>
      </w:r>
      <w:r>
        <w:t xml:space="preserve"> </w:t>
      </w:r>
      <w:r>
        <w:rPr>
          <w:i/>
          <w:lang w:val="en-GB"/>
        </w:rPr>
        <w:t>Proof Transcript of Evidence</w:t>
      </w:r>
      <w:r>
        <w:rPr>
          <w:lang w:val="en-GB"/>
        </w:rPr>
        <w:t>, 27 February 2017, p. 63.</w:t>
      </w:r>
    </w:p>
  </w:footnote>
  <w:footnote w:id="32">
    <w:p w:rsidR="00102026" w:rsidRDefault="00102026">
      <w:pPr>
        <w:pStyle w:val="FootnoteText"/>
      </w:pPr>
      <w:r>
        <w:rPr>
          <w:rStyle w:val="FootnoteReference"/>
        </w:rPr>
        <w:footnoteRef/>
      </w:r>
      <w:r>
        <w:t xml:space="preserve"> </w:t>
      </w:r>
      <w:r>
        <w:rPr>
          <w:i/>
          <w:lang w:val="en-GB"/>
        </w:rPr>
        <w:t>Proof Transcript of Evidence</w:t>
      </w:r>
      <w:r>
        <w:rPr>
          <w:lang w:val="en-GB"/>
        </w:rPr>
        <w:t>, 27 February 2017, pp. 63-65.</w:t>
      </w:r>
    </w:p>
  </w:footnote>
  <w:footnote w:id="33">
    <w:p w:rsidR="00102026" w:rsidRDefault="00102026">
      <w:pPr>
        <w:pStyle w:val="FootnoteText"/>
      </w:pPr>
      <w:r>
        <w:rPr>
          <w:rStyle w:val="FootnoteReference"/>
        </w:rPr>
        <w:footnoteRef/>
      </w:r>
      <w:r>
        <w:t xml:space="preserve"> </w:t>
      </w:r>
      <w:r>
        <w:rPr>
          <w:i/>
        </w:rPr>
        <w:t>Chief Minister, Treasury and Economic Development Annual Report 2015-16</w:t>
      </w:r>
      <w:r>
        <w:t>, vol 1, p. 27.</w:t>
      </w:r>
    </w:p>
  </w:footnote>
  <w:footnote w:id="34">
    <w:p w:rsidR="00102026" w:rsidRDefault="00102026">
      <w:pPr>
        <w:pStyle w:val="FootnoteText"/>
      </w:pPr>
      <w:r>
        <w:rPr>
          <w:rStyle w:val="FootnoteReference"/>
        </w:rPr>
        <w:footnoteRef/>
      </w:r>
      <w:r>
        <w:t xml:space="preserve"> </w:t>
      </w:r>
      <w:r>
        <w:rPr>
          <w:i/>
          <w:lang w:val="en-GB"/>
        </w:rPr>
        <w:t>Proof Transcript of Evidence</w:t>
      </w:r>
      <w:r>
        <w:rPr>
          <w:lang w:val="en-GB"/>
        </w:rPr>
        <w:t>, 27 February 2017, p. 33.</w:t>
      </w:r>
    </w:p>
  </w:footnote>
  <w:footnote w:id="35">
    <w:p w:rsidR="00102026" w:rsidRDefault="00102026">
      <w:pPr>
        <w:pStyle w:val="FootnoteText"/>
      </w:pPr>
      <w:r>
        <w:rPr>
          <w:rStyle w:val="FootnoteReference"/>
        </w:rPr>
        <w:footnoteRef/>
      </w:r>
      <w:r>
        <w:t xml:space="preserve"> </w:t>
      </w:r>
      <w:r>
        <w:rPr>
          <w:i/>
          <w:lang w:val="en-GB"/>
        </w:rPr>
        <w:t>Proof Transcript of Evidence</w:t>
      </w:r>
      <w:r>
        <w:rPr>
          <w:lang w:val="en-GB"/>
        </w:rPr>
        <w:t>, 27 February 2017, p. 33.</w:t>
      </w:r>
    </w:p>
  </w:footnote>
  <w:footnote w:id="36">
    <w:p w:rsidR="00102026" w:rsidRDefault="00102026">
      <w:pPr>
        <w:pStyle w:val="FootnoteText"/>
      </w:pPr>
      <w:r>
        <w:rPr>
          <w:rStyle w:val="FootnoteReference"/>
        </w:rPr>
        <w:footnoteRef/>
      </w:r>
      <w:r>
        <w:t xml:space="preserve"> </w:t>
      </w:r>
      <w:r>
        <w:rPr>
          <w:i/>
          <w:lang w:val="en-GB"/>
        </w:rPr>
        <w:t>Proof Transcript of Evidence</w:t>
      </w:r>
      <w:r>
        <w:rPr>
          <w:lang w:val="en-GB"/>
        </w:rPr>
        <w:t>, 27 February 2017, pp. 58-63.</w:t>
      </w:r>
    </w:p>
  </w:footnote>
  <w:footnote w:id="37">
    <w:p w:rsidR="00102026" w:rsidRPr="00E7009C" w:rsidRDefault="00102026">
      <w:pPr>
        <w:pStyle w:val="FootnoteText"/>
        <w:rPr>
          <w:lang w:val="en-GB"/>
        </w:rPr>
      </w:pPr>
      <w:r>
        <w:rPr>
          <w:rStyle w:val="FootnoteReference"/>
        </w:rPr>
        <w:footnoteRef/>
      </w:r>
      <w:r>
        <w:t xml:space="preserve"> </w:t>
      </w:r>
      <w:r>
        <w:rPr>
          <w:i/>
          <w:lang w:val="en-GB"/>
        </w:rPr>
        <w:t>Proof Transcript of Evidence</w:t>
      </w:r>
      <w:r>
        <w:rPr>
          <w:lang w:val="en-GB"/>
        </w:rPr>
        <w:t>, 27 February 2017, pp. 37-38.</w:t>
      </w:r>
    </w:p>
  </w:footnote>
  <w:footnote w:id="38">
    <w:p w:rsidR="00102026" w:rsidRPr="00E7009C" w:rsidRDefault="00102026">
      <w:pPr>
        <w:pStyle w:val="FootnoteText"/>
        <w:rPr>
          <w:lang w:val="en-GB"/>
        </w:rPr>
      </w:pPr>
      <w:r>
        <w:rPr>
          <w:rStyle w:val="FootnoteReference"/>
        </w:rPr>
        <w:footnoteRef/>
      </w:r>
      <w:r>
        <w:t xml:space="preserve"> </w:t>
      </w:r>
      <w:r>
        <w:rPr>
          <w:i/>
          <w:lang w:val="en-GB"/>
        </w:rPr>
        <w:t>Proof Transcript of Evidence</w:t>
      </w:r>
      <w:r>
        <w:rPr>
          <w:lang w:val="en-GB"/>
        </w:rPr>
        <w:t>, 27 February 2017, pp. 38-39.</w:t>
      </w:r>
    </w:p>
  </w:footnote>
  <w:footnote w:id="39">
    <w:p w:rsidR="00102026" w:rsidRPr="00E7009C" w:rsidRDefault="00102026">
      <w:pPr>
        <w:pStyle w:val="FootnoteText"/>
        <w:rPr>
          <w:lang w:val="en-GB"/>
        </w:rPr>
      </w:pPr>
      <w:r>
        <w:rPr>
          <w:rStyle w:val="FootnoteReference"/>
        </w:rPr>
        <w:footnoteRef/>
      </w:r>
      <w:r>
        <w:t xml:space="preserve"> </w:t>
      </w:r>
      <w:r>
        <w:rPr>
          <w:i/>
          <w:lang w:val="en-GB"/>
        </w:rPr>
        <w:t>Proof Transcript of Evidence</w:t>
      </w:r>
      <w:r>
        <w:rPr>
          <w:lang w:val="en-GB"/>
        </w:rPr>
        <w:t>, 27 February 2017, pp. 38-47, 52-54.</w:t>
      </w:r>
    </w:p>
  </w:footnote>
  <w:footnote w:id="40">
    <w:p w:rsidR="00102026" w:rsidRPr="00DB65A0" w:rsidRDefault="00102026">
      <w:pPr>
        <w:pStyle w:val="FootnoteText"/>
      </w:pPr>
      <w:r>
        <w:rPr>
          <w:rStyle w:val="FootnoteReference"/>
        </w:rPr>
        <w:footnoteRef/>
      </w:r>
      <w:r>
        <w:t xml:space="preserve"> </w:t>
      </w:r>
      <w:r>
        <w:rPr>
          <w:i/>
          <w:lang w:val="en-GB"/>
        </w:rPr>
        <w:t>Proof Transcript of Evidence</w:t>
      </w:r>
      <w:r>
        <w:rPr>
          <w:lang w:val="en-GB"/>
        </w:rPr>
        <w:t>, 27 February 2017, pp. 42-43.</w:t>
      </w:r>
    </w:p>
  </w:footnote>
  <w:footnote w:id="41">
    <w:p w:rsidR="00102026" w:rsidRDefault="00102026">
      <w:pPr>
        <w:pStyle w:val="FootnoteText"/>
      </w:pPr>
      <w:r>
        <w:rPr>
          <w:rStyle w:val="FootnoteReference"/>
        </w:rPr>
        <w:footnoteRef/>
      </w:r>
      <w:r>
        <w:t xml:space="preserve"> </w:t>
      </w:r>
      <w:r>
        <w:rPr>
          <w:i/>
          <w:lang w:val="en-GB"/>
        </w:rPr>
        <w:t>Proof Transcript of Evidence</w:t>
      </w:r>
      <w:r>
        <w:rPr>
          <w:lang w:val="en-GB"/>
        </w:rPr>
        <w:t>, 27 February 2017, pp. 48-49.</w:t>
      </w:r>
    </w:p>
  </w:footnote>
  <w:footnote w:id="42">
    <w:p w:rsidR="00102026" w:rsidRDefault="00102026">
      <w:pPr>
        <w:pStyle w:val="FootnoteText"/>
      </w:pPr>
      <w:r>
        <w:rPr>
          <w:rStyle w:val="FootnoteReference"/>
        </w:rPr>
        <w:footnoteRef/>
      </w:r>
      <w:r>
        <w:t xml:space="preserve"> </w:t>
      </w:r>
      <w:r>
        <w:rPr>
          <w:i/>
          <w:lang w:val="en-GB"/>
        </w:rPr>
        <w:t>Proof Transcript of Evidence</w:t>
      </w:r>
      <w:r>
        <w:rPr>
          <w:lang w:val="en-GB"/>
        </w:rPr>
        <w:t>, 27 February 2017, pp. 49-52.</w:t>
      </w:r>
    </w:p>
  </w:footnote>
  <w:footnote w:id="43">
    <w:p w:rsidR="00102026" w:rsidRDefault="00102026">
      <w:pPr>
        <w:pStyle w:val="FootnoteText"/>
      </w:pPr>
      <w:r>
        <w:rPr>
          <w:rStyle w:val="FootnoteReference"/>
        </w:rPr>
        <w:footnoteRef/>
      </w:r>
      <w:r>
        <w:t xml:space="preserve"> </w:t>
      </w:r>
      <w:r>
        <w:rPr>
          <w:i/>
          <w:lang w:val="en-GB"/>
        </w:rPr>
        <w:t>Proof Transcript of Evidence</w:t>
      </w:r>
      <w:r>
        <w:rPr>
          <w:lang w:val="en-GB"/>
        </w:rPr>
        <w:t>, 27 February 2017, pp. 54-55, 57-58.</w:t>
      </w:r>
    </w:p>
  </w:footnote>
  <w:footnote w:id="44">
    <w:p w:rsidR="00102026" w:rsidRDefault="00102026">
      <w:pPr>
        <w:pStyle w:val="FootnoteText"/>
      </w:pPr>
      <w:r>
        <w:rPr>
          <w:rStyle w:val="FootnoteReference"/>
        </w:rPr>
        <w:footnoteRef/>
      </w:r>
      <w:r>
        <w:t xml:space="preserve"> </w:t>
      </w:r>
      <w:r>
        <w:rPr>
          <w:i/>
          <w:lang w:val="en-GB"/>
        </w:rPr>
        <w:t>Proof Transcript of Evidence</w:t>
      </w:r>
      <w:r>
        <w:rPr>
          <w:lang w:val="en-GB"/>
        </w:rPr>
        <w:t>, 27 February 2017, pp. 55-56.</w:t>
      </w:r>
    </w:p>
  </w:footnote>
  <w:footnote w:id="45">
    <w:p w:rsidR="00102026" w:rsidRDefault="00102026">
      <w:pPr>
        <w:pStyle w:val="FootnoteText"/>
      </w:pPr>
      <w:r>
        <w:rPr>
          <w:rStyle w:val="FootnoteReference"/>
        </w:rPr>
        <w:footnoteRef/>
      </w:r>
      <w:r>
        <w:t xml:space="preserve"> </w:t>
      </w:r>
      <w:r>
        <w:rPr>
          <w:i/>
          <w:lang w:val="en-GB"/>
        </w:rPr>
        <w:t>Proof Transcript of Evidence</w:t>
      </w:r>
      <w:r>
        <w:rPr>
          <w:lang w:val="en-GB"/>
        </w:rPr>
        <w:t>, 27 February 2017, pp. 56-57.</w:t>
      </w:r>
    </w:p>
  </w:footnote>
  <w:footnote w:id="46">
    <w:p w:rsidR="00102026" w:rsidRPr="00522D65" w:rsidRDefault="00102026">
      <w:pPr>
        <w:pStyle w:val="FootnoteText"/>
      </w:pPr>
      <w:r>
        <w:rPr>
          <w:rStyle w:val="FootnoteReference"/>
        </w:rPr>
        <w:footnoteRef/>
      </w:r>
      <w:r>
        <w:t xml:space="preserve"> “International Engagement Commission Brendan Smyth hired partner of public servant who created his new office”, </w:t>
      </w:r>
      <w:r>
        <w:rPr>
          <w:i/>
        </w:rPr>
        <w:t>The Canberra Times</w:t>
      </w:r>
      <w:r>
        <w:t>, 1 February 2017.</w:t>
      </w:r>
    </w:p>
  </w:footnote>
  <w:footnote w:id="47">
    <w:p w:rsidR="00102026" w:rsidRDefault="00102026">
      <w:pPr>
        <w:pStyle w:val="FootnoteText"/>
      </w:pPr>
      <w:r>
        <w:rPr>
          <w:rStyle w:val="FootnoteReference"/>
        </w:rPr>
        <w:footnoteRef/>
      </w:r>
      <w:r>
        <w:t xml:space="preserve"> </w:t>
      </w:r>
      <w:r>
        <w:rPr>
          <w:i/>
          <w:lang w:val="en-GB"/>
        </w:rPr>
        <w:t>Proof Transcript of Evidence</w:t>
      </w:r>
      <w:r>
        <w:rPr>
          <w:lang w:val="en-GB"/>
        </w:rPr>
        <w:t>, 27 February 2017, p. 43.</w:t>
      </w:r>
    </w:p>
  </w:footnote>
  <w:footnote w:id="48">
    <w:p w:rsidR="00102026" w:rsidRDefault="00102026">
      <w:pPr>
        <w:pStyle w:val="FootnoteText"/>
      </w:pPr>
      <w:r>
        <w:rPr>
          <w:rStyle w:val="FootnoteReference"/>
        </w:rPr>
        <w:footnoteRef/>
      </w:r>
      <w:r>
        <w:t xml:space="preserve"> </w:t>
      </w:r>
      <w:r w:rsidR="00D843CB" w:rsidRPr="00D843CB">
        <w:rPr>
          <w:i/>
        </w:rPr>
        <w:t xml:space="preserve">Answer to </w:t>
      </w:r>
      <w:r w:rsidRPr="00D843CB">
        <w:rPr>
          <w:i/>
        </w:rPr>
        <w:t>Question taken on Notice No. 13</w:t>
      </w:r>
      <w:r>
        <w:t>, 27 February 2017.</w:t>
      </w:r>
    </w:p>
  </w:footnote>
  <w:footnote w:id="49">
    <w:p w:rsidR="00102026" w:rsidRDefault="00102026">
      <w:pPr>
        <w:pStyle w:val="FootnoteText"/>
      </w:pPr>
      <w:r>
        <w:rPr>
          <w:rStyle w:val="FootnoteReference"/>
        </w:rPr>
        <w:footnoteRef/>
      </w:r>
      <w:r>
        <w:t xml:space="preserve"> </w:t>
      </w:r>
      <w:r>
        <w:rPr>
          <w:i/>
          <w:lang w:val="en-GB"/>
        </w:rPr>
        <w:t>Proof Transcript of Evidence</w:t>
      </w:r>
      <w:r>
        <w:rPr>
          <w:lang w:val="en-GB"/>
        </w:rPr>
        <w:t>, 27 February 2017, p. 41.</w:t>
      </w:r>
    </w:p>
  </w:footnote>
  <w:footnote w:id="50">
    <w:p w:rsidR="00102026" w:rsidRDefault="00102026">
      <w:pPr>
        <w:pStyle w:val="FootnoteText"/>
      </w:pPr>
      <w:r>
        <w:rPr>
          <w:rStyle w:val="FootnoteReference"/>
        </w:rPr>
        <w:footnoteRef/>
      </w:r>
      <w:r>
        <w:t xml:space="preserve"> </w:t>
      </w:r>
      <w:r>
        <w:rPr>
          <w:i/>
          <w:lang w:val="en-GB"/>
        </w:rPr>
        <w:t>Proof Transcript of Evidence</w:t>
      </w:r>
      <w:r>
        <w:rPr>
          <w:lang w:val="en-GB"/>
        </w:rPr>
        <w:t>, 27 February 2017, pp. 41-42.</w:t>
      </w:r>
    </w:p>
  </w:footnote>
  <w:footnote w:id="51">
    <w:p w:rsidR="00102026" w:rsidRDefault="00102026" w:rsidP="009870A0">
      <w:pPr>
        <w:pStyle w:val="FootnoteText"/>
      </w:pPr>
      <w:r>
        <w:rPr>
          <w:rStyle w:val="FootnoteReference"/>
        </w:rPr>
        <w:footnoteRef/>
      </w:r>
      <w:r>
        <w:t xml:space="preserve"> </w:t>
      </w:r>
      <w:r>
        <w:rPr>
          <w:i/>
          <w:lang w:val="en-GB"/>
        </w:rPr>
        <w:t>Proof Transcript of Evidence</w:t>
      </w:r>
      <w:r>
        <w:rPr>
          <w:lang w:val="en-GB"/>
        </w:rPr>
        <w:t>, 27 February 2017, p. 42.</w:t>
      </w:r>
    </w:p>
  </w:footnote>
  <w:footnote w:id="52">
    <w:p w:rsidR="00102026" w:rsidRPr="00A172F6" w:rsidRDefault="00102026">
      <w:pPr>
        <w:pStyle w:val="FootnoteText"/>
      </w:pPr>
      <w:r>
        <w:rPr>
          <w:rStyle w:val="FootnoteReference"/>
        </w:rPr>
        <w:footnoteRef/>
      </w:r>
      <w:r>
        <w:t xml:space="preserve"> </w:t>
      </w:r>
      <w:r w:rsidR="00D843CB" w:rsidRPr="00D843CB">
        <w:rPr>
          <w:i/>
        </w:rPr>
        <w:t>Answer to</w:t>
      </w:r>
      <w:r w:rsidR="00D843CB">
        <w:t xml:space="preserve"> </w:t>
      </w:r>
      <w:r>
        <w:rPr>
          <w:i/>
        </w:rPr>
        <w:t>Question on Notice 10</w:t>
      </w:r>
      <w:r>
        <w:t>, 27 February 2017.</w:t>
      </w:r>
    </w:p>
  </w:footnote>
  <w:footnote w:id="53">
    <w:p w:rsidR="00102026" w:rsidRDefault="00102026">
      <w:pPr>
        <w:pStyle w:val="FootnoteText"/>
      </w:pPr>
      <w:r>
        <w:rPr>
          <w:rStyle w:val="FootnoteReference"/>
        </w:rPr>
        <w:footnoteRef/>
      </w:r>
      <w:r>
        <w:t xml:space="preserve"> </w:t>
      </w:r>
      <w:r w:rsidR="00D843CB" w:rsidRPr="00D843CB">
        <w:rPr>
          <w:i/>
        </w:rPr>
        <w:t xml:space="preserve">Answer to </w:t>
      </w:r>
      <w:r>
        <w:rPr>
          <w:i/>
        </w:rPr>
        <w:t>Question on Notice 10</w:t>
      </w:r>
      <w:r>
        <w:t>, 27 February 2017.</w:t>
      </w:r>
    </w:p>
  </w:footnote>
  <w:footnote w:id="54">
    <w:p w:rsidR="00102026" w:rsidRDefault="00102026">
      <w:pPr>
        <w:pStyle w:val="FootnoteText"/>
      </w:pPr>
      <w:r>
        <w:rPr>
          <w:rStyle w:val="FootnoteReference"/>
        </w:rPr>
        <w:footnoteRef/>
      </w:r>
      <w:r>
        <w:t xml:space="preserve"> </w:t>
      </w:r>
      <w:r>
        <w:rPr>
          <w:i/>
        </w:rPr>
        <w:t>Chief Minister, Treasury and Economic Development Annual Report 2015-16</w:t>
      </w:r>
      <w:r>
        <w:t>, vol 1, pp. 265-266.</w:t>
      </w:r>
    </w:p>
  </w:footnote>
  <w:footnote w:id="55">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66-77.</w:t>
      </w:r>
    </w:p>
  </w:footnote>
  <w:footnote w:id="56">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74-77.</w:t>
      </w:r>
    </w:p>
  </w:footnote>
  <w:footnote w:id="57">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77-80, 94.</w:t>
      </w:r>
    </w:p>
  </w:footnote>
  <w:footnote w:id="58">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80-82.</w:t>
      </w:r>
    </w:p>
  </w:footnote>
  <w:footnote w:id="59">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82-83.</w:t>
      </w:r>
    </w:p>
  </w:footnote>
  <w:footnote w:id="60">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83-84.</w:t>
      </w:r>
    </w:p>
  </w:footnote>
  <w:footnote w:id="61">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84-85.</w:t>
      </w:r>
    </w:p>
  </w:footnote>
  <w:footnote w:id="62">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90-91.</w:t>
      </w:r>
    </w:p>
  </w:footnote>
  <w:footnote w:id="63">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66-67.</w:t>
      </w:r>
    </w:p>
  </w:footnote>
  <w:footnote w:id="64">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 67.</w:t>
      </w:r>
    </w:p>
  </w:footnote>
  <w:footnote w:id="65">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68-69.</w:t>
      </w:r>
    </w:p>
  </w:footnote>
  <w:footnote w:id="66">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70-71.</w:t>
      </w:r>
    </w:p>
  </w:footnote>
  <w:footnote w:id="67">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76-77.</w:t>
      </w:r>
    </w:p>
  </w:footnote>
  <w:footnote w:id="68">
    <w:p w:rsidR="00102026" w:rsidRDefault="00102026">
      <w:pPr>
        <w:pStyle w:val="FootnoteText"/>
      </w:pPr>
      <w:r>
        <w:rPr>
          <w:rStyle w:val="FootnoteReference"/>
        </w:rPr>
        <w:footnoteRef/>
      </w:r>
      <w:r>
        <w:t xml:space="preserve"> </w:t>
      </w:r>
      <w:r>
        <w:rPr>
          <w:i/>
          <w:lang w:val="en-GB"/>
        </w:rPr>
        <w:t>Proof Transcript of Evidence</w:t>
      </w:r>
      <w:r w:rsidR="00D843CB">
        <w:rPr>
          <w:lang w:val="en-GB"/>
        </w:rPr>
        <w:t>, 28 February 2017, p</w:t>
      </w:r>
      <w:r>
        <w:rPr>
          <w:lang w:val="en-GB"/>
        </w:rPr>
        <w:t>. 94.</w:t>
      </w:r>
    </w:p>
  </w:footnote>
  <w:footnote w:id="69">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 78.</w:t>
      </w:r>
    </w:p>
  </w:footnote>
  <w:footnote w:id="70">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 79.</w:t>
      </w:r>
    </w:p>
  </w:footnote>
  <w:footnote w:id="71">
    <w:p w:rsidR="00102026" w:rsidRDefault="00102026">
      <w:pPr>
        <w:pStyle w:val="FootnoteText"/>
      </w:pPr>
      <w:r>
        <w:rPr>
          <w:rStyle w:val="FootnoteReference"/>
        </w:rPr>
        <w:footnoteRef/>
      </w:r>
      <w:r>
        <w:t xml:space="preserve"> </w:t>
      </w:r>
      <w:r>
        <w:rPr>
          <w:i/>
        </w:rPr>
        <w:t>Chief Minister, Treasury and Economic Development Annual Report 2015-16</w:t>
      </w:r>
      <w:r>
        <w:t>, vol 1, p. 111.</w:t>
      </w:r>
    </w:p>
  </w:footnote>
  <w:footnote w:id="72">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pp.86-88.</w:t>
      </w:r>
    </w:p>
  </w:footnote>
  <w:footnote w:id="73">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 88.</w:t>
      </w:r>
    </w:p>
  </w:footnote>
  <w:footnote w:id="74">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88-90.</w:t>
      </w:r>
    </w:p>
  </w:footnote>
  <w:footnote w:id="75">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91-94.</w:t>
      </w:r>
    </w:p>
  </w:footnote>
  <w:footnote w:id="76">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85-86.</w:t>
      </w:r>
    </w:p>
  </w:footnote>
  <w:footnote w:id="77">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 86.</w:t>
      </w:r>
    </w:p>
  </w:footnote>
  <w:footnote w:id="78">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 86.</w:t>
      </w:r>
    </w:p>
  </w:footnote>
  <w:footnote w:id="79">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86-88.</w:t>
      </w:r>
    </w:p>
  </w:footnote>
  <w:footnote w:id="80">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92-93.</w:t>
      </w:r>
    </w:p>
  </w:footnote>
  <w:footnote w:id="81">
    <w:p w:rsidR="00102026" w:rsidRDefault="00102026">
      <w:pPr>
        <w:pStyle w:val="FootnoteText"/>
      </w:pPr>
      <w:r>
        <w:rPr>
          <w:rStyle w:val="FootnoteReference"/>
        </w:rPr>
        <w:footnoteRef/>
      </w:r>
      <w:r>
        <w:t xml:space="preserve"> </w:t>
      </w:r>
      <w:r w:rsidR="00D843CB" w:rsidRPr="00D843CB">
        <w:rPr>
          <w:i/>
        </w:rPr>
        <w:t xml:space="preserve">Answer to </w:t>
      </w:r>
      <w:r w:rsidRPr="00D843CB">
        <w:rPr>
          <w:i/>
        </w:rPr>
        <w:t>Question taken on Notice No. 5</w:t>
      </w:r>
      <w:r>
        <w:t>, 28 February 2017.</w:t>
      </w:r>
    </w:p>
  </w:footnote>
  <w:footnote w:id="82">
    <w:p w:rsidR="00102026" w:rsidRPr="00BD3D6C" w:rsidRDefault="00102026">
      <w:pPr>
        <w:pStyle w:val="FootnoteText"/>
      </w:pPr>
      <w:r>
        <w:rPr>
          <w:rStyle w:val="FootnoteReference"/>
        </w:rPr>
        <w:footnoteRef/>
      </w:r>
      <w:r>
        <w:t xml:space="preserve"> </w:t>
      </w:r>
      <w:r>
        <w:rPr>
          <w:i/>
        </w:rPr>
        <w:t>Chief Minister, Treasury and Economic Development Annual Report 2015-16</w:t>
      </w:r>
      <w:r>
        <w:t>, Vol I, p. 66.</w:t>
      </w:r>
    </w:p>
  </w:footnote>
  <w:footnote w:id="83">
    <w:p w:rsidR="00102026" w:rsidRDefault="00102026">
      <w:pPr>
        <w:pStyle w:val="FootnoteText"/>
      </w:pPr>
      <w:r>
        <w:rPr>
          <w:rStyle w:val="FootnoteReference"/>
        </w:rPr>
        <w:footnoteRef/>
      </w:r>
      <w:r>
        <w:t xml:space="preserve"> </w:t>
      </w:r>
      <w:r>
        <w:rPr>
          <w:i/>
        </w:rPr>
        <w:t>Chief Minister, Treasury and Economic Development Annual Report 2015-16</w:t>
      </w:r>
      <w:r>
        <w:t>, Vol I, p. 69.</w:t>
      </w:r>
    </w:p>
  </w:footnote>
  <w:footnote w:id="84">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95-97.</w:t>
      </w:r>
    </w:p>
  </w:footnote>
  <w:footnote w:id="85">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95-96.</w:t>
      </w:r>
    </w:p>
  </w:footnote>
  <w:footnote w:id="86">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 96.</w:t>
      </w:r>
    </w:p>
  </w:footnote>
  <w:footnote w:id="87">
    <w:p w:rsidR="00102026" w:rsidRDefault="00102026">
      <w:pPr>
        <w:pStyle w:val="FootnoteText"/>
      </w:pPr>
      <w:r>
        <w:rPr>
          <w:rStyle w:val="FootnoteReference"/>
        </w:rPr>
        <w:footnoteRef/>
      </w:r>
      <w:r>
        <w:t xml:space="preserve"> </w:t>
      </w:r>
      <w:r>
        <w:rPr>
          <w:i/>
        </w:rPr>
        <w:t>Chief Minister, Treasury and Economic Development Annual Report 2015-16</w:t>
      </w:r>
      <w:r>
        <w:t>, Vol I, p. 86.</w:t>
      </w:r>
    </w:p>
  </w:footnote>
  <w:footnote w:id="88">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99-100, 109-110.</w:t>
      </w:r>
    </w:p>
  </w:footnote>
  <w:footnote w:id="89">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 100.</w:t>
      </w:r>
    </w:p>
  </w:footnote>
  <w:footnote w:id="90">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100-101.</w:t>
      </w:r>
    </w:p>
  </w:footnote>
  <w:footnote w:id="91">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101-102.</w:t>
      </w:r>
    </w:p>
  </w:footnote>
  <w:footnote w:id="92">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102-104.</w:t>
      </w:r>
    </w:p>
  </w:footnote>
  <w:footnote w:id="93">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104-105.</w:t>
      </w:r>
    </w:p>
  </w:footnote>
  <w:footnote w:id="94">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105-107.</w:t>
      </w:r>
    </w:p>
  </w:footnote>
  <w:footnote w:id="95">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107-108.</w:t>
      </w:r>
    </w:p>
  </w:footnote>
  <w:footnote w:id="96">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 108.</w:t>
      </w:r>
    </w:p>
  </w:footnote>
  <w:footnote w:id="97">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110-111.</w:t>
      </w:r>
    </w:p>
  </w:footnote>
  <w:footnote w:id="98">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112-114, 125-127.</w:t>
      </w:r>
    </w:p>
  </w:footnote>
  <w:footnote w:id="99">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114-116.</w:t>
      </w:r>
    </w:p>
  </w:footnote>
  <w:footnote w:id="100">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116-117.</w:t>
      </w:r>
    </w:p>
  </w:footnote>
  <w:footnote w:id="101">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117-119.</w:t>
      </w:r>
    </w:p>
  </w:footnote>
  <w:footnote w:id="102">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119-121.</w:t>
      </w:r>
    </w:p>
  </w:footnote>
  <w:footnote w:id="103">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121-124.</w:t>
      </w:r>
    </w:p>
  </w:footnote>
  <w:footnote w:id="104">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124-125.</w:t>
      </w:r>
    </w:p>
  </w:footnote>
  <w:footnote w:id="105">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127-128.</w:t>
      </w:r>
    </w:p>
  </w:footnote>
  <w:footnote w:id="106">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102-103, 105.</w:t>
      </w:r>
    </w:p>
  </w:footnote>
  <w:footnote w:id="107">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103-104.</w:t>
      </w:r>
    </w:p>
  </w:footnote>
  <w:footnote w:id="108">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 105.</w:t>
      </w:r>
    </w:p>
  </w:footnote>
  <w:footnote w:id="109">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 108.</w:t>
      </w:r>
    </w:p>
  </w:footnote>
  <w:footnote w:id="110">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106-108.</w:t>
      </w:r>
    </w:p>
  </w:footnote>
  <w:footnote w:id="111">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 111.</w:t>
      </w:r>
    </w:p>
  </w:footnote>
  <w:footnote w:id="112">
    <w:p w:rsidR="00102026" w:rsidRDefault="00102026">
      <w:pPr>
        <w:pStyle w:val="FootnoteText"/>
      </w:pPr>
      <w:r>
        <w:rPr>
          <w:rStyle w:val="FootnoteReference"/>
        </w:rPr>
        <w:footnoteRef/>
      </w:r>
      <w:r>
        <w:t xml:space="preserve"> </w:t>
      </w:r>
      <w:r>
        <w:rPr>
          <w:i/>
        </w:rPr>
        <w:t>Chief Minister, Treasury and Economic Development Annual Report 2015-16</w:t>
      </w:r>
      <w:r>
        <w:t>, Vol I, p. 90.</w:t>
      </w:r>
    </w:p>
  </w:footnote>
  <w:footnote w:id="113">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 114.</w:t>
      </w:r>
    </w:p>
  </w:footnote>
  <w:footnote w:id="114">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 112, 125.</w:t>
      </w:r>
    </w:p>
  </w:footnote>
  <w:footnote w:id="115">
    <w:p w:rsidR="00102026" w:rsidRDefault="00102026">
      <w:pPr>
        <w:pStyle w:val="FootnoteText"/>
      </w:pPr>
      <w:r>
        <w:rPr>
          <w:rStyle w:val="FootnoteReference"/>
        </w:rPr>
        <w:footnoteRef/>
      </w:r>
      <w:r>
        <w:t xml:space="preserve"> </w:t>
      </w:r>
      <w:r w:rsidR="00D843CB" w:rsidRPr="00D843CB">
        <w:rPr>
          <w:i/>
        </w:rPr>
        <w:t xml:space="preserve">Answer to </w:t>
      </w:r>
      <w:r w:rsidRPr="00D843CB">
        <w:rPr>
          <w:i/>
        </w:rPr>
        <w:t xml:space="preserve">Question taken on Notice </w:t>
      </w:r>
      <w:r w:rsidR="00D843CB">
        <w:rPr>
          <w:i/>
        </w:rPr>
        <w:t xml:space="preserve">No. </w:t>
      </w:r>
      <w:r w:rsidRPr="00D843CB">
        <w:rPr>
          <w:i/>
        </w:rPr>
        <w:t>10</w:t>
      </w:r>
      <w:r>
        <w:t>, 28 February 2017.</w:t>
      </w:r>
    </w:p>
  </w:footnote>
  <w:footnote w:id="116">
    <w:p w:rsidR="00102026" w:rsidRDefault="00102026">
      <w:pPr>
        <w:pStyle w:val="FootnoteText"/>
      </w:pPr>
      <w:r>
        <w:rPr>
          <w:rStyle w:val="FootnoteReference"/>
        </w:rPr>
        <w:footnoteRef/>
      </w:r>
      <w:r>
        <w:t xml:space="preserve"> </w:t>
      </w:r>
      <w:r>
        <w:rPr>
          <w:i/>
          <w:lang w:val="en-GB"/>
        </w:rPr>
        <w:t>Proof Transcript of Evidence</w:t>
      </w:r>
      <w:r w:rsidR="00D843CB">
        <w:rPr>
          <w:lang w:val="en-GB"/>
        </w:rPr>
        <w:t xml:space="preserve">, 28 February 2017 </w:t>
      </w:r>
      <w:r>
        <w:rPr>
          <w:lang w:val="en-GB"/>
        </w:rPr>
        <w:t>p. 113.</w:t>
      </w:r>
    </w:p>
  </w:footnote>
  <w:footnote w:id="117">
    <w:p w:rsidR="00102026" w:rsidRDefault="00102026" w:rsidP="00F56670">
      <w:pPr>
        <w:pStyle w:val="FootnoteText"/>
      </w:pPr>
      <w:r>
        <w:rPr>
          <w:rStyle w:val="FootnoteReference"/>
        </w:rPr>
        <w:footnoteRef/>
      </w:r>
      <w:r>
        <w:t xml:space="preserve"> Question taken on Notice 9, 28 February 2017.</w:t>
      </w:r>
    </w:p>
  </w:footnote>
  <w:footnote w:id="118">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 126.</w:t>
      </w:r>
    </w:p>
  </w:footnote>
  <w:footnote w:id="119">
    <w:p w:rsidR="00102026" w:rsidRPr="00C06D3D" w:rsidRDefault="00102026" w:rsidP="00C06D3D">
      <w:pPr>
        <w:pStyle w:val="FootnoteText"/>
      </w:pPr>
      <w:r>
        <w:rPr>
          <w:rStyle w:val="FootnoteReference"/>
        </w:rPr>
        <w:footnoteRef/>
      </w:r>
      <w:r>
        <w:t xml:space="preserve"> ACT Auditor-General’s Report No. 1, </w:t>
      </w:r>
      <w:r>
        <w:rPr>
          <w:i/>
        </w:rPr>
        <w:t>WorkSafe ACT’s Management of its Regulatory Responsibilities for the Demolition of Loose-fill Asbestos Contaminated Houses</w:t>
      </w:r>
      <w:r>
        <w:t>, 2017, p. 63.</w:t>
      </w:r>
    </w:p>
  </w:footnote>
  <w:footnote w:id="120">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 116.</w:t>
      </w:r>
    </w:p>
  </w:footnote>
  <w:footnote w:id="121">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121-124.</w:t>
      </w:r>
    </w:p>
  </w:footnote>
  <w:footnote w:id="122">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129-132.</w:t>
      </w:r>
    </w:p>
  </w:footnote>
  <w:footnote w:id="123">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132-135.</w:t>
      </w:r>
    </w:p>
  </w:footnote>
  <w:footnote w:id="124">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135-137.</w:t>
      </w:r>
    </w:p>
  </w:footnote>
  <w:footnote w:id="125">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137-138.</w:t>
      </w:r>
    </w:p>
  </w:footnote>
  <w:footnote w:id="126">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139-140.</w:t>
      </w:r>
    </w:p>
  </w:footnote>
  <w:footnote w:id="127">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140-142.</w:t>
      </w:r>
    </w:p>
  </w:footnote>
  <w:footnote w:id="128">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 142.</w:t>
      </w:r>
    </w:p>
  </w:footnote>
  <w:footnote w:id="129">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143-144.</w:t>
      </w:r>
    </w:p>
  </w:footnote>
  <w:footnote w:id="130">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144-146.</w:t>
      </w:r>
    </w:p>
  </w:footnote>
  <w:footnote w:id="131">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146-147.</w:t>
      </w:r>
    </w:p>
  </w:footnote>
  <w:footnote w:id="132">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 147.</w:t>
      </w:r>
    </w:p>
  </w:footnote>
  <w:footnote w:id="133">
    <w:p w:rsidR="00102026" w:rsidRDefault="00102026">
      <w:pPr>
        <w:pStyle w:val="FootnoteText"/>
      </w:pPr>
      <w:r>
        <w:rPr>
          <w:rStyle w:val="FootnoteReference"/>
        </w:rPr>
        <w:footnoteRef/>
      </w:r>
      <w:r>
        <w:t xml:space="preserve"> </w:t>
      </w:r>
      <w:r>
        <w:rPr>
          <w:i/>
          <w:lang w:val="en-GB"/>
        </w:rPr>
        <w:t>Proof Transcript of Evidence</w:t>
      </w:r>
      <w:r>
        <w:rPr>
          <w:lang w:val="en-GB"/>
        </w:rPr>
        <w:t>, 28 February 2017, pp. 147-148.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26" w:rsidRDefault="00102026" w:rsidP="00A8688C">
    <w:pPr>
      <w:pStyle w:val="Header"/>
      <w:ind w:left="0" w:right="357" w:firstLine="6"/>
    </w:pPr>
  </w:p>
  <w:p w:rsidR="00102026" w:rsidRDefault="00102026"/>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26" w:rsidRDefault="00A23913" w:rsidP="00183FBF">
    <w:pPr>
      <w:pStyle w:val="Header"/>
      <w:framePr w:wrap="around" w:vAnchor="text" w:hAnchor="margin" w:xAlign="outside" w:y="1"/>
      <w:rPr>
        <w:rStyle w:val="PageNumber"/>
      </w:rPr>
    </w:pPr>
    <w:r>
      <w:rPr>
        <w:rStyle w:val="PageNumber"/>
      </w:rPr>
      <w:fldChar w:fldCharType="begin"/>
    </w:r>
    <w:r w:rsidR="00102026">
      <w:rPr>
        <w:rStyle w:val="PageNumber"/>
      </w:rPr>
      <w:instrText>PAGE</w:instrText>
    </w:r>
    <w:r>
      <w:rPr>
        <w:rStyle w:val="PageNumber"/>
      </w:rPr>
      <w:fldChar w:fldCharType="separate"/>
    </w:r>
    <w:r w:rsidR="000B4A6A">
      <w:rPr>
        <w:rStyle w:val="PageNumber"/>
        <w:noProof/>
      </w:rPr>
      <w:t>38</w:t>
    </w:r>
    <w:r>
      <w:rPr>
        <w:rStyle w:val="PageNumber"/>
      </w:rPr>
      <w:fldChar w:fldCharType="end"/>
    </w:r>
    <w:r w:rsidR="00102026">
      <w:rPr>
        <w:rStyle w:val="PageNumber"/>
      </w:rPr>
      <w:t xml:space="preserve">  </w:t>
    </w:r>
    <w:r>
      <w:rPr>
        <w:rStyle w:val="PageNumber"/>
      </w:rPr>
      <w:fldChar w:fldCharType="begin"/>
    </w:r>
    <w:r w:rsidR="00102026">
      <w:rPr>
        <w:rStyle w:val="PageNumber"/>
      </w:rPr>
      <w:instrText xml:space="preserve"> STyleref "Committee name" </w:instrText>
    </w:r>
    <w:r>
      <w:rPr>
        <w:rStyle w:val="PageNumber"/>
      </w:rPr>
      <w:fldChar w:fldCharType="separate"/>
    </w:r>
    <w:r w:rsidR="000B4A6A">
      <w:rPr>
        <w:rStyle w:val="PageNumber"/>
        <w:noProof/>
      </w:rPr>
      <w:t>STANDING COMMITTEE ON ECONOMIC DEVELOPMENT AND TOURISM</w:t>
    </w:r>
    <w:r>
      <w:rPr>
        <w:rStyle w:val="PageNumber"/>
      </w:rPr>
      <w:fldChar w:fldCharType="end"/>
    </w:r>
  </w:p>
  <w:p w:rsidR="00102026" w:rsidRDefault="00102026" w:rsidP="007160C4">
    <w:pPr>
      <w:tabs>
        <w:tab w:val="left" w:pos="2798"/>
      </w:tabs>
    </w:pPr>
    <w:r>
      <w:tab/>
    </w:r>
  </w:p>
  <w:p w:rsidR="00102026" w:rsidRDefault="00A23913" w:rsidP="00AC22A0">
    <w:pPr>
      <w:tabs>
        <w:tab w:val="left" w:pos="2798"/>
      </w:tabs>
    </w:pPr>
    <w:r>
      <w:pict>
        <v:rect id="_x0000_i1029" style="width:0;height:1.5pt" o:hralign="center" o:hrstd="t" o:hr="t" fillcolor="gray" stroked="f"/>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26" w:rsidRDefault="00A23913">
    <w:pPr>
      <w:pStyle w:val="Header"/>
      <w:jc w:val="right"/>
    </w:pPr>
    <w:fldSimple w:instr=" STYLEREF  &quot;Report title&quot; ">
      <w:r w:rsidR="000B4A6A">
        <w:rPr>
          <w:noProof/>
        </w:rPr>
        <w:t>REPORT ON ANNUAL AND FINANCIAL REPORTS 2015-2016</w:t>
      </w:r>
    </w:fldSimple>
    <w:r w:rsidR="00102026">
      <w:t xml:space="preserve">  </w:t>
    </w:r>
    <w:fldSimple w:instr=" PAGE   \* MERGEFORMAT ">
      <w:r w:rsidR="000B4A6A">
        <w:rPr>
          <w:noProof/>
        </w:rPr>
        <w:t>5</w:t>
      </w:r>
    </w:fldSimple>
  </w:p>
  <w:p w:rsidR="00102026" w:rsidRDefault="00A23913" w:rsidP="00AC22A0">
    <w:pPr>
      <w:pStyle w:val="Header"/>
      <w:ind w:left="0" w:firstLine="0"/>
      <w:jc w:val="right"/>
    </w:pPr>
    <w:r>
      <w:pict>
        <v:rect id="_x0000_i1030" style="width:0;height:1.5pt" o:hralign="center" o:hrstd="t" o:hr="t" fillcolor="gray" stroked="f"/>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26" w:rsidRDefault="00102026">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26" w:rsidRDefault="00A23913" w:rsidP="00F0612C">
    <w:pPr>
      <w:pStyle w:val="Header"/>
      <w:framePr w:wrap="around" w:vAnchor="text" w:hAnchor="margin" w:xAlign="outside" w:y="1"/>
      <w:rPr>
        <w:rStyle w:val="PageNumber"/>
      </w:rPr>
    </w:pPr>
    <w:r>
      <w:rPr>
        <w:rStyle w:val="PageNumber"/>
      </w:rPr>
      <w:fldChar w:fldCharType="begin"/>
    </w:r>
    <w:r w:rsidR="00102026">
      <w:rPr>
        <w:rStyle w:val="PageNumber"/>
      </w:rPr>
      <w:instrText xml:space="preserve">PAGE  </w:instrText>
    </w:r>
    <w:r>
      <w:rPr>
        <w:rStyle w:val="PageNumber"/>
      </w:rPr>
      <w:fldChar w:fldCharType="separate"/>
    </w:r>
    <w:r w:rsidR="000B4A6A">
      <w:rPr>
        <w:rStyle w:val="PageNumber"/>
        <w:noProof/>
      </w:rPr>
      <w:t>31</w:t>
    </w:r>
    <w:r>
      <w:rPr>
        <w:rStyle w:val="PageNumber"/>
      </w:rPr>
      <w:fldChar w:fldCharType="end"/>
    </w:r>
  </w:p>
  <w:p w:rsidR="00102026" w:rsidRDefault="00A23913" w:rsidP="00F0612C">
    <w:pPr>
      <w:pStyle w:val="Header"/>
      <w:ind w:right="360" w:firstLine="360"/>
      <w:jc w:val="right"/>
      <w:rPr>
        <w:rStyle w:val="PageNumber"/>
      </w:rPr>
    </w:pPr>
    <w:fldSimple w:instr=" STYLEREF  &quot;Report title&quot; ">
      <w:r w:rsidR="000B4A6A">
        <w:rPr>
          <w:noProof/>
        </w:rPr>
        <w:t>REPORT ON ANNUAL AND FINANCIAL REPORTS 2015-2016</w:t>
      </w:r>
    </w:fldSimple>
    <w:r w:rsidR="00102026">
      <w:rPr>
        <w:rStyle w:val="PageNumber"/>
      </w:rPr>
      <w:t xml:space="preserve">  </w:t>
    </w:r>
  </w:p>
  <w:p w:rsidR="00102026" w:rsidRDefault="00A23913" w:rsidP="00AC22A0">
    <w:pPr>
      <w:pStyle w:val="Header"/>
      <w:ind w:left="0" w:firstLine="0"/>
      <w:jc w:val="right"/>
    </w:pPr>
    <w:r>
      <w:pict>
        <v:rect id="_x0000_i1031" style="width:0;height:1.5pt" o:hralign="center" o:hrstd="t" o:hr="t" fillcolor="gray" stroked="f"/>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26" w:rsidRDefault="00102026">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26" w:rsidRDefault="00A23913" w:rsidP="00F0612C">
    <w:pPr>
      <w:pStyle w:val="Header"/>
      <w:framePr w:wrap="around" w:vAnchor="text" w:hAnchor="margin" w:xAlign="outside" w:y="1"/>
      <w:rPr>
        <w:rStyle w:val="PageNumber"/>
      </w:rPr>
    </w:pPr>
    <w:r>
      <w:rPr>
        <w:rStyle w:val="PageNumber"/>
      </w:rPr>
      <w:fldChar w:fldCharType="begin"/>
    </w:r>
    <w:r w:rsidR="00102026">
      <w:rPr>
        <w:rStyle w:val="PageNumber"/>
      </w:rPr>
      <w:instrText xml:space="preserve">PAGE  </w:instrText>
    </w:r>
    <w:r>
      <w:rPr>
        <w:rStyle w:val="PageNumber"/>
      </w:rPr>
      <w:fldChar w:fldCharType="separate"/>
    </w:r>
    <w:r w:rsidR="000B4A6A">
      <w:rPr>
        <w:rStyle w:val="PageNumber"/>
        <w:noProof/>
      </w:rPr>
      <w:t>37</w:t>
    </w:r>
    <w:r>
      <w:rPr>
        <w:rStyle w:val="PageNumber"/>
      </w:rPr>
      <w:fldChar w:fldCharType="end"/>
    </w:r>
  </w:p>
  <w:p w:rsidR="00102026" w:rsidRDefault="00A23913" w:rsidP="00F0612C">
    <w:pPr>
      <w:pStyle w:val="Header"/>
      <w:ind w:right="360" w:firstLine="360"/>
      <w:jc w:val="right"/>
      <w:rPr>
        <w:rStyle w:val="PageNumber"/>
      </w:rPr>
    </w:pPr>
    <w:fldSimple w:instr=" STYLEREF  &quot;Report title&quot; ">
      <w:r w:rsidR="000B4A6A">
        <w:rPr>
          <w:noProof/>
        </w:rPr>
        <w:t>REPORT ON ANNUAL AND FINANCIAL REPORTS 2015-2016</w:t>
      </w:r>
    </w:fldSimple>
    <w:r w:rsidR="00102026">
      <w:rPr>
        <w:rStyle w:val="PageNumber"/>
      </w:rPr>
      <w:t xml:space="preserve">  </w:t>
    </w:r>
  </w:p>
  <w:p w:rsidR="00102026" w:rsidRDefault="00A23913" w:rsidP="00AC22A0">
    <w:pPr>
      <w:pStyle w:val="Header"/>
      <w:ind w:left="0" w:firstLine="0"/>
      <w:jc w:val="right"/>
    </w:pPr>
    <w:r>
      <w:pict>
        <v:rect id="_x0000_i1032" style="width:0;height:1.5pt" o:hralign="center" o:hrstd="t" o:hr="t" fillcolor="gray" stroked="f"/>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26" w:rsidRDefault="00102026">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26" w:rsidRDefault="00A23913" w:rsidP="00183FBF">
    <w:pPr>
      <w:pStyle w:val="Header"/>
      <w:framePr w:wrap="around" w:vAnchor="text" w:hAnchor="margin" w:xAlign="outside" w:y="1"/>
      <w:rPr>
        <w:rStyle w:val="PageNumber"/>
      </w:rPr>
    </w:pPr>
    <w:r>
      <w:rPr>
        <w:rStyle w:val="PageNumber"/>
      </w:rPr>
      <w:fldChar w:fldCharType="begin"/>
    </w:r>
    <w:r w:rsidR="00102026">
      <w:rPr>
        <w:rStyle w:val="PageNumber"/>
      </w:rPr>
      <w:instrText>PAGE</w:instrText>
    </w:r>
    <w:r>
      <w:rPr>
        <w:rStyle w:val="PageNumber"/>
      </w:rPr>
      <w:fldChar w:fldCharType="separate"/>
    </w:r>
    <w:r w:rsidR="000B4A6A">
      <w:rPr>
        <w:rStyle w:val="PageNumber"/>
        <w:noProof/>
      </w:rPr>
      <w:t>40</w:t>
    </w:r>
    <w:r>
      <w:rPr>
        <w:rStyle w:val="PageNumber"/>
      </w:rPr>
      <w:fldChar w:fldCharType="end"/>
    </w:r>
    <w:r w:rsidR="00102026">
      <w:rPr>
        <w:rStyle w:val="PageNumber"/>
      </w:rPr>
      <w:t xml:space="preserve">  </w:t>
    </w:r>
    <w:r>
      <w:rPr>
        <w:rStyle w:val="PageNumber"/>
      </w:rPr>
      <w:fldChar w:fldCharType="begin"/>
    </w:r>
    <w:r w:rsidR="00102026">
      <w:rPr>
        <w:rStyle w:val="PageNumber"/>
      </w:rPr>
      <w:instrText xml:space="preserve"> STyleref "Committee name" </w:instrText>
    </w:r>
    <w:r>
      <w:rPr>
        <w:rStyle w:val="PageNumber"/>
      </w:rPr>
      <w:fldChar w:fldCharType="separate"/>
    </w:r>
    <w:r w:rsidR="000B4A6A">
      <w:rPr>
        <w:rStyle w:val="PageNumber"/>
        <w:noProof/>
      </w:rPr>
      <w:t>STANDING COMMITTEE ON ECONOMIC DEVELOPMENT AND TOURISM</w:t>
    </w:r>
    <w:r>
      <w:rPr>
        <w:rStyle w:val="PageNumber"/>
      </w:rPr>
      <w:fldChar w:fldCharType="end"/>
    </w:r>
  </w:p>
  <w:p w:rsidR="00102026" w:rsidRDefault="00102026" w:rsidP="007160C4">
    <w:pPr>
      <w:tabs>
        <w:tab w:val="left" w:pos="2798"/>
      </w:tabs>
    </w:pPr>
    <w:r>
      <w:tab/>
    </w:r>
  </w:p>
  <w:p w:rsidR="00102026" w:rsidRDefault="00A23913" w:rsidP="00AC22A0">
    <w:pPr>
      <w:tabs>
        <w:tab w:val="left" w:pos="2798"/>
      </w:tabs>
    </w:pPr>
    <w:r>
      <w:pict>
        <v:rect id="_x0000_i1033" style="width:0;height:1.5pt" o:hralign="center" o:hrstd="t" o:hr="t" fillcolor="gray" stroked="f"/>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26" w:rsidRDefault="00A23913" w:rsidP="00F0612C">
    <w:pPr>
      <w:pStyle w:val="Header"/>
      <w:framePr w:wrap="around" w:vAnchor="text" w:hAnchor="margin" w:xAlign="outside" w:y="1"/>
      <w:rPr>
        <w:rStyle w:val="PageNumber"/>
      </w:rPr>
    </w:pPr>
    <w:r>
      <w:rPr>
        <w:rStyle w:val="PageNumber"/>
      </w:rPr>
      <w:fldChar w:fldCharType="begin"/>
    </w:r>
    <w:r w:rsidR="00102026">
      <w:rPr>
        <w:rStyle w:val="PageNumber"/>
      </w:rPr>
      <w:instrText xml:space="preserve">PAGE  </w:instrText>
    </w:r>
    <w:r>
      <w:rPr>
        <w:rStyle w:val="PageNumber"/>
      </w:rPr>
      <w:fldChar w:fldCharType="separate"/>
    </w:r>
    <w:r w:rsidR="000B4A6A">
      <w:rPr>
        <w:rStyle w:val="PageNumber"/>
        <w:noProof/>
      </w:rPr>
      <w:t>39</w:t>
    </w:r>
    <w:r>
      <w:rPr>
        <w:rStyle w:val="PageNumber"/>
      </w:rPr>
      <w:fldChar w:fldCharType="end"/>
    </w:r>
  </w:p>
  <w:p w:rsidR="00102026" w:rsidRDefault="00A23913" w:rsidP="00F0612C">
    <w:pPr>
      <w:pStyle w:val="Header"/>
      <w:ind w:right="360" w:firstLine="360"/>
      <w:jc w:val="right"/>
      <w:rPr>
        <w:rStyle w:val="PageNumber"/>
      </w:rPr>
    </w:pPr>
    <w:fldSimple w:instr=" STYLEREF  &quot;Report title&quot; ">
      <w:r w:rsidR="000B4A6A">
        <w:rPr>
          <w:noProof/>
        </w:rPr>
        <w:t>REPORT ON ANNUAL AND FINANCIAL REPORTS 2015-2016</w:t>
      </w:r>
    </w:fldSimple>
    <w:r w:rsidR="00102026">
      <w:rPr>
        <w:rStyle w:val="PageNumber"/>
      </w:rPr>
      <w:t xml:space="preserve">  </w:t>
    </w:r>
  </w:p>
  <w:p w:rsidR="00102026" w:rsidRDefault="00A23913" w:rsidP="00AC22A0">
    <w:pPr>
      <w:pStyle w:val="Header"/>
      <w:ind w:left="0" w:firstLine="0"/>
      <w:jc w:val="right"/>
    </w:pPr>
    <w:r>
      <w:pict>
        <v:rect id="_x0000_i1034" style="width:0;height:1.5pt" o:hralign="center" o:hrstd="t" o:hr="t" fillcolor="gray" stroked="f"/>
      </w:pict>
    </w:r>
  </w:p>
  <w:p w:rsidR="00102026" w:rsidRDefault="00102026"/>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26" w:rsidRDefault="001020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26" w:rsidRDefault="00A23913">
    <w:pPr>
      <w:pStyle w:val="Header"/>
      <w:jc w:val="right"/>
    </w:pPr>
    <w:fldSimple w:instr=" STYLEREF  &quot;Report title&quot; ">
      <w:r w:rsidR="000B4A6A">
        <w:rPr>
          <w:noProof/>
        </w:rPr>
        <w:t>REPORT ON ANNUAL AND FINANCIAL REPORTS 2015-2016</w:t>
      </w:r>
    </w:fldSimple>
    <w:r w:rsidR="00102026">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A6A" w:rsidRDefault="000B4A6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26" w:rsidRDefault="00A23913" w:rsidP="00A8688C">
    <w:pPr>
      <w:pStyle w:val="Header"/>
      <w:ind w:left="0" w:right="357" w:firstLine="6"/>
    </w:pPr>
    <w:fldSimple w:instr=" STYLEREF &quot;Committee name&quot;">
      <w:r w:rsidR="000B4A6A">
        <w:rPr>
          <w:noProof/>
        </w:rPr>
        <w:t>STANDING COMMITTEE ON ECONOMIC DEVELOPMENT AND TOURISM</w:t>
      </w:r>
    </w:fldSimple>
  </w:p>
  <w:p w:rsidR="00102026" w:rsidRDefault="00A23913" w:rsidP="00A54473">
    <w:r>
      <w:pict>
        <v:rect id="_x0000_i1025" style="width:0;height:1.5pt" o:hralign="center" o:hrstd="t" o:hr="t" fillcolor="gray" stroked="f"/>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26" w:rsidRDefault="00A23913" w:rsidP="00A8688C">
    <w:pPr>
      <w:pStyle w:val="Header"/>
      <w:ind w:left="0" w:right="567" w:firstLine="0"/>
      <w:jc w:val="right"/>
      <w:rPr>
        <w:rStyle w:val="PageNumber"/>
      </w:rPr>
    </w:pPr>
    <w:fldSimple w:instr=" STYLEREF  &quot;Report title&quot; ">
      <w:r w:rsidR="000B4A6A">
        <w:rPr>
          <w:noProof/>
        </w:rPr>
        <w:t>REPORT ON ANNUAL AND FINANCIAL REPORTS 2015-2016</w:t>
      </w:r>
    </w:fldSimple>
    <w:r w:rsidR="00102026">
      <w:rPr>
        <w:rStyle w:val="PageNumber"/>
      </w:rPr>
      <w:t xml:space="preserve">  </w:t>
    </w:r>
  </w:p>
  <w:p w:rsidR="00102026" w:rsidRDefault="00A23913" w:rsidP="00AC22A0">
    <w:pPr>
      <w:pStyle w:val="Header"/>
      <w:ind w:left="0" w:firstLine="0"/>
      <w:jc w:val="right"/>
    </w:pPr>
    <w:r>
      <w:pict>
        <v:rect id="_x0000_i1026" style="width:0;height:1.5pt" o:hralign="center" o:hrstd="t" o:hr="t" fillcolor="gray"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26" w:rsidRDefault="0010202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26" w:rsidRPr="00D70E14" w:rsidRDefault="00A23913" w:rsidP="00110FA4">
    <w:pPr>
      <w:pStyle w:val="Header"/>
      <w:ind w:right="360" w:firstLine="4"/>
    </w:pPr>
    <w:fldSimple w:instr=" STYLEREF  &quot;Committee name&quot;  \* MERGEFORMAT ">
      <w:r w:rsidR="000B4A6A" w:rsidRPr="000B4A6A">
        <w:rPr>
          <w:bCs/>
          <w:noProof/>
          <w:lang w:val="en-US"/>
        </w:rPr>
        <w:t>STANDING</w:t>
      </w:r>
      <w:r w:rsidR="000B4A6A">
        <w:rPr>
          <w:noProof/>
        </w:rPr>
        <w:t xml:space="preserve"> COMMITTEE ON ECONOMIC DEVELOPMENT AND TOURISM</w:t>
      </w:r>
    </w:fldSimple>
  </w:p>
  <w:p w:rsidR="00102026" w:rsidRDefault="00A23913">
    <w:r>
      <w:pict>
        <v:rect id="_x0000_i1027" style="width:0;height:1.5pt" o:hralign="center" o:hrstd="t" o:hr="t" fillcolor="gray" stroked="f"/>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26" w:rsidRDefault="00102026" w:rsidP="00A8688C">
    <w:pPr>
      <w:pStyle w:val="Header"/>
      <w:ind w:firstLine="0"/>
      <w:jc w:val="right"/>
    </w:pPr>
  </w:p>
  <w:p w:rsidR="00102026" w:rsidRDefault="00A23913" w:rsidP="00A8688C">
    <w:pPr>
      <w:pStyle w:val="Header"/>
      <w:ind w:firstLine="0"/>
      <w:jc w:val="right"/>
    </w:pPr>
    <w:fldSimple w:instr=" STYLEREF  &quot;Report title&quot; ">
      <w:r w:rsidR="000B4A6A">
        <w:rPr>
          <w:noProof/>
        </w:rPr>
        <w:t>REPORT ON ANNUAL AND FINANCIAL REPORTS 2015-2016</w:t>
      </w:r>
    </w:fldSimple>
  </w:p>
  <w:p w:rsidR="00102026" w:rsidRDefault="00A23913" w:rsidP="00AC22A0">
    <w:pPr>
      <w:pStyle w:val="Header"/>
      <w:ind w:left="0" w:firstLine="0"/>
      <w:jc w:val="right"/>
    </w:pPr>
    <w:r>
      <w:pict>
        <v:rect id="_x0000_i1028" style="width:0;height:1.5pt" o:hralign="center" o:hrstd="t" o:hr="t" fillcolor="gray" stroked="f"/>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26" w:rsidRDefault="001020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48434C"/>
    <w:lvl w:ilvl="0">
      <w:start w:val="1"/>
      <w:numFmt w:val="bullet"/>
      <w:pStyle w:val="ListBullet2"/>
      <w:lvlText w:val=""/>
      <w:lvlJc w:val="left"/>
      <w:pPr>
        <w:tabs>
          <w:tab w:val="num" w:pos="1247"/>
        </w:tabs>
        <w:ind w:left="1247" w:hanging="283"/>
      </w:pPr>
      <w:rPr>
        <w:rFonts w:ascii="Symbol" w:hAnsi="Symbol" w:hint="default"/>
        <w:color w:val="999999"/>
        <w:sz w:val="20"/>
        <w:szCs w:val="20"/>
      </w:rPr>
    </w:lvl>
  </w:abstractNum>
  <w:abstractNum w:abstractNumId="1">
    <w:nsid w:val="FFFFFF89"/>
    <w:multiLevelType w:val="singleLevel"/>
    <w:tmpl w:val="C39CF02A"/>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2">
    <w:nsid w:val="17B11FB6"/>
    <w:multiLevelType w:val="multilevel"/>
    <w:tmpl w:val="92847E70"/>
    <w:styleLink w:val="test1"/>
    <w:lvl w:ilvl="0">
      <w:start w:val="1"/>
      <w:numFmt w:val="decimal"/>
      <w:pStyle w:val="Heading1"/>
      <w:lvlText w:val="%1"/>
      <w:lvlJc w:val="left"/>
      <w:pPr>
        <w:tabs>
          <w:tab w:val="num" w:pos="680"/>
        </w:tabs>
        <w:ind w:left="567" w:hanging="567"/>
      </w:pPr>
      <w:rPr>
        <w:rFonts w:ascii="Arial Narrow" w:hAnsi="Arial Narrow" w:hint="default"/>
        <w:b/>
        <w:i w:val="0"/>
        <w:sz w:val="44"/>
      </w:rPr>
    </w:lvl>
    <w:lvl w:ilvl="1">
      <w:start w:val="1"/>
      <w:numFmt w:val="none"/>
      <w:lvlRestart w:val="0"/>
      <w:pStyle w:val="Headinglevel2"/>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pStyle w:val="Headinglevel3"/>
      <w:lvlText w:val=""/>
      <w:lvlJc w:val="left"/>
      <w:pPr>
        <w:tabs>
          <w:tab w:val="num" w:pos="720"/>
        </w:tabs>
        <w:ind w:left="454" w:hanging="454"/>
      </w:pPr>
      <w:rPr>
        <w:rFonts w:hint="default"/>
      </w:rPr>
    </w:lvl>
    <w:lvl w:ilvl="3">
      <w:start w:val="1"/>
      <w:numFmt w:val="none"/>
      <w:lvlRestart w:val="0"/>
      <w:pStyle w:val="Headinglevel4"/>
      <w:lvlText w:val=""/>
      <w:lvlJc w:val="left"/>
      <w:pPr>
        <w:tabs>
          <w:tab w:val="num" w:pos="864"/>
        </w:tabs>
        <w:ind w:left="340" w:hanging="340"/>
      </w:pPr>
      <w:rPr>
        <w:rFonts w:hint="default"/>
      </w:rPr>
    </w:lvl>
    <w:lvl w:ilvl="4">
      <w:start w:val="1"/>
      <w:numFmt w:val="none"/>
      <w:lvlRestart w:val="0"/>
      <w:pStyle w:val="Headinglevel5"/>
      <w:lvlText w:val=""/>
      <w:lvlJc w:val="left"/>
      <w:pPr>
        <w:tabs>
          <w:tab w:val="num" w:pos="1008"/>
        </w:tabs>
        <w:ind w:left="340" w:hanging="340"/>
      </w:pPr>
      <w:rPr>
        <w:rFonts w:hint="default"/>
      </w:rPr>
    </w:lvl>
    <w:lvl w:ilvl="5">
      <w:start w:val="1"/>
      <w:numFmt w:val="decimal"/>
      <w:lvlRestart w:val="1"/>
      <w:pStyle w:val="BodyText1"/>
      <w:lvlText w:val="%1.%6"/>
      <w:lvlJc w:val="left"/>
      <w:pPr>
        <w:ind w:left="567" w:hanging="567"/>
      </w:pPr>
      <w:rPr>
        <w:rFonts w:ascii="Calibri" w:hAnsi="Calibri" w:hint="default"/>
        <w:sz w:val="22"/>
      </w:rPr>
    </w:lvl>
    <w:lvl w:ilvl="6">
      <w:start w:val="1"/>
      <w:numFmt w:val="decimal"/>
      <w:lvlRestart w:val="0"/>
      <w:pStyle w:val="Recommendation"/>
      <w:lvlText w:val="Recommendation %7"/>
      <w:lvlJc w:val="left"/>
      <w:pPr>
        <w:ind w:left="142" w:firstLine="0"/>
      </w:pPr>
      <w:rPr>
        <w:rFonts w:ascii="Arial Narrow" w:hAnsi="Arial Narrow" w:hint="default"/>
        <w:b/>
        <w:i w:val="0"/>
        <w:sz w:val="28"/>
      </w:rPr>
    </w:lvl>
    <w:lvl w:ilvl="7">
      <w:start w:val="1"/>
      <w:numFmt w:val="upperLetter"/>
      <w:pStyle w:val="AppendixHeading1"/>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3">
    <w:nsid w:val="1E222A15"/>
    <w:multiLevelType w:val="hybridMultilevel"/>
    <w:tmpl w:val="620A783C"/>
    <w:lvl w:ilvl="0" w:tplc="FC3C580E">
      <w:start w:val="1"/>
      <w:numFmt w:val="bullet"/>
      <w:pStyle w:val="BulletedTextKM"/>
      <w:lvlText w:val="•"/>
      <w:lvlJc w:val="left"/>
      <w:pPr>
        <w:tabs>
          <w:tab w:val="num" w:pos="1247"/>
        </w:tabs>
        <w:ind w:left="1247" w:hanging="567"/>
      </w:pPr>
      <w:rPr>
        <w:rFonts w:ascii="Arial" w:hAnsi="Arial" w:hint="default"/>
        <w:color w:val="000000"/>
        <w:sz w:val="28"/>
        <w:szCs w:val="28"/>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4">
    <w:nsid w:val="2160174C"/>
    <w:multiLevelType w:val="hybridMultilevel"/>
    <w:tmpl w:val="C3447F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A913E4"/>
    <w:multiLevelType w:val="multilevel"/>
    <w:tmpl w:val="92847E70"/>
    <w:numStyleLink w:val="test1"/>
  </w:abstractNum>
  <w:abstractNum w:abstractNumId="6">
    <w:nsid w:val="2E594593"/>
    <w:multiLevelType w:val="hybridMultilevel"/>
    <w:tmpl w:val="DD2805C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325344C7"/>
    <w:multiLevelType w:val="multilevel"/>
    <w:tmpl w:val="6F8CB9FC"/>
    <w:name w:val="new2"/>
    <w:lvl w:ilvl="0">
      <w:start w:val="1"/>
      <w:numFmt w:val="decimal"/>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8">
    <w:nsid w:val="4A805768"/>
    <w:multiLevelType w:val="multilevel"/>
    <w:tmpl w:val="286AAF76"/>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ascii="Palatino Linotype" w:hAnsi="Palatino Linotype" w:hint="default"/>
        <w:b w:val="0"/>
        <w:i w:val="0"/>
        <w:caps w:val="0"/>
        <w:vanish w:val="0"/>
        <w:w w:val="95"/>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5EB6C97"/>
    <w:multiLevelType w:val="hybridMultilevel"/>
    <w:tmpl w:val="3676AF38"/>
    <w:lvl w:ilvl="0" w:tplc="6E203FFC">
      <w:start w:val="1"/>
      <w:numFmt w:val="bullet"/>
      <w:lvlText w:val=""/>
      <w:lvlJc w:val="left"/>
      <w:pPr>
        <w:ind w:left="720" w:hanging="360"/>
      </w:pPr>
      <w:rPr>
        <w:rFonts w:ascii="Wingdings" w:hAnsi="Wingdings" w:hint="default"/>
      </w:rPr>
    </w:lvl>
    <w:lvl w:ilvl="1" w:tplc="F28808E6" w:tentative="1">
      <w:start w:val="1"/>
      <w:numFmt w:val="bullet"/>
      <w:lvlText w:val="o"/>
      <w:lvlJc w:val="left"/>
      <w:pPr>
        <w:ind w:left="1440" w:hanging="360"/>
      </w:pPr>
      <w:rPr>
        <w:rFonts w:ascii="Courier New" w:hAnsi="Courier New" w:cs="Courier New" w:hint="default"/>
      </w:rPr>
    </w:lvl>
    <w:lvl w:ilvl="2" w:tplc="C02CF084" w:tentative="1">
      <w:start w:val="1"/>
      <w:numFmt w:val="bullet"/>
      <w:lvlText w:val=""/>
      <w:lvlJc w:val="left"/>
      <w:pPr>
        <w:ind w:left="2160" w:hanging="360"/>
      </w:pPr>
      <w:rPr>
        <w:rFonts w:ascii="Wingdings" w:hAnsi="Wingdings" w:hint="default"/>
      </w:rPr>
    </w:lvl>
    <w:lvl w:ilvl="3" w:tplc="A396235A" w:tentative="1">
      <w:start w:val="1"/>
      <w:numFmt w:val="bullet"/>
      <w:lvlText w:val=""/>
      <w:lvlJc w:val="left"/>
      <w:pPr>
        <w:ind w:left="2880" w:hanging="360"/>
      </w:pPr>
      <w:rPr>
        <w:rFonts w:ascii="Symbol" w:hAnsi="Symbol" w:hint="default"/>
      </w:rPr>
    </w:lvl>
    <w:lvl w:ilvl="4" w:tplc="74F2C25C" w:tentative="1">
      <w:start w:val="1"/>
      <w:numFmt w:val="bullet"/>
      <w:lvlText w:val="o"/>
      <w:lvlJc w:val="left"/>
      <w:pPr>
        <w:ind w:left="3600" w:hanging="360"/>
      </w:pPr>
      <w:rPr>
        <w:rFonts w:ascii="Courier New" w:hAnsi="Courier New" w:cs="Courier New" w:hint="default"/>
      </w:rPr>
    </w:lvl>
    <w:lvl w:ilvl="5" w:tplc="FA02BFA2" w:tentative="1">
      <w:start w:val="1"/>
      <w:numFmt w:val="bullet"/>
      <w:lvlText w:val=""/>
      <w:lvlJc w:val="left"/>
      <w:pPr>
        <w:ind w:left="4320" w:hanging="360"/>
      </w:pPr>
      <w:rPr>
        <w:rFonts w:ascii="Wingdings" w:hAnsi="Wingdings" w:hint="default"/>
      </w:rPr>
    </w:lvl>
    <w:lvl w:ilvl="6" w:tplc="35960CD0" w:tentative="1">
      <w:start w:val="1"/>
      <w:numFmt w:val="bullet"/>
      <w:lvlText w:val=""/>
      <w:lvlJc w:val="left"/>
      <w:pPr>
        <w:ind w:left="5040" w:hanging="360"/>
      </w:pPr>
      <w:rPr>
        <w:rFonts w:ascii="Symbol" w:hAnsi="Symbol" w:hint="default"/>
      </w:rPr>
    </w:lvl>
    <w:lvl w:ilvl="7" w:tplc="ECE80780" w:tentative="1">
      <w:start w:val="1"/>
      <w:numFmt w:val="bullet"/>
      <w:lvlText w:val="o"/>
      <w:lvlJc w:val="left"/>
      <w:pPr>
        <w:ind w:left="5760" w:hanging="360"/>
      </w:pPr>
      <w:rPr>
        <w:rFonts w:ascii="Courier New" w:hAnsi="Courier New" w:cs="Courier New" w:hint="default"/>
      </w:rPr>
    </w:lvl>
    <w:lvl w:ilvl="8" w:tplc="24DEDDD2" w:tentative="1">
      <w:start w:val="1"/>
      <w:numFmt w:val="bullet"/>
      <w:lvlText w:val=""/>
      <w:lvlJc w:val="left"/>
      <w:pPr>
        <w:ind w:left="6480" w:hanging="360"/>
      </w:pPr>
      <w:rPr>
        <w:rFonts w:ascii="Wingdings" w:hAnsi="Wingdings" w:hint="default"/>
      </w:rPr>
    </w:lvl>
  </w:abstractNum>
  <w:abstractNum w:abstractNumId="10">
    <w:nsid w:val="565256AC"/>
    <w:multiLevelType w:val="multilevel"/>
    <w:tmpl w:val="B8123F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Bodytext"/>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7CD465E"/>
    <w:multiLevelType w:val="multilevel"/>
    <w:tmpl w:val="B02867B4"/>
    <w:lvl w:ilvl="0">
      <w:start w:val="1"/>
      <w:numFmt w:val="bullet"/>
      <w:pStyle w:val="ListNumber3"/>
      <w:lvlText w:val=""/>
      <w:lvlJc w:val="left"/>
      <w:pPr>
        <w:tabs>
          <w:tab w:val="num" w:pos="964"/>
        </w:tabs>
        <w:ind w:left="964" w:hanging="284"/>
      </w:pPr>
      <w:rPr>
        <w:rFonts w:ascii="Wingdings" w:hAnsi="Wingdings" w:hint="default"/>
        <w:sz w:val="24"/>
        <w:szCs w:val="24"/>
      </w:rPr>
    </w:lvl>
    <w:lvl w:ilvl="1">
      <w:start w:val="1"/>
      <w:numFmt w:val="bullet"/>
      <w:pStyle w:val="ListNumber3"/>
      <w:lvlText w:val=""/>
      <w:lvlJc w:val="left"/>
      <w:pPr>
        <w:tabs>
          <w:tab w:val="num" w:pos="284"/>
        </w:tabs>
        <w:ind w:left="284" w:hanging="284"/>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EA96F25"/>
    <w:multiLevelType w:val="hybridMultilevel"/>
    <w:tmpl w:val="65CE128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1"/>
  </w:num>
  <w:num w:numId="2">
    <w:abstractNumId w:val="1"/>
  </w:num>
  <w:num w:numId="3">
    <w:abstractNumId w:val="0"/>
  </w:num>
  <w:num w:numId="4">
    <w:abstractNumId w:val="8"/>
  </w:num>
  <w:num w:numId="5">
    <w:abstractNumId w:val="3"/>
  </w:num>
  <w:num w:numId="6">
    <w:abstractNumId w:val="7"/>
  </w:num>
  <w:num w:numId="7">
    <w:abstractNumId w:val="2"/>
    <w:lvlOverride w:ilvl="0">
      <w:lvl w:ilvl="0">
        <w:numFmt w:val="decimal"/>
        <w:pStyle w:val="Heading1"/>
        <w:lvlText w:val=""/>
        <w:lvlJc w:val="left"/>
      </w:lvl>
    </w:lvlOverride>
    <w:lvlOverride w:ilvl="1">
      <w:lvl w:ilvl="1">
        <w:numFmt w:val="decimal"/>
        <w:pStyle w:val="Headinglevel2"/>
        <w:lvlText w:val=""/>
        <w:lvlJc w:val="left"/>
      </w:lvl>
    </w:lvlOverride>
    <w:lvlOverride w:ilvl="2">
      <w:lvl w:ilvl="2">
        <w:numFmt w:val="decimal"/>
        <w:pStyle w:val="Headinglevel3"/>
        <w:lvlText w:val=""/>
        <w:lvlJc w:val="left"/>
      </w:lvl>
    </w:lvlOverride>
    <w:lvlOverride w:ilvl="3">
      <w:lvl w:ilvl="3">
        <w:numFmt w:val="decimal"/>
        <w:pStyle w:val="Headinglevel4"/>
        <w:lvlText w:val=""/>
        <w:lvlJc w:val="left"/>
      </w:lvl>
    </w:lvlOverride>
    <w:lvlOverride w:ilvl="4">
      <w:lvl w:ilvl="4">
        <w:numFmt w:val="decimal"/>
        <w:pStyle w:val="Headinglevel5"/>
        <w:lvlText w:val=""/>
        <w:lvlJc w:val="left"/>
      </w:lvl>
    </w:lvlOverride>
    <w:lvlOverride w:ilvl="5">
      <w:lvl w:ilvl="5">
        <w:numFmt w:val="decimal"/>
        <w:pStyle w:val="BodyText1"/>
        <w:lvlText w:val=""/>
        <w:lvlJc w:val="left"/>
      </w:lvl>
    </w:lvlOverride>
    <w:lvlOverride w:ilvl="6">
      <w:lvl w:ilvl="6">
        <w:numFmt w:val="decimal"/>
        <w:pStyle w:val="Recommendation"/>
        <w:lvlText w:val=""/>
        <w:lvlJc w:val="left"/>
      </w:lvl>
    </w:lvlOverride>
    <w:lvlOverride w:ilvl="7">
      <w:lvl w:ilvl="7">
        <w:start w:val="1"/>
        <w:numFmt w:val="upperLetter"/>
        <w:pStyle w:val="AppendixHeading1"/>
        <w:lvlText w:val="Appendix %8"/>
        <w:lvlJc w:val="left"/>
        <w:pPr>
          <w:tabs>
            <w:tab w:val="num" w:pos="1440"/>
          </w:tabs>
          <w:ind w:left="1440" w:hanging="1440"/>
        </w:pPr>
        <w:rPr>
          <w:rFonts w:ascii="Arial Narrow" w:hAnsi="Arial Narrow" w:hint="default"/>
          <w:caps w:val="0"/>
          <w:smallCaps/>
          <w:sz w:val="36"/>
        </w:rPr>
      </w:lvl>
    </w:lvlOverride>
  </w:num>
  <w:num w:numId="8">
    <w:abstractNumId w:val="5"/>
  </w:num>
  <w:num w:numId="9">
    <w:abstractNumId w:val="5"/>
  </w:num>
  <w:num w:numId="10">
    <w:abstractNumId w:val="2"/>
    <w:lvlOverride w:ilvl="0">
      <w:lvl w:ilvl="0">
        <w:start w:val="1"/>
        <w:numFmt w:val="decimal"/>
        <w:pStyle w:val="Heading1"/>
        <w:lvlText w:val="%1."/>
        <w:lvlJc w:val="left"/>
        <w:rPr>
          <w:rFonts w:ascii="Arial Narrow" w:eastAsia="Times New Roman" w:hAnsi="Arial Narrow" w:cs="Arial"/>
        </w:rPr>
      </w:lvl>
    </w:lvlOverride>
    <w:lvlOverride w:ilvl="1">
      <w:lvl w:ilvl="1">
        <w:numFmt w:val="decimal"/>
        <w:pStyle w:val="Headinglevel2"/>
        <w:lvlText w:val=""/>
        <w:lvlJc w:val="left"/>
      </w:lvl>
    </w:lvlOverride>
    <w:lvlOverride w:ilvl="2">
      <w:lvl w:ilvl="2">
        <w:numFmt w:val="decimal"/>
        <w:pStyle w:val="Headinglevel3"/>
        <w:lvlText w:val=""/>
        <w:lvlJc w:val="left"/>
      </w:lvl>
    </w:lvlOverride>
    <w:lvlOverride w:ilvl="3">
      <w:lvl w:ilvl="3">
        <w:numFmt w:val="decimal"/>
        <w:pStyle w:val="Headinglevel4"/>
        <w:lvlText w:val=""/>
        <w:lvlJc w:val="left"/>
      </w:lvl>
    </w:lvlOverride>
    <w:lvlOverride w:ilvl="4">
      <w:lvl w:ilvl="4">
        <w:numFmt w:val="decimal"/>
        <w:pStyle w:val="Headinglevel5"/>
        <w:lvlText w:val=""/>
        <w:lvlJc w:val="left"/>
      </w:lvl>
    </w:lvlOverride>
    <w:lvlOverride w:ilvl="5">
      <w:lvl w:ilvl="5">
        <w:start w:val="1"/>
        <w:numFmt w:val="decimal"/>
        <w:lvlRestart w:val="1"/>
        <w:pStyle w:val="BodyText1"/>
        <w:lvlText w:val="%1.%6"/>
        <w:lvlJc w:val="left"/>
        <w:pPr>
          <w:ind w:left="567" w:hanging="567"/>
        </w:pPr>
        <w:rPr>
          <w:rFonts w:ascii="Calibri" w:hAnsi="Calibri" w:hint="default"/>
          <w:b w:val="0"/>
          <w:sz w:val="22"/>
        </w:rPr>
      </w:lvl>
    </w:lvlOverride>
  </w:num>
  <w:num w:numId="11">
    <w:abstractNumId w:val="2"/>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9"/>
  </w:num>
  <w:num w:numId="21">
    <w:abstractNumId w:val="2"/>
  </w:num>
  <w:num w:numId="22">
    <w:abstractNumId w:val="2"/>
  </w:num>
  <w:num w:numId="23">
    <w:abstractNumId w:val="2"/>
  </w:num>
  <w:num w:numId="24">
    <w:abstractNumId w:val="2"/>
  </w:num>
  <w:num w:numId="25">
    <w:abstractNumId w:val="2"/>
  </w:num>
  <w:num w:numId="26">
    <w:abstractNumId w:val="2"/>
  </w:num>
  <w:num w:numId="27">
    <w:abstractNumId w:val="4"/>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12"/>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0"/>
  </w:num>
  <w:num w:numId="39">
    <w:abstractNumId w:val="8"/>
  </w:num>
  <w:num w:numId="40">
    <w:abstractNumId w:val="2"/>
    <w:lvlOverride w:ilvl="0">
      <w:lvl w:ilvl="0">
        <w:start w:val="1"/>
        <w:numFmt w:val="decimal"/>
        <w:pStyle w:val="Heading1"/>
        <w:lvlText w:val="%1."/>
        <w:lvlJc w:val="left"/>
        <w:rPr>
          <w:rFonts w:ascii="Arial Narrow" w:eastAsia="Times New Roman" w:hAnsi="Arial Narrow" w:cs="Arial"/>
        </w:rPr>
      </w:lvl>
    </w:lvlOverride>
    <w:lvlOverride w:ilvl="1">
      <w:lvl w:ilvl="1">
        <w:numFmt w:val="decimal"/>
        <w:pStyle w:val="Headinglevel2"/>
        <w:lvlText w:val=""/>
        <w:lvlJc w:val="left"/>
      </w:lvl>
    </w:lvlOverride>
    <w:lvlOverride w:ilvl="2">
      <w:lvl w:ilvl="2">
        <w:numFmt w:val="decimal"/>
        <w:pStyle w:val="Headinglevel3"/>
        <w:lvlText w:val=""/>
        <w:lvlJc w:val="left"/>
      </w:lvl>
    </w:lvlOverride>
    <w:lvlOverride w:ilvl="3">
      <w:lvl w:ilvl="3">
        <w:numFmt w:val="decimal"/>
        <w:pStyle w:val="Headinglevel4"/>
        <w:lvlText w:val=""/>
        <w:lvlJc w:val="left"/>
      </w:lvl>
    </w:lvlOverride>
    <w:lvlOverride w:ilvl="4">
      <w:lvl w:ilvl="4">
        <w:numFmt w:val="decimal"/>
        <w:pStyle w:val="Headinglevel5"/>
        <w:lvlText w:val=""/>
        <w:lvlJc w:val="left"/>
      </w:lvl>
    </w:lvlOverride>
    <w:lvlOverride w:ilvl="5">
      <w:lvl w:ilvl="5">
        <w:start w:val="1"/>
        <w:numFmt w:val="decimal"/>
        <w:lvlRestart w:val="1"/>
        <w:pStyle w:val="BodyText1"/>
        <w:lvlText w:val="%1.%6"/>
        <w:lvlJc w:val="left"/>
        <w:pPr>
          <w:ind w:left="567" w:hanging="567"/>
        </w:pPr>
        <w:rPr>
          <w:rFonts w:ascii="Calibri" w:hAnsi="Calibri" w:hint="default"/>
          <w:b w:val="0"/>
          <w:sz w:val="22"/>
        </w:rPr>
      </w:lvl>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TrueTypeFonts/>
  <w:saveSubsetFonts/>
  <w:attachedTemplate r:id="rId1"/>
  <w:stylePaneFormatFilter w:val="3F01"/>
  <w:defaultTabStop w:val="720"/>
  <w:evenAndOddHeaders/>
  <w:drawingGridHorizontalSpacing w:val="110"/>
  <w:displayHorizontalDrawingGridEvery w:val="2"/>
  <w:noPunctuationKerning/>
  <w:characterSpacingControl w:val="doNotCompress"/>
  <w:hdrShapeDefaults>
    <o:shapedefaults v:ext="edit" spidmax="28683"/>
  </w:hdrShapeDefaults>
  <w:footnotePr>
    <w:footnote w:id="-1"/>
    <w:footnote w:id="0"/>
  </w:footnotePr>
  <w:endnotePr>
    <w:endnote w:id="-1"/>
    <w:endnote w:id="0"/>
  </w:endnotePr>
  <w:compat/>
  <w:rsids>
    <w:rsidRoot w:val="009232F1"/>
    <w:rsid w:val="00002730"/>
    <w:rsid w:val="00010A4C"/>
    <w:rsid w:val="000135E9"/>
    <w:rsid w:val="00014973"/>
    <w:rsid w:val="000161FB"/>
    <w:rsid w:val="00017D52"/>
    <w:rsid w:val="00020BB5"/>
    <w:rsid w:val="00022DFF"/>
    <w:rsid w:val="00024877"/>
    <w:rsid w:val="00025184"/>
    <w:rsid w:val="000253AB"/>
    <w:rsid w:val="0002797A"/>
    <w:rsid w:val="00030EBE"/>
    <w:rsid w:val="0003415F"/>
    <w:rsid w:val="00037305"/>
    <w:rsid w:val="00037EB4"/>
    <w:rsid w:val="00040E02"/>
    <w:rsid w:val="00042ACA"/>
    <w:rsid w:val="00047B55"/>
    <w:rsid w:val="00051B22"/>
    <w:rsid w:val="0005258C"/>
    <w:rsid w:val="000539B4"/>
    <w:rsid w:val="000557F4"/>
    <w:rsid w:val="00057E99"/>
    <w:rsid w:val="00060108"/>
    <w:rsid w:val="0006027D"/>
    <w:rsid w:val="000663A7"/>
    <w:rsid w:val="0007060A"/>
    <w:rsid w:val="0008221E"/>
    <w:rsid w:val="0008411D"/>
    <w:rsid w:val="00086C31"/>
    <w:rsid w:val="00086F0C"/>
    <w:rsid w:val="0008705A"/>
    <w:rsid w:val="0009234C"/>
    <w:rsid w:val="0009238E"/>
    <w:rsid w:val="00096E3A"/>
    <w:rsid w:val="000A5A7B"/>
    <w:rsid w:val="000A797D"/>
    <w:rsid w:val="000B1CEB"/>
    <w:rsid w:val="000B2B62"/>
    <w:rsid w:val="000B4094"/>
    <w:rsid w:val="000B4A6A"/>
    <w:rsid w:val="000B7A59"/>
    <w:rsid w:val="000C2112"/>
    <w:rsid w:val="000C4EFA"/>
    <w:rsid w:val="000C54EF"/>
    <w:rsid w:val="000D2895"/>
    <w:rsid w:val="000D30D0"/>
    <w:rsid w:val="000D3E58"/>
    <w:rsid w:val="000D6C9A"/>
    <w:rsid w:val="000E29E2"/>
    <w:rsid w:val="000E2EF4"/>
    <w:rsid w:val="000E7567"/>
    <w:rsid w:val="000F2496"/>
    <w:rsid w:val="000F57F4"/>
    <w:rsid w:val="00102026"/>
    <w:rsid w:val="001027FA"/>
    <w:rsid w:val="00103212"/>
    <w:rsid w:val="00106AF3"/>
    <w:rsid w:val="00110828"/>
    <w:rsid w:val="00110FA4"/>
    <w:rsid w:val="00113E77"/>
    <w:rsid w:val="001176D7"/>
    <w:rsid w:val="0011795D"/>
    <w:rsid w:val="00122697"/>
    <w:rsid w:val="0012342E"/>
    <w:rsid w:val="00123676"/>
    <w:rsid w:val="00123C42"/>
    <w:rsid w:val="00124F8D"/>
    <w:rsid w:val="00125E8B"/>
    <w:rsid w:val="001265BF"/>
    <w:rsid w:val="00135ACD"/>
    <w:rsid w:val="00136794"/>
    <w:rsid w:val="001438C8"/>
    <w:rsid w:val="001466AC"/>
    <w:rsid w:val="001511D4"/>
    <w:rsid w:val="00153845"/>
    <w:rsid w:val="0015794F"/>
    <w:rsid w:val="00161018"/>
    <w:rsid w:val="001610DB"/>
    <w:rsid w:val="00161665"/>
    <w:rsid w:val="00161B5E"/>
    <w:rsid w:val="00162935"/>
    <w:rsid w:val="001647BE"/>
    <w:rsid w:val="00167854"/>
    <w:rsid w:val="001716E4"/>
    <w:rsid w:val="00172E87"/>
    <w:rsid w:val="001752DC"/>
    <w:rsid w:val="00183FBF"/>
    <w:rsid w:val="001862EC"/>
    <w:rsid w:val="00186FD3"/>
    <w:rsid w:val="0019266B"/>
    <w:rsid w:val="001A061D"/>
    <w:rsid w:val="001A0DBE"/>
    <w:rsid w:val="001A50C5"/>
    <w:rsid w:val="001A5DB1"/>
    <w:rsid w:val="001B0151"/>
    <w:rsid w:val="001B2B71"/>
    <w:rsid w:val="001B2C3C"/>
    <w:rsid w:val="001B5F6D"/>
    <w:rsid w:val="001C20E1"/>
    <w:rsid w:val="001C36AB"/>
    <w:rsid w:val="001C49DC"/>
    <w:rsid w:val="001C62AF"/>
    <w:rsid w:val="001C6B30"/>
    <w:rsid w:val="001C746F"/>
    <w:rsid w:val="001D009F"/>
    <w:rsid w:val="001D17CF"/>
    <w:rsid w:val="001D4944"/>
    <w:rsid w:val="001E2D30"/>
    <w:rsid w:val="001E3A56"/>
    <w:rsid w:val="001F55A9"/>
    <w:rsid w:val="001F58CC"/>
    <w:rsid w:val="00204CCC"/>
    <w:rsid w:val="0020680D"/>
    <w:rsid w:val="00211DBE"/>
    <w:rsid w:val="00212EAE"/>
    <w:rsid w:val="002165CF"/>
    <w:rsid w:val="00216CC7"/>
    <w:rsid w:val="00217413"/>
    <w:rsid w:val="0023255A"/>
    <w:rsid w:val="0024114C"/>
    <w:rsid w:val="002414E0"/>
    <w:rsid w:val="00243BBE"/>
    <w:rsid w:val="00245766"/>
    <w:rsid w:val="002471CA"/>
    <w:rsid w:val="002520C1"/>
    <w:rsid w:val="00255A3D"/>
    <w:rsid w:val="00260D82"/>
    <w:rsid w:val="00260F29"/>
    <w:rsid w:val="002634A3"/>
    <w:rsid w:val="00264964"/>
    <w:rsid w:val="00265E4D"/>
    <w:rsid w:val="00265F47"/>
    <w:rsid w:val="00265F91"/>
    <w:rsid w:val="00271E23"/>
    <w:rsid w:val="00274DBC"/>
    <w:rsid w:val="00283AF9"/>
    <w:rsid w:val="00284C21"/>
    <w:rsid w:val="00285EC2"/>
    <w:rsid w:val="002868FF"/>
    <w:rsid w:val="002A1EB2"/>
    <w:rsid w:val="002A45D5"/>
    <w:rsid w:val="002A64FA"/>
    <w:rsid w:val="002B1F09"/>
    <w:rsid w:val="002B2B3B"/>
    <w:rsid w:val="002B5A24"/>
    <w:rsid w:val="002B5C68"/>
    <w:rsid w:val="002B5D24"/>
    <w:rsid w:val="002B75A6"/>
    <w:rsid w:val="002C4E6E"/>
    <w:rsid w:val="002C6523"/>
    <w:rsid w:val="002D0BC9"/>
    <w:rsid w:val="002D1F26"/>
    <w:rsid w:val="002D5959"/>
    <w:rsid w:val="002D5FCE"/>
    <w:rsid w:val="002E1A91"/>
    <w:rsid w:val="002E3975"/>
    <w:rsid w:val="002E676A"/>
    <w:rsid w:val="002F0E4D"/>
    <w:rsid w:val="002F2850"/>
    <w:rsid w:val="002F2DF9"/>
    <w:rsid w:val="002F499D"/>
    <w:rsid w:val="00300A7C"/>
    <w:rsid w:val="00301919"/>
    <w:rsid w:val="0030320A"/>
    <w:rsid w:val="00305328"/>
    <w:rsid w:val="0031182F"/>
    <w:rsid w:val="00315E5B"/>
    <w:rsid w:val="003161A0"/>
    <w:rsid w:val="0032018A"/>
    <w:rsid w:val="0032187F"/>
    <w:rsid w:val="003260BE"/>
    <w:rsid w:val="00327F83"/>
    <w:rsid w:val="00331CFA"/>
    <w:rsid w:val="0033440C"/>
    <w:rsid w:val="0033446E"/>
    <w:rsid w:val="003374BA"/>
    <w:rsid w:val="00347AF5"/>
    <w:rsid w:val="003536AD"/>
    <w:rsid w:val="003557A9"/>
    <w:rsid w:val="00355CF2"/>
    <w:rsid w:val="00360697"/>
    <w:rsid w:val="003606E5"/>
    <w:rsid w:val="00362C6F"/>
    <w:rsid w:val="00362DD0"/>
    <w:rsid w:val="00363B25"/>
    <w:rsid w:val="0036524C"/>
    <w:rsid w:val="0036544A"/>
    <w:rsid w:val="00367DAF"/>
    <w:rsid w:val="00370C68"/>
    <w:rsid w:val="00375031"/>
    <w:rsid w:val="00380BCF"/>
    <w:rsid w:val="0038248A"/>
    <w:rsid w:val="00385430"/>
    <w:rsid w:val="0038734F"/>
    <w:rsid w:val="00392FBF"/>
    <w:rsid w:val="00393356"/>
    <w:rsid w:val="00396FF9"/>
    <w:rsid w:val="003A020A"/>
    <w:rsid w:val="003A4417"/>
    <w:rsid w:val="003B13F7"/>
    <w:rsid w:val="003B1FBD"/>
    <w:rsid w:val="003B2B3B"/>
    <w:rsid w:val="003B5A9F"/>
    <w:rsid w:val="003B7DEA"/>
    <w:rsid w:val="003B7E6A"/>
    <w:rsid w:val="003C10C7"/>
    <w:rsid w:val="003C4E99"/>
    <w:rsid w:val="003C6A70"/>
    <w:rsid w:val="003C6D3D"/>
    <w:rsid w:val="003D0451"/>
    <w:rsid w:val="003D0599"/>
    <w:rsid w:val="003D6AA3"/>
    <w:rsid w:val="003E0CF7"/>
    <w:rsid w:val="003E264E"/>
    <w:rsid w:val="003E346B"/>
    <w:rsid w:val="003E54AE"/>
    <w:rsid w:val="003E694F"/>
    <w:rsid w:val="003E7EED"/>
    <w:rsid w:val="003F3279"/>
    <w:rsid w:val="003F679A"/>
    <w:rsid w:val="003F70F6"/>
    <w:rsid w:val="003F7DA9"/>
    <w:rsid w:val="00400B8E"/>
    <w:rsid w:val="00405144"/>
    <w:rsid w:val="004107AA"/>
    <w:rsid w:val="00412BCD"/>
    <w:rsid w:val="00415731"/>
    <w:rsid w:val="00415CDF"/>
    <w:rsid w:val="00415EF1"/>
    <w:rsid w:val="00416520"/>
    <w:rsid w:val="00416BAF"/>
    <w:rsid w:val="00424B6E"/>
    <w:rsid w:val="00427354"/>
    <w:rsid w:val="00432BE6"/>
    <w:rsid w:val="00436AE4"/>
    <w:rsid w:val="00440232"/>
    <w:rsid w:val="004410E8"/>
    <w:rsid w:val="00441B58"/>
    <w:rsid w:val="00450878"/>
    <w:rsid w:val="00460E48"/>
    <w:rsid w:val="00462F49"/>
    <w:rsid w:val="00464BFE"/>
    <w:rsid w:val="004669D4"/>
    <w:rsid w:val="00467835"/>
    <w:rsid w:val="00470CE9"/>
    <w:rsid w:val="00471ED7"/>
    <w:rsid w:val="00472519"/>
    <w:rsid w:val="0047283D"/>
    <w:rsid w:val="00474BE5"/>
    <w:rsid w:val="00475450"/>
    <w:rsid w:val="00480A0B"/>
    <w:rsid w:val="00484BAB"/>
    <w:rsid w:val="00493656"/>
    <w:rsid w:val="004A0B3D"/>
    <w:rsid w:val="004A2AD0"/>
    <w:rsid w:val="004A31E4"/>
    <w:rsid w:val="004A6DBD"/>
    <w:rsid w:val="004B09A0"/>
    <w:rsid w:val="004B420F"/>
    <w:rsid w:val="004C001F"/>
    <w:rsid w:val="004C5EF6"/>
    <w:rsid w:val="004C71BD"/>
    <w:rsid w:val="004D0855"/>
    <w:rsid w:val="004D1BB0"/>
    <w:rsid w:val="004D2CD2"/>
    <w:rsid w:val="004D3265"/>
    <w:rsid w:val="004D4A1D"/>
    <w:rsid w:val="004D5217"/>
    <w:rsid w:val="004D59AA"/>
    <w:rsid w:val="004E78B4"/>
    <w:rsid w:val="004F2A93"/>
    <w:rsid w:val="004F5D2D"/>
    <w:rsid w:val="00500D4E"/>
    <w:rsid w:val="00502DE2"/>
    <w:rsid w:val="00503847"/>
    <w:rsid w:val="005054EA"/>
    <w:rsid w:val="00505904"/>
    <w:rsid w:val="00506EF9"/>
    <w:rsid w:val="005072C5"/>
    <w:rsid w:val="00522D65"/>
    <w:rsid w:val="00522EEE"/>
    <w:rsid w:val="00523ED3"/>
    <w:rsid w:val="00525DDB"/>
    <w:rsid w:val="00526A4B"/>
    <w:rsid w:val="00530EE0"/>
    <w:rsid w:val="00532B3A"/>
    <w:rsid w:val="00533D61"/>
    <w:rsid w:val="00534AA5"/>
    <w:rsid w:val="00536029"/>
    <w:rsid w:val="00540D7C"/>
    <w:rsid w:val="00542FA6"/>
    <w:rsid w:val="00543443"/>
    <w:rsid w:val="00543D3C"/>
    <w:rsid w:val="00550404"/>
    <w:rsid w:val="005524AC"/>
    <w:rsid w:val="005563BB"/>
    <w:rsid w:val="00557EB4"/>
    <w:rsid w:val="005658A4"/>
    <w:rsid w:val="00565C0E"/>
    <w:rsid w:val="00566897"/>
    <w:rsid w:val="00570B4A"/>
    <w:rsid w:val="005731A8"/>
    <w:rsid w:val="00573A47"/>
    <w:rsid w:val="00575677"/>
    <w:rsid w:val="0057570C"/>
    <w:rsid w:val="005763AB"/>
    <w:rsid w:val="005811C8"/>
    <w:rsid w:val="0058268E"/>
    <w:rsid w:val="005829E8"/>
    <w:rsid w:val="005834B1"/>
    <w:rsid w:val="00584492"/>
    <w:rsid w:val="00585337"/>
    <w:rsid w:val="005873CD"/>
    <w:rsid w:val="005876D5"/>
    <w:rsid w:val="00596E51"/>
    <w:rsid w:val="00597C27"/>
    <w:rsid w:val="005A2443"/>
    <w:rsid w:val="005A50D4"/>
    <w:rsid w:val="005A74F5"/>
    <w:rsid w:val="005B17C1"/>
    <w:rsid w:val="005B3456"/>
    <w:rsid w:val="005B3E75"/>
    <w:rsid w:val="005B424B"/>
    <w:rsid w:val="005B60C2"/>
    <w:rsid w:val="005C1855"/>
    <w:rsid w:val="005C1AF5"/>
    <w:rsid w:val="005C6A2D"/>
    <w:rsid w:val="005D087B"/>
    <w:rsid w:val="005D51BE"/>
    <w:rsid w:val="005D5AB2"/>
    <w:rsid w:val="005E1900"/>
    <w:rsid w:val="005E283A"/>
    <w:rsid w:val="005E31D8"/>
    <w:rsid w:val="005E670D"/>
    <w:rsid w:val="005F1324"/>
    <w:rsid w:val="005F2C11"/>
    <w:rsid w:val="00601ABF"/>
    <w:rsid w:val="006108C0"/>
    <w:rsid w:val="00610B5E"/>
    <w:rsid w:val="00611074"/>
    <w:rsid w:val="006127A2"/>
    <w:rsid w:val="0061613F"/>
    <w:rsid w:val="00617C19"/>
    <w:rsid w:val="00621267"/>
    <w:rsid w:val="006257F6"/>
    <w:rsid w:val="00631F14"/>
    <w:rsid w:val="00635F9E"/>
    <w:rsid w:val="00635FB2"/>
    <w:rsid w:val="00636BAB"/>
    <w:rsid w:val="0064020A"/>
    <w:rsid w:val="0064182F"/>
    <w:rsid w:val="00642EE7"/>
    <w:rsid w:val="006464A3"/>
    <w:rsid w:val="00647540"/>
    <w:rsid w:val="006510E2"/>
    <w:rsid w:val="00651985"/>
    <w:rsid w:val="00653381"/>
    <w:rsid w:val="006534B0"/>
    <w:rsid w:val="006611C2"/>
    <w:rsid w:val="0066399E"/>
    <w:rsid w:val="006702FF"/>
    <w:rsid w:val="00670409"/>
    <w:rsid w:val="0067174D"/>
    <w:rsid w:val="00672013"/>
    <w:rsid w:val="00672199"/>
    <w:rsid w:val="0068635B"/>
    <w:rsid w:val="00686C32"/>
    <w:rsid w:val="00693538"/>
    <w:rsid w:val="00694CB1"/>
    <w:rsid w:val="00695B9A"/>
    <w:rsid w:val="00697906"/>
    <w:rsid w:val="006A2FF4"/>
    <w:rsid w:val="006A353C"/>
    <w:rsid w:val="006A5D41"/>
    <w:rsid w:val="006A63E6"/>
    <w:rsid w:val="006A66A1"/>
    <w:rsid w:val="006A6AC0"/>
    <w:rsid w:val="006B229A"/>
    <w:rsid w:val="006B485B"/>
    <w:rsid w:val="006B49D3"/>
    <w:rsid w:val="006B66F4"/>
    <w:rsid w:val="006B793D"/>
    <w:rsid w:val="006C03A6"/>
    <w:rsid w:val="006C09C9"/>
    <w:rsid w:val="006C13B2"/>
    <w:rsid w:val="006D553D"/>
    <w:rsid w:val="006E4017"/>
    <w:rsid w:val="006E50CD"/>
    <w:rsid w:val="006E735C"/>
    <w:rsid w:val="006F01F3"/>
    <w:rsid w:val="006F4495"/>
    <w:rsid w:val="006F7292"/>
    <w:rsid w:val="00701A7D"/>
    <w:rsid w:val="007020A8"/>
    <w:rsid w:val="00702729"/>
    <w:rsid w:val="00702C69"/>
    <w:rsid w:val="00713202"/>
    <w:rsid w:val="00715A96"/>
    <w:rsid w:val="007160C4"/>
    <w:rsid w:val="0071725E"/>
    <w:rsid w:val="0071763B"/>
    <w:rsid w:val="007201A8"/>
    <w:rsid w:val="00720BD1"/>
    <w:rsid w:val="00720CE9"/>
    <w:rsid w:val="007262D2"/>
    <w:rsid w:val="0073531F"/>
    <w:rsid w:val="00735B32"/>
    <w:rsid w:val="00735DFE"/>
    <w:rsid w:val="00736ECC"/>
    <w:rsid w:val="007415C3"/>
    <w:rsid w:val="00744725"/>
    <w:rsid w:val="00744BD5"/>
    <w:rsid w:val="00745AA3"/>
    <w:rsid w:val="00746A72"/>
    <w:rsid w:val="00750ED2"/>
    <w:rsid w:val="007528A0"/>
    <w:rsid w:val="00757CE7"/>
    <w:rsid w:val="0076272E"/>
    <w:rsid w:val="00764425"/>
    <w:rsid w:val="0076515C"/>
    <w:rsid w:val="0076612D"/>
    <w:rsid w:val="00775065"/>
    <w:rsid w:val="00776B7E"/>
    <w:rsid w:val="00780B47"/>
    <w:rsid w:val="00780EBA"/>
    <w:rsid w:val="00781900"/>
    <w:rsid w:val="00787DF5"/>
    <w:rsid w:val="00790965"/>
    <w:rsid w:val="00793E2D"/>
    <w:rsid w:val="00796EC3"/>
    <w:rsid w:val="007A0441"/>
    <w:rsid w:val="007A3020"/>
    <w:rsid w:val="007A3BDC"/>
    <w:rsid w:val="007A598F"/>
    <w:rsid w:val="007A5CB5"/>
    <w:rsid w:val="007B0E50"/>
    <w:rsid w:val="007B1962"/>
    <w:rsid w:val="007B31F6"/>
    <w:rsid w:val="007B394F"/>
    <w:rsid w:val="007B3ABE"/>
    <w:rsid w:val="007B5AD9"/>
    <w:rsid w:val="007B7771"/>
    <w:rsid w:val="007C1DDA"/>
    <w:rsid w:val="007C2CB7"/>
    <w:rsid w:val="007C403F"/>
    <w:rsid w:val="007D0CA2"/>
    <w:rsid w:val="007D13B2"/>
    <w:rsid w:val="007D661C"/>
    <w:rsid w:val="007D68C7"/>
    <w:rsid w:val="007E0F3A"/>
    <w:rsid w:val="007E29FB"/>
    <w:rsid w:val="007E443F"/>
    <w:rsid w:val="007E6B58"/>
    <w:rsid w:val="007E714D"/>
    <w:rsid w:val="007F2475"/>
    <w:rsid w:val="007F2DDA"/>
    <w:rsid w:val="007F351F"/>
    <w:rsid w:val="007F48B6"/>
    <w:rsid w:val="007F5E40"/>
    <w:rsid w:val="007F76C6"/>
    <w:rsid w:val="00801BCE"/>
    <w:rsid w:val="00805C73"/>
    <w:rsid w:val="008071CD"/>
    <w:rsid w:val="00812109"/>
    <w:rsid w:val="008134A6"/>
    <w:rsid w:val="00813C2C"/>
    <w:rsid w:val="008151D7"/>
    <w:rsid w:val="00817D23"/>
    <w:rsid w:val="0082177F"/>
    <w:rsid w:val="008224EC"/>
    <w:rsid w:val="008276F9"/>
    <w:rsid w:val="0083184F"/>
    <w:rsid w:val="00833FB2"/>
    <w:rsid w:val="00853964"/>
    <w:rsid w:val="0085429D"/>
    <w:rsid w:val="00860758"/>
    <w:rsid w:val="008641B6"/>
    <w:rsid w:val="00864654"/>
    <w:rsid w:val="00864DD0"/>
    <w:rsid w:val="00864E41"/>
    <w:rsid w:val="008652DF"/>
    <w:rsid w:val="00865645"/>
    <w:rsid w:val="00872B07"/>
    <w:rsid w:val="00873FC6"/>
    <w:rsid w:val="008750A1"/>
    <w:rsid w:val="00876181"/>
    <w:rsid w:val="00880A30"/>
    <w:rsid w:val="00881911"/>
    <w:rsid w:val="008833AB"/>
    <w:rsid w:val="00885DF5"/>
    <w:rsid w:val="00886C51"/>
    <w:rsid w:val="00886E0C"/>
    <w:rsid w:val="00887D19"/>
    <w:rsid w:val="008909CB"/>
    <w:rsid w:val="008A2B78"/>
    <w:rsid w:val="008A300C"/>
    <w:rsid w:val="008A3298"/>
    <w:rsid w:val="008A5982"/>
    <w:rsid w:val="008B1D6E"/>
    <w:rsid w:val="008B35C5"/>
    <w:rsid w:val="008C1341"/>
    <w:rsid w:val="008C26BD"/>
    <w:rsid w:val="008C35ED"/>
    <w:rsid w:val="008C3A56"/>
    <w:rsid w:val="008C3DD9"/>
    <w:rsid w:val="008D0BC6"/>
    <w:rsid w:val="008D1FB4"/>
    <w:rsid w:val="008D29D2"/>
    <w:rsid w:val="008E2BB2"/>
    <w:rsid w:val="008E2C0C"/>
    <w:rsid w:val="008E47B9"/>
    <w:rsid w:val="008E72AE"/>
    <w:rsid w:val="008F0610"/>
    <w:rsid w:val="008F0E1A"/>
    <w:rsid w:val="008F5219"/>
    <w:rsid w:val="008F5346"/>
    <w:rsid w:val="0090149C"/>
    <w:rsid w:val="00910431"/>
    <w:rsid w:val="0091562B"/>
    <w:rsid w:val="00916403"/>
    <w:rsid w:val="009166A4"/>
    <w:rsid w:val="00917543"/>
    <w:rsid w:val="009216BA"/>
    <w:rsid w:val="009232F1"/>
    <w:rsid w:val="00923EA4"/>
    <w:rsid w:val="00923FFF"/>
    <w:rsid w:val="009276BF"/>
    <w:rsid w:val="0093407E"/>
    <w:rsid w:val="009348CD"/>
    <w:rsid w:val="00936B77"/>
    <w:rsid w:val="00936E3F"/>
    <w:rsid w:val="00945888"/>
    <w:rsid w:val="009458A5"/>
    <w:rsid w:val="00946CE1"/>
    <w:rsid w:val="00953078"/>
    <w:rsid w:val="00954592"/>
    <w:rsid w:val="00955A59"/>
    <w:rsid w:val="00955B14"/>
    <w:rsid w:val="00956E29"/>
    <w:rsid w:val="00957111"/>
    <w:rsid w:val="00957CC8"/>
    <w:rsid w:val="009662CF"/>
    <w:rsid w:val="00967112"/>
    <w:rsid w:val="00970C34"/>
    <w:rsid w:val="00975541"/>
    <w:rsid w:val="00981335"/>
    <w:rsid w:val="00981CB7"/>
    <w:rsid w:val="00985703"/>
    <w:rsid w:val="00985743"/>
    <w:rsid w:val="009870A0"/>
    <w:rsid w:val="00993F9F"/>
    <w:rsid w:val="00995C24"/>
    <w:rsid w:val="00997027"/>
    <w:rsid w:val="00997E13"/>
    <w:rsid w:val="009A2091"/>
    <w:rsid w:val="009A2191"/>
    <w:rsid w:val="009A34FC"/>
    <w:rsid w:val="009A58FC"/>
    <w:rsid w:val="009B3F14"/>
    <w:rsid w:val="009C085C"/>
    <w:rsid w:val="009C20F3"/>
    <w:rsid w:val="009C46B5"/>
    <w:rsid w:val="009D098A"/>
    <w:rsid w:val="009D1FD5"/>
    <w:rsid w:val="009D46B6"/>
    <w:rsid w:val="009E4922"/>
    <w:rsid w:val="009F28B6"/>
    <w:rsid w:val="009F4C16"/>
    <w:rsid w:val="009F5DC4"/>
    <w:rsid w:val="009F73F4"/>
    <w:rsid w:val="00A01019"/>
    <w:rsid w:val="00A12B53"/>
    <w:rsid w:val="00A172F6"/>
    <w:rsid w:val="00A20F27"/>
    <w:rsid w:val="00A22309"/>
    <w:rsid w:val="00A23913"/>
    <w:rsid w:val="00A24653"/>
    <w:rsid w:val="00A25F78"/>
    <w:rsid w:val="00A27ECA"/>
    <w:rsid w:val="00A351A8"/>
    <w:rsid w:val="00A355EA"/>
    <w:rsid w:val="00A36E0A"/>
    <w:rsid w:val="00A37599"/>
    <w:rsid w:val="00A4011D"/>
    <w:rsid w:val="00A41774"/>
    <w:rsid w:val="00A4235C"/>
    <w:rsid w:val="00A4267F"/>
    <w:rsid w:val="00A4766E"/>
    <w:rsid w:val="00A54473"/>
    <w:rsid w:val="00A55C73"/>
    <w:rsid w:val="00A6381E"/>
    <w:rsid w:val="00A7004C"/>
    <w:rsid w:val="00A703FE"/>
    <w:rsid w:val="00A709D4"/>
    <w:rsid w:val="00A70D25"/>
    <w:rsid w:val="00A75B90"/>
    <w:rsid w:val="00A8016C"/>
    <w:rsid w:val="00A806CB"/>
    <w:rsid w:val="00A81445"/>
    <w:rsid w:val="00A81881"/>
    <w:rsid w:val="00A838EA"/>
    <w:rsid w:val="00A8688C"/>
    <w:rsid w:val="00A911E7"/>
    <w:rsid w:val="00A92229"/>
    <w:rsid w:val="00A926F6"/>
    <w:rsid w:val="00AA3A15"/>
    <w:rsid w:val="00AA3B89"/>
    <w:rsid w:val="00AA58A9"/>
    <w:rsid w:val="00AB0310"/>
    <w:rsid w:val="00AC22A0"/>
    <w:rsid w:val="00AC27CB"/>
    <w:rsid w:val="00AC56F0"/>
    <w:rsid w:val="00AC7C12"/>
    <w:rsid w:val="00AD20CA"/>
    <w:rsid w:val="00AD2420"/>
    <w:rsid w:val="00AD309E"/>
    <w:rsid w:val="00AD4279"/>
    <w:rsid w:val="00AD6F11"/>
    <w:rsid w:val="00AD765A"/>
    <w:rsid w:val="00AE2658"/>
    <w:rsid w:val="00AE4148"/>
    <w:rsid w:val="00AE5B1E"/>
    <w:rsid w:val="00AF1314"/>
    <w:rsid w:val="00AF5400"/>
    <w:rsid w:val="00AF5A75"/>
    <w:rsid w:val="00AF784F"/>
    <w:rsid w:val="00AF7D15"/>
    <w:rsid w:val="00B01BC4"/>
    <w:rsid w:val="00B032AF"/>
    <w:rsid w:val="00B0632B"/>
    <w:rsid w:val="00B10EFC"/>
    <w:rsid w:val="00B128CC"/>
    <w:rsid w:val="00B15A6D"/>
    <w:rsid w:val="00B214A7"/>
    <w:rsid w:val="00B24C3B"/>
    <w:rsid w:val="00B24E86"/>
    <w:rsid w:val="00B2533C"/>
    <w:rsid w:val="00B265AC"/>
    <w:rsid w:val="00B27424"/>
    <w:rsid w:val="00B30891"/>
    <w:rsid w:val="00B31AE6"/>
    <w:rsid w:val="00B335E9"/>
    <w:rsid w:val="00B34AFE"/>
    <w:rsid w:val="00B34DB3"/>
    <w:rsid w:val="00B4193C"/>
    <w:rsid w:val="00B441C4"/>
    <w:rsid w:val="00B46027"/>
    <w:rsid w:val="00B472F6"/>
    <w:rsid w:val="00B57A95"/>
    <w:rsid w:val="00B6001D"/>
    <w:rsid w:val="00B604DE"/>
    <w:rsid w:val="00B6088F"/>
    <w:rsid w:val="00B641C4"/>
    <w:rsid w:val="00B66DCD"/>
    <w:rsid w:val="00B66ECA"/>
    <w:rsid w:val="00B77115"/>
    <w:rsid w:val="00B77D37"/>
    <w:rsid w:val="00B809E3"/>
    <w:rsid w:val="00B8439D"/>
    <w:rsid w:val="00B85C8B"/>
    <w:rsid w:val="00B903AC"/>
    <w:rsid w:val="00B909A5"/>
    <w:rsid w:val="00B94284"/>
    <w:rsid w:val="00B9500A"/>
    <w:rsid w:val="00B95CCE"/>
    <w:rsid w:val="00B9717D"/>
    <w:rsid w:val="00BA405E"/>
    <w:rsid w:val="00BA5175"/>
    <w:rsid w:val="00BA5EFD"/>
    <w:rsid w:val="00BB6351"/>
    <w:rsid w:val="00BB6A15"/>
    <w:rsid w:val="00BC17BE"/>
    <w:rsid w:val="00BC455E"/>
    <w:rsid w:val="00BC4DA2"/>
    <w:rsid w:val="00BC6087"/>
    <w:rsid w:val="00BC61A5"/>
    <w:rsid w:val="00BC7303"/>
    <w:rsid w:val="00BD3D6C"/>
    <w:rsid w:val="00BD6446"/>
    <w:rsid w:val="00BE0EF8"/>
    <w:rsid w:val="00BE242A"/>
    <w:rsid w:val="00BE2A56"/>
    <w:rsid w:val="00BE4BFD"/>
    <w:rsid w:val="00BE6713"/>
    <w:rsid w:val="00BE714D"/>
    <w:rsid w:val="00BF146D"/>
    <w:rsid w:val="00BF4832"/>
    <w:rsid w:val="00C01738"/>
    <w:rsid w:val="00C030BE"/>
    <w:rsid w:val="00C06D3D"/>
    <w:rsid w:val="00C10F49"/>
    <w:rsid w:val="00C11FBA"/>
    <w:rsid w:val="00C148DF"/>
    <w:rsid w:val="00C20CA4"/>
    <w:rsid w:val="00C23420"/>
    <w:rsid w:val="00C2492A"/>
    <w:rsid w:val="00C25516"/>
    <w:rsid w:val="00C25FD4"/>
    <w:rsid w:val="00C26259"/>
    <w:rsid w:val="00C30096"/>
    <w:rsid w:val="00C3023D"/>
    <w:rsid w:val="00C31B49"/>
    <w:rsid w:val="00C325EE"/>
    <w:rsid w:val="00C36F0E"/>
    <w:rsid w:val="00C4202D"/>
    <w:rsid w:val="00C43F79"/>
    <w:rsid w:val="00C47818"/>
    <w:rsid w:val="00C55D23"/>
    <w:rsid w:val="00C560B4"/>
    <w:rsid w:val="00C6014A"/>
    <w:rsid w:val="00C60BD9"/>
    <w:rsid w:val="00C618E9"/>
    <w:rsid w:val="00C61C2D"/>
    <w:rsid w:val="00C632A8"/>
    <w:rsid w:val="00C677C8"/>
    <w:rsid w:val="00C714D8"/>
    <w:rsid w:val="00C73668"/>
    <w:rsid w:val="00C81A11"/>
    <w:rsid w:val="00CA1B1B"/>
    <w:rsid w:val="00CA3645"/>
    <w:rsid w:val="00CA51FA"/>
    <w:rsid w:val="00CA597C"/>
    <w:rsid w:val="00CA771C"/>
    <w:rsid w:val="00CA780F"/>
    <w:rsid w:val="00CB0EAE"/>
    <w:rsid w:val="00CB1E60"/>
    <w:rsid w:val="00CB2BA3"/>
    <w:rsid w:val="00CC03D8"/>
    <w:rsid w:val="00CC44A4"/>
    <w:rsid w:val="00CC59DE"/>
    <w:rsid w:val="00CC5C64"/>
    <w:rsid w:val="00CC77FD"/>
    <w:rsid w:val="00CD31BA"/>
    <w:rsid w:val="00CD3FB8"/>
    <w:rsid w:val="00CD5386"/>
    <w:rsid w:val="00CD7F45"/>
    <w:rsid w:val="00CE5F61"/>
    <w:rsid w:val="00CE6165"/>
    <w:rsid w:val="00CF0C82"/>
    <w:rsid w:val="00CF139E"/>
    <w:rsid w:val="00CF20CD"/>
    <w:rsid w:val="00CF44D5"/>
    <w:rsid w:val="00CF492F"/>
    <w:rsid w:val="00D000AD"/>
    <w:rsid w:val="00D0012A"/>
    <w:rsid w:val="00D05B41"/>
    <w:rsid w:val="00D073B5"/>
    <w:rsid w:val="00D16153"/>
    <w:rsid w:val="00D16BC9"/>
    <w:rsid w:val="00D21FD5"/>
    <w:rsid w:val="00D22AC9"/>
    <w:rsid w:val="00D23930"/>
    <w:rsid w:val="00D275E7"/>
    <w:rsid w:val="00D31B32"/>
    <w:rsid w:val="00D33979"/>
    <w:rsid w:val="00D33B54"/>
    <w:rsid w:val="00D33F96"/>
    <w:rsid w:val="00D37814"/>
    <w:rsid w:val="00D40A35"/>
    <w:rsid w:val="00D42485"/>
    <w:rsid w:val="00D430A9"/>
    <w:rsid w:val="00D4706C"/>
    <w:rsid w:val="00D47416"/>
    <w:rsid w:val="00D50ADD"/>
    <w:rsid w:val="00D5213A"/>
    <w:rsid w:val="00D54AFE"/>
    <w:rsid w:val="00D561BC"/>
    <w:rsid w:val="00D6038B"/>
    <w:rsid w:val="00D63965"/>
    <w:rsid w:val="00D65234"/>
    <w:rsid w:val="00D677C2"/>
    <w:rsid w:val="00D70E14"/>
    <w:rsid w:val="00D71136"/>
    <w:rsid w:val="00D7292E"/>
    <w:rsid w:val="00D731EE"/>
    <w:rsid w:val="00D73442"/>
    <w:rsid w:val="00D76827"/>
    <w:rsid w:val="00D81628"/>
    <w:rsid w:val="00D840B2"/>
    <w:rsid w:val="00D843CB"/>
    <w:rsid w:val="00D8576F"/>
    <w:rsid w:val="00D86534"/>
    <w:rsid w:val="00D867CD"/>
    <w:rsid w:val="00D870CD"/>
    <w:rsid w:val="00D87101"/>
    <w:rsid w:val="00D93EF3"/>
    <w:rsid w:val="00D94B0A"/>
    <w:rsid w:val="00D95388"/>
    <w:rsid w:val="00DA5B5F"/>
    <w:rsid w:val="00DA7832"/>
    <w:rsid w:val="00DB2C5E"/>
    <w:rsid w:val="00DB31A9"/>
    <w:rsid w:val="00DB65A0"/>
    <w:rsid w:val="00DB6926"/>
    <w:rsid w:val="00DC3DAA"/>
    <w:rsid w:val="00DC6155"/>
    <w:rsid w:val="00DC6D15"/>
    <w:rsid w:val="00DD5F6B"/>
    <w:rsid w:val="00DD76D8"/>
    <w:rsid w:val="00DE6368"/>
    <w:rsid w:val="00DF23BC"/>
    <w:rsid w:val="00DF38D5"/>
    <w:rsid w:val="00E02A05"/>
    <w:rsid w:val="00E13F34"/>
    <w:rsid w:val="00E156A6"/>
    <w:rsid w:val="00E27942"/>
    <w:rsid w:val="00E327A7"/>
    <w:rsid w:val="00E350A3"/>
    <w:rsid w:val="00E4304D"/>
    <w:rsid w:val="00E44208"/>
    <w:rsid w:val="00E45F1D"/>
    <w:rsid w:val="00E47CFB"/>
    <w:rsid w:val="00E51A91"/>
    <w:rsid w:val="00E53BF3"/>
    <w:rsid w:val="00E55AFF"/>
    <w:rsid w:val="00E55B54"/>
    <w:rsid w:val="00E60663"/>
    <w:rsid w:val="00E62110"/>
    <w:rsid w:val="00E621CD"/>
    <w:rsid w:val="00E629E2"/>
    <w:rsid w:val="00E7009C"/>
    <w:rsid w:val="00E7218C"/>
    <w:rsid w:val="00E77FCE"/>
    <w:rsid w:val="00E82504"/>
    <w:rsid w:val="00E8651F"/>
    <w:rsid w:val="00E9075B"/>
    <w:rsid w:val="00E96F3E"/>
    <w:rsid w:val="00EA0649"/>
    <w:rsid w:val="00EA0E41"/>
    <w:rsid w:val="00EA16F1"/>
    <w:rsid w:val="00EA3423"/>
    <w:rsid w:val="00EA4D2A"/>
    <w:rsid w:val="00EA7C66"/>
    <w:rsid w:val="00EB3841"/>
    <w:rsid w:val="00EB4D32"/>
    <w:rsid w:val="00EB78AB"/>
    <w:rsid w:val="00EC3D05"/>
    <w:rsid w:val="00EC3D09"/>
    <w:rsid w:val="00EC5178"/>
    <w:rsid w:val="00EC546A"/>
    <w:rsid w:val="00EC5669"/>
    <w:rsid w:val="00ED4460"/>
    <w:rsid w:val="00ED4FC7"/>
    <w:rsid w:val="00ED523B"/>
    <w:rsid w:val="00ED5249"/>
    <w:rsid w:val="00ED6FC7"/>
    <w:rsid w:val="00EE03B8"/>
    <w:rsid w:val="00EE0975"/>
    <w:rsid w:val="00EE0D27"/>
    <w:rsid w:val="00EE4BF4"/>
    <w:rsid w:val="00EE75DD"/>
    <w:rsid w:val="00EE7F02"/>
    <w:rsid w:val="00EF5A29"/>
    <w:rsid w:val="00F04DDA"/>
    <w:rsid w:val="00F05BFE"/>
    <w:rsid w:val="00F0612C"/>
    <w:rsid w:val="00F07467"/>
    <w:rsid w:val="00F07AFE"/>
    <w:rsid w:val="00F07B03"/>
    <w:rsid w:val="00F10ACC"/>
    <w:rsid w:val="00F10E96"/>
    <w:rsid w:val="00F128C9"/>
    <w:rsid w:val="00F14364"/>
    <w:rsid w:val="00F167CC"/>
    <w:rsid w:val="00F22201"/>
    <w:rsid w:val="00F32AD5"/>
    <w:rsid w:val="00F33739"/>
    <w:rsid w:val="00F357E3"/>
    <w:rsid w:val="00F374A7"/>
    <w:rsid w:val="00F42F59"/>
    <w:rsid w:val="00F43B6C"/>
    <w:rsid w:val="00F44484"/>
    <w:rsid w:val="00F46C52"/>
    <w:rsid w:val="00F56670"/>
    <w:rsid w:val="00F61EF9"/>
    <w:rsid w:val="00F63BCF"/>
    <w:rsid w:val="00F65316"/>
    <w:rsid w:val="00F66834"/>
    <w:rsid w:val="00F67E4B"/>
    <w:rsid w:val="00F74C60"/>
    <w:rsid w:val="00F74FFB"/>
    <w:rsid w:val="00F906A6"/>
    <w:rsid w:val="00F91CE4"/>
    <w:rsid w:val="00FA18A1"/>
    <w:rsid w:val="00FA5530"/>
    <w:rsid w:val="00FA7551"/>
    <w:rsid w:val="00FB2672"/>
    <w:rsid w:val="00FB3F99"/>
    <w:rsid w:val="00FB4C03"/>
    <w:rsid w:val="00FB668B"/>
    <w:rsid w:val="00FC2065"/>
    <w:rsid w:val="00FC3E40"/>
    <w:rsid w:val="00FD05AA"/>
    <w:rsid w:val="00FD1862"/>
    <w:rsid w:val="00FD4308"/>
    <w:rsid w:val="00FE3985"/>
    <w:rsid w:val="00FE480B"/>
    <w:rsid w:val="00FE4A22"/>
    <w:rsid w:val="00FE6C40"/>
    <w:rsid w:val="00FF1B8F"/>
    <w:rsid w:val="00FF5EE9"/>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F49"/>
    <w:rPr>
      <w:rFonts w:ascii="Calibri" w:hAnsi="Calibri"/>
      <w:sz w:val="22"/>
      <w:szCs w:val="24"/>
      <w:lang w:eastAsia="en-US"/>
    </w:rPr>
  </w:style>
  <w:style w:type="paragraph" w:styleId="Heading1">
    <w:name w:val="heading 1"/>
    <w:next w:val="BodyText1"/>
    <w:link w:val="Heading1Char"/>
    <w:qFormat/>
    <w:rsid w:val="00FA18A1"/>
    <w:pPr>
      <w:keepNext/>
      <w:pageBreakBefore/>
      <w:widowControl w:val="0"/>
      <w:numPr>
        <w:numId w:val="10"/>
      </w:numPr>
      <w:tabs>
        <w:tab w:val="left" w:pos="567"/>
      </w:tabs>
      <w:spacing w:before="360" w:line="312" w:lineRule="auto"/>
      <w:outlineLvl w:val="0"/>
    </w:pPr>
    <w:rPr>
      <w:rFonts w:ascii="Arial Narrow" w:hAnsi="Arial Narrow" w:cs="Arial"/>
      <w:bCs/>
      <w:smallCaps/>
      <w:spacing w:val="40"/>
      <w:kern w:val="32"/>
      <w:sz w:val="44"/>
      <w:szCs w:val="36"/>
      <w:lang w:eastAsia="en-US"/>
    </w:rPr>
  </w:style>
  <w:style w:type="paragraph" w:styleId="Heading2">
    <w:name w:val="heading 2"/>
    <w:basedOn w:val="Heading1"/>
    <w:next w:val="Normal"/>
    <w:link w:val="Heading2Char"/>
    <w:qFormat/>
    <w:rsid w:val="003B5A9F"/>
    <w:pPr>
      <w:pageBreakBefore w:val="0"/>
      <w:numPr>
        <w:ilvl w:val="1"/>
        <w:numId w:val="6"/>
      </w:numPr>
      <w:spacing w:before="480" w:after="60"/>
      <w:ind w:left="0" w:firstLine="0"/>
      <w:outlineLvl w:val="1"/>
    </w:pPr>
    <w:rPr>
      <w:iCs/>
      <w:caps/>
      <w:sz w:val="34"/>
      <w:szCs w:val="34"/>
    </w:rPr>
  </w:style>
  <w:style w:type="paragraph" w:styleId="Heading3">
    <w:name w:val="heading 3"/>
    <w:basedOn w:val="Heading2"/>
    <w:next w:val="Normal"/>
    <w:link w:val="Heading3Char"/>
    <w:qFormat/>
    <w:rsid w:val="003B5A9F"/>
    <w:pPr>
      <w:numPr>
        <w:ilvl w:val="2"/>
        <w:numId w:val="4"/>
      </w:numPr>
      <w:spacing w:before="320" w:after="100"/>
      <w:outlineLvl w:val="2"/>
    </w:pPr>
    <w:rPr>
      <w:bCs w:val="0"/>
      <w:sz w:val="28"/>
      <w:szCs w:val="28"/>
    </w:rPr>
  </w:style>
  <w:style w:type="paragraph" w:styleId="Heading4">
    <w:name w:val="heading 4"/>
    <w:basedOn w:val="Heading3"/>
    <w:next w:val="Normal"/>
    <w:qFormat/>
    <w:rsid w:val="003B5A9F"/>
    <w:pPr>
      <w:numPr>
        <w:ilvl w:val="3"/>
      </w:numPr>
      <w:spacing w:before="280" w:after="8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name">
    <w:name w:val="Committee name"/>
    <w:rsid w:val="008909CB"/>
    <w:pPr>
      <w:spacing w:before="600" w:after="600" w:line="480" w:lineRule="exact"/>
      <w:jc w:val="right"/>
    </w:pPr>
    <w:rPr>
      <w:rFonts w:ascii="Arial Narrow" w:hAnsi="Arial Narrow"/>
      <w:smallCaps/>
      <w:spacing w:val="40"/>
      <w:sz w:val="28"/>
      <w:szCs w:val="28"/>
      <w:lang w:eastAsia="en-US"/>
    </w:rPr>
  </w:style>
  <w:style w:type="paragraph" w:customStyle="1" w:styleId="Reporttitle">
    <w:name w:val="Report title"/>
    <w:basedOn w:val="Normal"/>
    <w:next w:val="Committeename"/>
    <w:rsid w:val="003F679A"/>
    <w:pPr>
      <w:spacing w:before="320" w:after="600" w:line="500" w:lineRule="exact"/>
      <w:jc w:val="right"/>
    </w:pPr>
    <w:rPr>
      <w:rFonts w:ascii="Arial Narrow" w:hAnsi="Arial Narrow"/>
      <w:smallCaps/>
      <w:spacing w:val="4"/>
      <w:kern w:val="42"/>
      <w:sz w:val="42"/>
      <w:szCs w:val="36"/>
    </w:rPr>
  </w:style>
  <w:style w:type="paragraph" w:customStyle="1" w:styleId="Reportnumber">
    <w:name w:val="Report number"/>
    <w:basedOn w:val="Reporttitle"/>
    <w:rsid w:val="001511D4"/>
    <w:pPr>
      <w:spacing w:before="1100" w:after="0"/>
    </w:pPr>
    <w:rPr>
      <w:spacing w:val="20"/>
      <w:sz w:val="24"/>
      <w:szCs w:val="20"/>
    </w:rPr>
  </w:style>
  <w:style w:type="paragraph" w:styleId="ListNumber3">
    <w:name w:val="List Number 3"/>
    <w:basedOn w:val="Normal"/>
    <w:rsid w:val="00BC7303"/>
    <w:pPr>
      <w:numPr>
        <w:numId w:val="1"/>
      </w:numPr>
      <w:spacing w:before="40" w:after="60" w:line="288" w:lineRule="auto"/>
    </w:pPr>
  </w:style>
  <w:style w:type="paragraph" w:customStyle="1" w:styleId="Headinglevel3">
    <w:name w:val="Heading level 3"/>
    <w:basedOn w:val="Headinglevel2"/>
    <w:next w:val="BodyText1"/>
    <w:link w:val="Headinglevel3Char"/>
    <w:rsid w:val="00B85C8B"/>
    <w:pPr>
      <w:numPr>
        <w:ilvl w:val="2"/>
      </w:numPr>
      <w:spacing w:before="320" w:after="100"/>
      <w:ind w:left="567" w:hanging="567"/>
    </w:pPr>
    <w:rPr>
      <w:sz w:val="30"/>
      <w:szCs w:val="28"/>
    </w:rPr>
  </w:style>
  <w:style w:type="paragraph" w:styleId="ListBullet">
    <w:name w:val="List Bullet"/>
    <w:link w:val="ListBulletChar"/>
    <w:autoRedefine/>
    <w:rsid w:val="00DD5F6B"/>
    <w:pPr>
      <w:numPr>
        <w:numId w:val="2"/>
      </w:numPr>
      <w:spacing w:before="40" w:after="60" w:line="288" w:lineRule="auto"/>
    </w:pPr>
    <w:rPr>
      <w:rFonts w:ascii="Calibri" w:hAnsi="Calibri"/>
      <w:sz w:val="22"/>
      <w:szCs w:val="22"/>
      <w:lang w:eastAsia="en-US"/>
    </w:rPr>
  </w:style>
  <w:style w:type="paragraph" w:styleId="ListBullet2">
    <w:name w:val="List Bullet 2"/>
    <w:autoRedefine/>
    <w:rsid w:val="0015794F"/>
    <w:pPr>
      <w:numPr>
        <w:numId w:val="3"/>
      </w:numPr>
      <w:spacing w:after="60" w:line="288" w:lineRule="auto"/>
      <w:ind w:left="1248" w:hanging="284"/>
    </w:pPr>
    <w:rPr>
      <w:rFonts w:ascii="Calibri" w:hAnsi="Calibri"/>
      <w:sz w:val="22"/>
      <w:szCs w:val="24"/>
      <w:lang w:eastAsia="en-US"/>
    </w:rPr>
  </w:style>
  <w:style w:type="paragraph" w:styleId="Caption">
    <w:name w:val="caption"/>
    <w:next w:val="Normal"/>
    <w:qFormat/>
    <w:rsid w:val="00024877"/>
    <w:pPr>
      <w:keepNext/>
      <w:spacing w:before="400" w:after="60" w:line="312" w:lineRule="auto"/>
      <w:ind w:left="680"/>
    </w:pPr>
    <w:rPr>
      <w:rFonts w:ascii="Arial Narrow" w:hAnsi="Arial Narrow"/>
      <w:bCs/>
      <w:kern w:val="26"/>
      <w:sz w:val="26"/>
      <w:lang w:eastAsia="en-US"/>
    </w:rPr>
  </w:style>
  <w:style w:type="paragraph" w:styleId="TOC4">
    <w:name w:val="toc 4"/>
    <w:basedOn w:val="Normal"/>
    <w:next w:val="Normal"/>
    <w:autoRedefine/>
    <w:semiHidden/>
    <w:rsid w:val="00D8576F"/>
    <w:pPr>
      <w:ind w:left="720"/>
    </w:pPr>
    <w:rPr>
      <w:rFonts w:ascii="Arial Narrow" w:hAnsi="Arial Narrow"/>
    </w:rPr>
  </w:style>
  <w:style w:type="paragraph" w:customStyle="1" w:styleId="Prelimminorheading">
    <w:name w:val="Prelim minor heading"/>
    <w:basedOn w:val="Heading3"/>
    <w:link w:val="PrelimminorheadingChar"/>
    <w:rsid w:val="00BD6446"/>
    <w:rPr>
      <w:spacing w:val="2"/>
    </w:rPr>
  </w:style>
  <w:style w:type="paragraph" w:customStyle="1" w:styleId="Bodytextnonumbering">
    <w:name w:val="Body text no numbering"/>
    <w:basedOn w:val="Normal"/>
    <w:rsid w:val="00D50ADD"/>
    <w:pPr>
      <w:keepNext/>
      <w:spacing w:before="160" w:after="80" w:line="288" w:lineRule="auto"/>
      <w:outlineLvl w:val="1"/>
    </w:pPr>
    <w:rPr>
      <w:rFonts w:cs="Arial"/>
      <w:iCs/>
    </w:rPr>
  </w:style>
  <w:style w:type="paragraph" w:customStyle="1" w:styleId="Prelimmajorheading">
    <w:name w:val="Prelim major heading"/>
    <w:basedOn w:val="Heading1"/>
    <w:rsid w:val="00024877"/>
    <w:pPr>
      <w:numPr>
        <w:numId w:val="0"/>
      </w:numPr>
      <w:spacing w:after="720"/>
      <w:ind w:left="680"/>
    </w:pPr>
    <w:rPr>
      <w:b/>
      <w:spacing w:val="20"/>
      <w:sz w:val="34"/>
      <w:szCs w:val="46"/>
    </w:rPr>
  </w:style>
  <w:style w:type="character" w:styleId="Hyperlink">
    <w:name w:val="Hyperlink"/>
    <w:uiPriority w:val="99"/>
    <w:rsid w:val="003B5A9F"/>
    <w:rPr>
      <w:color w:val="0000FF"/>
      <w:u w:val="single"/>
    </w:rPr>
  </w:style>
  <w:style w:type="paragraph" w:styleId="TOC1">
    <w:name w:val="toc 1"/>
    <w:next w:val="Normal"/>
    <w:autoRedefine/>
    <w:uiPriority w:val="39"/>
    <w:rsid w:val="00EC3D05"/>
    <w:pPr>
      <w:tabs>
        <w:tab w:val="right" w:leader="dot" w:pos="9061"/>
      </w:tabs>
      <w:spacing w:before="180" w:after="40" w:line="312" w:lineRule="auto"/>
      <w:ind w:left="1020" w:hanging="340"/>
    </w:pPr>
    <w:rPr>
      <w:rFonts w:ascii="Calibri" w:hAnsi="Calibri" w:cs="Calibri"/>
      <w:b/>
      <w:smallCaps/>
      <w:noProof/>
      <w:spacing w:val="40"/>
      <w:sz w:val="24"/>
      <w:szCs w:val="22"/>
      <w:lang w:eastAsia="en-US"/>
    </w:rPr>
  </w:style>
  <w:style w:type="paragraph" w:styleId="TOC2">
    <w:name w:val="toc 2"/>
    <w:autoRedefine/>
    <w:uiPriority w:val="39"/>
    <w:rsid w:val="00301919"/>
    <w:pPr>
      <w:tabs>
        <w:tab w:val="left" w:pos="1680"/>
        <w:tab w:val="right" w:leader="dot" w:pos="9061"/>
      </w:tabs>
      <w:spacing w:before="40" w:line="312" w:lineRule="auto"/>
      <w:ind w:left="1588" w:hanging="567"/>
    </w:pPr>
    <w:rPr>
      <w:rFonts w:ascii="Calibri" w:hAnsi="Calibri" w:cs="Calibri"/>
      <w:b/>
      <w:noProof/>
      <w:sz w:val="22"/>
      <w:szCs w:val="24"/>
      <w:lang w:eastAsia="en-US"/>
    </w:rPr>
  </w:style>
  <w:style w:type="paragraph" w:styleId="Header">
    <w:name w:val="header"/>
    <w:link w:val="HeaderChar"/>
    <w:uiPriority w:val="99"/>
    <w:rsid w:val="001C746F"/>
    <w:pPr>
      <w:tabs>
        <w:tab w:val="right" w:pos="8640"/>
      </w:tabs>
      <w:ind w:left="680" w:hanging="680"/>
    </w:pPr>
    <w:rPr>
      <w:rFonts w:ascii="Calibri" w:hAnsi="Calibri"/>
      <w:caps/>
      <w:spacing w:val="40"/>
      <w:szCs w:val="14"/>
      <w:lang w:eastAsia="en-US"/>
    </w:rPr>
  </w:style>
  <w:style w:type="paragraph" w:styleId="TableofFigures">
    <w:name w:val="table of figures"/>
    <w:next w:val="Normal"/>
    <w:semiHidden/>
    <w:rsid w:val="003B5A9F"/>
    <w:pPr>
      <w:spacing w:before="240"/>
      <w:ind w:left="1162" w:hanging="482"/>
    </w:pPr>
    <w:rPr>
      <w:rFonts w:ascii="Arial" w:hAnsi="Arial"/>
      <w:b/>
      <w:lang w:eastAsia="en-US"/>
    </w:rPr>
  </w:style>
  <w:style w:type="paragraph" w:styleId="Footer">
    <w:name w:val="footer"/>
    <w:basedOn w:val="Normal"/>
    <w:link w:val="FooterChar"/>
    <w:rsid w:val="000E7567"/>
    <w:pPr>
      <w:tabs>
        <w:tab w:val="center" w:pos="4320"/>
        <w:tab w:val="right" w:pos="8640"/>
      </w:tabs>
    </w:pPr>
    <w:rPr>
      <w:sz w:val="20"/>
    </w:rPr>
  </w:style>
  <w:style w:type="character" w:styleId="PageNumber">
    <w:name w:val="page number"/>
    <w:rsid w:val="008B35C5"/>
    <w:rPr>
      <w:rFonts w:ascii="Calibri" w:hAnsi="Calibri"/>
      <w:sz w:val="20"/>
      <w:szCs w:val="18"/>
    </w:rPr>
  </w:style>
  <w:style w:type="paragraph" w:styleId="TOC5">
    <w:name w:val="toc 5"/>
    <w:basedOn w:val="Normal"/>
    <w:next w:val="Normal"/>
    <w:autoRedefine/>
    <w:semiHidden/>
    <w:rsid w:val="00D8576F"/>
    <w:pPr>
      <w:ind w:left="960"/>
    </w:pPr>
    <w:rPr>
      <w:rFonts w:ascii="Arial Narrow" w:hAnsi="Arial Narrow"/>
    </w:rPr>
  </w:style>
  <w:style w:type="paragraph" w:customStyle="1" w:styleId="AppendixHeading1">
    <w:name w:val="Appendix Heading 1"/>
    <w:next w:val="Bodytextnonumbering"/>
    <w:rsid w:val="00FA18A1"/>
    <w:pPr>
      <w:keepNext/>
      <w:pageBreakBefore/>
      <w:numPr>
        <w:ilvl w:val="7"/>
        <w:numId w:val="10"/>
      </w:numPr>
      <w:spacing w:before="720" w:after="180" w:line="312" w:lineRule="auto"/>
    </w:pPr>
    <w:rPr>
      <w:rFonts w:ascii="Arial Narrow" w:hAnsi="Arial Narrow"/>
      <w:b/>
      <w:smallCaps/>
      <w:sz w:val="36"/>
      <w:szCs w:val="24"/>
      <w:lang w:eastAsia="en-US"/>
    </w:rPr>
  </w:style>
  <w:style w:type="paragraph" w:customStyle="1" w:styleId="AppendixHeading2">
    <w:name w:val="Appendix Heading 2"/>
    <w:next w:val="Bodytextnonumbering"/>
    <w:rsid w:val="00F128C9"/>
    <w:pPr>
      <w:spacing w:before="480" w:after="60" w:line="312" w:lineRule="auto"/>
    </w:pPr>
    <w:rPr>
      <w:rFonts w:ascii="Arial Narrow" w:hAnsi="Arial Narrow" w:cs="Arial"/>
      <w:iCs/>
      <w:spacing w:val="2"/>
      <w:sz w:val="34"/>
      <w:szCs w:val="34"/>
      <w:lang w:eastAsia="en-US"/>
    </w:rPr>
  </w:style>
  <w:style w:type="paragraph" w:customStyle="1" w:styleId="TableHeading">
    <w:name w:val="Table Heading"/>
    <w:next w:val="Tabletext"/>
    <w:rsid w:val="00024877"/>
    <w:pPr>
      <w:spacing w:before="40" w:after="40"/>
    </w:pPr>
    <w:rPr>
      <w:rFonts w:ascii="Arial Narrow" w:hAnsi="Arial Narrow"/>
      <w:color w:val="000000"/>
      <w:sz w:val="24"/>
      <w:lang w:eastAsia="en-US"/>
    </w:rPr>
  </w:style>
  <w:style w:type="paragraph" w:customStyle="1" w:styleId="Para">
    <w:name w:val="Para"/>
    <w:basedOn w:val="Normal"/>
    <w:rsid w:val="003B5A9F"/>
    <w:pPr>
      <w:keepNext/>
      <w:spacing w:before="160" w:after="80" w:line="288" w:lineRule="auto"/>
      <w:ind w:left="709"/>
      <w:outlineLvl w:val="1"/>
    </w:pPr>
    <w:rPr>
      <w:rFonts w:ascii="Palatino Linotype" w:hAnsi="Palatino Linotype" w:cs="Arial"/>
      <w:iCs/>
    </w:rPr>
  </w:style>
  <w:style w:type="paragraph" w:customStyle="1" w:styleId="Tabletext">
    <w:name w:val="Table text"/>
    <w:basedOn w:val="Normal"/>
    <w:rsid w:val="003B5A9F"/>
    <w:pPr>
      <w:keepNext/>
      <w:spacing w:before="160" w:after="80" w:line="288" w:lineRule="auto"/>
      <w:outlineLvl w:val="1"/>
    </w:pPr>
    <w:rPr>
      <w:rFonts w:ascii="Arial Narrow" w:hAnsi="Arial Narrow" w:cs="Arial"/>
      <w:iCs/>
      <w:color w:val="000000"/>
      <w:sz w:val="20"/>
      <w:szCs w:val="20"/>
    </w:rPr>
  </w:style>
  <w:style w:type="paragraph" w:customStyle="1" w:styleId="BulletedTextKM">
    <w:name w:val="Bulleted Text KM"/>
    <w:basedOn w:val="Normal"/>
    <w:semiHidden/>
    <w:rsid w:val="003B5A9F"/>
    <w:pPr>
      <w:numPr>
        <w:numId w:val="5"/>
      </w:numPr>
    </w:pPr>
  </w:style>
  <w:style w:type="paragraph" w:customStyle="1" w:styleId="Reportdate">
    <w:name w:val="Report date"/>
    <w:basedOn w:val="Reporttitle"/>
    <w:rsid w:val="003B5A9F"/>
    <w:pPr>
      <w:spacing w:before="0"/>
    </w:pPr>
    <w:rPr>
      <w:caps/>
      <w:spacing w:val="60"/>
      <w:sz w:val="22"/>
      <w:szCs w:val="22"/>
    </w:rPr>
  </w:style>
  <w:style w:type="paragraph" w:styleId="Quote">
    <w:name w:val="Quote"/>
    <w:basedOn w:val="Normal"/>
    <w:qFormat/>
    <w:rsid w:val="00B214A7"/>
    <w:pPr>
      <w:spacing w:before="60" w:after="80" w:line="288" w:lineRule="auto"/>
      <w:ind w:left="1247"/>
      <w:outlineLvl w:val="1"/>
    </w:pPr>
    <w:rPr>
      <w:rFonts w:cs="Arial"/>
      <w:iCs/>
    </w:rPr>
  </w:style>
  <w:style w:type="paragraph" w:styleId="FootnoteText">
    <w:name w:val="footnote text"/>
    <w:basedOn w:val="Normal"/>
    <w:link w:val="FootnoteTextChar"/>
    <w:uiPriority w:val="99"/>
    <w:semiHidden/>
    <w:rsid w:val="00113E77"/>
    <w:pPr>
      <w:spacing w:before="80" w:after="80" w:line="160" w:lineRule="exact"/>
      <w:ind w:left="170" w:hanging="170"/>
    </w:pPr>
    <w:rPr>
      <w:sz w:val="18"/>
      <w:szCs w:val="20"/>
    </w:rPr>
  </w:style>
  <w:style w:type="character" w:styleId="FootnoteReference">
    <w:name w:val="footnote reference"/>
    <w:uiPriority w:val="99"/>
    <w:semiHidden/>
    <w:rsid w:val="003B5A9F"/>
    <w:rPr>
      <w:vertAlign w:val="superscript"/>
    </w:rPr>
  </w:style>
  <w:style w:type="paragraph" w:customStyle="1" w:styleId="TOCHeading1">
    <w:name w:val="TOC Heading1"/>
    <w:basedOn w:val="Prelimmajorheading"/>
    <w:rsid w:val="00024877"/>
    <w:rPr>
      <w:b w:val="0"/>
    </w:rPr>
  </w:style>
  <w:style w:type="paragraph" w:styleId="TOC3">
    <w:name w:val="toc 3"/>
    <w:basedOn w:val="TOC2"/>
    <w:next w:val="Normal"/>
    <w:autoRedefine/>
    <w:uiPriority w:val="39"/>
    <w:rsid w:val="00D8576F"/>
  </w:style>
  <w:style w:type="paragraph" w:customStyle="1" w:styleId="StyleCommitteenameBlack">
    <w:name w:val="Style Committee name + Black"/>
    <w:semiHidden/>
    <w:rsid w:val="003B5A9F"/>
    <w:rPr>
      <w:rFonts w:ascii="Univers LT Std 45 Light" w:hAnsi="Univers LT Std 45 Light"/>
      <w:caps/>
      <w:color w:val="000000"/>
      <w:spacing w:val="40"/>
      <w:sz w:val="28"/>
      <w:szCs w:val="28"/>
      <w:lang w:eastAsia="en-US"/>
    </w:rPr>
  </w:style>
  <w:style w:type="paragraph" w:customStyle="1" w:styleId="Recommendation">
    <w:name w:val="Recommendation"/>
    <w:basedOn w:val="Caption"/>
    <w:next w:val="RecommendationText"/>
    <w:rsid w:val="002A64FA"/>
    <w:pPr>
      <w:numPr>
        <w:ilvl w:val="6"/>
        <w:numId w:val="10"/>
      </w:numPr>
      <w:ind w:left="567"/>
    </w:pPr>
    <w:rPr>
      <w:b/>
      <w:smallCaps/>
      <w:spacing w:val="20"/>
      <w:sz w:val="44"/>
    </w:rPr>
  </w:style>
  <w:style w:type="character" w:styleId="FollowedHyperlink">
    <w:name w:val="FollowedHyperlink"/>
    <w:rsid w:val="003B5A9F"/>
    <w:rPr>
      <w:color w:val="800080"/>
      <w:u w:val="single"/>
    </w:rPr>
  </w:style>
  <w:style w:type="paragraph" w:customStyle="1" w:styleId="StyleBodyTextArialNarrowBoldBlackLeft0cmFirstlin">
    <w:name w:val="Style Body Text + Arial Narrow Bold Black Left:  0 cm First lin..."/>
    <w:basedOn w:val="Normal"/>
    <w:semiHidden/>
    <w:rsid w:val="003B5A9F"/>
    <w:pPr>
      <w:keepNext/>
      <w:tabs>
        <w:tab w:val="num" w:pos="680"/>
      </w:tabs>
      <w:spacing w:before="160" w:after="80" w:line="288" w:lineRule="auto"/>
      <w:outlineLvl w:val="1"/>
    </w:pPr>
    <w:rPr>
      <w:rFonts w:ascii="Univers LT Std 55" w:hAnsi="Univers LT Std 55" w:cs="Arial"/>
      <w:b/>
      <w:bCs/>
      <w:iCs/>
      <w:color w:val="000000"/>
      <w:szCs w:val="20"/>
    </w:rPr>
  </w:style>
  <w:style w:type="paragraph" w:customStyle="1" w:styleId="Secretariat">
    <w:name w:val="Secretariat"/>
    <w:basedOn w:val="Prelimminorheading"/>
    <w:link w:val="SecretariatChar"/>
    <w:qFormat/>
    <w:rsid w:val="00EB4D32"/>
    <w:pPr>
      <w:numPr>
        <w:ilvl w:val="0"/>
        <w:numId w:val="0"/>
      </w:numPr>
    </w:pPr>
    <w:rPr>
      <w:spacing w:val="4"/>
      <w:sz w:val="30"/>
      <w:szCs w:val="30"/>
    </w:rPr>
  </w:style>
  <w:style w:type="paragraph" w:customStyle="1" w:styleId="Headinglevel2">
    <w:name w:val="Heading level 2"/>
    <w:next w:val="BodyText1"/>
    <w:link w:val="Headinglevel2Char"/>
    <w:rsid w:val="003260BE"/>
    <w:pPr>
      <w:keepNext/>
      <w:widowControl w:val="0"/>
      <w:numPr>
        <w:ilvl w:val="1"/>
        <w:numId w:val="10"/>
      </w:numPr>
      <w:tabs>
        <w:tab w:val="left" w:pos="567"/>
      </w:tabs>
      <w:spacing w:before="480" w:after="60" w:line="312" w:lineRule="auto"/>
    </w:pPr>
    <w:rPr>
      <w:rFonts w:ascii="Arial Narrow" w:hAnsi="Arial Narrow" w:cs="Arial"/>
      <w:iCs/>
      <w:smallCaps/>
      <w:spacing w:val="20"/>
      <w:sz w:val="36"/>
      <w:szCs w:val="34"/>
      <w:lang w:eastAsia="en-US"/>
    </w:rPr>
  </w:style>
  <w:style w:type="paragraph" w:customStyle="1" w:styleId="BodyText1">
    <w:name w:val="Body Text1"/>
    <w:basedOn w:val="Normal"/>
    <w:link w:val="BodytextChar"/>
    <w:rsid w:val="00FA18A1"/>
    <w:pPr>
      <w:numPr>
        <w:ilvl w:val="5"/>
        <w:numId w:val="10"/>
      </w:numPr>
      <w:spacing w:before="240" w:after="100" w:line="288" w:lineRule="auto"/>
    </w:pPr>
  </w:style>
  <w:style w:type="paragraph" w:styleId="TOC6">
    <w:name w:val="toc 6"/>
    <w:basedOn w:val="Normal"/>
    <w:next w:val="Normal"/>
    <w:autoRedefine/>
    <w:semiHidden/>
    <w:rsid w:val="00D8576F"/>
    <w:pPr>
      <w:ind w:left="1200"/>
    </w:pPr>
    <w:rPr>
      <w:rFonts w:ascii="Arial Narrow" w:hAnsi="Arial Narrow"/>
    </w:rPr>
  </w:style>
  <w:style w:type="paragraph" w:customStyle="1" w:styleId="Headinglevel4">
    <w:name w:val="Heading level 4"/>
    <w:basedOn w:val="Headinglevel3"/>
    <w:next w:val="BodyText1"/>
    <w:rsid w:val="00EA3423"/>
    <w:pPr>
      <w:numPr>
        <w:ilvl w:val="3"/>
      </w:numPr>
      <w:spacing w:before="280" w:after="80"/>
    </w:pPr>
    <w:rPr>
      <w:sz w:val="26"/>
      <w:szCs w:val="24"/>
    </w:rPr>
  </w:style>
  <w:style w:type="paragraph" w:styleId="TOC7">
    <w:name w:val="toc 7"/>
    <w:basedOn w:val="Normal"/>
    <w:next w:val="Normal"/>
    <w:autoRedefine/>
    <w:semiHidden/>
    <w:rsid w:val="00D8576F"/>
    <w:pPr>
      <w:ind w:left="1440"/>
    </w:pPr>
    <w:rPr>
      <w:rFonts w:ascii="Arial Narrow" w:hAnsi="Arial Narrow"/>
    </w:rPr>
  </w:style>
  <w:style w:type="paragraph" w:styleId="TOC8">
    <w:name w:val="toc 8"/>
    <w:basedOn w:val="Normal"/>
    <w:next w:val="Normal"/>
    <w:autoRedefine/>
    <w:semiHidden/>
    <w:rsid w:val="00D8576F"/>
    <w:pPr>
      <w:ind w:left="1680"/>
    </w:pPr>
    <w:rPr>
      <w:rFonts w:ascii="Arial Narrow" w:hAnsi="Arial Narrow"/>
    </w:rPr>
  </w:style>
  <w:style w:type="paragraph" w:styleId="TOC9">
    <w:name w:val="toc 9"/>
    <w:basedOn w:val="Normal"/>
    <w:next w:val="Normal"/>
    <w:autoRedefine/>
    <w:semiHidden/>
    <w:rsid w:val="00D8576F"/>
    <w:pPr>
      <w:ind w:left="1920"/>
    </w:pPr>
    <w:rPr>
      <w:rFonts w:ascii="Arial Narrow" w:hAnsi="Arial Narrow"/>
    </w:rPr>
  </w:style>
  <w:style w:type="paragraph" w:customStyle="1" w:styleId="Headinglevel5">
    <w:name w:val="Heading level 5"/>
    <w:basedOn w:val="Headinglevel4"/>
    <w:next w:val="BodyText1"/>
    <w:qFormat/>
    <w:rsid w:val="00EA3423"/>
    <w:pPr>
      <w:numPr>
        <w:ilvl w:val="4"/>
      </w:numPr>
    </w:pPr>
    <w:rPr>
      <w:sz w:val="22"/>
    </w:rPr>
  </w:style>
  <w:style w:type="paragraph" w:customStyle="1" w:styleId="StyleBodytextnonumberingBefore0ptAfter0ptLinesp">
    <w:name w:val="Style Body text no numbering + Before:  0 pt After:  0 pt Line sp..."/>
    <w:basedOn w:val="Bodytextnonumbering"/>
    <w:rsid w:val="00D50ADD"/>
    <w:pPr>
      <w:spacing w:before="0" w:after="0" w:line="240" w:lineRule="auto"/>
    </w:pPr>
    <w:rPr>
      <w:rFonts w:cs="Times New Roman"/>
      <w:iCs w:val="0"/>
      <w:szCs w:val="20"/>
    </w:rPr>
  </w:style>
  <w:style w:type="paragraph" w:customStyle="1" w:styleId="StyleReportnumberBefore78pt">
    <w:name w:val="Style Report number + Before:  78 pt"/>
    <w:basedOn w:val="Reportnumber"/>
    <w:rsid w:val="001C746F"/>
    <w:pPr>
      <w:spacing w:before="1560"/>
    </w:pPr>
    <w:rPr>
      <w:bCs/>
      <w:smallCaps w:val="0"/>
    </w:rPr>
  </w:style>
  <w:style w:type="paragraph" w:customStyle="1" w:styleId="StylePrelimminorheadingLeft0cmFirstline0cm">
    <w:name w:val="Style Prelim minor heading + Left:  0 cm First line:  0 cm"/>
    <w:basedOn w:val="Prelimminorheading"/>
    <w:rsid w:val="00F14364"/>
    <w:pPr>
      <w:ind w:left="0" w:firstLine="0"/>
    </w:pPr>
    <w:rPr>
      <w:rFonts w:cs="Times New Roman"/>
      <w:iCs w:val="0"/>
      <w:szCs w:val="20"/>
    </w:rPr>
  </w:style>
  <w:style w:type="paragraph" w:customStyle="1" w:styleId="StylePrelimminorheadingLeft0cmFirstline0cm1">
    <w:name w:val="Style Prelim minor heading + Left:  0 cm First line:  0 cm1"/>
    <w:basedOn w:val="Prelimminorheading"/>
    <w:rsid w:val="00F14364"/>
    <w:pPr>
      <w:ind w:left="0" w:firstLine="0"/>
    </w:pPr>
    <w:rPr>
      <w:rFonts w:cs="Times New Roman"/>
      <w:iCs w:val="0"/>
      <w:szCs w:val="20"/>
    </w:rPr>
  </w:style>
  <w:style w:type="character" w:customStyle="1" w:styleId="FooterChar">
    <w:name w:val="Footer Char"/>
    <w:link w:val="Footer"/>
    <w:rsid w:val="000E7567"/>
    <w:rPr>
      <w:rFonts w:ascii="Calibri" w:hAnsi="Calibri"/>
      <w:szCs w:val="24"/>
      <w:lang w:eastAsia="en-US"/>
    </w:rPr>
  </w:style>
  <w:style w:type="character" w:customStyle="1" w:styleId="HeaderChar">
    <w:name w:val="Header Char"/>
    <w:link w:val="Header"/>
    <w:uiPriority w:val="99"/>
    <w:rsid w:val="001C746F"/>
    <w:rPr>
      <w:rFonts w:ascii="Calibri" w:hAnsi="Calibri"/>
      <w:caps/>
      <w:spacing w:val="40"/>
      <w:szCs w:val="14"/>
      <w:lang w:val="en-AU" w:eastAsia="en-US" w:bidi="ar-SA"/>
    </w:rPr>
  </w:style>
  <w:style w:type="paragraph" w:customStyle="1" w:styleId="StyleReportdateLinespacingAtleast12pt">
    <w:name w:val="Style Report date + Line spacing:  At least 12 pt"/>
    <w:basedOn w:val="Reportdate"/>
    <w:rsid w:val="001C746F"/>
    <w:pPr>
      <w:spacing w:line="240" w:lineRule="atLeast"/>
    </w:pPr>
    <w:rPr>
      <w:caps w:val="0"/>
      <w:spacing w:val="20"/>
      <w:szCs w:val="20"/>
    </w:rPr>
  </w:style>
  <w:style w:type="paragraph" w:customStyle="1" w:styleId="StyleReporttitleBefore0ptLinespacingAtleast12pt">
    <w:name w:val="Style Report title + Before:  0 pt Line spacing:  At least 12 pt"/>
    <w:basedOn w:val="Reporttitle"/>
    <w:rsid w:val="001C746F"/>
    <w:pPr>
      <w:spacing w:before="0" w:line="240" w:lineRule="atLeast"/>
    </w:pPr>
    <w:rPr>
      <w:spacing w:val="20"/>
      <w:szCs w:val="20"/>
    </w:rPr>
  </w:style>
  <w:style w:type="paragraph" w:customStyle="1" w:styleId="StylePrelimminorheadingLeft0cmFirstline0cm2">
    <w:name w:val="Style Prelim minor heading + Left:  0 cm First line:  0 cm2"/>
    <w:basedOn w:val="Prelimminorheading"/>
    <w:rsid w:val="00024877"/>
    <w:pPr>
      <w:ind w:left="0" w:firstLine="0"/>
    </w:pPr>
    <w:rPr>
      <w:rFonts w:cs="Times New Roman"/>
      <w:b/>
      <w:iCs w:val="0"/>
      <w:szCs w:val="20"/>
    </w:rPr>
  </w:style>
  <w:style w:type="paragraph" w:customStyle="1" w:styleId="StylePrelimminorheadingLeft0cmFirstline0cm3">
    <w:name w:val="Style Prelim minor heading + Left:  0 cm First line:  0 cm3"/>
    <w:basedOn w:val="Prelimminorheading"/>
    <w:rsid w:val="00024877"/>
    <w:pPr>
      <w:ind w:left="0" w:firstLine="0"/>
    </w:pPr>
    <w:rPr>
      <w:rFonts w:cs="Times New Roman"/>
      <w:b/>
      <w:iCs w:val="0"/>
      <w:szCs w:val="20"/>
    </w:rPr>
  </w:style>
  <w:style w:type="numbering" w:customStyle="1" w:styleId="test1">
    <w:name w:val="test1"/>
    <w:uiPriority w:val="99"/>
    <w:rsid w:val="00FA18A1"/>
    <w:pPr>
      <w:numPr>
        <w:numId w:val="11"/>
      </w:numPr>
    </w:pPr>
  </w:style>
  <w:style w:type="paragraph" w:customStyle="1" w:styleId="RecommendationText">
    <w:name w:val="Recommendation Text"/>
    <w:basedOn w:val="BodyText1"/>
    <w:next w:val="BodyText1"/>
    <w:link w:val="RecommendationTextChar"/>
    <w:qFormat/>
    <w:rsid w:val="00EC3D05"/>
    <w:pPr>
      <w:spacing w:before="120" w:after="240"/>
    </w:pPr>
    <w:rPr>
      <w:b/>
    </w:rPr>
  </w:style>
  <w:style w:type="paragraph" w:customStyle="1" w:styleId="Contactinformation">
    <w:name w:val="Contact information"/>
    <w:basedOn w:val="Prelimminorheading"/>
    <w:link w:val="ContactinformationChar"/>
    <w:qFormat/>
    <w:rsid w:val="00EB4D32"/>
    <w:pPr>
      <w:numPr>
        <w:ilvl w:val="0"/>
        <w:numId w:val="0"/>
      </w:numPr>
    </w:pPr>
  </w:style>
  <w:style w:type="character" w:customStyle="1" w:styleId="BodytextChar">
    <w:name w:val="Body text Char"/>
    <w:link w:val="BodyText1"/>
    <w:rsid w:val="00FA18A1"/>
    <w:rPr>
      <w:rFonts w:ascii="Calibri" w:hAnsi="Calibri"/>
      <w:sz w:val="22"/>
      <w:szCs w:val="24"/>
      <w:lang w:eastAsia="en-US"/>
    </w:rPr>
  </w:style>
  <w:style w:type="character" w:customStyle="1" w:styleId="RecommendationTextChar">
    <w:name w:val="Recommendation Text Char"/>
    <w:link w:val="RecommendationText"/>
    <w:rsid w:val="00EC3D05"/>
    <w:rPr>
      <w:rFonts w:ascii="Calibri" w:hAnsi="Calibri"/>
      <w:b/>
      <w:sz w:val="22"/>
      <w:szCs w:val="24"/>
      <w:lang w:eastAsia="en-US"/>
    </w:rPr>
  </w:style>
  <w:style w:type="character" w:customStyle="1" w:styleId="Headinglevel2Char">
    <w:name w:val="Heading level 2 Char"/>
    <w:link w:val="Headinglevel2"/>
    <w:rsid w:val="003260BE"/>
    <w:rPr>
      <w:rFonts w:ascii="Arial Narrow" w:hAnsi="Arial Narrow" w:cs="Arial"/>
      <w:iCs/>
      <w:smallCaps/>
      <w:spacing w:val="20"/>
      <w:sz w:val="36"/>
      <w:szCs w:val="34"/>
      <w:lang w:eastAsia="en-US"/>
    </w:rPr>
  </w:style>
  <w:style w:type="character" w:customStyle="1" w:styleId="Headinglevel3Char">
    <w:name w:val="Heading level 3 Char"/>
    <w:link w:val="Headinglevel3"/>
    <w:rsid w:val="00B85C8B"/>
    <w:rPr>
      <w:rFonts w:ascii="Arial Narrow" w:hAnsi="Arial Narrow" w:cs="Arial"/>
      <w:iCs/>
      <w:smallCaps/>
      <w:spacing w:val="20"/>
      <w:sz w:val="30"/>
      <w:szCs w:val="28"/>
      <w:lang w:val="en-AU" w:eastAsia="en-US" w:bidi="ar-SA"/>
    </w:rPr>
  </w:style>
  <w:style w:type="character" w:customStyle="1" w:styleId="Heading1Char">
    <w:name w:val="Heading 1 Char"/>
    <w:link w:val="Heading1"/>
    <w:rsid w:val="00FA18A1"/>
    <w:rPr>
      <w:rFonts w:ascii="Arial Narrow" w:hAnsi="Arial Narrow" w:cs="Arial"/>
      <w:bCs/>
      <w:smallCaps/>
      <w:spacing w:val="40"/>
      <w:kern w:val="32"/>
      <w:sz w:val="44"/>
      <w:szCs w:val="36"/>
      <w:lang w:val="en-AU" w:eastAsia="en-US" w:bidi="ar-SA"/>
    </w:rPr>
  </w:style>
  <w:style w:type="paragraph" w:customStyle="1" w:styleId="StylePrelimminorheadingLeft0cmFirstline0cm4">
    <w:name w:val="Style Prelim minor heading + Left:  0 cm First line:  0 cm4"/>
    <w:basedOn w:val="Prelimminorheading"/>
    <w:rsid w:val="00BD6446"/>
    <w:pPr>
      <w:ind w:left="0" w:firstLine="0"/>
    </w:pPr>
    <w:rPr>
      <w:rFonts w:cs="Times New Roman"/>
      <w:iCs w:val="0"/>
      <w:szCs w:val="20"/>
    </w:rPr>
  </w:style>
  <w:style w:type="character" w:customStyle="1" w:styleId="Heading2Char">
    <w:name w:val="Heading 2 Char"/>
    <w:link w:val="Heading2"/>
    <w:rsid w:val="00EB4D32"/>
    <w:rPr>
      <w:rFonts w:ascii="Arial Narrow" w:hAnsi="Arial Narrow" w:cs="Arial"/>
      <w:bCs/>
      <w:iCs/>
      <w:caps/>
      <w:smallCaps/>
      <w:spacing w:val="40"/>
      <w:kern w:val="32"/>
      <w:sz w:val="34"/>
      <w:szCs w:val="34"/>
      <w:lang w:val="en-AU" w:eastAsia="en-US" w:bidi="ar-SA"/>
    </w:rPr>
  </w:style>
  <w:style w:type="paragraph" w:customStyle="1" w:styleId="StylePrelimminorheadingLeft0cmFirstline0cm5">
    <w:name w:val="Style Prelim minor heading + Left:  0 cm First line:  0 cm5"/>
    <w:basedOn w:val="Prelimminorheading"/>
    <w:rsid w:val="00BD6446"/>
    <w:pPr>
      <w:ind w:left="0" w:firstLine="0"/>
    </w:pPr>
    <w:rPr>
      <w:rFonts w:cs="Times New Roman"/>
      <w:iCs w:val="0"/>
      <w:szCs w:val="20"/>
    </w:rPr>
  </w:style>
  <w:style w:type="paragraph" w:customStyle="1" w:styleId="StylePrelimminorheadingLeft0cmFirstline0cmExpand">
    <w:name w:val="Style Prelim minor heading + Left:  0 cm First line:  0 cm Expand..."/>
    <w:basedOn w:val="Prelimminorheading"/>
    <w:rsid w:val="00BD6446"/>
    <w:pPr>
      <w:ind w:left="0" w:firstLine="0"/>
    </w:pPr>
    <w:rPr>
      <w:rFonts w:cs="Times New Roman"/>
      <w:iCs w:val="0"/>
      <w:spacing w:val="4"/>
      <w:sz w:val="30"/>
      <w:szCs w:val="20"/>
    </w:rPr>
  </w:style>
  <w:style w:type="character" w:customStyle="1" w:styleId="Heading3Char">
    <w:name w:val="Heading 3 Char"/>
    <w:link w:val="Heading3"/>
    <w:rsid w:val="00EB4D32"/>
    <w:rPr>
      <w:rFonts w:ascii="Arial Narrow" w:hAnsi="Arial Narrow" w:cs="Arial"/>
      <w:bCs w:val="0"/>
      <w:iCs/>
      <w:caps/>
      <w:smallCaps/>
      <w:spacing w:val="40"/>
      <w:kern w:val="32"/>
      <w:sz w:val="28"/>
      <w:szCs w:val="28"/>
      <w:lang w:val="en-AU" w:eastAsia="en-US" w:bidi="ar-SA"/>
    </w:rPr>
  </w:style>
  <w:style w:type="character" w:customStyle="1" w:styleId="PrelimminorheadingChar">
    <w:name w:val="Prelim minor heading Char"/>
    <w:link w:val="Prelimminorheading"/>
    <w:rsid w:val="00EB4D32"/>
    <w:rPr>
      <w:rFonts w:ascii="Arial Narrow" w:hAnsi="Arial Narrow" w:cs="Arial"/>
      <w:iCs/>
      <w:caps/>
      <w:smallCaps/>
      <w:spacing w:val="2"/>
      <w:kern w:val="32"/>
      <w:sz w:val="28"/>
      <w:szCs w:val="28"/>
      <w:lang w:eastAsia="en-US"/>
    </w:rPr>
  </w:style>
  <w:style w:type="character" w:customStyle="1" w:styleId="SecretariatChar">
    <w:name w:val="Secretariat Char"/>
    <w:basedOn w:val="PrelimminorheadingChar"/>
    <w:link w:val="Secretariat"/>
    <w:rsid w:val="00EB4D32"/>
    <w:rPr>
      <w:rFonts w:ascii="Arial Narrow" w:hAnsi="Arial Narrow" w:cs="Arial"/>
      <w:bCs w:val="0"/>
      <w:iCs/>
      <w:caps/>
      <w:smallCaps/>
      <w:spacing w:val="2"/>
      <w:kern w:val="32"/>
      <w:sz w:val="28"/>
      <w:szCs w:val="28"/>
      <w:lang w:val="en-AU" w:eastAsia="en-US" w:bidi="ar-SA"/>
    </w:rPr>
  </w:style>
  <w:style w:type="paragraph" w:customStyle="1" w:styleId="RecommendationBullet">
    <w:name w:val="Recommendation Bullet"/>
    <w:basedOn w:val="ListBullet"/>
    <w:link w:val="RecommendationBulletChar"/>
    <w:qFormat/>
    <w:rsid w:val="00BB6351"/>
    <w:rPr>
      <w:b/>
    </w:rPr>
  </w:style>
  <w:style w:type="character" w:customStyle="1" w:styleId="ContactinformationChar">
    <w:name w:val="Contact information Char"/>
    <w:basedOn w:val="PrelimminorheadingChar"/>
    <w:link w:val="Contactinformation"/>
    <w:rsid w:val="00EB4D32"/>
    <w:rPr>
      <w:rFonts w:ascii="Arial Narrow" w:hAnsi="Arial Narrow" w:cs="Arial"/>
      <w:bCs w:val="0"/>
      <w:iCs/>
      <w:caps/>
      <w:smallCaps/>
      <w:spacing w:val="2"/>
      <w:kern w:val="32"/>
      <w:sz w:val="28"/>
      <w:szCs w:val="28"/>
      <w:lang w:val="en-AU" w:eastAsia="en-US" w:bidi="ar-SA"/>
    </w:rPr>
  </w:style>
  <w:style w:type="character" w:customStyle="1" w:styleId="ListBulletChar">
    <w:name w:val="List Bullet Char"/>
    <w:link w:val="ListBullet"/>
    <w:rsid w:val="00DD5F6B"/>
    <w:rPr>
      <w:rFonts w:ascii="Calibri" w:hAnsi="Calibri"/>
      <w:sz w:val="22"/>
      <w:szCs w:val="22"/>
      <w:lang w:eastAsia="en-US"/>
    </w:rPr>
  </w:style>
  <w:style w:type="character" w:customStyle="1" w:styleId="RecommendationBulletChar">
    <w:name w:val="Recommendation Bullet Char"/>
    <w:basedOn w:val="ListBulletChar"/>
    <w:link w:val="RecommendationBullet"/>
    <w:rsid w:val="00462F49"/>
    <w:rPr>
      <w:rFonts w:ascii="Calibri" w:hAnsi="Calibri"/>
      <w:sz w:val="22"/>
      <w:szCs w:val="22"/>
      <w:lang w:val="en-AU" w:eastAsia="en-US" w:bidi="ar-SA"/>
    </w:rPr>
  </w:style>
  <w:style w:type="character" w:customStyle="1" w:styleId="FootnoteTextChar">
    <w:name w:val="Footnote Text Char"/>
    <w:link w:val="FootnoteText"/>
    <w:uiPriority w:val="99"/>
    <w:semiHidden/>
    <w:rsid w:val="00106AF3"/>
    <w:rPr>
      <w:rFonts w:ascii="Calibri" w:hAnsi="Calibri"/>
      <w:sz w:val="18"/>
      <w:lang w:eastAsia="en-US"/>
    </w:rPr>
  </w:style>
  <w:style w:type="paragraph" w:styleId="ListParagraph">
    <w:name w:val="List Paragraph"/>
    <w:basedOn w:val="Normal"/>
    <w:uiPriority w:val="34"/>
    <w:qFormat/>
    <w:rsid w:val="00F42F59"/>
    <w:pPr>
      <w:ind w:left="720"/>
    </w:pPr>
  </w:style>
  <w:style w:type="table" w:styleId="TableGrid">
    <w:name w:val="Table Grid"/>
    <w:basedOn w:val="TableNormal"/>
    <w:rsid w:val="00DA5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1">
    <w:name w:val="Body Text11"/>
    <w:basedOn w:val="Normal"/>
    <w:rsid w:val="00DA5B5F"/>
    <w:pPr>
      <w:spacing w:before="240" w:after="100" w:line="288" w:lineRule="auto"/>
    </w:pPr>
  </w:style>
  <w:style w:type="character" w:styleId="CommentReference">
    <w:name w:val="annotation reference"/>
    <w:basedOn w:val="DefaultParagraphFont"/>
    <w:rsid w:val="00A25F78"/>
    <w:rPr>
      <w:sz w:val="16"/>
      <w:szCs w:val="16"/>
    </w:rPr>
  </w:style>
  <w:style w:type="paragraph" w:styleId="CommentText">
    <w:name w:val="annotation text"/>
    <w:basedOn w:val="Normal"/>
    <w:link w:val="CommentTextChar"/>
    <w:rsid w:val="00A25F78"/>
    <w:rPr>
      <w:sz w:val="20"/>
      <w:szCs w:val="20"/>
    </w:rPr>
  </w:style>
  <w:style w:type="character" w:customStyle="1" w:styleId="CommentTextChar">
    <w:name w:val="Comment Text Char"/>
    <w:basedOn w:val="DefaultParagraphFont"/>
    <w:link w:val="CommentText"/>
    <w:rsid w:val="00A25F78"/>
    <w:rPr>
      <w:rFonts w:ascii="Calibri" w:hAnsi="Calibri"/>
      <w:lang w:eastAsia="en-US"/>
    </w:rPr>
  </w:style>
  <w:style w:type="paragraph" w:styleId="CommentSubject">
    <w:name w:val="annotation subject"/>
    <w:basedOn w:val="CommentText"/>
    <w:next w:val="CommentText"/>
    <w:link w:val="CommentSubjectChar"/>
    <w:rsid w:val="00A25F78"/>
    <w:rPr>
      <w:b/>
      <w:bCs/>
    </w:rPr>
  </w:style>
  <w:style w:type="character" w:customStyle="1" w:styleId="CommentSubjectChar">
    <w:name w:val="Comment Subject Char"/>
    <w:basedOn w:val="CommentTextChar"/>
    <w:link w:val="CommentSubject"/>
    <w:rsid w:val="00A25F78"/>
    <w:rPr>
      <w:b/>
      <w:bCs/>
    </w:rPr>
  </w:style>
  <w:style w:type="paragraph" w:styleId="BalloonText">
    <w:name w:val="Balloon Text"/>
    <w:basedOn w:val="Normal"/>
    <w:link w:val="BalloonTextChar"/>
    <w:rsid w:val="00A25F78"/>
    <w:rPr>
      <w:rFonts w:ascii="Tahoma" w:hAnsi="Tahoma" w:cs="Tahoma"/>
      <w:sz w:val="16"/>
      <w:szCs w:val="16"/>
    </w:rPr>
  </w:style>
  <w:style w:type="character" w:customStyle="1" w:styleId="BalloonTextChar">
    <w:name w:val="Balloon Text Char"/>
    <w:basedOn w:val="DefaultParagraphFont"/>
    <w:link w:val="BalloonText"/>
    <w:rsid w:val="00A25F78"/>
    <w:rPr>
      <w:rFonts w:ascii="Tahoma" w:hAnsi="Tahoma" w:cs="Tahoma"/>
      <w:sz w:val="16"/>
      <w:szCs w:val="16"/>
      <w:lang w:eastAsia="en-US"/>
    </w:rPr>
  </w:style>
  <w:style w:type="paragraph" w:customStyle="1" w:styleId="Bodytext">
    <w:name w:val="Body text"/>
    <w:basedOn w:val="Normal"/>
    <w:rsid w:val="00812109"/>
    <w:pPr>
      <w:numPr>
        <w:ilvl w:val="5"/>
        <w:numId w:val="38"/>
      </w:numPr>
      <w:spacing w:before="240" w:after="100" w:line="288" w:lineRule="auto"/>
      <w:ind w:left="567" w:hanging="567"/>
    </w:pPr>
  </w:style>
</w:styles>
</file>

<file path=word/webSettings.xml><?xml version="1.0" encoding="utf-8"?>
<w:webSettings xmlns:r="http://schemas.openxmlformats.org/officeDocument/2006/relationships" xmlns:w="http://schemas.openxmlformats.org/wordprocessingml/2006/main">
  <w:divs>
    <w:div w:id="323822205">
      <w:bodyDiv w:val="1"/>
      <w:marLeft w:val="0"/>
      <w:marRight w:val="0"/>
      <w:marTop w:val="0"/>
      <w:marBottom w:val="0"/>
      <w:divBdr>
        <w:top w:val="none" w:sz="0" w:space="0" w:color="auto"/>
        <w:left w:val="none" w:sz="0" w:space="0" w:color="auto"/>
        <w:bottom w:val="none" w:sz="0" w:space="0" w:color="auto"/>
        <w:right w:val="none" w:sz="0" w:space="0" w:color="auto"/>
      </w:divBdr>
    </w:div>
    <w:div w:id="766999648">
      <w:bodyDiv w:val="1"/>
      <w:marLeft w:val="0"/>
      <w:marRight w:val="0"/>
      <w:marTop w:val="0"/>
      <w:marBottom w:val="0"/>
      <w:divBdr>
        <w:top w:val="none" w:sz="0" w:space="0" w:color="auto"/>
        <w:left w:val="none" w:sz="0" w:space="0" w:color="auto"/>
        <w:bottom w:val="none" w:sz="0" w:space="0" w:color="auto"/>
        <w:right w:val="none" w:sz="0" w:space="0" w:color="auto"/>
      </w:divBdr>
    </w:div>
    <w:div w:id="832601764">
      <w:bodyDiv w:val="1"/>
      <w:marLeft w:val="0"/>
      <w:marRight w:val="0"/>
      <w:marTop w:val="0"/>
      <w:marBottom w:val="0"/>
      <w:divBdr>
        <w:top w:val="none" w:sz="0" w:space="0" w:color="auto"/>
        <w:left w:val="none" w:sz="0" w:space="0" w:color="auto"/>
        <w:bottom w:val="none" w:sz="0" w:space="0" w:color="auto"/>
        <w:right w:val="none" w:sz="0" w:space="0" w:color="auto"/>
      </w:divBdr>
    </w:div>
    <w:div w:id="850685528">
      <w:bodyDiv w:val="1"/>
      <w:marLeft w:val="0"/>
      <w:marRight w:val="0"/>
      <w:marTop w:val="0"/>
      <w:marBottom w:val="0"/>
      <w:divBdr>
        <w:top w:val="none" w:sz="0" w:space="0" w:color="auto"/>
        <w:left w:val="none" w:sz="0" w:space="0" w:color="auto"/>
        <w:bottom w:val="none" w:sz="0" w:space="0" w:color="auto"/>
        <w:right w:val="none" w:sz="0" w:space="0" w:color="auto"/>
      </w:divBdr>
    </w:div>
    <w:div w:id="865754124">
      <w:bodyDiv w:val="1"/>
      <w:marLeft w:val="0"/>
      <w:marRight w:val="0"/>
      <w:marTop w:val="0"/>
      <w:marBottom w:val="0"/>
      <w:divBdr>
        <w:top w:val="none" w:sz="0" w:space="0" w:color="auto"/>
        <w:left w:val="none" w:sz="0" w:space="0" w:color="auto"/>
        <w:bottom w:val="none" w:sz="0" w:space="0" w:color="auto"/>
        <w:right w:val="none" w:sz="0" w:space="0" w:color="auto"/>
      </w:divBdr>
    </w:div>
    <w:div w:id="14209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www.parliament.act.gov.au/in-committees/transcripts" TargetMode="External"/><Relationship Id="rId39"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hyperlink" Target="http://www.parliament.act.gov.au" TargetMode="Externa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hyperlink" Target="mailto:committees@parliament.act.gov.au" TargetMode="Externa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yperlink" Target="http://www.parliament.act.gov.au/in-committees/standing-committees-current-assembly/standing-committee-on-economic-development-and-tourism/inquiry-into-annual-and-financial-reports-2015-16" TargetMode="External"/><Relationship Id="rId30" Type="http://schemas.openxmlformats.org/officeDocument/2006/relationships/footer" Target="footer7.xml"/><Relationship Id="rId35" Type="http://schemas.openxmlformats.org/officeDocument/2006/relationships/header" Target="header15.xml"/></Relationships>
</file>

<file path=word/_rels/footnotes.xml.rels><?xml version="1.0" encoding="UTF-8" standalone="yes"?>
<Relationships xmlns="http://schemas.openxmlformats.org/package/2006/relationships"><Relationship Id="rId3" Type="http://schemas.openxmlformats.org/officeDocument/2006/relationships/hyperlink" Target="https://cities.dpmc.gov.au/city-deals" TargetMode="External"/><Relationship Id="rId2" Type="http://schemas.openxmlformats.org/officeDocument/2006/relationships/hyperlink" Target="http://www.parliament.act.gov.au/in-the-assembly/minutes_of_proceedings" TargetMode="External"/><Relationship Id="rId1" Type="http://schemas.openxmlformats.org/officeDocument/2006/relationships/hyperlink" Target="http://www.parliament.act.gov.au/in-the-assembly/minutes_of_proceed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OLA\Committee\Committee%20Report%20Template%20June%202013%20-%20v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D5210-B6E9-44E8-A3CA-4E6F0B99258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6C07132-F525-4002-B2B2-04EC030D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Template June 2013 - v14.dotx</Template>
  <TotalTime>0</TotalTime>
  <Pages>52</Pages>
  <Words>10763</Words>
  <Characters>64315</Characters>
  <Application>Microsoft Office Word</Application>
  <DocSecurity>0</DocSecurity>
  <Lines>2796</Lines>
  <Paragraphs>1925</Paragraphs>
  <ScaleCrop>false</ScaleCrop>
  <HeadingPairs>
    <vt:vector size="2" baseType="variant">
      <vt:variant>
        <vt:lpstr>Title</vt:lpstr>
      </vt:variant>
      <vt:variant>
        <vt:i4>1</vt:i4>
      </vt:variant>
    </vt:vector>
  </HeadingPairs>
  <TitlesOfParts>
    <vt:vector size="1" baseType="lpstr">
      <vt:lpstr>Committees Report Template</vt:lpstr>
    </vt:vector>
  </TitlesOfParts>
  <Company>OCTAVO</Company>
  <LinksUpToDate>false</LinksUpToDate>
  <CharactersWithSpaces>73153</CharactersWithSpaces>
  <SharedDoc>false</SharedDoc>
  <HLinks>
    <vt:vector size="288" baseType="variant">
      <vt:variant>
        <vt:i4>4063233</vt:i4>
      </vt:variant>
      <vt:variant>
        <vt:i4>237</vt:i4>
      </vt:variant>
      <vt:variant>
        <vt:i4>0</vt:i4>
      </vt:variant>
      <vt:variant>
        <vt:i4>5</vt:i4>
      </vt:variant>
      <vt:variant>
        <vt:lpwstr>http://www.parliament.act.gov.au/in-committees/standing_committees/Planning,-Environment-and-Territory-and-Municipal-Services/annual-and-financial-report-2014-15?inquiry=788681</vt:lpwstr>
      </vt:variant>
      <vt:variant>
        <vt:lpwstr/>
      </vt:variant>
      <vt:variant>
        <vt:i4>5832774</vt:i4>
      </vt:variant>
      <vt:variant>
        <vt:i4>234</vt:i4>
      </vt:variant>
      <vt:variant>
        <vt:i4>0</vt:i4>
      </vt:variant>
      <vt:variant>
        <vt:i4>5</vt:i4>
      </vt:variant>
      <vt:variant>
        <vt:lpwstr>http://www.hansard.act.gov.au/hansard/2013/comms/default.htm</vt:lpwstr>
      </vt:variant>
      <vt:variant>
        <vt:lpwstr>planning</vt:lpwstr>
      </vt:variant>
      <vt:variant>
        <vt:i4>1441850</vt:i4>
      </vt:variant>
      <vt:variant>
        <vt:i4>230</vt:i4>
      </vt:variant>
      <vt:variant>
        <vt:i4>0</vt:i4>
      </vt:variant>
      <vt:variant>
        <vt:i4>5</vt:i4>
      </vt:variant>
      <vt:variant>
        <vt:lpwstr/>
      </vt:variant>
      <vt:variant>
        <vt:lpwstr>_Toc442694578</vt:lpwstr>
      </vt:variant>
      <vt:variant>
        <vt:i4>1441850</vt:i4>
      </vt:variant>
      <vt:variant>
        <vt:i4>227</vt:i4>
      </vt:variant>
      <vt:variant>
        <vt:i4>0</vt:i4>
      </vt:variant>
      <vt:variant>
        <vt:i4>5</vt:i4>
      </vt:variant>
      <vt:variant>
        <vt:lpwstr/>
      </vt:variant>
      <vt:variant>
        <vt:lpwstr>_Toc442694577</vt:lpwstr>
      </vt:variant>
      <vt:variant>
        <vt:i4>1441850</vt:i4>
      </vt:variant>
      <vt:variant>
        <vt:i4>224</vt:i4>
      </vt:variant>
      <vt:variant>
        <vt:i4>0</vt:i4>
      </vt:variant>
      <vt:variant>
        <vt:i4>5</vt:i4>
      </vt:variant>
      <vt:variant>
        <vt:lpwstr/>
      </vt:variant>
      <vt:variant>
        <vt:lpwstr>_Toc442694576</vt:lpwstr>
      </vt:variant>
      <vt:variant>
        <vt:i4>1441850</vt:i4>
      </vt:variant>
      <vt:variant>
        <vt:i4>221</vt:i4>
      </vt:variant>
      <vt:variant>
        <vt:i4>0</vt:i4>
      </vt:variant>
      <vt:variant>
        <vt:i4>5</vt:i4>
      </vt:variant>
      <vt:variant>
        <vt:lpwstr/>
      </vt:variant>
      <vt:variant>
        <vt:lpwstr>_Toc442694575</vt:lpwstr>
      </vt:variant>
      <vt:variant>
        <vt:i4>1441850</vt:i4>
      </vt:variant>
      <vt:variant>
        <vt:i4>218</vt:i4>
      </vt:variant>
      <vt:variant>
        <vt:i4>0</vt:i4>
      </vt:variant>
      <vt:variant>
        <vt:i4>5</vt:i4>
      </vt:variant>
      <vt:variant>
        <vt:lpwstr/>
      </vt:variant>
      <vt:variant>
        <vt:lpwstr>_Toc442694574</vt:lpwstr>
      </vt:variant>
      <vt:variant>
        <vt:i4>1441850</vt:i4>
      </vt:variant>
      <vt:variant>
        <vt:i4>215</vt:i4>
      </vt:variant>
      <vt:variant>
        <vt:i4>0</vt:i4>
      </vt:variant>
      <vt:variant>
        <vt:i4>5</vt:i4>
      </vt:variant>
      <vt:variant>
        <vt:lpwstr/>
      </vt:variant>
      <vt:variant>
        <vt:lpwstr>_Toc442694573</vt:lpwstr>
      </vt:variant>
      <vt:variant>
        <vt:i4>1441850</vt:i4>
      </vt:variant>
      <vt:variant>
        <vt:i4>212</vt:i4>
      </vt:variant>
      <vt:variant>
        <vt:i4>0</vt:i4>
      </vt:variant>
      <vt:variant>
        <vt:i4>5</vt:i4>
      </vt:variant>
      <vt:variant>
        <vt:lpwstr/>
      </vt:variant>
      <vt:variant>
        <vt:lpwstr>_Toc442694572</vt:lpwstr>
      </vt:variant>
      <vt:variant>
        <vt:i4>1441850</vt:i4>
      </vt:variant>
      <vt:variant>
        <vt:i4>209</vt:i4>
      </vt:variant>
      <vt:variant>
        <vt:i4>0</vt:i4>
      </vt:variant>
      <vt:variant>
        <vt:i4>5</vt:i4>
      </vt:variant>
      <vt:variant>
        <vt:lpwstr/>
      </vt:variant>
      <vt:variant>
        <vt:lpwstr>_Toc442694571</vt:lpwstr>
      </vt:variant>
      <vt:variant>
        <vt:i4>1441850</vt:i4>
      </vt:variant>
      <vt:variant>
        <vt:i4>200</vt:i4>
      </vt:variant>
      <vt:variant>
        <vt:i4>0</vt:i4>
      </vt:variant>
      <vt:variant>
        <vt:i4>5</vt:i4>
      </vt:variant>
      <vt:variant>
        <vt:lpwstr/>
      </vt:variant>
      <vt:variant>
        <vt:lpwstr>_Toc442694570</vt:lpwstr>
      </vt:variant>
      <vt:variant>
        <vt:i4>1507386</vt:i4>
      </vt:variant>
      <vt:variant>
        <vt:i4>194</vt:i4>
      </vt:variant>
      <vt:variant>
        <vt:i4>0</vt:i4>
      </vt:variant>
      <vt:variant>
        <vt:i4>5</vt:i4>
      </vt:variant>
      <vt:variant>
        <vt:lpwstr/>
      </vt:variant>
      <vt:variant>
        <vt:lpwstr>_Toc442694569</vt:lpwstr>
      </vt:variant>
      <vt:variant>
        <vt:i4>1507386</vt:i4>
      </vt:variant>
      <vt:variant>
        <vt:i4>188</vt:i4>
      </vt:variant>
      <vt:variant>
        <vt:i4>0</vt:i4>
      </vt:variant>
      <vt:variant>
        <vt:i4>5</vt:i4>
      </vt:variant>
      <vt:variant>
        <vt:lpwstr/>
      </vt:variant>
      <vt:variant>
        <vt:lpwstr>_Toc442694568</vt:lpwstr>
      </vt:variant>
      <vt:variant>
        <vt:i4>1507386</vt:i4>
      </vt:variant>
      <vt:variant>
        <vt:i4>182</vt:i4>
      </vt:variant>
      <vt:variant>
        <vt:i4>0</vt:i4>
      </vt:variant>
      <vt:variant>
        <vt:i4>5</vt:i4>
      </vt:variant>
      <vt:variant>
        <vt:lpwstr/>
      </vt:variant>
      <vt:variant>
        <vt:lpwstr>_Toc442694567</vt:lpwstr>
      </vt:variant>
      <vt:variant>
        <vt:i4>1507386</vt:i4>
      </vt:variant>
      <vt:variant>
        <vt:i4>176</vt:i4>
      </vt:variant>
      <vt:variant>
        <vt:i4>0</vt:i4>
      </vt:variant>
      <vt:variant>
        <vt:i4>5</vt:i4>
      </vt:variant>
      <vt:variant>
        <vt:lpwstr/>
      </vt:variant>
      <vt:variant>
        <vt:lpwstr>_Toc442694566</vt:lpwstr>
      </vt:variant>
      <vt:variant>
        <vt:i4>1507386</vt:i4>
      </vt:variant>
      <vt:variant>
        <vt:i4>170</vt:i4>
      </vt:variant>
      <vt:variant>
        <vt:i4>0</vt:i4>
      </vt:variant>
      <vt:variant>
        <vt:i4>5</vt:i4>
      </vt:variant>
      <vt:variant>
        <vt:lpwstr/>
      </vt:variant>
      <vt:variant>
        <vt:lpwstr>_Toc442694565</vt:lpwstr>
      </vt:variant>
      <vt:variant>
        <vt:i4>1507386</vt:i4>
      </vt:variant>
      <vt:variant>
        <vt:i4>164</vt:i4>
      </vt:variant>
      <vt:variant>
        <vt:i4>0</vt:i4>
      </vt:variant>
      <vt:variant>
        <vt:i4>5</vt:i4>
      </vt:variant>
      <vt:variant>
        <vt:lpwstr/>
      </vt:variant>
      <vt:variant>
        <vt:lpwstr>_Toc442694564</vt:lpwstr>
      </vt:variant>
      <vt:variant>
        <vt:i4>1507386</vt:i4>
      </vt:variant>
      <vt:variant>
        <vt:i4>158</vt:i4>
      </vt:variant>
      <vt:variant>
        <vt:i4>0</vt:i4>
      </vt:variant>
      <vt:variant>
        <vt:i4>5</vt:i4>
      </vt:variant>
      <vt:variant>
        <vt:lpwstr/>
      </vt:variant>
      <vt:variant>
        <vt:lpwstr>_Toc442694563</vt:lpwstr>
      </vt:variant>
      <vt:variant>
        <vt:i4>1507386</vt:i4>
      </vt:variant>
      <vt:variant>
        <vt:i4>152</vt:i4>
      </vt:variant>
      <vt:variant>
        <vt:i4>0</vt:i4>
      </vt:variant>
      <vt:variant>
        <vt:i4>5</vt:i4>
      </vt:variant>
      <vt:variant>
        <vt:lpwstr/>
      </vt:variant>
      <vt:variant>
        <vt:lpwstr>_Toc442694562</vt:lpwstr>
      </vt:variant>
      <vt:variant>
        <vt:i4>1507386</vt:i4>
      </vt:variant>
      <vt:variant>
        <vt:i4>146</vt:i4>
      </vt:variant>
      <vt:variant>
        <vt:i4>0</vt:i4>
      </vt:variant>
      <vt:variant>
        <vt:i4>5</vt:i4>
      </vt:variant>
      <vt:variant>
        <vt:lpwstr/>
      </vt:variant>
      <vt:variant>
        <vt:lpwstr>_Toc442694561</vt:lpwstr>
      </vt:variant>
      <vt:variant>
        <vt:i4>1507386</vt:i4>
      </vt:variant>
      <vt:variant>
        <vt:i4>140</vt:i4>
      </vt:variant>
      <vt:variant>
        <vt:i4>0</vt:i4>
      </vt:variant>
      <vt:variant>
        <vt:i4>5</vt:i4>
      </vt:variant>
      <vt:variant>
        <vt:lpwstr/>
      </vt:variant>
      <vt:variant>
        <vt:lpwstr>_Toc442694560</vt:lpwstr>
      </vt:variant>
      <vt:variant>
        <vt:i4>1310778</vt:i4>
      </vt:variant>
      <vt:variant>
        <vt:i4>134</vt:i4>
      </vt:variant>
      <vt:variant>
        <vt:i4>0</vt:i4>
      </vt:variant>
      <vt:variant>
        <vt:i4>5</vt:i4>
      </vt:variant>
      <vt:variant>
        <vt:lpwstr/>
      </vt:variant>
      <vt:variant>
        <vt:lpwstr>_Toc442694559</vt:lpwstr>
      </vt:variant>
      <vt:variant>
        <vt:i4>1310778</vt:i4>
      </vt:variant>
      <vt:variant>
        <vt:i4>128</vt:i4>
      </vt:variant>
      <vt:variant>
        <vt:i4>0</vt:i4>
      </vt:variant>
      <vt:variant>
        <vt:i4>5</vt:i4>
      </vt:variant>
      <vt:variant>
        <vt:lpwstr/>
      </vt:variant>
      <vt:variant>
        <vt:lpwstr>_Toc442694558</vt:lpwstr>
      </vt:variant>
      <vt:variant>
        <vt:i4>1310778</vt:i4>
      </vt:variant>
      <vt:variant>
        <vt:i4>122</vt:i4>
      </vt:variant>
      <vt:variant>
        <vt:i4>0</vt:i4>
      </vt:variant>
      <vt:variant>
        <vt:i4>5</vt:i4>
      </vt:variant>
      <vt:variant>
        <vt:lpwstr/>
      </vt:variant>
      <vt:variant>
        <vt:lpwstr>_Toc442694557</vt:lpwstr>
      </vt:variant>
      <vt:variant>
        <vt:i4>1310778</vt:i4>
      </vt:variant>
      <vt:variant>
        <vt:i4>116</vt:i4>
      </vt:variant>
      <vt:variant>
        <vt:i4>0</vt:i4>
      </vt:variant>
      <vt:variant>
        <vt:i4>5</vt:i4>
      </vt:variant>
      <vt:variant>
        <vt:lpwstr/>
      </vt:variant>
      <vt:variant>
        <vt:lpwstr>_Toc442694556</vt:lpwstr>
      </vt:variant>
      <vt:variant>
        <vt:i4>1310778</vt:i4>
      </vt:variant>
      <vt:variant>
        <vt:i4>110</vt:i4>
      </vt:variant>
      <vt:variant>
        <vt:i4>0</vt:i4>
      </vt:variant>
      <vt:variant>
        <vt:i4>5</vt:i4>
      </vt:variant>
      <vt:variant>
        <vt:lpwstr/>
      </vt:variant>
      <vt:variant>
        <vt:lpwstr>_Toc442694555</vt:lpwstr>
      </vt:variant>
      <vt:variant>
        <vt:i4>1310778</vt:i4>
      </vt:variant>
      <vt:variant>
        <vt:i4>104</vt:i4>
      </vt:variant>
      <vt:variant>
        <vt:i4>0</vt:i4>
      </vt:variant>
      <vt:variant>
        <vt:i4>5</vt:i4>
      </vt:variant>
      <vt:variant>
        <vt:lpwstr/>
      </vt:variant>
      <vt:variant>
        <vt:lpwstr>_Toc442694554</vt:lpwstr>
      </vt:variant>
      <vt:variant>
        <vt:i4>1310778</vt:i4>
      </vt:variant>
      <vt:variant>
        <vt:i4>98</vt:i4>
      </vt:variant>
      <vt:variant>
        <vt:i4>0</vt:i4>
      </vt:variant>
      <vt:variant>
        <vt:i4>5</vt:i4>
      </vt:variant>
      <vt:variant>
        <vt:lpwstr/>
      </vt:variant>
      <vt:variant>
        <vt:lpwstr>_Toc442694553</vt:lpwstr>
      </vt:variant>
      <vt:variant>
        <vt:i4>1310778</vt:i4>
      </vt:variant>
      <vt:variant>
        <vt:i4>92</vt:i4>
      </vt:variant>
      <vt:variant>
        <vt:i4>0</vt:i4>
      </vt:variant>
      <vt:variant>
        <vt:i4>5</vt:i4>
      </vt:variant>
      <vt:variant>
        <vt:lpwstr/>
      </vt:variant>
      <vt:variant>
        <vt:lpwstr>_Toc442694552</vt:lpwstr>
      </vt:variant>
      <vt:variant>
        <vt:i4>1310778</vt:i4>
      </vt:variant>
      <vt:variant>
        <vt:i4>86</vt:i4>
      </vt:variant>
      <vt:variant>
        <vt:i4>0</vt:i4>
      </vt:variant>
      <vt:variant>
        <vt:i4>5</vt:i4>
      </vt:variant>
      <vt:variant>
        <vt:lpwstr/>
      </vt:variant>
      <vt:variant>
        <vt:lpwstr>_Toc442694551</vt:lpwstr>
      </vt:variant>
      <vt:variant>
        <vt:i4>1310778</vt:i4>
      </vt:variant>
      <vt:variant>
        <vt:i4>80</vt:i4>
      </vt:variant>
      <vt:variant>
        <vt:i4>0</vt:i4>
      </vt:variant>
      <vt:variant>
        <vt:i4>5</vt:i4>
      </vt:variant>
      <vt:variant>
        <vt:lpwstr/>
      </vt:variant>
      <vt:variant>
        <vt:lpwstr>_Toc442694550</vt:lpwstr>
      </vt:variant>
      <vt:variant>
        <vt:i4>1376314</vt:i4>
      </vt:variant>
      <vt:variant>
        <vt:i4>74</vt:i4>
      </vt:variant>
      <vt:variant>
        <vt:i4>0</vt:i4>
      </vt:variant>
      <vt:variant>
        <vt:i4>5</vt:i4>
      </vt:variant>
      <vt:variant>
        <vt:lpwstr/>
      </vt:variant>
      <vt:variant>
        <vt:lpwstr>_Toc442694549</vt:lpwstr>
      </vt:variant>
      <vt:variant>
        <vt:i4>1376314</vt:i4>
      </vt:variant>
      <vt:variant>
        <vt:i4>68</vt:i4>
      </vt:variant>
      <vt:variant>
        <vt:i4>0</vt:i4>
      </vt:variant>
      <vt:variant>
        <vt:i4>5</vt:i4>
      </vt:variant>
      <vt:variant>
        <vt:lpwstr/>
      </vt:variant>
      <vt:variant>
        <vt:lpwstr>_Toc442694548</vt:lpwstr>
      </vt:variant>
      <vt:variant>
        <vt:i4>1376314</vt:i4>
      </vt:variant>
      <vt:variant>
        <vt:i4>62</vt:i4>
      </vt:variant>
      <vt:variant>
        <vt:i4>0</vt:i4>
      </vt:variant>
      <vt:variant>
        <vt:i4>5</vt:i4>
      </vt:variant>
      <vt:variant>
        <vt:lpwstr/>
      </vt:variant>
      <vt:variant>
        <vt:lpwstr>_Toc442694547</vt:lpwstr>
      </vt:variant>
      <vt:variant>
        <vt:i4>1376314</vt:i4>
      </vt:variant>
      <vt:variant>
        <vt:i4>56</vt:i4>
      </vt:variant>
      <vt:variant>
        <vt:i4>0</vt:i4>
      </vt:variant>
      <vt:variant>
        <vt:i4>5</vt:i4>
      </vt:variant>
      <vt:variant>
        <vt:lpwstr/>
      </vt:variant>
      <vt:variant>
        <vt:lpwstr>_Toc442694546</vt:lpwstr>
      </vt:variant>
      <vt:variant>
        <vt:i4>1376314</vt:i4>
      </vt:variant>
      <vt:variant>
        <vt:i4>50</vt:i4>
      </vt:variant>
      <vt:variant>
        <vt:i4>0</vt:i4>
      </vt:variant>
      <vt:variant>
        <vt:i4>5</vt:i4>
      </vt:variant>
      <vt:variant>
        <vt:lpwstr/>
      </vt:variant>
      <vt:variant>
        <vt:lpwstr>_Toc442694545</vt:lpwstr>
      </vt:variant>
      <vt:variant>
        <vt:i4>1376314</vt:i4>
      </vt:variant>
      <vt:variant>
        <vt:i4>44</vt:i4>
      </vt:variant>
      <vt:variant>
        <vt:i4>0</vt:i4>
      </vt:variant>
      <vt:variant>
        <vt:i4>5</vt:i4>
      </vt:variant>
      <vt:variant>
        <vt:lpwstr/>
      </vt:variant>
      <vt:variant>
        <vt:lpwstr>_Toc442694544</vt:lpwstr>
      </vt:variant>
      <vt:variant>
        <vt:i4>1376314</vt:i4>
      </vt:variant>
      <vt:variant>
        <vt:i4>38</vt:i4>
      </vt:variant>
      <vt:variant>
        <vt:i4>0</vt:i4>
      </vt:variant>
      <vt:variant>
        <vt:i4>5</vt:i4>
      </vt:variant>
      <vt:variant>
        <vt:lpwstr/>
      </vt:variant>
      <vt:variant>
        <vt:lpwstr>_Toc442694543</vt:lpwstr>
      </vt:variant>
      <vt:variant>
        <vt:i4>1376314</vt:i4>
      </vt:variant>
      <vt:variant>
        <vt:i4>32</vt:i4>
      </vt:variant>
      <vt:variant>
        <vt:i4>0</vt:i4>
      </vt:variant>
      <vt:variant>
        <vt:i4>5</vt:i4>
      </vt:variant>
      <vt:variant>
        <vt:lpwstr/>
      </vt:variant>
      <vt:variant>
        <vt:lpwstr>_Toc442694542</vt:lpwstr>
      </vt:variant>
      <vt:variant>
        <vt:i4>1376314</vt:i4>
      </vt:variant>
      <vt:variant>
        <vt:i4>26</vt:i4>
      </vt:variant>
      <vt:variant>
        <vt:i4>0</vt:i4>
      </vt:variant>
      <vt:variant>
        <vt:i4>5</vt:i4>
      </vt:variant>
      <vt:variant>
        <vt:lpwstr/>
      </vt:variant>
      <vt:variant>
        <vt:lpwstr>_Toc442694541</vt:lpwstr>
      </vt:variant>
      <vt:variant>
        <vt:i4>1376314</vt:i4>
      </vt:variant>
      <vt:variant>
        <vt:i4>20</vt:i4>
      </vt:variant>
      <vt:variant>
        <vt:i4>0</vt:i4>
      </vt:variant>
      <vt:variant>
        <vt:i4>5</vt:i4>
      </vt:variant>
      <vt:variant>
        <vt:lpwstr/>
      </vt:variant>
      <vt:variant>
        <vt:lpwstr>_Toc442694540</vt:lpwstr>
      </vt:variant>
      <vt:variant>
        <vt:i4>1179706</vt:i4>
      </vt:variant>
      <vt:variant>
        <vt:i4>14</vt:i4>
      </vt:variant>
      <vt:variant>
        <vt:i4>0</vt:i4>
      </vt:variant>
      <vt:variant>
        <vt:i4>5</vt:i4>
      </vt:variant>
      <vt:variant>
        <vt:lpwstr/>
      </vt:variant>
      <vt:variant>
        <vt:lpwstr>_Toc442694539</vt:lpwstr>
      </vt:variant>
      <vt:variant>
        <vt:i4>1179706</vt:i4>
      </vt:variant>
      <vt:variant>
        <vt:i4>8</vt:i4>
      </vt:variant>
      <vt:variant>
        <vt:i4>0</vt:i4>
      </vt:variant>
      <vt:variant>
        <vt:i4>5</vt:i4>
      </vt:variant>
      <vt:variant>
        <vt:lpwstr/>
      </vt:variant>
      <vt:variant>
        <vt:lpwstr>_Toc442694538</vt:lpwstr>
      </vt:variant>
      <vt:variant>
        <vt:i4>1310792</vt:i4>
      </vt:variant>
      <vt:variant>
        <vt:i4>3</vt:i4>
      </vt:variant>
      <vt:variant>
        <vt:i4>0</vt:i4>
      </vt:variant>
      <vt:variant>
        <vt:i4>5</vt:i4>
      </vt:variant>
      <vt:variant>
        <vt:lpwstr>http://www.parliament.act.gov.au/</vt:lpwstr>
      </vt:variant>
      <vt:variant>
        <vt:lpwstr/>
      </vt:variant>
      <vt:variant>
        <vt:i4>4980832</vt:i4>
      </vt:variant>
      <vt:variant>
        <vt:i4>0</vt:i4>
      </vt:variant>
      <vt:variant>
        <vt:i4>0</vt:i4>
      </vt:variant>
      <vt:variant>
        <vt:i4>5</vt:i4>
      </vt:variant>
      <vt:variant>
        <vt:lpwstr>mailto:committees@parliament.act.gov.au</vt:lpwstr>
      </vt:variant>
      <vt:variant>
        <vt:lpwstr/>
      </vt:variant>
      <vt:variant>
        <vt:i4>5636116</vt:i4>
      </vt:variant>
      <vt:variant>
        <vt:i4>6</vt:i4>
      </vt:variant>
      <vt:variant>
        <vt:i4>0</vt:i4>
      </vt:variant>
      <vt:variant>
        <vt:i4>5</vt:i4>
      </vt:variant>
      <vt:variant>
        <vt:lpwstr>http://www.parliament.act.gov.au/in-the-assembly/minutes_of_proceedings</vt:lpwstr>
      </vt:variant>
      <vt:variant>
        <vt:lpwstr/>
      </vt:variant>
      <vt:variant>
        <vt:i4>5636116</vt:i4>
      </vt:variant>
      <vt:variant>
        <vt:i4>3</vt:i4>
      </vt:variant>
      <vt:variant>
        <vt:i4>0</vt:i4>
      </vt:variant>
      <vt:variant>
        <vt:i4>5</vt:i4>
      </vt:variant>
      <vt:variant>
        <vt:lpwstr>http://www.parliament.act.gov.au/in-the-assembly/minutes_of_proceedings</vt:lpwstr>
      </vt:variant>
      <vt:variant>
        <vt:lpwstr/>
      </vt:variant>
      <vt:variant>
        <vt:i4>7274540</vt:i4>
      </vt:variant>
      <vt:variant>
        <vt:i4>0</vt:i4>
      </vt:variant>
      <vt:variant>
        <vt:i4>0</vt:i4>
      </vt:variant>
      <vt:variant>
        <vt:i4>5</vt:i4>
      </vt:variant>
      <vt:variant>
        <vt:lpwstr>http://www.parliament.act.gov.au/downloads/minutes-of-proceedings/MoP 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Hamish Finlay</dc:creator>
  <cp:lastModifiedBy>Lydia Chung</cp:lastModifiedBy>
  <cp:revision>2</cp:revision>
  <cp:lastPrinted>2017-05-09T22:09:00Z</cp:lastPrinted>
  <dcterms:created xsi:type="dcterms:W3CDTF">2017-05-09T22:40:00Z</dcterms:created>
  <dcterms:modified xsi:type="dcterms:W3CDTF">2017-05-09T22:40:00Z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fa302311-e15b-4e68-8fd5-354ec6c23c23</vt:lpwstr>
  </property>
  <property fmtid="{D5CDD505-2E9C-101B-9397-08002B2CF9AE}" pid="3" name="bjSaver">
    <vt:lpwstr>KU5WjfA/F5MSrC4d9DIL9+LxQT6WDPa1</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